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319" w:lineRule="exact"/>
        <w:rPr>
          <w:sz w:val="24"/>
          <w:szCs w:val="24"/>
          <w:color w:val="auto"/>
        </w:rPr>
      </w:pPr>
    </w:p>
    <w:p>
      <w:pPr>
        <w:jc w:val="center"/>
        <w:ind w:right="-800"/>
        <w:spacing w:after="0"/>
        <w:rPr>
          <w:sz w:val="20"/>
          <w:szCs w:val="20"/>
          <w:color w:val="auto"/>
        </w:rPr>
      </w:pPr>
      <w:r>
        <w:rPr>
          <w:rFonts w:ascii="Arial" w:cs="Arial" w:eastAsia="Arial" w:hAnsi="Arial"/>
          <w:sz w:val="16"/>
          <w:szCs w:val="16"/>
          <w:b w:val="1"/>
          <w:bCs w:val="1"/>
          <w:color w:val="auto"/>
        </w:rPr>
        <w:t>UNITED STATES</w:t>
      </w:r>
    </w:p>
    <w:p>
      <w:pPr>
        <w:spacing w:after="0" w:line="39" w:lineRule="exact"/>
        <w:rPr>
          <w:sz w:val="24"/>
          <w:szCs w:val="24"/>
          <w:color w:val="auto"/>
        </w:rPr>
      </w:pPr>
    </w:p>
    <w:p>
      <w:pPr>
        <w:jc w:val="center"/>
        <w:ind w:right="-800"/>
        <w:spacing w:after="0"/>
        <w:rPr>
          <w:sz w:val="20"/>
          <w:szCs w:val="20"/>
          <w:color w:val="auto"/>
        </w:rPr>
      </w:pPr>
      <w:r>
        <w:rPr>
          <w:rFonts w:ascii="Arial" w:cs="Arial" w:eastAsia="Arial" w:hAnsi="Arial"/>
          <w:sz w:val="16"/>
          <w:szCs w:val="16"/>
          <w:b w:val="1"/>
          <w:bCs w:val="1"/>
          <w:color w:val="auto"/>
        </w:rPr>
        <w:t>SECURITIES AND EXCHANGE COMMISSION</w:t>
      </w:r>
    </w:p>
    <w:p>
      <w:pPr>
        <w:spacing w:after="0" w:line="32" w:lineRule="exact"/>
        <w:rPr>
          <w:sz w:val="24"/>
          <w:szCs w:val="24"/>
          <w:color w:val="auto"/>
        </w:rPr>
      </w:pPr>
    </w:p>
    <w:p>
      <w:pPr>
        <w:jc w:val="center"/>
        <w:ind w:right="-860"/>
        <w:spacing w:after="0"/>
        <w:rPr>
          <w:sz w:val="20"/>
          <w:szCs w:val="20"/>
          <w:color w:val="auto"/>
        </w:rPr>
      </w:pPr>
      <w:r>
        <w:rPr>
          <w:rFonts w:ascii="Arial" w:cs="Arial" w:eastAsia="Arial" w:hAnsi="Arial"/>
          <w:sz w:val="16"/>
          <w:szCs w:val="16"/>
          <w:b w:val="1"/>
          <w:bCs w:val="1"/>
          <w:color w:val="auto"/>
        </w:rPr>
        <w:t>Washington, D.C. 20549</w:t>
      </w:r>
    </w:p>
    <w:p>
      <w:pPr>
        <w:spacing w:after="0" w:line="137" w:lineRule="exact"/>
        <w:rPr>
          <w:sz w:val="24"/>
          <w:szCs w:val="24"/>
          <w:color w:val="auto"/>
        </w:rPr>
      </w:pPr>
    </w:p>
    <w:p>
      <w:pPr>
        <w:jc w:val="center"/>
        <w:ind w:right="-860"/>
        <w:spacing w:after="0"/>
        <w:rPr>
          <w:sz w:val="20"/>
          <w:szCs w:val="20"/>
          <w:color w:val="auto"/>
        </w:rPr>
      </w:pPr>
      <w:r>
        <w:rPr>
          <w:rFonts w:ascii="Arial" w:cs="Arial" w:eastAsia="Arial" w:hAnsi="Arial"/>
          <w:sz w:val="25"/>
          <w:szCs w:val="25"/>
          <w:b w:val="1"/>
          <w:bCs w:val="1"/>
          <w:color w:val="auto"/>
        </w:rPr>
        <w:t>SCHEDULE 14A</w:t>
      </w:r>
    </w:p>
    <w:p>
      <w:pPr>
        <w:spacing w:after="0" w:line="195" w:lineRule="exact"/>
        <w:rPr>
          <w:sz w:val="24"/>
          <w:szCs w:val="24"/>
          <w:color w:val="auto"/>
        </w:rPr>
      </w:pPr>
    </w:p>
    <w:p>
      <w:pPr>
        <w:ind w:left="3620"/>
        <w:spacing w:after="0"/>
        <w:rPr>
          <w:sz w:val="20"/>
          <w:szCs w:val="20"/>
          <w:color w:val="auto"/>
        </w:rPr>
      </w:pPr>
      <w:r>
        <w:rPr>
          <w:rFonts w:ascii="Arial" w:cs="Arial" w:eastAsia="Arial" w:hAnsi="Arial"/>
          <w:sz w:val="16"/>
          <w:szCs w:val="16"/>
          <w:color w:val="auto"/>
        </w:rPr>
        <w:t>Proxy Statement Pursuant to Section 14(a) of the</w:t>
      </w:r>
    </w:p>
    <w:p>
      <w:pPr>
        <w:spacing w:after="0" w:line="32" w:lineRule="exact"/>
        <w:rPr>
          <w:sz w:val="24"/>
          <w:szCs w:val="24"/>
          <w:color w:val="auto"/>
        </w:rPr>
      </w:pPr>
    </w:p>
    <w:p>
      <w:pPr>
        <w:ind w:left="3480"/>
        <w:spacing w:after="0"/>
        <w:rPr>
          <w:sz w:val="20"/>
          <w:szCs w:val="20"/>
          <w:color w:val="auto"/>
        </w:rPr>
      </w:pPr>
      <w:r>
        <w:rPr>
          <w:rFonts w:ascii="Arial" w:cs="Arial" w:eastAsia="Arial" w:hAnsi="Arial"/>
          <w:sz w:val="16"/>
          <w:szCs w:val="16"/>
          <w:color w:val="auto"/>
        </w:rPr>
        <w:t>Securities Exchange Act of 1934 (Amendment No.    )</w:t>
      </w:r>
    </w:p>
    <w:p>
      <w:pPr>
        <w:spacing w:after="0" w:line="135" w:lineRule="exact"/>
        <w:rPr>
          <w:sz w:val="24"/>
          <w:szCs w:val="24"/>
          <w:color w:val="auto"/>
        </w:rPr>
      </w:pPr>
    </w:p>
    <w:p>
      <w:pPr>
        <w:ind w:left="1260"/>
        <w:spacing w:after="0" w:line="184" w:lineRule="exact"/>
        <w:tabs>
          <w:tab w:leader="none" w:pos="1640" w:val="left"/>
          <w:tab w:leader="none" w:pos="3760" w:val="left"/>
          <w:tab w:leader="none" w:pos="4160" w:val="left"/>
        </w:tabs>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ab/>
        <w:t>Filed by the Registrant</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Filed by a party other than the Registrant</w:t>
      </w:r>
    </w:p>
    <w:p>
      <w:pPr>
        <w:spacing w:after="0" w:line="213" w:lineRule="exact"/>
        <w:rPr>
          <w:sz w:val="24"/>
          <w:szCs w:val="24"/>
          <w:color w:val="auto"/>
        </w:rPr>
      </w:pPr>
    </w:p>
    <w:p>
      <w:pPr>
        <w:ind w:left="1260"/>
        <w:spacing w:after="0"/>
        <w:rPr>
          <w:sz w:val="20"/>
          <w:szCs w:val="20"/>
          <w:color w:val="auto"/>
        </w:rPr>
      </w:pPr>
      <w:r>
        <w:rPr>
          <w:rFonts w:ascii="Arial" w:cs="Arial" w:eastAsia="Arial" w:hAnsi="Arial"/>
          <w:sz w:val="16"/>
          <w:szCs w:val="16"/>
          <w:color w:val="auto"/>
        </w:rPr>
        <w:t>CHECK THE APPROPRIATE BOX:</w:t>
      </w:r>
    </w:p>
    <w:p>
      <w:pPr>
        <w:spacing w:after="0" w:line="149" w:lineRule="exact"/>
        <w:rPr>
          <w:sz w:val="24"/>
          <w:szCs w:val="24"/>
          <w:color w:val="auto"/>
        </w:rPr>
      </w:pPr>
    </w:p>
    <w:p>
      <w:pPr>
        <w:ind w:left="1260"/>
        <w:spacing w:after="0" w:line="184" w:lineRule="exact"/>
        <w:tabs>
          <w:tab w:leader="none" w:pos="160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Preliminary Proxy Statement</w:t>
      </w:r>
    </w:p>
    <w:p>
      <w:pPr>
        <w:spacing w:after="0" w:line="163" w:lineRule="exact"/>
        <w:rPr>
          <w:sz w:val="24"/>
          <w:szCs w:val="24"/>
          <w:color w:val="auto"/>
        </w:rPr>
      </w:pPr>
    </w:p>
    <w:p>
      <w:pPr>
        <w:ind w:left="1260"/>
        <w:spacing w:after="0" w:line="184" w:lineRule="exact"/>
        <w:tabs>
          <w:tab w:leader="none" w:pos="160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Confidential, for Use of the Commission Only (as permitted by Rule 14a-6(e)(2))</w:t>
      </w:r>
    </w:p>
    <w:p>
      <w:pPr>
        <w:spacing w:after="0" w:line="216"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81"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67" w:lineRule="exact"/>
        <w:rPr>
          <w:rFonts w:ascii="MS PGothic" w:cs="MS PGothic" w:eastAsia="MS PGothic" w:hAnsi="MS PGothic"/>
          <w:sz w:val="16"/>
          <w:szCs w:val="16"/>
          <w:color w:val="auto"/>
        </w:rPr>
      </w:pPr>
    </w:p>
    <w:p>
      <w:pPr>
        <w:ind w:left="1620" w:hanging="360"/>
        <w:spacing w:after="0"/>
        <w:tabs>
          <w:tab w:leader="none" w:pos="162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2771775</wp:posOffset>
            </wp:positionH>
            <wp:positionV relativeFrom="paragraph">
              <wp:posOffset>149225</wp:posOffset>
            </wp:positionV>
            <wp:extent cx="1268730" cy="3689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8730" cy="3689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860"/>
        <w:spacing w:after="0"/>
        <w:rPr>
          <w:sz w:val="20"/>
          <w:szCs w:val="20"/>
          <w:color w:val="auto"/>
        </w:rPr>
      </w:pPr>
      <w:r>
        <w:rPr>
          <w:rFonts w:ascii="Arial" w:cs="Arial" w:eastAsia="Arial" w:hAnsi="Arial"/>
          <w:sz w:val="29"/>
          <w:szCs w:val="29"/>
          <w:b w:val="1"/>
          <w:bCs w:val="1"/>
          <w:color w:val="auto"/>
        </w:rPr>
        <w:t>SL Green Realty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50165</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66" w:lineRule="exact"/>
        <w:rPr>
          <w:sz w:val="24"/>
          <w:szCs w:val="24"/>
          <w:color w:val="auto"/>
        </w:rPr>
      </w:pPr>
    </w:p>
    <w:p>
      <w:pPr>
        <w:ind w:left="3700"/>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158115</wp:posOffset>
            </wp:positionV>
            <wp:extent cx="5212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96" w:lineRule="exact"/>
        <w:rPr>
          <w:sz w:val="24"/>
          <w:szCs w:val="24"/>
          <w:color w:val="auto"/>
        </w:rPr>
      </w:pPr>
    </w:p>
    <w:p>
      <w:pPr>
        <w:ind w:left="286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167" w:lineRule="exact"/>
        <w:rPr>
          <w:sz w:val="24"/>
          <w:szCs w:val="24"/>
          <w:color w:val="auto"/>
        </w:rPr>
      </w:pPr>
    </w:p>
    <w:p>
      <w:pPr>
        <w:ind w:left="1260"/>
        <w:spacing w:after="0"/>
        <w:rPr>
          <w:sz w:val="20"/>
          <w:szCs w:val="20"/>
          <w:color w:val="auto"/>
        </w:rPr>
      </w:pPr>
      <w:r>
        <w:rPr>
          <w:rFonts w:ascii="Arial" w:cs="Arial" w:eastAsia="Arial" w:hAnsi="Arial"/>
          <w:sz w:val="16"/>
          <w:szCs w:val="16"/>
          <w:color w:val="auto"/>
        </w:rPr>
        <w:t>PAYMENT OF FILING FEE (CHECK ALL BOXES THAT APPLY):</w:t>
      </w:r>
    </w:p>
    <w:p>
      <w:pPr>
        <w:spacing w:after="0" w:line="181"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67" w:lineRule="exact"/>
        <w:rPr>
          <w:sz w:val="24"/>
          <w:szCs w:val="24"/>
          <w:color w:val="auto"/>
        </w:rPr>
      </w:pPr>
    </w:p>
    <w:p>
      <w:pPr>
        <w:ind w:left="1620" w:hanging="360"/>
        <w:spacing w:after="0"/>
        <w:tabs>
          <w:tab w:leader="none" w:pos="162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80" w:lineRule="exact"/>
        <w:rPr>
          <w:rFonts w:ascii="MS PGothic" w:cs="MS PGothic" w:eastAsia="MS PGothic" w:hAnsi="MS PGothic"/>
          <w:sz w:val="16"/>
          <w:szCs w:val="16"/>
          <w:color w:val="auto"/>
        </w:rPr>
      </w:pPr>
    </w:p>
    <w:p>
      <w:pPr>
        <w:ind w:left="1620" w:hanging="360"/>
        <w:spacing w:after="0"/>
        <w:tabs>
          <w:tab w:leader="none" w:pos="1620" w:val="left"/>
        </w:tabs>
        <w:numPr>
          <w:ilvl w:val="0"/>
          <w:numId w:val="4"/>
        </w:numPr>
        <w:rPr>
          <w:rFonts w:ascii="MS PGothic" w:cs="MS PGothic" w:eastAsia="MS PGothic" w:hAnsi="MS PGothic"/>
          <w:sz w:val="15"/>
          <w:szCs w:val="15"/>
          <w:color w:val="auto"/>
        </w:rPr>
      </w:pPr>
      <w:r>
        <w:rPr>
          <w:rFonts w:ascii="Arial" w:cs="Arial" w:eastAsia="Arial" w:hAnsi="Arial"/>
          <w:sz w:val="15"/>
          <w:szCs w:val="15"/>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3144520</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-81280</wp:posOffset>
            </wp:positionV>
            <wp:extent cx="7025005" cy="9150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5005" cy="915098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20"/>
        <w:spacing w:after="0"/>
        <w:rPr>
          <w:sz w:val="20"/>
          <w:szCs w:val="20"/>
          <w:color w:val="auto"/>
        </w:rPr>
      </w:pPr>
      <w:r>
        <w:rPr>
          <w:rFonts w:ascii="Arial" w:cs="Arial" w:eastAsia="Arial" w:hAnsi="Arial"/>
          <w:sz w:val="38"/>
          <w:szCs w:val="38"/>
          <w:b w:val="1"/>
          <w:bCs w:val="1"/>
          <w:color w:val="1F2668"/>
        </w:rPr>
        <w:t>LETTER TO STOCKHOLDERS</w:t>
      </w:r>
    </w:p>
    <w:p>
      <w:pPr>
        <w:spacing w:after="0" w:line="369"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Dear Fellow Stockholders,</w:t>
      </w:r>
    </w:p>
    <w:p>
      <w:pPr>
        <w:spacing w:after="0" w:line="106" w:lineRule="exact"/>
        <w:rPr>
          <w:sz w:val="20"/>
          <w:szCs w:val="20"/>
          <w:color w:val="auto"/>
        </w:rPr>
      </w:pPr>
    </w:p>
    <w:p>
      <w:pPr>
        <w:ind w:left="820" w:right="840"/>
        <w:spacing w:after="0" w:line="243" w:lineRule="auto"/>
        <w:rPr>
          <w:sz w:val="20"/>
          <w:szCs w:val="20"/>
          <w:color w:val="auto"/>
        </w:rPr>
      </w:pPr>
      <w:r>
        <w:rPr>
          <w:rFonts w:ascii="Arial" w:cs="Arial" w:eastAsia="Arial" w:hAnsi="Arial"/>
          <w:sz w:val="16"/>
          <w:szCs w:val="16"/>
          <w:color w:val="auto"/>
        </w:rPr>
        <w:t>As a result of our entire organization’s dedication and solid execution, 2024 represented an acceleration of the prior year’s momentum. For the second consecutive year, SL Green delivered the highest total shareholder return of the U.S. Office REIT sector and highest of any U.S. REIT with a market capitalization over $1.0 billion with a total return of 58% in 2024. This comes on the heels of a 48% total shareholder return in 2023. Over a five-year period, SL Green is one of only three U.S. Office REITs to have delivered positive shareholder return.</w:t>
      </w:r>
    </w:p>
    <w:p>
      <w:pPr>
        <w:spacing w:after="0" w:line="68" w:lineRule="exact"/>
        <w:rPr>
          <w:sz w:val="20"/>
          <w:szCs w:val="20"/>
          <w:color w:val="auto"/>
        </w:rPr>
      </w:pPr>
    </w:p>
    <w:p>
      <w:pPr>
        <w:ind w:left="820" w:right="1060"/>
        <w:spacing w:after="0" w:line="248" w:lineRule="auto"/>
        <w:rPr>
          <w:sz w:val="20"/>
          <w:szCs w:val="20"/>
          <w:color w:val="auto"/>
        </w:rPr>
      </w:pPr>
      <w:r>
        <w:rPr>
          <w:rFonts w:ascii="Arial" w:cs="Arial" w:eastAsia="Arial" w:hAnsi="Arial"/>
          <w:sz w:val="16"/>
          <w:szCs w:val="16"/>
          <w:color w:val="auto"/>
        </w:rPr>
        <w:t>The positive momentum is underscored by a multi-year strategy to build a portfolio of well-located, amenitized, sustainable Class A assets that continue to generate long-term value. This is reflected in the November 2024 sale of an 11% stake in our ground-up development, One Vanderbilt Avenue, at a gross asset valuation of $4.7 billion, as well as the continued lease up of our most recent office development, One Madison Avenue, by prominent financial and technology companies.</w:t>
      </w:r>
    </w:p>
    <w:p>
      <w:pPr>
        <w:spacing w:after="0" w:line="77" w:lineRule="exact"/>
        <w:rPr>
          <w:sz w:val="20"/>
          <w:szCs w:val="20"/>
          <w:color w:val="auto"/>
        </w:rPr>
      </w:pPr>
    </w:p>
    <w:p>
      <w:pPr>
        <w:ind w:left="820" w:right="920"/>
        <w:spacing w:after="0" w:line="248" w:lineRule="auto"/>
        <w:rPr>
          <w:sz w:val="20"/>
          <w:szCs w:val="20"/>
          <w:color w:val="auto"/>
        </w:rPr>
      </w:pPr>
      <w:r>
        <w:rPr>
          <w:rFonts w:ascii="Arial" w:cs="Arial" w:eastAsia="Arial" w:hAnsi="Arial"/>
          <w:sz w:val="16"/>
          <w:szCs w:val="16"/>
          <w:color w:val="auto"/>
        </w:rPr>
        <w:t>We have opportunistically taken on retail and residential developments such as the recent opening of the Georgio Armani flagship store at 760 Madison Avenue and the luxury residences built above that store, all of which have been sold or are under contract. We are also in the planning stages of our office to residential conversion project at 750 Third Avenue, one of the largest such projects in Midtown Manhattan.</w:t>
      </w:r>
    </w:p>
    <w:p>
      <w:pPr>
        <w:spacing w:after="0" w:line="63" w:lineRule="exact"/>
        <w:rPr>
          <w:sz w:val="20"/>
          <w:szCs w:val="20"/>
          <w:color w:val="auto"/>
        </w:rPr>
      </w:pPr>
    </w:p>
    <w:p>
      <w:pPr>
        <w:jc w:val="both"/>
        <w:ind w:left="820" w:right="960"/>
        <w:spacing w:after="0" w:line="302" w:lineRule="auto"/>
        <w:rPr>
          <w:sz w:val="20"/>
          <w:szCs w:val="20"/>
          <w:color w:val="auto"/>
        </w:rPr>
      </w:pPr>
      <w:r>
        <w:rPr>
          <w:rFonts w:ascii="Arial" w:cs="Arial" w:eastAsia="Arial" w:hAnsi="Arial"/>
          <w:sz w:val="15"/>
          <w:szCs w:val="15"/>
          <w:color w:val="auto"/>
        </w:rPr>
        <w:t>In 2024, SL Green launched the SLG Opportunistic Debt Fund, which is expected to reach at least $1 billion and leverages our expertise and market visibility to capitalize on current capital market dislocations by investing in the New York City credit market.</w:t>
      </w:r>
    </w:p>
    <w:p>
      <w:pPr>
        <w:spacing w:after="0" w:line="38" w:lineRule="exact"/>
        <w:rPr>
          <w:sz w:val="20"/>
          <w:szCs w:val="20"/>
          <w:color w:val="auto"/>
        </w:rPr>
      </w:pPr>
    </w:p>
    <w:p>
      <w:pPr>
        <w:jc w:val="both"/>
        <w:ind w:left="820" w:right="960"/>
        <w:spacing w:after="0" w:line="248" w:lineRule="auto"/>
        <w:rPr>
          <w:sz w:val="20"/>
          <w:szCs w:val="20"/>
          <w:color w:val="auto"/>
        </w:rPr>
      </w:pPr>
      <w:r>
        <w:rPr>
          <w:rFonts w:ascii="Arial" w:cs="Arial" w:eastAsia="Arial" w:hAnsi="Arial"/>
          <w:sz w:val="16"/>
          <w:szCs w:val="16"/>
          <w:color w:val="auto"/>
        </w:rPr>
        <w:t>In October 2024, we celebrated the third anniversary of SUMMIT One Vanderbilt, our immersive, multi-sensory observatory, and achieved a record of 2.25 million visitors during the year. Building upon this success, we announced plans for the next SUMMIT destination in Paris, and we continue to explore prospective locations in key global destinations.</w:t>
      </w:r>
    </w:p>
    <w:p>
      <w:pPr>
        <w:spacing w:after="0" w:line="78" w:lineRule="exact"/>
        <w:rPr>
          <w:sz w:val="20"/>
          <w:szCs w:val="20"/>
          <w:color w:val="auto"/>
        </w:rPr>
      </w:pPr>
    </w:p>
    <w:p>
      <w:pPr>
        <w:ind w:left="820" w:right="1000"/>
        <w:spacing w:after="0" w:line="243" w:lineRule="auto"/>
        <w:rPr>
          <w:sz w:val="20"/>
          <w:szCs w:val="20"/>
          <w:color w:val="auto"/>
        </w:rPr>
      </w:pPr>
      <w:r>
        <w:rPr>
          <w:rFonts w:ascii="Arial" w:cs="Arial" w:eastAsia="Arial" w:hAnsi="Arial"/>
          <w:sz w:val="16"/>
          <w:szCs w:val="16"/>
          <w:color w:val="auto"/>
        </w:rPr>
        <w:t>We continue to focus on reducing GHG emissions and driving environmental efficiencies across our portfolio, creating value for our tenants and stockholders and maintaining our compliance with local regulations. New York City’s Local Law 97, one of the country’s most ambitious plans for GHG emissions reduction, officially went into effect in 2024. While we expect to meet the requirements of the first compliance period, we continue to deploy thoughtfully selected capital building improvements to further reduce GHG emissions in anticipation of more stringent requirements in the future.</w:t>
      </w:r>
    </w:p>
    <w:p>
      <w:pPr>
        <w:spacing w:after="0" w:line="68" w:lineRule="exact"/>
        <w:rPr>
          <w:sz w:val="20"/>
          <w:szCs w:val="20"/>
          <w:color w:val="auto"/>
        </w:rPr>
      </w:pPr>
    </w:p>
    <w:p>
      <w:pPr>
        <w:ind w:left="820" w:right="980"/>
        <w:spacing w:after="0" w:line="247" w:lineRule="auto"/>
        <w:rPr>
          <w:sz w:val="20"/>
          <w:szCs w:val="20"/>
          <w:color w:val="auto"/>
        </w:rPr>
      </w:pPr>
      <w:r>
        <w:rPr>
          <w:rFonts w:ascii="Arial" w:cs="Arial" w:eastAsia="Arial" w:hAnsi="Arial"/>
          <w:sz w:val="16"/>
          <w:szCs w:val="16"/>
          <w:color w:val="auto"/>
        </w:rPr>
        <w:t>Achieving our vision for a greater New York City also means enhancing the city through volunteerism and philanthropy. We’ve maintained our partnership with New York City’s Summer Youth Employment Program (SYEP) by providing paid internships to students, offering them a front-row seat into SL Green’s operations. The SUMMIT Foundation continues to reinvest 1% of gross ticket sales at SUMMIT into New York-focused charities and organizations. And FOOD1st, a nonprofit organization we established in 2020, remains a resource to support vulnerable New Yorkers by combatting food insecurity throughout the city.</w:t>
      </w:r>
    </w:p>
    <w:p>
      <w:pPr>
        <w:spacing w:after="0" w:line="66" w:lineRule="exact"/>
        <w:rPr>
          <w:sz w:val="20"/>
          <w:szCs w:val="20"/>
          <w:color w:val="auto"/>
        </w:rPr>
      </w:pPr>
    </w:p>
    <w:p>
      <w:pPr>
        <w:ind w:left="820" w:right="1000"/>
        <w:spacing w:after="0" w:line="248" w:lineRule="auto"/>
        <w:rPr>
          <w:sz w:val="20"/>
          <w:szCs w:val="20"/>
          <w:color w:val="auto"/>
        </w:rPr>
      </w:pPr>
      <w:r>
        <w:rPr>
          <w:rFonts w:ascii="Arial" w:cs="Arial" w:eastAsia="Arial" w:hAnsi="Arial"/>
          <w:sz w:val="16"/>
          <w:szCs w:val="16"/>
          <w:color w:val="auto"/>
        </w:rPr>
        <w:t>In closing, we want to thank all of our corporate, SUMMIT and building employees for their dedication and hard work, without whom we would not have met these achievements. As we look ahead to 2025, we are well-positioned to capitalize on the many opportunities we’ve outlined and create incremental value for all of our stakeholders.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00" w:type="dxa"/>
            <w:vAlign w:val="bottom"/>
          </w:tcPr>
          <w:p>
            <w:pPr>
              <w:ind w:left="820"/>
              <w:spacing w:after="0"/>
              <w:rPr>
                <w:sz w:val="20"/>
                <w:szCs w:val="20"/>
                <w:color w:val="auto"/>
              </w:rPr>
            </w:pPr>
            <w:r>
              <w:rPr>
                <w:rFonts w:ascii="Arial" w:cs="Arial" w:eastAsia="Arial" w:hAnsi="Arial"/>
                <w:sz w:val="16"/>
                <w:szCs w:val="16"/>
                <w:color w:val="auto"/>
              </w:rPr>
              <w:t>Sincerely,</w:t>
            </w:r>
          </w:p>
        </w:tc>
        <w:tc>
          <w:tcPr>
            <w:tcW w:w="270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9"/>
        </w:trPr>
        <w:tc>
          <w:tcPr>
            <w:tcW w:w="3500" w:type="dxa"/>
            <w:vAlign w:val="bottom"/>
          </w:tcPr>
          <w:p>
            <w:pPr>
              <w:ind w:left="820"/>
              <w:spacing w:after="0"/>
              <w:rPr>
                <w:sz w:val="20"/>
                <w:szCs w:val="20"/>
                <w:color w:val="auto"/>
              </w:rPr>
            </w:pPr>
            <w:r>
              <w:rPr>
                <w:rFonts w:ascii="Arial" w:cs="Arial" w:eastAsia="Arial" w:hAnsi="Arial"/>
                <w:sz w:val="16"/>
                <w:szCs w:val="16"/>
                <w:b w:val="1"/>
                <w:bCs w:val="1"/>
                <w:color w:val="auto"/>
              </w:rPr>
              <w:t>John H. Alschuler</w:t>
            </w:r>
          </w:p>
        </w:tc>
        <w:tc>
          <w:tcPr>
            <w:tcW w:w="2700" w:type="dxa"/>
            <w:vAlign w:val="bottom"/>
          </w:tcPr>
          <w:p>
            <w:pPr>
              <w:ind w:left="420"/>
              <w:spacing w:after="0"/>
              <w:rPr>
                <w:sz w:val="20"/>
                <w:szCs w:val="20"/>
                <w:color w:val="auto"/>
              </w:rPr>
            </w:pPr>
            <w:r>
              <w:rPr>
                <w:rFonts w:ascii="Arial" w:cs="Arial" w:eastAsia="Arial" w:hAnsi="Arial"/>
                <w:sz w:val="16"/>
                <w:szCs w:val="16"/>
                <w:b w:val="1"/>
                <w:bCs w:val="1"/>
                <w:color w:val="auto"/>
              </w:rPr>
              <w:t>Carol N. Brown</w:t>
            </w:r>
          </w:p>
        </w:tc>
        <w:tc>
          <w:tcPr>
            <w:tcW w:w="4520" w:type="dxa"/>
            <w:vAlign w:val="bottom"/>
          </w:tcPr>
          <w:p>
            <w:pPr>
              <w:ind w:left="800"/>
              <w:spacing w:after="0"/>
              <w:rPr>
                <w:sz w:val="20"/>
                <w:szCs w:val="20"/>
                <w:color w:val="auto"/>
              </w:rPr>
            </w:pPr>
            <w:r>
              <w:rPr>
                <w:rFonts w:ascii="Arial" w:cs="Arial" w:eastAsia="Arial" w:hAnsi="Arial"/>
                <w:sz w:val="16"/>
                <w:szCs w:val="16"/>
                <w:b w:val="1"/>
                <w:bCs w:val="1"/>
                <w:color w:val="auto"/>
              </w:rPr>
              <w:t>Lauren B. Dillard</w:t>
            </w:r>
          </w:p>
        </w:tc>
        <w:tc>
          <w:tcPr>
            <w:tcW w:w="0" w:type="dxa"/>
            <w:vAlign w:val="bottom"/>
          </w:tcPr>
          <w:p>
            <w:pPr>
              <w:spacing w:after="0"/>
              <w:rPr>
                <w:sz w:val="1"/>
                <w:szCs w:val="1"/>
                <w:color w:val="auto"/>
              </w:rPr>
            </w:pPr>
          </w:p>
        </w:tc>
      </w:tr>
      <w:tr>
        <w:trPr>
          <w:trHeight w:val="228"/>
        </w:trPr>
        <w:tc>
          <w:tcPr>
            <w:tcW w:w="3500" w:type="dxa"/>
            <w:vAlign w:val="bottom"/>
          </w:tcPr>
          <w:p>
            <w:pPr>
              <w:ind w:left="820"/>
              <w:spacing w:after="0"/>
              <w:rPr>
                <w:sz w:val="20"/>
                <w:szCs w:val="20"/>
                <w:color w:val="auto"/>
              </w:rPr>
            </w:pPr>
            <w:r>
              <w:rPr>
                <w:rFonts w:ascii="Arial" w:cs="Arial" w:eastAsia="Arial" w:hAnsi="Arial"/>
                <w:sz w:val="16"/>
                <w:szCs w:val="16"/>
                <w:color w:val="auto"/>
              </w:rPr>
              <w:t>Lead Independent Director</w:t>
            </w:r>
          </w:p>
        </w:tc>
        <w:tc>
          <w:tcPr>
            <w:tcW w:w="2700" w:type="dxa"/>
            <w:vAlign w:val="bottom"/>
          </w:tcPr>
          <w:p>
            <w:pPr>
              <w:ind w:left="420"/>
              <w:spacing w:after="0"/>
              <w:rPr>
                <w:sz w:val="20"/>
                <w:szCs w:val="20"/>
                <w:color w:val="auto"/>
              </w:rPr>
            </w:pPr>
            <w:r>
              <w:rPr>
                <w:rFonts w:ascii="Arial" w:cs="Arial" w:eastAsia="Arial" w:hAnsi="Arial"/>
                <w:sz w:val="16"/>
                <w:szCs w:val="16"/>
                <w:color w:val="auto"/>
              </w:rPr>
              <w:t>Independent Director</w:t>
            </w:r>
          </w:p>
        </w:tc>
        <w:tc>
          <w:tcPr>
            <w:tcW w:w="4520" w:type="dxa"/>
            <w:vAlign w:val="bottom"/>
          </w:tcPr>
          <w:p>
            <w:pPr>
              <w:ind w:left="800"/>
              <w:spacing w:after="0"/>
              <w:rPr>
                <w:sz w:val="20"/>
                <w:szCs w:val="20"/>
                <w:color w:val="auto"/>
              </w:rPr>
            </w:pPr>
            <w:r>
              <w:rPr>
                <w:rFonts w:ascii="Arial" w:cs="Arial" w:eastAsia="Arial" w:hAnsi="Arial"/>
                <w:sz w:val="16"/>
                <w:szCs w:val="16"/>
                <w:color w:val="auto"/>
              </w:rPr>
              <w:t>Independent Director</w:t>
            </w:r>
          </w:p>
        </w:tc>
        <w:tc>
          <w:tcPr>
            <w:tcW w:w="0" w:type="dxa"/>
            <w:vAlign w:val="bottom"/>
          </w:tcPr>
          <w:p>
            <w:pPr>
              <w:spacing w:after="0"/>
              <w:rPr>
                <w:sz w:val="1"/>
                <w:szCs w:val="1"/>
                <w:color w:val="auto"/>
              </w:rPr>
            </w:pPr>
          </w:p>
        </w:tc>
      </w:tr>
      <w:tr>
        <w:trPr>
          <w:trHeight w:val="231"/>
        </w:trPr>
        <w:tc>
          <w:tcPr>
            <w:tcW w:w="3500" w:type="dxa"/>
            <w:vAlign w:val="bottom"/>
          </w:tcPr>
          <w:p>
            <w:pPr>
              <w:ind w:left="820"/>
              <w:spacing w:after="0"/>
              <w:rPr>
                <w:sz w:val="20"/>
                <w:szCs w:val="20"/>
                <w:color w:val="auto"/>
              </w:rPr>
            </w:pPr>
            <w:r>
              <w:rPr>
                <w:rFonts w:ascii="Arial" w:cs="Arial" w:eastAsia="Arial" w:hAnsi="Arial"/>
                <w:sz w:val="16"/>
                <w:szCs w:val="16"/>
                <w:b w:val="1"/>
                <w:bCs w:val="1"/>
                <w:color w:val="auto"/>
              </w:rPr>
              <w:t>Stephen L. Green</w:t>
            </w:r>
          </w:p>
        </w:tc>
        <w:tc>
          <w:tcPr>
            <w:tcW w:w="2700" w:type="dxa"/>
            <w:vAlign w:val="bottom"/>
          </w:tcPr>
          <w:p>
            <w:pPr>
              <w:ind w:left="420"/>
              <w:spacing w:after="0"/>
              <w:rPr>
                <w:sz w:val="20"/>
                <w:szCs w:val="20"/>
                <w:color w:val="auto"/>
              </w:rPr>
            </w:pPr>
            <w:r>
              <w:rPr>
                <w:rFonts w:ascii="Arial" w:cs="Arial" w:eastAsia="Arial" w:hAnsi="Arial"/>
                <w:sz w:val="16"/>
                <w:szCs w:val="16"/>
                <w:b w:val="1"/>
                <w:bCs w:val="1"/>
                <w:color w:val="auto"/>
              </w:rPr>
              <w:t>Craig M. Hatkoff</w:t>
            </w:r>
          </w:p>
        </w:tc>
        <w:tc>
          <w:tcPr>
            <w:tcW w:w="4520" w:type="dxa"/>
            <w:vAlign w:val="bottom"/>
          </w:tcPr>
          <w:p>
            <w:pPr>
              <w:ind w:left="800"/>
              <w:spacing w:after="0"/>
              <w:rPr>
                <w:sz w:val="20"/>
                <w:szCs w:val="20"/>
                <w:color w:val="auto"/>
              </w:rPr>
            </w:pPr>
            <w:r>
              <w:rPr>
                <w:rFonts w:ascii="Arial" w:cs="Arial" w:eastAsia="Arial" w:hAnsi="Arial"/>
                <w:sz w:val="16"/>
                <w:szCs w:val="16"/>
                <w:b w:val="1"/>
                <w:bCs w:val="1"/>
                <w:color w:val="auto"/>
              </w:rPr>
              <w:t>Marc Holliday</w:t>
            </w:r>
          </w:p>
        </w:tc>
        <w:tc>
          <w:tcPr>
            <w:tcW w:w="0" w:type="dxa"/>
            <w:vAlign w:val="bottom"/>
          </w:tcPr>
          <w:p>
            <w:pPr>
              <w:spacing w:after="0"/>
              <w:rPr>
                <w:sz w:val="1"/>
                <w:szCs w:val="1"/>
                <w:color w:val="auto"/>
              </w:rPr>
            </w:pPr>
          </w:p>
        </w:tc>
      </w:tr>
      <w:tr>
        <w:trPr>
          <w:trHeight w:val="215"/>
        </w:trPr>
        <w:tc>
          <w:tcPr>
            <w:tcW w:w="3500" w:type="dxa"/>
            <w:vAlign w:val="bottom"/>
          </w:tcPr>
          <w:p>
            <w:pPr>
              <w:ind w:left="820"/>
              <w:spacing w:after="0"/>
              <w:rPr>
                <w:sz w:val="20"/>
                <w:szCs w:val="20"/>
                <w:color w:val="auto"/>
              </w:rPr>
            </w:pPr>
            <w:r>
              <w:rPr>
                <w:rFonts w:ascii="Arial" w:cs="Arial" w:eastAsia="Arial" w:hAnsi="Arial"/>
                <w:sz w:val="16"/>
                <w:szCs w:val="16"/>
                <w:color w:val="auto"/>
              </w:rPr>
              <w:t>Director and Chairman Emeritus</w:t>
            </w:r>
          </w:p>
        </w:tc>
        <w:tc>
          <w:tcPr>
            <w:tcW w:w="2700" w:type="dxa"/>
            <w:vAlign w:val="bottom"/>
          </w:tcPr>
          <w:p>
            <w:pPr>
              <w:ind w:left="420"/>
              <w:spacing w:after="0"/>
              <w:rPr>
                <w:sz w:val="20"/>
                <w:szCs w:val="20"/>
                <w:color w:val="auto"/>
              </w:rPr>
            </w:pPr>
            <w:r>
              <w:rPr>
                <w:rFonts w:ascii="Arial" w:cs="Arial" w:eastAsia="Arial" w:hAnsi="Arial"/>
                <w:sz w:val="16"/>
                <w:szCs w:val="16"/>
                <w:color w:val="auto"/>
              </w:rPr>
              <w:t>Independent Director</w:t>
            </w:r>
          </w:p>
        </w:tc>
        <w:tc>
          <w:tcPr>
            <w:tcW w:w="4520" w:type="dxa"/>
            <w:vAlign w:val="bottom"/>
            <w:vMerge w:val="restart"/>
          </w:tcPr>
          <w:p>
            <w:pPr>
              <w:ind w:left="800"/>
              <w:spacing w:after="0"/>
              <w:rPr>
                <w:sz w:val="20"/>
                <w:szCs w:val="20"/>
                <w:color w:val="auto"/>
              </w:rPr>
            </w:pPr>
            <w:r>
              <w:rPr>
                <w:rFonts w:ascii="Arial" w:cs="Arial" w:eastAsia="Arial" w:hAnsi="Arial"/>
                <w:sz w:val="16"/>
                <w:szCs w:val="16"/>
                <w:color w:val="auto"/>
              </w:rPr>
              <w:t>Chairman of the Board of Directors,</w:t>
            </w:r>
          </w:p>
        </w:tc>
        <w:tc>
          <w:tcPr>
            <w:tcW w:w="0" w:type="dxa"/>
            <w:vAlign w:val="bottom"/>
          </w:tcPr>
          <w:p>
            <w:pPr>
              <w:spacing w:after="0"/>
              <w:rPr>
                <w:sz w:val="1"/>
                <w:szCs w:val="1"/>
                <w:color w:val="auto"/>
              </w:rPr>
            </w:pPr>
          </w:p>
        </w:tc>
      </w:tr>
      <w:tr>
        <w:trPr>
          <w:trHeight w:val="41"/>
        </w:trPr>
        <w:tc>
          <w:tcPr>
            <w:tcW w:w="3500" w:type="dxa"/>
            <w:vAlign w:val="bottom"/>
          </w:tcPr>
          <w:p>
            <w:pPr>
              <w:spacing w:after="0"/>
              <w:rPr>
                <w:sz w:val="3"/>
                <w:szCs w:val="3"/>
                <w:color w:val="auto"/>
              </w:rPr>
            </w:pPr>
          </w:p>
        </w:tc>
        <w:tc>
          <w:tcPr>
            <w:tcW w:w="2700" w:type="dxa"/>
            <w:vAlign w:val="bottom"/>
          </w:tcPr>
          <w:p>
            <w:pPr>
              <w:spacing w:after="0"/>
              <w:rPr>
                <w:sz w:val="3"/>
                <w:szCs w:val="3"/>
                <w:color w:val="auto"/>
              </w:rPr>
            </w:pPr>
          </w:p>
        </w:tc>
        <w:tc>
          <w:tcPr>
            <w:tcW w:w="45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820"/>
              <w:spacing w:after="0"/>
              <w:rPr>
                <w:sz w:val="20"/>
                <w:szCs w:val="20"/>
                <w:color w:val="auto"/>
              </w:rPr>
            </w:pPr>
            <w:r>
              <w:rPr>
                <w:rFonts w:ascii="Arial" w:cs="Arial" w:eastAsia="Arial" w:hAnsi="Arial"/>
                <w:sz w:val="16"/>
                <w:szCs w:val="16"/>
                <w:b w:val="1"/>
                <w:bCs w:val="1"/>
                <w:color w:val="auto"/>
              </w:rPr>
              <w:t>Peggy Lamb</w:t>
            </w:r>
          </w:p>
        </w:tc>
        <w:tc>
          <w:tcPr>
            <w:tcW w:w="2700" w:type="dxa"/>
            <w:vAlign w:val="bottom"/>
          </w:tcPr>
          <w:p>
            <w:pPr>
              <w:ind w:left="420"/>
              <w:spacing w:after="0"/>
              <w:rPr>
                <w:sz w:val="20"/>
                <w:szCs w:val="20"/>
                <w:color w:val="auto"/>
              </w:rPr>
            </w:pPr>
            <w:r>
              <w:rPr>
                <w:rFonts w:ascii="Arial" w:cs="Arial" w:eastAsia="Arial" w:hAnsi="Arial"/>
                <w:sz w:val="16"/>
                <w:szCs w:val="16"/>
                <w:b w:val="1"/>
                <w:bCs w:val="1"/>
                <w:color w:val="auto"/>
              </w:rPr>
              <w:t>Andrew W. Mathias</w:t>
            </w:r>
          </w:p>
        </w:tc>
        <w:tc>
          <w:tcPr>
            <w:tcW w:w="4520" w:type="dxa"/>
            <w:vAlign w:val="bottom"/>
          </w:tcPr>
          <w:p>
            <w:pPr>
              <w:ind w:left="800"/>
              <w:spacing w:after="0"/>
              <w:rPr>
                <w:sz w:val="20"/>
                <w:szCs w:val="20"/>
                <w:color w:val="auto"/>
              </w:rPr>
            </w:pPr>
            <w:r>
              <w:rPr>
                <w:rFonts w:ascii="Arial" w:cs="Arial" w:eastAsia="Arial" w:hAnsi="Arial"/>
                <w:sz w:val="16"/>
                <w:szCs w:val="16"/>
                <w:color w:val="auto"/>
              </w:rPr>
              <w:t>Chief Executive Officer &amp; Interim</w:t>
            </w:r>
          </w:p>
        </w:tc>
        <w:tc>
          <w:tcPr>
            <w:tcW w:w="0" w:type="dxa"/>
            <w:vAlign w:val="bottom"/>
          </w:tcPr>
          <w:p>
            <w:pPr>
              <w:spacing w:after="0"/>
              <w:rPr>
                <w:sz w:val="1"/>
                <w:szCs w:val="1"/>
                <w:color w:val="auto"/>
              </w:rPr>
            </w:pPr>
          </w:p>
        </w:tc>
      </w:tr>
      <w:tr>
        <w:trPr>
          <w:trHeight w:val="228"/>
        </w:trPr>
        <w:tc>
          <w:tcPr>
            <w:tcW w:w="3500" w:type="dxa"/>
            <w:vAlign w:val="bottom"/>
          </w:tcPr>
          <w:p>
            <w:pPr>
              <w:ind w:left="820"/>
              <w:spacing w:after="0"/>
              <w:rPr>
                <w:sz w:val="20"/>
                <w:szCs w:val="20"/>
                <w:color w:val="auto"/>
              </w:rPr>
            </w:pPr>
            <w:r>
              <w:rPr>
                <w:rFonts w:ascii="Arial" w:cs="Arial" w:eastAsia="Arial" w:hAnsi="Arial"/>
                <w:sz w:val="16"/>
                <w:szCs w:val="16"/>
                <w:color w:val="auto"/>
              </w:rPr>
              <w:t>Independent Director</w:t>
            </w:r>
          </w:p>
        </w:tc>
        <w:tc>
          <w:tcPr>
            <w:tcW w:w="2700" w:type="dxa"/>
            <w:vAlign w:val="bottom"/>
          </w:tcPr>
          <w:p>
            <w:pPr>
              <w:ind w:left="420"/>
              <w:spacing w:after="0"/>
              <w:rPr>
                <w:sz w:val="20"/>
                <w:szCs w:val="20"/>
                <w:color w:val="auto"/>
              </w:rPr>
            </w:pPr>
            <w:r>
              <w:rPr>
                <w:rFonts w:ascii="Arial" w:cs="Arial" w:eastAsia="Arial" w:hAnsi="Arial"/>
                <w:sz w:val="16"/>
                <w:szCs w:val="16"/>
                <w:color w:val="auto"/>
              </w:rPr>
              <w:t>Director</w:t>
            </w:r>
          </w:p>
        </w:tc>
        <w:tc>
          <w:tcPr>
            <w:tcW w:w="4520" w:type="dxa"/>
            <w:vAlign w:val="bottom"/>
          </w:tcPr>
          <w:p>
            <w:pPr>
              <w:ind w:left="800"/>
              <w:spacing w:after="0"/>
              <w:rPr>
                <w:sz w:val="20"/>
                <w:szCs w:val="20"/>
                <w:color w:val="auto"/>
              </w:rPr>
            </w:pPr>
            <w:r>
              <w:rPr>
                <w:rFonts w:ascii="Arial" w:cs="Arial" w:eastAsia="Arial" w:hAnsi="Arial"/>
                <w:sz w:val="16"/>
                <w:szCs w:val="16"/>
                <w:color w:val="auto"/>
              </w:rPr>
              <w:t>President</w:t>
            </w:r>
          </w:p>
        </w:tc>
        <w:tc>
          <w:tcPr>
            <w:tcW w:w="0" w:type="dxa"/>
            <w:vAlign w:val="bottom"/>
          </w:tcPr>
          <w:p>
            <w:pPr>
              <w:spacing w:after="0"/>
              <w:rPr>
                <w:sz w:val="1"/>
                <w:szCs w:val="1"/>
                <w:color w:val="auto"/>
              </w:rPr>
            </w:pPr>
          </w:p>
        </w:tc>
      </w:tr>
      <w:tr>
        <w:trPr>
          <w:trHeight w:val="2830"/>
        </w:trPr>
        <w:tc>
          <w:tcPr>
            <w:tcW w:w="350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1" w:lineRule="exact"/>
        <w:rPr>
          <w:sz w:val="20"/>
          <w:szCs w:val="20"/>
          <w:color w:val="auto"/>
        </w:rPr>
      </w:pPr>
    </w:p>
    <w:p>
      <w:pPr>
        <w:ind w:left="9760"/>
        <w:spacing w:after="0"/>
        <w:rPr>
          <w:sz w:val="20"/>
          <w:szCs w:val="20"/>
          <w:color w:val="auto"/>
        </w:rPr>
      </w:pPr>
      <w:r>
        <w:rPr>
          <w:rFonts w:ascii="Arial" w:cs="Arial" w:eastAsia="Arial" w:hAnsi="Arial"/>
          <w:sz w:val="22"/>
          <w:szCs w:val="22"/>
          <w:b w:val="1"/>
          <w:bCs w:val="1"/>
          <w:color w:val="1F2668"/>
        </w:rPr>
        <w:t>1</w:t>
      </w:r>
    </w:p>
    <w:p>
      <w:pPr>
        <w:spacing w:after="0" w:line="12" w:lineRule="exact"/>
        <w:rPr>
          <w:sz w:val="20"/>
          <w:szCs w:val="20"/>
          <w:color w:val="auto"/>
        </w:rPr>
      </w:pPr>
    </w:p>
    <w:p>
      <w:pPr>
        <w:ind w:left="820"/>
        <w:spacing w:after="0"/>
        <w:tabs>
          <w:tab w:leader="none" w:pos="9000" w:val="left"/>
          <w:tab w:leader="none" w:pos="9860" w:val="left"/>
        </w:tabs>
        <w:rPr>
          <w:sz w:val="20"/>
          <w:szCs w:val="20"/>
          <w:color w:val="auto"/>
        </w:rPr>
      </w:pPr>
      <w:r>
        <w:rPr>
          <w:rFonts w:ascii="Arial" w:cs="Arial" w:eastAsia="Arial" w:hAnsi="Arial"/>
          <w:sz w:val="22"/>
          <w:szCs w:val="22"/>
          <w:b w:val="1"/>
          <w:bCs w:val="1"/>
          <w:color w:val="1F2668"/>
        </w:rPr>
        <w:t>​</w:t>
      </w:r>
      <w:r>
        <w:rPr>
          <w:sz w:val="20"/>
          <w:szCs w:val="20"/>
          <w:color w:val="auto"/>
        </w:rPr>
        <w:tab/>
      </w:r>
      <w:r>
        <w:rPr>
          <w:rFonts w:ascii="Arial" w:cs="Arial" w:eastAsia="Arial" w:hAnsi="Arial"/>
          <w:sz w:val="22"/>
          <w:szCs w:val="22"/>
          <w:b w:val="1"/>
          <w:bCs w:val="1"/>
          <w:color w:val="1F2668"/>
        </w:rPr>
        <w:t>​ ​</w:t>
      </w:r>
      <w:r>
        <w:rPr>
          <w:sz w:val="20"/>
          <w:szCs w:val="20"/>
          <w:color w:val="auto"/>
        </w:rPr>
        <w:tab/>
      </w:r>
      <w:r>
        <w:rPr>
          <w:rFonts w:ascii="Arial" w:cs="Arial" w:eastAsia="Arial" w:hAnsi="Arial"/>
          <w:sz w:val="22"/>
          <w:szCs w:val="22"/>
          <w:b w:val="1"/>
          <w:bCs w:val="1"/>
          <w:color w:val="1F2668"/>
        </w:rPr>
        <w:t>​</w:t>
      </w:r>
    </w:p>
    <w:p>
      <w:pPr>
        <w:spacing w:after="0" w:line="200" w:lineRule="exact"/>
        <w:rPr>
          <w:sz w:val="20"/>
          <w:szCs w:val="20"/>
          <w:color w:val="auto"/>
        </w:rPr>
      </w:pPr>
    </w:p>
    <w:p>
      <w:pPr>
        <w:spacing w:after="0" w:line="275" w:lineRule="exact"/>
        <w:rPr>
          <w:sz w:val="20"/>
          <w:szCs w:val="20"/>
          <w:color w:val="auto"/>
        </w:rPr>
      </w:pPr>
    </w:p>
    <w:p>
      <w:pPr>
        <w:ind w:left="820"/>
        <w:spacing w:after="0"/>
        <w:rPr>
          <w:sz w:val="20"/>
          <w:szCs w:val="20"/>
          <w:color w:val="auto"/>
        </w:rPr>
      </w:pPr>
      <w:r>
        <w:rPr>
          <w:rFonts w:ascii="Arial" w:cs="Arial" w:eastAsia="Arial" w:hAnsi="Arial"/>
          <w:sz w:val="29"/>
          <w:szCs w:val="29"/>
          <w:b w:val="1"/>
          <w:bCs w:val="1"/>
          <w:color w:val="83AD40"/>
        </w:rPr>
        <w:t>SIGNIFICANT STOCKHOLDER VALUE CREATION</w:t>
      </w:r>
    </w:p>
    <w:p>
      <w:pPr>
        <w:spacing w:after="0" w:line="173" w:lineRule="exact"/>
        <w:rPr>
          <w:sz w:val="20"/>
          <w:szCs w:val="20"/>
          <w:color w:val="auto"/>
        </w:rPr>
      </w:pPr>
    </w:p>
    <w:p>
      <w:pPr>
        <w:ind w:left="820" w:right="800"/>
        <w:spacing w:after="0" w:line="321" w:lineRule="auto"/>
        <w:rPr>
          <w:sz w:val="20"/>
          <w:szCs w:val="20"/>
          <w:color w:val="auto"/>
        </w:rPr>
      </w:pPr>
      <w:r>
        <w:rPr>
          <w:rFonts w:ascii="Arial" w:cs="Arial" w:eastAsia="Arial" w:hAnsi="Arial"/>
          <w:sz w:val="16"/>
          <w:szCs w:val="16"/>
          <w:color w:val="auto"/>
        </w:rPr>
        <w:t>We are proud of our track record of creating sustainable stockholder value especially over the last five years despite the challenging business environment for REITs across the U.S.</w:t>
      </w:r>
    </w:p>
    <w:p>
      <w:pPr>
        <w:spacing w:after="0" w:line="52" w:lineRule="exact"/>
        <w:rPr>
          <w:sz w:val="20"/>
          <w:szCs w:val="20"/>
          <w:color w:val="auto"/>
        </w:rPr>
      </w:pPr>
    </w:p>
    <w:p>
      <w:pPr>
        <w:jc w:val="center"/>
        <w:ind w:left="1420"/>
        <w:spacing w:after="0" w:line="233" w:lineRule="auto"/>
        <w:rPr>
          <w:sz w:val="20"/>
          <w:szCs w:val="20"/>
          <w:color w:val="auto"/>
        </w:rPr>
      </w:pPr>
      <w:r>
        <w:rPr>
          <w:rFonts w:ascii="Arial" w:cs="Arial" w:eastAsia="Arial" w:hAnsi="Arial"/>
          <w:sz w:val="38"/>
          <w:szCs w:val="38"/>
          <w:b w:val="1"/>
          <w:bCs w:val="1"/>
          <w:color w:val="auto"/>
          <w:vertAlign w:val="superscript"/>
        </w:rPr>
        <w:t>​</w:t>
      </w:r>
      <w:r>
        <w:rPr>
          <w:rFonts w:ascii="Arial" w:cs="Arial" w:eastAsia="Arial" w:hAnsi="Arial"/>
          <w:sz w:val="19"/>
          <w:szCs w:val="19"/>
          <w:b w:val="1"/>
          <w:bCs w:val="1"/>
          <w:color w:val="auto"/>
        </w:rPr>
        <w:t>SLG was the #1 performing U.S. REIT (not just office REIT) with a market cap &gt;$1B in 2024, for the</w:t>
      </w:r>
      <w:r>
        <w:rPr>
          <w:rFonts w:ascii="Arial" w:cs="Arial" w:eastAsia="Arial" w:hAnsi="Arial"/>
          <w:sz w:val="38"/>
          <w:szCs w:val="38"/>
          <w:b w:val="1"/>
          <w:bCs w:val="1"/>
          <w:color w:val="auto"/>
          <w:vertAlign w:val="superscript"/>
        </w:rPr>
        <w:t>​</w:t>
      </w:r>
      <w:r>
        <w:rPr>
          <w:rFonts w:ascii="Arial" w:cs="Arial" w:eastAsia="Arial" w:hAnsi="Arial"/>
          <w:sz w:val="19"/>
          <w:szCs w:val="19"/>
          <w:b w:val="1"/>
          <w:bCs w:val="1"/>
          <w:color w:val="auto"/>
        </w:rPr>
        <w:t xml:space="preserve"> second year in a 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-396875</wp:posOffset>
            </wp:positionV>
            <wp:extent cx="5829300" cy="4286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29300" cy="428625"/>
                    </a:xfrm>
                    <a:prstGeom prst="rect">
                      <a:avLst/>
                    </a:prstGeom>
                    <a:noFill/>
                  </pic:spPr>
                </pic:pic>
              </a:graphicData>
            </a:graphic>
          </wp:anchor>
        </w:drawing>
      </w:r>
    </w:p>
    <w:p>
      <w:pPr>
        <w:spacing w:after="0" w:line="136" w:lineRule="exact"/>
        <w:rPr>
          <w:sz w:val="20"/>
          <w:szCs w:val="20"/>
          <w:color w:val="auto"/>
        </w:rPr>
      </w:pPr>
    </w:p>
    <w:p>
      <w:pPr>
        <w:ind w:left="820" w:right="100"/>
        <w:spacing w:after="0" w:line="321" w:lineRule="auto"/>
        <w:rPr>
          <w:sz w:val="20"/>
          <w:szCs w:val="20"/>
          <w:color w:val="auto"/>
        </w:rPr>
      </w:pPr>
      <w:r>
        <w:rPr>
          <w:rFonts w:ascii="Arial" w:cs="Arial" w:eastAsia="Arial" w:hAnsi="Arial"/>
          <w:sz w:val="16"/>
          <w:szCs w:val="16"/>
          <w:color w:val="auto"/>
        </w:rPr>
        <w:t>The following highlights our outperformance relative to the Office REIT sector and our NYC peers, both of which we also utilize as the peer group in determining outcomes for long-term performance-based incentives.</w:t>
      </w:r>
    </w:p>
    <w:p>
      <w:pPr>
        <w:spacing w:after="0" w:line="245" w:lineRule="exact"/>
        <w:rPr>
          <w:sz w:val="20"/>
          <w:szCs w:val="20"/>
          <w:color w:val="auto"/>
        </w:rPr>
      </w:pPr>
    </w:p>
    <w:p>
      <w:pPr>
        <w:ind w:left="3400"/>
        <w:spacing w:after="0"/>
        <w:rPr>
          <w:sz w:val="20"/>
          <w:szCs w:val="20"/>
          <w:color w:val="auto"/>
        </w:rPr>
      </w:pPr>
      <w:r>
        <w:rPr>
          <w:rFonts w:ascii="Arial" w:cs="Arial" w:eastAsia="Arial" w:hAnsi="Arial"/>
          <w:sz w:val="23"/>
          <w:szCs w:val="23"/>
          <w:b w:val="1"/>
          <w:bCs w:val="1"/>
          <w:color w:val="auto"/>
        </w:rPr>
        <w:t>Total Stockholder Return Highlights</w:t>
      </w:r>
    </w:p>
    <w:p>
      <w:pPr>
        <w:spacing w:after="0" w:line="54" w:lineRule="exact"/>
        <w:rPr>
          <w:sz w:val="20"/>
          <w:szCs w:val="20"/>
          <w:color w:val="auto"/>
        </w:rPr>
      </w:pPr>
    </w:p>
    <w:tbl>
      <w:tblPr>
        <w:tblLayout w:type="fixed"/>
        <w:tblInd w:w="820" w:type="dxa"/>
        <w:tblCellMar>
          <w:top w:w="0" w:type="dxa"/>
          <w:left w:w="0" w:type="dxa"/>
          <w:bottom w:w="0" w:type="dxa"/>
          <w:right w:w="0" w:type="dxa"/>
        </w:tblCellMar>
      </w:tblPr>
      <w:tr>
        <w:trPr>
          <w:trHeight w:val="322"/>
        </w:trPr>
        <w:tc>
          <w:tcPr>
            <w:tcW w:w="5160" w:type="dxa"/>
            <w:vAlign w:val="bottom"/>
          </w:tcPr>
          <w:p>
            <w:pPr>
              <w:spacing w:after="0"/>
              <w:rPr>
                <w:sz w:val="20"/>
                <w:szCs w:val="20"/>
                <w:color w:val="auto"/>
              </w:rPr>
            </w:pPr>
            <w:r>
              <w:rPr>
                <w:rFonts w:ascii="Arial" w:cs="Arial" w:eastAsia="Arial" w:hAnsi="Arial"/>
                <w:sz w:val="14"/>
                <w:szCs w:val="14"/>
                <w:b w:val="1"/>
                <w:bCs w:val="1"/>
                <w:color w:val="1F2668"/>
              </w:rPr>
              <w:t>​</w:t>
            </w:r>
          </w:p>
        </w:tc>
        <w:tc>
          <w:tcPr>
            <w:tcW w:w="1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1F2668"/>
              </w:rPr>
              <w:t>​​</w:t>
            </w:r>
          </w:p>
        </w:tc>
        <w:tc>
          <w:tcPr>
            <w:tcW w:w="2120" w:type="dxa"/>
            <w:vAlign w:val="bottom"/>
            <w:gridSpan w:val="6"/>
          </w:tcPr>
          <w:p>
            <w:pPr>
              <w:ind w:left="40"/>
              <w:spacing w:after="0"/>
              <w:rPr>
                <w:sz w:val="20"/>
                <w:szCs w:val="20"/>
                <w:color w:val="auto"/>
              </w:rPr>
            </w:pPr>
            <w:r>
              <w:rPr>
                <w:rFonts w:ascii="Arial" w:cs="Arial" w:eastAsia="Arial" w:hAnsi="Arial"/>
                <w:sz w:val="14"/>
                <w:szCs w:val="14"/>
                <w:b w:val="1"/>
                <w:bCs w:val="1"/>
                <w:color w:val="1F2668"/>
              </w:rPr>
              <w:t xml:space="preserve">Among U.S. Office Peers* </w:t>
            </w:r>
            <w:r>
              <w:rPr>
                <w:rFonts w:ascii="Arial" w:cs="Arial" w:eastAsia="Arial" w:hAnsi="Arial"/>
                <w:sz w:val="28"/>
                <w:szCs w:val="28"/>
                <w:b w:val="1"/>
                <w:bCs w:val="1"/>
                <w:color w:val="1F2668"/>
                <w:vertAlign w:val="subscript"/>
              </w:rPr>
              <w:t>​​</w:t>
            </w:r>
          </w:p>
        </w:tc>
        <w:tc>
          <w:tcPr>
            <w:tcW w:w="1660" w:type="dxa"/>
            <w:vAlign w:val="bottom"/>
            <w:gridSpan w:val="5"/>
          </w:tcPr>
          <w:p>
            <w:pPr>
              <w:jc w:val="right"/>
              <w:ind w:right="20"/>
              <w:spacing w:after="0"/>
              <w:rPr>
                <w:sz w:val="20"/>
                <w:szCs w:val="20"/>
                <w:color w:val="auto"/>
              </w:rPr>
            </w:pPr>
            <w:r>
              <w:rPr>
                <w:rFonts w:ascii="Arial" w:cs="Arial" w:eastAsia="Arial" w:hAnsi="Arial"/>
                <w:sz w:val="14"/>
                <w:szCs w:val="14"/>
                <w:b w:val="1"/>
                <w:bCs w:val="1"/>
                <w:color w:val="1F2668"/>
              </w:rPr>
              <w:t>Among NYC Peers*</w:t>
            </w:r>
            <w:r>
              <w:rPr>
                <w:rFonts w:ascii="Arial" w:cs="Arial" w:eastAsia="Arial" w:hAnsi="Arial"/>
                <w:sz w:val="28"/>
                <w:szCs w:val="28"/>
                <w:b w:val="1"/>
                <w:bCs w:val="1"/>
                <w:color w:val="1F2668"/>
                <w:vertAlign w:val="subscript"/>
              </w:rPr>
              <w:t>​</w:t>
            </w:r>
          </w:p>
        </w:tc>
      </w:tr>
      <w:tr>
        <w:trPr>
          <w:trHeight w:val="200"/>
        </w:trPr>
        <w:tc>
          <w:tcPr>
            <w:tcW w:w="5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1F2668"/>
            </w:tcBorders>
          </w:tcPr>
          <w:p>
            <w:pPr>
              <w:spacing w:after="0"/>
              <w:rPr>
                <w:sz w:val="17"/>
                <w:szCs w:val="17"/>
                <w:color w:val="auto"/>
              </w:rPr>
            </w:pPr>
          </w:p>
        </w:tc>
        <w:tc>
          <w:tcPr>
            <w:tcW w:w="600" w:type="dxa"/>
            <w:vAlign w:val="bottom"/>
            <w:tcBorders>
              <w:top w:val="single" w:sz="8" w:color="1F2668"/>
            </w:tcBorders>
          </w:tcPr>
          <w:p>
            <w:pPr>
              <w:spacing w:after="0"/>
              <w:rPr>
                <w:sz w:val="17"/>
                <w:szCs w:val="17"/>
                <w:color w:val="auto"/>
              </w:rPr>
            </w:pPr>
          </w:p>
        </w:tc>
        <w:tc>
          <w:tcPr>
            <w:tcW w:w="120" w:type="dxa"/>
            <w:vAlign w:val="bottom"/>
            <w:tcBorders>
              <w:top w:val="single" w:sz="8" w:color="1F2668"/>
            </w:tcBorders>
          </w:tcPr>
          <w:p>
            <w:pPr>
              <w:spacing w:after="0"/>
              <w:rPr>
                <w:sz w:val="17"/>
                <w:szCs w:val="17"/>
                <w:color w:val="auto"/>
              </w:rPr>
            </w:pPr>
          </w:p>
        </w:tc>
        <w:tc>
          <w:tcPr>
            <w:tcW w:w="1040" w:type="dxa"/>
            <w:vAlign w:val="bottom"/>
            <w:tcBorders>
              <w:top w:val="single" w:sz="8" w:color="1F2668"/>
            </w:tcBorders>
            <w:gridSpan w:val="2"/>
          </w:tcPr>
          <w:p>
            <w:pPr>
              <w:spacing w:after="0"/>
              <w:rPr>
                <w:sz w:val="20"/>
                <w:szCs w:val="20"/>
                <w:color w:val="auto"/>
              </w:rPr>
            </w:pPr>
            <w:r>
              <w:rPr>
                <w:rFonts w:ascii="Arial" w:cs="Arial" w:eastAsia="Arial" w:hAnsi="Arial"/>
                <w:sz w:val="14"/>
                <w:szCs w:val="14"/>
                <w:b w:val="1"/>
                <w:bCs w:val="1"/>
                <w:color w:val="1F2668"/>
              </w:rPr>
              <w:t>Exceeded Peer</w:t>
            </w:r>
          </w:p>
        </w:tc>
        <w:tc>
          <w:tcPr>
            <w:tcW w:w="120" w:type="dxa"/>
            <w:vAlign w:val="bottom"/>
          </w:tcPr>
          <w:p>
            <w:pPr>
              <w:spacing w:after="0"/>
              <w:rPr>
                <w:sz w:val="17"/>
                <w:szCs w:val="17"/>
                <w:color w:val="auto"/>
              </w:rPr>
            </w:pPr>
          </w:p>
        </w:tc>
        <w:tc>
          <w:tcPr>
            <w:tcW w:w="240" w:type="dxa"/>
            <w:vAlign w:val="bottom"/>
            <w:tcBorders>
              <w:top w:val="single" w:sz="8" w:color="1F2668"/>
            </w:tcBorders>
          </w:tcPr>
          <w:p>
            <w:pPr>
              <w:spacing w:after="0"/>
              <w:rPr>
                <w:sz w:val="17"/>
                <w:szCs w:val="17"/>
                <w:color w:val="auto"/>
              </w:rPr>
            </w:pPr>
          </w:p>
        </w:tc>
        <w:tc>
          <w:tcPr>
            <w:tcW w:w="440" w:type="dxa"/>
            <w:vAlign w:val="bottom"/>
            <w:tcBorders>
              <w:top w:val="single" w:sz="8" w:color="1F2668"/>
            </w:tcBorders>
          </w:tcPr>
          <w:p>
            <w:pPr>
              <w:spacing w:after="0"/>
              <w:rPr>
                <w:sz w:val="17"/>
                <w:szCs w:val="17"/>
                <w:color w:val="auto"/>
              </w:rPr>
            </w:pPr>
          </w:p>
        </w:tc>
        <w:tc>
          <w:tcPr>
            <w:tcW w:w="1160" w:type="dxa"/>
            <w:vAlign w:val="bottom"/>
            <w:tcBorders>
              <w:top w:val="single" w:sz="8" w:color="1F2668"/>
            </w:tcBorders>
            <w:gridSpan w:val="3"/>
          </w:tcPr>
          <w:p>
            <w:pPr>
              <w:ind w:left="120"/>
              <w:spacing w:after="0"/>
              <w:rPr>
                <w:sz w:val="20"/>
                <w:szCs w:val="20"/>
                <w:color w:val="auto"/>
              </w:rPr>
            </w:pPr>
            <w:r>
              <w:rPr>
                <w:rFonts w:ascii="Arial" w:cs="Arial" w:eastAsia="Arial" w:hAnsi="Arial"/>
                <w:sz w:val="14"/>
                <w:szCs w:val="14"/>
                <w:b w:val="1"/>
                <w:bCs w:val="1"/>
                <w:color w:val="1F2668"/>
              </w:rPr>
              <w:t>Exceeded Peer</w:t>
            </w:r>
          </w:p>
        </w:tc>
        <w:tc>
          <w:tcPr>
            <w:tcW w:w="60" w:type="dxa"/>
            <w:vAlign w:val="bottom"/>
          </w:tcPr>
          <w:p>
            <w:pPr>
              <w:spacing w:after="0"/>
              <w:rPr>
                <w:sz w:val="17"/>
                <w:szCs w:val="17"/>
                <w:color w:val="auto"/>
              </w:rPr>
            </w:pPr>
          </w:p>
        </w:tc>
      </w:tr>
      <w:tr>
        <w:trPr>
          <w:trHeight w:val="225"/>
        </w:trPr>
        <w:tc>
          <w:tcPr>
            <w:tcW w:w="5160" w:type="dxa"/>
            <w:vAlign w:val="bottom"/>
          </w:tcPr>
          <w:p>
            <w:pPr>
              <w:spacing w:after="0"/>
              <w:rPr>
                <w:sz w:val="20"/>
                <w:szCs w:val="20"/>
                <w:color w:val="auto"/>
              </w:rPr>
            </w:pPr>
            <w:r>
              <w:rPr>
                <w:rFonts w:ascii="Arial" w:cs="Arial" w:eastAsia="Arial" w:hAnsi="Arial"/>
                <w:sz w:val="14"/>
                <w:szCs w:val="14"/>
                <w:b w:val="1"/>
                <w:bCs w:val="1"/>
                <w:color w:val="1F2668"/>
              </w:rPr>
              <w:t>​</w:t>
            </w:r>
          </w:p>
        </w:tc>
        <w:tc>
          <w:tcPr>
            <w:tcW w:w="1100" w:type="dxa"/>
            <w:vAlign w:val="bottom"/>
            <w:gridSpan w:val="5"/>
          </w:tcPr>
          <w:p>
            <w:pPr>
              <w:ind w:left="40"/>
              <w:spacing w:after="0" w:line="225" w:lineRule="exact"/>
              <w:rPr>
                <w:sz w:val="20"/>
                <w:szCs w:val="20"/>
                <w:color w:val="auto"/>
              </w:rPr>
            </w:pPr>
            <w:r>
              <w:rPr>
                <w:rFonts w:ascii="Arial" w:cs="Arial" w:eastAsia="Arial" w:hAnsi="Arial"/>
                <w:sz w:val="26"/>
                <w:szCs w:val="26"/>
                <w:b w:val="1"/>
                <w:bCs w:val="1"/>
                <w:color w:val="1F2668"/>
                <w:vertAlign w:val="subscript"/>
              </w:rPr>
              <w:t>​​</w:t>
            </w:r>
            <w:r>
              <w:rPr>
                <w:rFonts w:ascii="Arial" w:cs="Arial" w:eastAsia="Arial" w:hAnsi="Arial"/>
                <w:sz w:val="14"/>
                <w:szCs w:val="14"/>
                <w:b w:val="1"/>
                <w:bCs w:val="1"/>
                <w:color w:val="1F2668"/>
              </w:rPr>
              <w:t xml:space="preserve">SLG Rank </w:t>
            </w:r>
            <w:r>
              <w:rPr>
                <w:rFonts w:ascii="Arial" w:cs="Arial" w:eastAsia="Arial" w:hAnsi="Arial"/>
                <w:sz w:val="26"/>
                <w:szCs w:val="26"/>
                <w:b w:val="1"/>
                <w:bCs w:val="1"/>
                <w:color w:val="1F2668"/>
                <w:vertAlign w:val="subscript"/>
              </w:rPr>
              <w:t>​​</w:t>
            </w:r>
          </w:p>
        </w:tc>
        <w:tc>
          <w:tcPr>
            <w:tcW w:w="1960" w:type="dxa"/>
            <w:vAlign w:val="bottom"/>
            <w:gridSpan w:val="6"/>
          </w:tcPr>
          <w:p>
            <w:pPr>
              <w:ind w:left="160"/>
              <w:spacing w:after="0" w:line="225" w:lineRule="exact"/>
              <w:rPr>
                <w:sz w:val="20"/>
                <w:szCs w:val="20"/>
                <w:color w:val="auto"/>
              </w:rPr>
            </w:pPr>
            <w:r>
              <w:rPr>
                <w:rFonts w:ascii="Arial" w:cs="Arial" w:eastAsia="Arial" w:hAnsi="Arial"/>
                <w:sz w:val="14"/>
                <w:szCs w:val="14"/>
                <w:b w:val="1"/>
                <w:bCs w:val="1"/>
                <w:color w:val="1F2668"/>
              </w:rPr>
              <w:t xml:space="preserve">Median by </w:t>
            </w:r>
            <w:r>
              <w:rPr>
                <w:rFonts w:ascii="Arial" w:cs="Arial" w:eastAsia="Arial" w:hAnsi="Arial"/>
                <w:sz w:val="26"/>
                <w:szCs w:val="26"/>
                <w:b w:val="1"/>
                <w:bCs w:val="1"/>
                <w:color w:val="1F2668"/>
                <w:vertAlign w:val="subscript"/>
              </w:rPr>
              <w:t>​​</w:t>
            </w:r>
            <w:r>
              <w:rPr>
                <w:rFonts w:ascii="Arial" w:cs="Arial" w:eastAsia="Arial" w:hAnsi="Arial"/>
                <w:sz w:val="14"/>
                <w:szCs w:val="14"/>
                <w:b w:val="1"/>
                <w:bCs w:val="1"/>
                <w:color w:val="1F2668"/>
              </w:rPr>
              <w:t xml:space="preserve">SLG Rank </w:t>
            </w:r>
            <w:r>
              <w:rPr>
                <w:rFonts w:ascii="Arial" w:cs="Arial" w:eastAsia="Arial" w:hAnsi="Arial"/>
                <w:sz w:val="26"/>
                <w:szCs w:val="26"/>
                <w:b w:val="1"/>
                <w:bCs w:val="1"/>
                <w:color w:val="1F2668"/>
                <w:vertAlign w:val="subscript"/>
              </w:rPr>
              <w:t>​​</w:t>
            </w:r>
          </w:p>
        </w:tc>
        <w:tc>
          <w:tcPr>
            <w:tcW w:w="900" w:type="dxa"/>
            <w:vAlign w:val="bottom"/>
            <w:gridSpan w:val="2"/>
          </w:tcPr>
          <w:p>
            <w:pPr>
              <w:jc w:val="right"/>
              <w:ind w:right="20"/>
              <w:spacing w:after="0" w:line="225" w:lineRule="exact"/>
              <w:rPr>
                <w:sz w:val="20"/>
                <w:szCs w:val="20"/>
                <w:color w:val="auto"/>
              </w:rPr>
            </w:pPr>
            <w:r>
              <w:rPr>
                <w:rFonts w:ascii="Arial" w:cs="Arial" w:eastAsia="Arial" w:hAnsi="Arial"/>
                <w:sz w:val="14"/>
                <w:szCs w:val="14"/>
                <w:b w:val="1"/>
                <w:bCs w:val="1"/>
                <w:color w:val="1F2668"/>
              </w:rPr>
              <w:t>Median by</w:t>
            </w:r>
            <w:r>
              <w:rPr>
                <w:rFonts w:ascii="Arial" w:cs="Arial" w:eastAsia="Arial" w:hAnsi="Arial"/>
                <w:sz w:val="26"/>
                <w:szCs w:val="26"/>
                <w:b w:val="1"/>
                <w:bCs w:val="1"/>
                <w:color w:val="1F2668"/>
                <w:vertAlign w:val="subscript"/>
              </w:rPr>
              <w:t>​</w:t>
            </w:r>
          </w:p>
        </w:tc>
      </w:tr>
      <w:tr>
        <w:trPr>
          <w:trHeight w:val="20"/>
        </w:trPr>
        <w:tc>
          <w:tcPr>
            <w:tcW w:w="5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1F2668"/>
          </w:tcPr>
          <w:p>
            <w:pPr>
              <w:spacing w:after="0" w:line="20" w:lineRule="exact"/>
              <w:rPr>
                <w:sz w:val="1"/>
                <w:szCs w:val="1"/>
                <w:color w:val="auto"/>
              </w:rPr>
            </w:pPr>
          </w:p>
        </w:tc>
        <w:tc>
          <w:tcPr>
            <w:tcW w:w="600" w:type="dxa"/>
            <w:vAlign w:val="bottom"/>
            <w:shd w:val="clear" w:color="auto" w:fill="1F266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1F2668"/>
          </w:tcPr>
          <w:p>
            <w:pPr>
              <w:spacing w:after="0" w:line="20" w:lineRule="exact"/>
              <w:rPr>
                <w:sz w:val="1"/>
                <w:szCs w:val="1"/>
                <w:color w:val="auto"/>
              </w:rPr>
            </w:pPr>
          </w:p>
        </w:tc>
        <w:tc>
          <w:tcPr>
            <w:tcW w:w="840" w:type="dxa"/>
            <w:vAlign w:val="bottom"/>
            <w:shd w:val="clear" w:color="auto" w:fill="1F266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1F2668"/>
          </w:tcPr>
          <w:p>
            <w:pPr>
              <w:spacing w:after="0" w:line="20" w:lineRule="exact"/>
              <w:rPr>
                <w:sz w:val="1"/>
                <w:szCs w:val="1"/>
                <w:color w:val="auto"/>
              </w:rPr>
            </w:pPr>
          </w:p>
        </w:tc>
        <w:tc>
          <w:tcPr>
            <w:tcW w:w="440" w:type="dxa"/>
            <w:vAlign w:val="bottom"/>
            <w:shd w:val="clear" w:color="auto" w:fill="1F266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1F2668"/>
          </w:tcPr>
          <w:p>
            <w:pPr>
              <w:spacing w:after="0" w:line="20" w:lineRule="exact"/>
              <w:rPr>
                <w:sz w:val="1"/>
                <w:szCs w:val="1"/>
                <w:color w:val="auto"/>
              </w:rPr>
            </w:pPr>
          </w:p>
        </w:tc>
        <w:tc>
          <w:tcPr>
            <w:tcW w:w="840" w:type="dxa"/>
            <w:vAlign w:val="bottom"/>
            <w:shd w:val="clear" w:color="auto" w:fill="1F266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5160" w:type="dxa"/>
            <w:vAlign w:val="bottom"/>
          </w:tcPr>
          <w:p>
            <w:pPr>
              <w:spacing w:after="0"/>
              <w:rPr>
                <w:sz w:val="20"/>
                <w:szCs w:val="20"/>
                <w:color w:val="auto"/>
              </w:rPr>
            </w:pPr>
            <w:r>
              <w:rPr>
                <w:rFonts w:ascii="Arial" w:cs="Arial" w:eastAsia="Arial" w:hAnsi="Arial"/>
                <w:sz w:val="16"/>
                <w:szCs w:val="16"/>
                <w:b w:val="1"/>
                <w:bCs w:val="1"/>
                <w:color w:val="auto"/>
              </w:rPr>
              <w:t>FY 2024</w:t>
            </w: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gridSpan w:val="3"/>
          </w:tcPr>
          <w:p>
            <w:pPr>
              <w:ind w:left="380"/>
              <w:spacing w:after="0" w:line="276" w:lineRule="exact"/>
              <w:rPr>
                <w:sz w:val="20"/>
                <w:szCs w:val="20"/>
                <w:color w:val="auto"/>
              </w:rPr>
            </w:pPr>
            <w:r>
              <w:rPr>
                <w:rFonts w:ascii="Arial" w:cs="Arial" w:eastAsia="Arial" w:hAnsi="Arial"/>
                <w:sz w:val="16"/>
                <w:szCs w:val="16"/>
                <w:color w:val="auto"/>
              </w:rPr>
              <w:t>​</w:t>
            </w:r>
            <w:r>
              <w:rPr>
                <w:rFonts w:ascii="Arial" w:cs="Arial" w:eastAsia="Arial" w:hAnsi="Arial"/>
                <w:sz w:val="32"/>
                <w:szCs w:val="32"/>
                <w:b w:val="1"/>
                <w:bCs w:val="1"/>
                <w:color w:val="83AD40"/>
                <w:vertAlign w:val="superscript"/>
              </w:rPr>
              <w:t>​#1</w:t>
            </w:r>
            <w:r>
              <w:rPr>
                <w:rFonts w:ascii="Arial" w:cs="Arial" w:eastAsia="Arial" w:hAnsi="Arial"/>
                <w:sz w:val="16"/>
                <w:szCs w:val="16"/>
                <w:color w:val="auto"/>
              </w:rPr>
              <w:t>​​​</w:t>
            </w:r>
          </w:p>
        </w:tc>
        <w:tc>
          <w:tcPr>
            <w:tcW w:w="1200" w:type="dxa"/>
            <w:vAlign w:val="bottom"/>
            <w:gridSpan w:val="3"/>
          </w:tcPr>
          <w:p>
            <w:pPr>
              <w:ind w:left="460"/>
              <w:spacing w:after="0" w:line="276" w:lineRule="exact"/>
              <w:rPr>
                <w:sz w:val="20"/>
                <w:szCs w:val="20"/>
                <w:color w:val="auto"/>
              </w:rPr>
            </w:pPr>
            <w:r>
              <w:rPr>
                <w:rFonts w:ascii="Arial" w:cs="Arial" w:eastAsia="Arial" w:hAnsi="Arial"/>
                <w:sz w:val="16"/>
                <w:szCs w:val="16"/>
                <w:color w:val="auto"/>
              </w:rPr>
              <w:t>​</w:t>
            </w:r>
            <w:r>
              <w:rPr>
                <w:rFonts w:ascii="Arial" w:cs="Arial" w:eastAsia="Arial" w:hAnsi="Arial"/>
                <w:sz w:val="32"/>
                <w:szCs w:val="32"/>
                <w:b w:val="1"/>
                <w:bCs w:val="1"/>
                <w:color w:val="83AD40"/>
                <w:vertAlign w:val="superscript"/>
              </w:rPr>
              <w:t>​44%</w:t>
            </w:r>
            <w:r>
              <w:rPr>
                <w:rFonts w:ascii="Arial" w:cs="Arial" w:eastAsia="Arial" w:hAnsi="Arial"/>
                <w:sz w:val="16"/>
                <w:szCs w:val="16"/>
                <w:color w:val="auto"/>
              </w:rPr>
              <w:t>​​​</w:t>
            </w:r>
          </w:p>
        </w:tc>
        <w:tc>
          <w:tcPr>
            <w:tcW w:w="760" w:type="dxa"/>
            <w:vAlign w:val="bottom"/>
            <w:gridSpan w:val="3"/>
          </w:tcPr>
          <w:p>
            <w:pPr>
              <w:ind w:left="200"/>
              <w:spacing w:after="0" w:line="276" w:lineRule="exact"/>
              <w:rPr>
                <w:sz w:val="20"/>
                <w:szCs w:val="20"/>
                <w:color w:val="auto"/>
              </w:rPr>
            </w:pPr>
            <w:r>
              <w:rPr>
                <w:rFonts w:ascii="Arial" w:cs="Arial" w:eastAsia="Arial" w:hAnsi="Arial"/>
                <w:sz w:val="16"/>
                <w:szCs w:val="16"/>
                <w:color w:val="auto"/>
              </w:rPr>
              <w:t>​</w:t>
            </w:r>
            <w:r>
              <w:rPr>
                <w:rFonts w:ascii="Arial" w:cs="Arial" w:eastAsia="Arial" w:hAnsi="Arial"/>
                <w:sz w:val="32"/>
                <w:szCs w:val="32"/>
                <w:b w:val="1"/>
                <w:bCs w:val="1"/>
                <w:color w:val="83AD40"/>
                <w:vertAlign w:val="superscript"/>
              </w:rPr>
              <w:t>​#1</w:t>
            </w:r>
            <w:r>
              <w:rPr>
                <w:rFonts w:ascii="Arial" w:cs="Arial" w:eastAsia="Arial" w:hAnsi="Arial"/>
                <w:sz w:val="16"/>
                <w:szCs w:val="16"/>
                <w:color w:val="auto"/>
              </w:rPr>
              <w:t>​​​</w:t>
            </w:r>
          </w:p>
        </w:tc>
        <w:tc>
          <w:tcPr>
            <w:tcW w:w="900" w:type="dxa"/>
            <w:vAlign w:val="bottom"/>
            <w:gridSpan w:val="2"/>
          </w:tcPr>
          <w:p>
            <w:pPr>
              <w:jc w:val="right"/>
              <w:spacing w:after="0" w:line="276" w:lineRule="exact"/>
              <w:rPr>
                <w:sz w:val="20"/>
                <w:szCs w:val="20"/>
                <w:color w:val="auto"/>
              </w:rPr>
            </w:pPr>
            <w:r>
              <w:rPr>
                <w:rFonts w:ascii="Arial" w:cs="Arial" w:eastAsia="Arial" w:hAnsi="Arial"/>
                <w:sz w:val="32"/>
                <w:szCs w:val="32"/>
                <w:color w:val="000000"/>
                <w:vertAlign w:val="subscript"/>
              </w:rPr>
              <w:t>​</w:t>
            </w:r>
            <w:r>
              <w:rPr>
                <w:rFonts w:ascii="Arial" w:cs="Arial" w:eastAsia="Arial" w:hAnsi="Arial"/>
                <w:sz w:val="16"/>
                <w:szCs w:val="16"/>
                <w:b w:val="1"/>
                <w:bCs w:val="1"/>
                <w:color w:val="83AD40"/>
              </w:rPr>
              <w:t>​50%</w:t>
            </w:r>
            <w:r>
              <w:rPr>
                <w:rFonts w:ascii="Arial" w:cs="Arial" w:eastAsia="Arial" w:hAnsi="Arial"/>
                <w:sz w:val="32"/>
                <w:szCs w:val="32"/>
                <w:color w:val="000000"/>
                <w:vertAlign w:val="subscript"/>
              </w:rPr>
              <w:t>​</w:t>
            </w:r>
          </w:p>
        </w:tc>
      </w:tr>
      <w:tr>
        <w:trPr>
          <w:trHeight w:val="20"/>
        </w:trPr>
        <w:tc>
          <w:tcPr>
            <w:tcW w:w="516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6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4B5088"/>
          </w:tcPr>
          <w:p>
            <w:pPr>
              <w:spacing w:after="0" w:line="20" w:lineRule="exact"/>
              <w:rPr>
                <w:sz w:val="1"/>
                <w:szCs w:val="1"/>
                <w:color w:val="auto"/>
              </w:rPr>
            </w:pPr>
          </w:p>
        </w:tc>
        <w:tc>
          <w:tcPr>
            <w:tcW w:w="84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4B5088"/>
          </w:tcPr>
          <w:p>
            <w:pPr>
              <w:spacing w:after="0" w:line="20" w:lineRule="exact"/>
              <w:rPr>
                <w:sz w:val="1"/>
                <w:szCs w:val="1"/>
                <w:color w:val="auto"/>
              </w:rPr>
            </w:pPr>
          </w:p>
        </w:tc>
        <w:tc>
          <w:tcPr>
            <w:tcW w:w="440" w:type="dxa"/>
            <w:vAlign w:val="bottom"/>
            <w:shd w:val="clear" w:color="auto" w:fill="4B508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4B5088"/>
          </w:tcPr>
          <w:p>
            <w:pPr>
              <w:spacing w:after="0" w:line="20" w:lineRule="exact"/>
              <w:rPr>
                <w:sz w:val="1"/>
                <w:szCs w:val="1"/>
                <w:color w:val="auto"/>
              </w:rPr>
            </w:pPr>
          </w:p>
        </w:tc>
        <w:tc>
          <w:tcPr>
            <w:tcW w:w="840" w:type="dxa"/>
            <w:vAlign w:val="bottom"/>
            <w:shd w:val="clear" w:color="auto" w:fill="4B5088"/>
          </w:tcPr>
          <w:p>
            <w:pPr>
              <w:spacing w:after="0" w:line="20" w:lineRule="exact"/>
              <w:rPr>
                <w:sz w:val="1"/>
                <w:szCs w:val="1"/>
                <w:color w:val="auto"/>
              </w:rPr>
            </w:pPr>
          </w:p>
        </w:tc>
        <w:tc>
          <w:tcPr>
            <w:tcW w:w="60" w:type="dxa"/>
            <w:vAlign w:val="bottom"/>
            <w:tcBorders>
              <w:left w:val="single" w:sz="8" w:color="4B5088"/>
            </w:tcBorders>
          </w:tcPr>
          <w:p>
            <w:pPr>
              <w:spacing w:after="0" w:line="20" w:lineRule="exact"/>
              <w:rPr>
                <w:sz w:val="1"/>
                <w:szCs w:val="1"/>
                <w:color w:val="auto"/>
              </w:rPr>
            </w:pPr>
          </w:p>
        </w:tc>
      </w:tr>
      <w:tr>
        <w:trPr>
          <w:trHeight w:val="277"/>
        </w:trPr>
        <w:tc>
          <w:tcPr>
            <w:tcW w:w="5160" w:type="dxa"/>
            <w:vAlign w:val="bottom"/>
          </w:tcPr>
          <w:p>
            <w:pPr>
              <w:spacing w:after="0"/>
              <w:rPr>
                <w:sz w:val="20"/>
                <w:szCs w:val="20"/>
                <w:color w:val="auto"/>
              </w:rPr>
            </w:pPr>
            <w:r>
              <w:rPr>
                <w:rFonts w:ascii="Arial" w:cs="Arial" w:eastAsia="Arial" w:hAnsi="Arial"/>
                <w:sz w:val="16"/>
                <w:szCs w:val="16"/>
                <w:b w:val="1"/>
                <w:bCs w:val="1"/>
                <w:color w:val="auto"/>
              </w:rPr>
              <w:t>FY 2023</w:t>
            </w: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gridSpan w:val="3"/>
          </w:tcPr>
          <w:p>
            <w:pPr>
              <w:ind w:left="380"/>
              <w:spacing w:after="0" w:line="276" w:lineRule="exact"/>
              <w:rPr>
                <w:sz w:val="20"/>
                <w:szCs w:val="20"/>
                <w:color w:val="auto"/>
              </w:rPr>
            </w:pPr>
            <w:r>
              <w:rPr>
                <w:rFonts w:ascii="Arial" w:cs="Arial" w:eastAsia="Arial" w:hAnsi="Arial"/>
                <w:sz w:val="16"/>
                <w:szCs w:val="16"/>
                <w:color w:val="auto"/>
              </w:rPr>
              <w:t>​</w:t>
            </w:r>
            <w:r>
              <w:rPr>
                <w:rFonts w:ascii="Arial" w:cs="Arial" w:eastAsia="Arial" w:hAnsi="Arial"/>
                <w:sz w:val="32"/>
                <w:szCs w:val="32"/>
                <w:b w:val="1"/>
                <w:bCs w:val="1"/>
                <w:color w:val="83AD40"/>
                <w:vertAlign w:val="superscript"/>
              </w:rPr>
              <w:t>​#1</w:t>
            </w:r>
            <w:r>
              <w:rPr>
                <w:rFonts w:ascii="Arial" w:cs="Arial" w:eastAsia="Arial" w:hAnsi="Arial"/>
                <w:sz w:val="16"/>
                <w:szCs w:val="16"/>
                <w:color w:val="auto"/>
              </w:rPr>
              <w:t>​​​</w:t>
            </w:r>
          </w:p>
        </w:tc>
        <w:tc>
          <w:tcPr>
            <w:tcW w:w="1200" w:type="dxa"/>
            <w:vAlign w:val="bottom"/>
            <w:gridSpan w:val="3"/>
          </w:tcPr>
          <w:p>
            <w:pPr>
              <w:ind w:left="460"/>
              <w:spacing w:after="0" w:line="276" w:lineRule="exact"/>
              <w:rPr>
                <w:sz w:val="20"/>
                <w:szCs w:val="20"/>
                <w:color w:val="auto"/>
              </w:rPr>
            </w:pPr>
            <w:r>
              <w:rPr>
                <w:rFonts w:ascii="Arial" w:cs="Arial" w:eastAsia="Arial" w:hAnsi="Arial"/>
                <w:sz w:val="16"/>
                <w:szCs w:val="16"/>
                <w:color w:val="auto"/>
              </w:rPr>
              <w:t>​</w:t>
            </w:r>
            <w:r>
              <w:rPr>
                <w:rFonts w:ascii="Arial" w:cs="Arial" w:eastAsia="Arial" w:hAnsi="Arial"/>
                <w:sz w:val="32"/>
                <w:szCs w:val="32"/>
                <w:b w:val="1"/>
                <w:bCs w:val="1"/>
                <w:color w:val="83AD40"/>
                <w:vertAlign w:val="superscript"/>
              </w:rPr>
              <w:t>​46%</w:t>
            </w:r>
            <w:r>
              <w:rPr>
                <w:rFonts w:ascii="Arial" w:cs="Arial" w:eastAsia="Arial" w:hAnsi="Arial"/>
                <w:sz w:val="16"/>
                <w:szCs w:val="16"/>
                <w:color w:val="auto"/>
              </w:rPr>
              <w:t>​​​</w:t>
            </w:r>
          </w:p>
        </w:tc>
        <w:tc>
          <w:tcPr>
            <w:tcW w:w="760" w:type="dxa"/>
            <w:vAlign w:val="bottom"/>
            <w:gridSpan w:val="3"/>
          </w:tcPr>
          <w:p>
            <w:pPr>
              <w:ind w:left="200"/>
              <w:spacing w:after="0" w:line="276" w:lineRule="exact"/>
              <w:rPr>
                <w:sz w:val="20"/>
                <w:szCs w:val="20"/>
                <w:color w:val="auto"/>
              </w:rPr>
            </w:pPr>
            <w:r>
              <w:rPr>
                <w:rFonts w:ascii="Arial" w:cs="Arial" w:eastAsia="Arial" w:hAnsi="Arial"/>
                <w:sz w:val="16"/>
                <w:szCs w:val="16"/>
                <w:color w:val="auto"/>
              </w:rPr>
              <w:t>​</w:t>
            </w:r>
            <w:r>
              <w:rPr>
                <w:rFonts w:ascii="Arial" w:cs="Arial" w:eastAsia="Arial" w:hAnsi="Arial"/>
                <w:sz w:val="32"/>
                <w:szCs w:val="32"/>
                <w:b w:val="1"/>
                <w:bCs w:val="1"/>
                <w:color w:val="83AD40"/>
                <w:vertAlign w:val="superscript"/>
              </w:rPr>
              <w:t>​#1</w:t>
            </w:r>
            <w:r>
              <w:rPr>
                <w:rFonts w:ascii="Arial" w:cs="Arial" w:eastAsia="Arial" w:hAnsi="Arial"/>
                <w:sz w:val="16"/>
                <w:szCs w:val="16"/>
                <w:color w:val="auto"/>
              </w:rPr>
              <w:t>​​​</w:t>
            </w:r>
          </w:p>
        </w:tc>
        <w:tc>
          <w:tcPr>
            <w:tcW w:w="900" w:type="dxa"/>
            <w:vAlign w:val="bottom"/>
            <w:gridSpan w:val="2"/>
          </w:tcPr>
          <w:p>
            <w:pPr>
              <w:jc w:val="right"/>
              <w:spacing w:after="0" w:line="276" w:lineRule="exact"/>
              <w:rPr>
                <w:sz w:val="20"/>
                <w:szCs w:val="20"/>
                <w:color w:val="auto"/>
              </w:rPr>
            </w:pPr>
            <w:r>
              <w:rPr>
                <w:rFonts w:ascii="Arial" w:cs="Arial" w:eastAsia="Arial" w:hAnsi="Arial"/>
                <w:sz w:val="32"/>
                <w:szCs w:val="32"/>
                <w:color w:val="000000"/>
                <w:vertAlign w:val="subscript"/>
              </w:rPr>
              <w:t>​</w:t>
            </w:r>
            <w:r>
              <w:rPr>
                <w:rFonts w:ascii="Arial" w:cs="Arial" w:eastAsia="Arial" w:hAnsi="Arial"/>
                <w:sz w:val="16"/>
                <w:szCs w:val="16"/>
                <w:b w:val="1"/>
                <w:bCs w:val="1"/>
                <w:color w:val="83AD40"/>
              </w:rPr>
              <w:t>​24%</w:t>
            </w:r>
            <w:r>
              <w:rPr>
                <w:rFonts w:ascii="Arial" w:cs="Arial" w:eastAsia="Arial" w:hAnsi="Arial"/>
                <w:sz w:val="32"/>
                <w:szCs w:val="32"/>
                <w:color w:val="000000"/>
                <w:vertAlign w:val="subscript"/>
              </w:rPr>
              <w:t>​</w:t>
            </w:r>
          </w:p>
        </w:tc>
      </w:tr>
      <w:tr>
        <w:trPr>
          <w:trHeight w:val="20"/>
        </w:trPr>
        <w:tc>
          <w:tcPr>
            <w:tcW w:w="516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6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4B5088"/>
          </w:tcPr>
          <w:p>
            <w:pPr>
              <w:spacing w:after="0" w:line="20" w:lineRule="exact"/>
              <w:rPr>
                <w:sz w:val="1"/>
                <w:szCs w:val="1"/>
                <w:color w:val="auto"/>
              </w:rPr>
            </w:pPr>
          </w:p>
        </w:tc>
        <w:tc>
          <w:tcPr>
            <w:tcW w:w="84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4B5088"/>
          </w:tcPr>
          <w:p>
            <w:pPr>
              <w:spacing w:after="0" w:line="20" w:lineRule="exact"/>
              <w:rPr>
                <w:sz w:val="1"/>
                <w:szCs w:val="1"/>
                <w:color w:val="auto"/>
              </w:rPr>
            </w:pPr>
          </w:p>
        </w:tc>
        <w:tc>
          <w:tcPr>
            <w:tcW w:w="440" w:type="dxa"/>
            <w:vAlign w:val="bottom"/>
            <w:shd w:val="clear" w:color="auto" w:fill="4B508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4B5088"/>
          </w:tcPr>
          <w:p>
            <w:pPr>
              <w:spacing w:after="0" w:line="20" w:lineRule="exact"/>
              <w:rPr>
                <w:sz w:val="1"/>
                <w:szCs w:val="1"/>
                <w:color w:val="auto"/>
              </w:rPr>
            </w:pPr>
          </w:p>
        </w:tc>
        <w:tc>
          <w:tcPr>
            <w:tcW w:w="840" w:type="dxa"/>
            <w:vAlign w:val="bottom"/>
            <w:shd w:val="clear" w:color="auto" w:fill="4B5088"/>
          </w:tcPr>
          <w:p>
            <w:pPr>
              <w:spacing w:after="0" w:line="20" w:lineRule="exact"/>
              <w:rPr>
                <w:sz w:val="1"/>
                <w:szCs w:val="1"/>
                <w:color w:val="auto"/>
              </w:rPr>
            </w:pPr>
          </w:p>
        </w:tc>
        <w:tc>
          <w:tcPr>
            <w:tcW w:w="60" w:type="dxa"/>
            <w:vAlign w:val="bottom"/>
            <w:tcBorders>
              <w:left w:val="single" w:sz="8" w:color="4B5088"/>
            </w:tcBorders>
          </w:tcPr>
          <w:p>
            <w:pPr>
              <w:spacing w:after="0" w:line="20" w:lineRule="exact"/>
              <w:rPr>
                <w:sz w:val="1"/>
                <w:szCs w:val="1"/>
                <w:color w:val="auto"/>
              </w:rPr>
            </w:pPr>
          </w:p>
        </w:tc>
      </w:tr>
      <w:tr>
        <w:trPr>
          <w:trHeight w:val="277"/>
        </w:trPr>
        <w:tc>
          <w:tcPr>
            <w:tcW w:w="5160" w:type="dxa"/>
            <w:vAlign w:val="bottom"/>
          </w:tcPr>
          <w:p>
            <w:pPr>
              <w:spacing w:after="0"/>
              <w:rPr>
                <w:sz w:val="20"/>
                <w:szCs w:val="20"/>
                <w:color w:val="auto"/>
              </w:rPr>
            </w:pPr>
            <w:r>
              <w:rPr>
                <w:rFonts w:ascii="Arial" w:cs="Arial" w:eastAsia="Arial" w:hAnsi="Arial"/>
                <w:sz w:val="16"/>
                <w:szCs w:val="16"/>
                <w:b w:val="1"/>
                <w:bCs w:val="1"/>
                <w:color w:val="auto"/>
              </w:rPr>
              <w:t>3 Year</w:t>
            </w: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gridSpan w:val="3"/>
          </w:tcPr>
          <w:p>
            <w:pPr>
              <w:ind w:left="380"/>
              <w:spacing w:after="0" w:line="276" w:lineRule="exact"/>
              <w:rPr>
                <w:sz w:val="20"/>
                <w:szCs w:val="20"/>
                <w:color w:val="auto"/>
              </w:rPr>
            </w:pPr>
            <w:r>
              <w:rPr>
                <w:rFonts w:ascii="Arial" w:cs="Arial" w:eastAsia="Arial" w:hAnsi="Arial"/>
                <w:sz w:val="16"/>
                <w:szCs w:val="16"/>
                <w:color w:val="auto"/>
              </w:rPr>
              <w:t>​</w:t>
            </w:r>
            <w:r>
              <w:rPr>
                <w:rFonts w:ascii="Arial" w:cs="Arial" w:eastAsia="Arial" w:hAnsi="Arial"/>
                <w:sz w:val="32"/>
                <w:szCs w:val="32"/>
                <w:b w:val="1"/>
                <w:bCs w:val="1"/>
                <w:color w:val="83AD40"/>
                <w:vertAlign w:val="superscript"/>
              </w:rPr>
              <w:t>​#4</w:t>
            </w:r>
            <w:r>
              <w:rPr>
                <w:rFonts w:ascii="Arial" w:cs="Arial" w:eastAsia="Arial" w:hAnsi="Arial"/>
                <w:sz w:val="16"/>
                <w:szCs w:val="16"/>
                <w:color w:val="auto"/>
              </w:rPr>
              <w:t>​​​</w:t>
            </w:r>
          </w:p>
        </w:tc>
        <w:tc>
          <w:tcPr>
            <w:tcW w:w="1200" w:type="dxa"/>
            <w:vAlign w:val="bottom"/>
            <w:gridSpan w:val="3"/>
          </w:tcPr>
          <w:p>
            <w:pPr>
              <w:ind w:left="460"/>
              <w:spacing w:after="0" w:line="276" w:lineRule="exact"/>
              <w:rPr>
                <w:sz w:val="20"/>
                <w:szCs w:val="20"/>
                <w:color w:val="auto"/>
              </w:rPr>
            </w:pPr>
            <w:r>
              <w:rPr>
                <w:rFonts w:ascii="Arial" w:cs="Arial" w:eastAsia="Arial" w:hAnsi="Arial"/>
                <w:sz w:val="32"/>
                <w:szCs w:val="32"/>
                <w:color w:val="000000"/>
                <w:vertAlign w:val="subscript"/>
              </w:rPr>
              <w:t>​</w:t>
            </w:r>
            <w:r>
              <w:rPr>
                <w:rFonts w:ascii="Arial" w:cs="Arial" w:eastAsia="Arial" w:hAnsi="Arial"/>
                <w:sz w:val="16"/>
                <w:szCs w:val="16"/>
                <w:b w:val="1"/>
                <w:bCs w:val="1"/>
                <w:color w:val="83AD40"/>
              </w:rPr>
              <w:t>​47%</w:t>
            </w:r>
            <w:r>
              <w:rPr>
                <w:rFonts w:ascii="Arial" w:cs="Arial" w:eastAsia="Arial" w:hAnsi="Arial"/>
                <w:sz w:val="32"/>
                <w:szCs w:val="32"/>
                <w:color w:val="000000"/>
                <w:vertAlign w:val="subscript"/>
              </w:rPr>
              <w:t>​​​</w:t>
            </w:r>
          </w:p>
        </w:tc>
        <w:tc>
          <w:tcPr>
            <w:tcW w:w="760" w:type="dxa"/>
            <w:vAlign w:val="bottom"/>
            <w:gridSpan w:val="3"/>
          </w:tcPr>
          <w:p>
            <w:pPr>
              <w:ind w:left="200"/>
              <w:spacing w:after="0" w:line="276" w:lineRule="exact"/>
              <w:rPr>
                <w:sz w:val="20"/>
                <w:szCs w:val="20"/>
                <w:color w:val="auto"/>
              </w:rPr>
            </w:pPr>
            <w:r>
              <w:rPr>
                <w:rFonts w:ascii="Arial" w:cs="Arial" w:eastAsia="Arial" w:hAnsi="Arial"/>
                <w:sz w:val="16"/>
                <w:szCs w:val="16"/>
                <w:color w:val="auto"/>
              </w:rPr>
              <w:t>​</w:t>
            </w:r>
            <w:r>
              <w:rPr>
                <w:rFonts w:ascii="Arial" w:cs="Arial" w:eastAsia="Arial" w:hAnsi="Arial"/>
                <w:sz w:val="32"/>
                <w:szCs w:val="32"/>
                <w:b w:val="1"/>
                <w:bCs w:val="1"/>
                <w:color w:val="83AD40"/>
                <w:vertAlign w:val="superscript"/>
              </w:rPr>
              <w:t>​#3</w:t>
            </w:r>
            <w:r>
              <w:rPr>
                <w:rFonts w:ascii="Arial" w:cs="Arial" w:eastAsia="Arial" w:hAnsi="Arial"/>
                <w:sz w:val="16"/>
                <w:szCs w:val="16"/>
                <w:color w:val="auto"/>
              </w:rPr>
              <w:t>​​​</w:t>
            </w:r>
          </w:p>
        </w:tc>
        <w:tc>
          <w:tcPr>
            <w:tcW w:w="900" w:type="dxa"/>
            <w:vAlign w:val="bottom"/>
            <w:gridSpan w:val="2"/>
          </w:tcPr>
          <w:p>
            <w:pPr>
              <w:jc w:val="right"/>
              <w:spacing w:after="0" w:line="276" w:lineRule="exact"/>
              <w:rPr>
                <w:sz w:val="20"/>
                <w:szCs w:val="20"/>
                <w:color w:val="auto"/>
              </w:rPr>
            </w:pPr>
            <w:r>
              <w:rPr>
                <w:rFonts w:ascii="Arial" w:cs="Arial" w:eastAsia="Arial" w:hAnsi="Arial"/>
                <w:sz w:val="32"/>
                <w:szCs w:val="32"/>
                <w:color w:val="000000"/>
                <w:vertAlign w:val="subscript"/>
              </w:rPr>
              <w:t>​</w:t>
            </w:r>
            <w:r>
              <w:rPr>
                <w:rFonts w:ascii="Arial" w:cs="Arial" w:eastAsia="Arial" w:hAnsi="Arial"/>
                <w:sz w:val="16"/>
                <w:szCs w:val="16"/>
                <w:b w:val="1"/>
                <w:bCs w:val="1"/>
                <w:color w:val="83AD40"/>
              </w:rPr>
              <w:t>​ 3%</w:t>
            </w:r>
            <w:r>
              <w:rPr>
                <w:rFonts w:ascii="Arial" w:cs="Arial" w:eastAsia="Arial" w:hAnsi="Arial"/>
                <w:sz w:val="32"/>
                <w:szCs w:val="32"/>
                <w:color w:val="000000"/>
                <w:vertAlign w:val="subscript"/>
              </w:rPr>
              <w:t>​</w:t>
            </w:r>
          </w:p>
        </w:tc>
      </w:tr>
      <w:tr>
        <w:trPr>
          <w:trHeight w:val="20"/>
        </w:trPr>
        <w:tc>
          <w:tcPr>
            <w:tcW w:w="516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6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4B5088"/>
          </w:tcPr>
          <w:p>
            <w:pPr>
              <w:spacing w:after="0" w:line="20" w:lineRule="exact"/>
              <w:rPr>
                <w:sz w:val="1"/>
                <w:szCs w:val="1"/>
                <w:color w:val="auto"/>
              </w:rPr>
            </w:pPr>
          </w:p>
        </w:tc>
        <w:tc>
          <w:tcPr>
            <w:tcW w:w="84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4B5088"/>
          </w:tcPr>
          <w:p>
            <w:pPr>
              <w:spacing w:after="0" w:line="20" w:lineRule="exact"/>
              <w:rPr>
                <w:sz w:val="1"/>
                <w:szCs w:val="1"/>
                <w:color w:val="auto"/>
              </w:rPr>
            </w:pPr>
          </w:p>
        </w:tc>
        <w:tc>
          <w:tcPr>
            <w:tcW w:w="440" w:type="dxa"/>
            <w:vAlign w:val="bottom"/>
            <w:shd w:val="clear" w:color="auto" w:fill="4B508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4B5088"/>
          </w:tcPr>
          <w:p>
            <w:pPr>
              <w:spacing w:after="0" w:line="20" w:lineRule="exact"/>
              <w:rPr>
                <w:sz w:val="1"/>
                <w:szCs w:val="1"/>
                <w:color w:val="auto"/>
              </w:rPr>
            </w:pPr>
          </w:p>
        </w:tc>
        <w:tc>
          <w:tcPr>
            <w:tcW w:w="840" w:type="dxa"/>
            <w:vAlign w:val="bottom"/>
            <w:shd w:val="clear" w:color="auto" w:fill="4B5088"/>
          </w:tcPr>
          <w:p>
            <w:pPr>
              <w:spacing w:after="0" w:line="20" w:lineRule="exact"/>
              <w:rPr>
                <w:sz w:val="1"/>
                <w:szCs w:val="1"/>
                <w:color w:val="auto"/>
              </w:rPr>
            </w:pPr>
          </w:p>
        </w:tc>
        <w:tc>
          <w:tcPr>
            <w:tcW w:w="60" w:type="dxa"/>
            <w:vAlign w:val="bottom"/>
            <w:tcBorders>
              <w:left w:val="single" w:sz="8" w:color="4B5088"/>
            </w:tcBorders>
          </w:tcPr>
          <w:p>
            <w:pPr>
              <w:spacing w:after="0" w:line="20" w:lineRule="exact"/>
              <w:rPr>
                <w:sz w:val="1"/>
                <w:szCs w:val="1"/>
                <w:color w:val="auto"/>
              </w:rPr>
            </w:pPr>
          </w:p>
        </w:tc>
      </w:tr>
      <w:tr>
        <w:trPr>
          <w:trHeight w:val="277"/>
        </w:trPr>
        <w:tc>
          <w:tcPr>
            <w:tcW w:w="5160" w:type="dxa"/>
            <w:vAlign w:val="bottom"/>
          </w:tcPr>
          <w:p>
            <w:pPr>
              <w:spacing w:after="0"/>
              <w:rPr>
                <w:sz w:val="20"/>
                <w:szCs w:val="20"/>
                <w:color w:val="auto"/>
              </w:rPr>
            </w:pPr>
            <w:r>
              <w:rPr>
                <w:rFonts w:ascii="Arial" w:cs="Arial" w:eastAsia="Arial" w:hAnsi="Arial"/>
                <w:sz w:val="16"/>
                <w:szCs w:val="16"/>
                <w:b w:val="1"/>
                <w:bCs w:val="1"/>
                <w:color w:val="auto"/>
              </w:rPr>
              <w:t>5 Year</w:t>
            </w:r>
          </w:p>
        </w:tc>
        <w:tc>
          <w:tcPr>
            <w:tcW w:w="1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3"/>
          </w:tcPr>
          <w:p>
            <w:pPr>
              <w:ind w:left="380"/>
              <w:spacing w:after="0" w:line="276"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b w:val="1"/>
                <w:bCs w:val="1"/>
                <w:color w:val="83AD40"/>
                <w:vertAlign w:val="superscript"/>
              </w:rPr>
              <w:t>​#3</w:t>
            </w:r>
            <w:r>
              <w:rPr>
                <w:rFonts w:ascii="Arial" w:cs="Arial" w:eastAsia="Arial" w:hAnsi="Arial"/>
                <w:sz w:val="16"/>
                <w:szCs w:val="16"/>
                <w:b w:val="1"/>
                <w:bCs w:val="1"/>
                <w:color w:val="auto"/>
              </w:rPr>
              <w:t>​​​</w:t>
            </w:r>
          </w:p>
        </w:tc>
        <w:tc>
          <w:tcPr>
            <w:tcW w:w="1200" w:type="dxa"/>
            <w:vAlign w:val="bottom"/>
            <w:gridSpan w:val="3"/>
          </w:tcPr>
          <w:p>
            <w:pPr>
              <w:ind w:left="460"/>
              <w:spacing w:after="0" w:line="276" w:lineRule="exact"/>
              <w:rPr>
                <w:sz w:val="20"/>
                <w:szCs w:val="20"/>
                <w:color w:val="auto"/>
              </w:rPr>
            </w:pPr>
            <w:r>
              <w:rPr>
                <w:rFonts w:ascii="Arial" w:cs="Arial" w:eastAsia="Arial" w:hAnsi="Arial"/>
                <w:sz w:val="32"/>
                <w:szCs w:val="32"/>
                <w:b w:val="1"/>
                <w:bCs w:val="1"/>
                <w:color w:val="000000"/>
                <w:vertAlign w:val="subscript"/>
              </w:rPr>
              <w:t>​</w:t>
            </w:r>
            <w:r>
              <w:rPr>
                <w:rFonts w:ascii="Arial" w:cs="Arial" w:eastAsia="Arial" w:hAnsi="Arial"/>
                <w:sz w:val="16"/>
                <w:szCs w:val="16"/>
                <w:b w:val="1"/>
                <w:bCs w:val="1"/>
                <w:color w:val="83AD40"/>
              </w:rPr>
              <w:t>​45%</w:t>
            </w:r>
            <w:r>
              <w:rPr>
                <w:rFonts w:ascii="Arial" w:cs="Arial" w:eastAsia="Arial" w:hAnsi="Arial"/>
                <w:sz w:val="32"/>
                <w:szCs w:val="32"/>
                <w:b w:val="1"/>
                <w:bCs w:val="1"/>
                <w:color w:val="000000"/>
                <w:vertAlign w:val="subscript"/>
              </w:rPr>
              <w:t>​​​</w:t>
            </w:r>
          </w:p>
        </w:tc>
        <w:tc>
          <w:tcPr>
            <w:tcW w:w="760" w:type="dxa"/>
            <w:vAlign w:val="bottom"/>
            <w:gridSpan w:val="3"/>
          </w:tcPr>
          <w:p>
            <w:pPr>
              <w:ind w:left="200"/>
              <w:spacing w:after="0" w:line="276"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b w:val="1"/>
                <w:bCs w:val="1"/>
                <w:color w:val="83AD40"/>
                <w:vertAlign w:val="superscript"/>
              </w:rPr>
              <w:t>​#2</w:t>
            </w:r>
            <w:r>
              <w:rPr>
                <w:rFonts w:ascii="Arial" w:cs="Arial" w:eastAsia="Arial" w:hAnsi="Arial"/>
                <w:sz w:val="16"/>
                <w:szCs w:val="16"/>
                <w:b w:val="1"/>
                <w:bCs w:val="1"/>
                <w:color w:val="auto"/>
              </w:rPr>
              <w:t>​​​</w:t>
            </w:r>
          </w:p>
        </w:tc>
        <w:tc>
          <w:tcPr>
            <w:tcW w:w="900" w:type="dxa"/>
            <w:vAlign w:val="bottom"/>
            <w:gridSpan w:val="2"/>
          </w:tcPr>
          <w:p>
            <w:pPr>
              <w:jc w:val="right"/>
              <w:spacing w:after="0" w:line="276" w:lineRule="exact"/>
              <w:rPr>
                <w:sz w:val="20"/>
                <w:szCs w:val="20"/>
                <w:color w:val="auto"/>
              </w:rPr>
            </w:pPr>
            <w:r>
              <w:rPr>
                <w:rFonts w:ascii="Arial" w:cs="Arial" w:eastAsia="Arial" w:hAnsi="Arial"/>
                <w:sz w:val="32"/>
                <w:szCs w:val="32"/>
                <w:b w:val="1"/>
                <w:bCs w:val="1"/>
                <w:color w:val="000000"/>
                <w:vertAlign w:val="subscript"/>
              </w:rPr>
              <w:t>​</w:t>
            </w:r>
            <w:r>
              <w:rPr>
                <w:rFonts w:ascii="Arial" w:cs="Arial" w:eastAsia="Arial" w:hAnsi="Arial"/>
                <w:sz w:val="16"/>
                <w:szCs w:val="16"/>
                <w:b w:val="1"/>
                <w:bCs w:val="1"/>
                <w:color w:val="83AD40"/>
              </w:rPr>
              <w:t>​25%</w:t>
            </w:r>
            <w:r>
              <w:rPr>
                <w:rFonts w:ascii="Arial" w:cs="Arial" w:eastAsia="Arial" w:hAnsi="Arial"/>
                <w:sz w:val="32"/>
                <w:szCs w:val="32"/>
                <w:b w:val="1"/>
                <w:bCs w:val="1"/>
                <w:color w:val="000000"/>
                <w:vertAlign w:val="subscript"/>
              </w:rPr>
              <w:t>​</w:t>
            </w:r>
          </w:p>
        </w:tc>
      </w:tr>
      <w:tr>
        <w:trPr>
          <w:trHeight w:val="20"/>
        </w:trPr>
        <w:tc>
          <w:tcPr>
            <w:tcW w:w="516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1F2668"/>
          </w:tcPr>
          <w:p>
            <w:pPr>
              <w:spacing w:after="0" w:line="20" w:lineRule="exact"/>
              <w:rPr>
                <w:sz w:val="1"/>
                <w:szCs w:val="1"/>
                <w:color w:val="auto"/>
              </w:rPr>
            </w:pPr>
          </w:p>
        </w:tc>
        <w:tc>
          <w:tcPr>
            <w:tcW w:w="600" w:type="dxa"/>
            <w:vAlign w:val="bottom"/>
            <w:shd w:val="clear" w:color="auto" w:fill="1F266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1F2668"/>
          </w:tcPr>
          <w:p>
            <w:pPr>
              <w:spacing w:after="0" w:line="20" w:lineRule="exact"/>
              <w:rPr>
                <w:sz w:val="1"/>
                <w:szCs w:val="1"/>
                <w:color w:val="auto"/>
              </w:rPr>
            </w:pPr>
          </w:p>
        </w:tc>
        <w:tc>
          <w:tcPr>
            <w:tcW w:w="840" w:type="dxa"/>
            <w:vAlign w:val="bottom"/>
            <w:shd w:val="clear" w:color="auto" w:fill="1F266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1F2668"/>
          </w:tcPr>
          <w:p>
            <w:pPr>
              <w:spacing w:after="0" w:line="20" w:lineRule="exact"/>
              <w:rPr>
                <w:sz w:val="1"/>
                <w:szCs w:val="1"/>
                <w:color w:val="auto"/>
              </w:rPr>
            </w:pPr>
          </w:p>
        </w:tc>
        <w:tc>
          <w:tcPr>
            <w:tcW w:w="440" w:type="dxa"/>
            <w:vAlign w:val="bottom"/>
            <w:shd w:val="clear" w:color="auto" w:fill="1F266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1F2668"/>
          </w:tcPr>
          <w:p>
            <w:pPr>
              <w:spacing w:after="0" w:line="20" w:lineRule="exact"/>
              <w:rPr>
                <w:sz w:val="1"/>
                <w:szCs w:val="1"/>
                <w:color w:val="auto"/>
              </w:rPr>
            </w:pPr>
          </w:p>
        </w:tc>
        <w:tc>
          <w:tcPr>
            <w:tcW w:w="840" w:type="dxa"/>
            <w:vAlign w:val="bottom"/>
            <w:shd w:val="clear" w:color="auto" w:fill="1F2668"/>
          </w:tcPr>
          <w:p>
            <w:pPr>
              <w:spacing w:after="0" w:line="20" w:lineRule="exact"/>
              <w:rPr>
                <w:sz w:val="1"/>
                <w:szCs w:val="1"/>
                <w:color w:val="auto"/>
              </w:rPr>
            </w:pPr>
          </w:p>
        </w:tc>
        <w:tc>
          <w:tcPr>
            <w:tcW w:w="60" w:type="dxa"/>
            <w:vAlign w:val="bottom"/>
            <w:tcBorders>
              <w:left w:val="single" w:sz="8" w:color="1F2668"/>
            </w:tcBorders>
          </w:tcPr>
          <w:p>
            <w:pPr>
              <w:spacing w:after="0" w:line="20" w:lineRule="exact"/>
              <w:rPr>
                <w:sz w:val="1"/>
                <w:szCs w:val="1"/>
                <w:color w:val="auto"/>
              </w:rPr>
            </w:pPr>
          </w:p>
        </w:tc>
      </w:tr>
    </w:tbl>
    <w:p>
      <w:pPr>
        <w:spacing w:after="0" w:line="207" w:lineRule="exact"/>
        <w:rPr>
          <w:sz w:val="20"/>
          <w:szCs w:val="20"/>
          <w:color w:val="auto"/>
        </w:rPr>
      </w:pPr>
    </w:p>
    <w:p>
      <w:pPr>
        <w:jc w:val="both"/>
        <w:ind w:left="1180" w:right="380" w:hanging="364"/>
        <w:spacing w:after="0" w:line="293" w:lineRule="auto"/>
        <w:tabs>
          <w:tab w:leader="none" w:pos="1180" w:val="left"/>
        </w:tabs>
        <w:numPr>
          <w:ilvl w:val="0"/>
          <w:numId w:val="5"/>
        </w:numPr>
        <w:rPr>
          <w:rFonts w:ascii="Arial" w:cs="Arial" w:eastAsia="Arial" w:hAnsi="Arial"/>
          <w:sz w:val="14"/>
          <w:szCs w:val="14"/>
          <w:color w:val="auto"/>
        </w:rPr>
      </w:pPr>
      <w:r>
        <w:rPr>
          <w:rFonts w:ascii="Arial" w:cs="Arial" w:eastAsia="Arial" w:hAnsi="Arial"/>
          <w:sz w:val="14"/>
          <w:szCs w:val="14"/>
          <w:color w:val="auto"/>
        </w:rPr>
        <w:t>U.S. Office Peers include the constituents of the Bloomberg North American Office REIT Valuation Peers Index and NYC Peers include Acadia Realty Trust, Empire State Realty Trust, Inc., Veris Residential, Inc., Paramount Group, Inc. and Vornado Realty Trust, with SLG excluded, in each case, from the calculation of the peer median.</w:t>
      </w:r>
    </w:p>
    <w:p>
      <w:pPr>
        <w:spacing w:after="0" w:line="107" w:lineRule="exact"/>
        <w:rPr>
          <w:sz w:val="20"/>
          <w:szCs w:val="20"/>
          <w:color w:val="auto"/>
        </w:rPr>
      </w:pPr>
    </w:p>
    <w:p>
      <w:pPr>
        <w:ind w:left="820" w:right="160"/>
        <w:spacing w:after="0" w:line="321" w:lineRule="auto"/>
        <w:rPr>
          <w:sz w:val="20"/>
          <w:szCs w:val="20"/>
          <w:color w:val="auto"/>
        </w:rPr>
      </w:pPr>
      <w:r>
        <w:rPr>
          <w:rFonts w:ascii="Arial" w:cs="Arial" w:eastAsia="Arial" w:hAnsi="Arial"/>
          <w:sz w:val="16"/>
          <w:szCs w:val="16"/>
          <w:color w:val="auto"/>
        </w:rPr>
        <w:t>In 2024, the execution of strategic plans resulted in significant industry outperformance. Key drivers of stockholder value creation included:</w:t>
      </w:r>
    </w:p>
    <w:p>
      <w:pPr>
        <w:spacing w:after="0" w:line="44" w:lineRule="exact"/>
        <w:rPr>
          <w:sz w:val="20"/>
          <w:szCs w:val="20"/>
          <w:color w:val="auto"/>
        </w:rPr>
      </w:pPr>
    </w:p>
    <w:p>
      <w:pPr>
        <w:ind w:left="1040" w:hanging="224"/>
        <w:spacing w:after="0"/>
        <w:tabs>
          <w:tab w:leader="none" w:pos="1040" w:val="left"/>
        </w:tabs>
        <w:numPr>
          <w:ilvl w:val="0"/>
          <w:numId w:val="6"/>
        </w:numPr>
        <w:rPr>
          <w:rFonts w:ascii="MS PGothic" w:cs="MS PGothic" w:eastAsia="MS PGothic" w:hAnsi="MS PGothic"/>
          <w:sz w:val="16"/>
          <w:szCs w:val="16"/>
          <w:color w:val="83AD40"/>
        </w:rPr>
      </w:pPr>
      <w:r>
        <w:rPr>
          <w:rFonts w:ascii="Arial" w:cs="Arial" w:eastAsia="Arial" w:hAnsi="Arial"/>
          <w:sz w:val="16"/>
          <w:szCs w:val="16"/>
          <w:color w:val="auto"/>
        </w:rPr>
        <w:t>Increased same store office occupancy by 2.7% to 92.5% compared to Manhattan’s average office occupancy of 83.5%</w:t>
      </w:r>
      <w:r>
        <w:rPr>
          <w:rFonts w:ascii="Arial" w:cs="Arial" w:eastAsia="Arial" w:hAnsi="Arial"/>
          <w:sz w:val="25"/>
          <w:szCs w:val="25"/>
          <w:color w:val="auto"/>
          <w:vertAlign w:val="superscript"/>
        </w:rPr>
        <w:t>1</w:t>
      </w:r>
    </w:p>
    <w:p>
      <w:pPr>
        <w:spacing w:after="0" w:line="121" w:lineRule="exact"/>
        <w:rPr>
          <w:rFonts w:ascii="MS PGothic" w:cs="MS PGothic" w:eastAsia="MS PGothic" w:hAnsi="MS PGothic"/>
          <w:sz w:val="16"/>
          <w:szCs w:val="16"/>
          <w:color w:val="83AD40"/>
        </w:rPr>
      </w:pPr>
    </w:p>
    <w:p>
      <w:pPr>
        <w:ind w:left="1040" w:hanging="224"/>
        <w:spacing w:after="0"/>
        <w:tabs>
          <w:tab w:leader="none" w:pos="1040" w:val="left"/>
        </w:tabs>
        <w:numPr>
          <w:ilvl w:val="0"/>
          <w:numId w:val="6"/>
        </w:numPr>
        <w:rPr>
          <w:rFonts w:ascii="MS PGothic" w:cs="MS PGothic" w:eastAsia="MS PGothic" w:hAnsi="MS PGothic"/>
          <w:sz w:val="16"/>
          <w:szCs w:val="16"/>
          <w:color w:val="83AD40"/>
        </w:rPr>
      </w:pPr>
      <w:r>
        <w:rPr>
          <w:rFonts w:ascii="Arial" w:cs="Arial" w:eastAsia="Arial" w:hAnsi="Arial"/>
          <w:sz w:val="16"/>
          <w:szCs w:val="16"/>
          <w:color w:val="auto"/>
        </w:rPr>
        <w:t>Closed on the sale of an 11.0% interest in One Vanderbilt at a gross asset valuation of $4.7 billion</w:t>
      </w:r>
    </w:p>
    <w:p>
      <w:pPr>
        <w:spacing w:after="0" w:line="180" w:lineRule="exact"/>
        <w:rPr>
          <w:rFonts w:ascii="MS PGothic" w:cs="MS PGothic" w:eastAsia="MS PGothic" w:hAnsi="MS PGothic"/>
          <w:sz w:val="16"/>
          <w:szCs w:val="16"/>
          <w:color w:val="83AD40"/>
        </w:rPr>
      </w:pPr>
    </w:p>
    <w:p>
      <w:pPr>
        <w:ind w:left="1040" w:hanging="224"/>
        <w:spacing w:after="0"/>
        <w:tabs>
          <w:tab w:leader="none" w:pos="1040" w:val="left"/>
        </w:tabs>
        <w:numPr>
          <w:ilvl w:val="0"/>
          <w:numId w:val="6"/>
        </w:numPr>
        <w:rPr>
          <w:rFonts w:ascii="MS PGothic" w:cs="MS PGothic" w:eastAsia="MS PGothic" w:hAnsi="MS PGothic"/>
          <w:sz w:val="16"/>
          <w:szCs w:val="16"/>
          <w:color w:val="83AD40"/>
        </w:rPr>
      </w:pPr>
      <w:r>
        <w:rPr>
          <w:rFonts w:ascii="Arial" w:cs="Arial" w:eastAsia="Arial" w:hAnsi="Arial"/>
          <w:sz w:val="16"/>
          <w:szCs w:val="16"/>
          <w:color w:val="auto"/>
        </w:rPr>
        <w:t>Signed 188 Manhattan office leases at starting rents 8.5% higher than the previous fully escalated rents on the same spaces</w:t>
      </w:r>
    </w:p>
    <w:p>
      <w:pPr>
        <w:spacing w:after="0" w:line="167" w:lineRule="exact"/>
        <w:rPr>
          <w:rFonts w:ascii="MS PGothic" w:cs="MS PGothic" w:eastAsia="MS PGothic" w:hAnsi="MS PGothic"/>
          <w:sz w:val="16"/>
          <w:szCs w:val="16"/>
          <w:color w:val="83AD40"/>
        </w:rPr>
      </w:pPr>
    </w:p>
    <w:p>
      <w:pPr>
        <w:ind w:left="1040" w:hanging="224"/>
        <w:spacing w:after="0"/>
        <w:tabs>
          <w:tab w:leader="none" w:pos="1040" w:val="left"/>
        </w:tabs>
        <w:numPr>
          <w:ilvl w:val="0"/>
          <w:numId w:val="6"/>
        </w:numPr>
        <w:rPr>
          <w:rFonts w:ascii="MS PGothic" w:cs="MS PGothic" w:eastAsia="MS PGothic" w:hAnsi="MS PGothic"/>
          <w:sz w:val="16"/>
          <w:szCs w:val="16"/>
          <w:color w:val="83AD40"/>
        </w:rPr>
      </w:pPr>
      <w:r>
        <w:rPr>
          <w:rFonts w:ascii="Arial" w:cs="Arial" w:eastAsia="Arial" w:hAnsi="Arial"/>
          <w:sz w:val="16"/>
          <w:szCs w:val="16"/>
          <w:color w:val="auto"/>
        </w:rPr>
        <w:t>Sold all condominium units at the new Giorgio Armani Residences at 760 Madison Avenue</w:t>
      </w:r>
    </w:p>
    <w:p>
      <w:pPr>
        <w:spacing w:after="0" w:line="180" w:lineRule="exact"/>
        <w:rPr>
          <w:rFonts w:ascii="MS PGothic" w:cs="MS PGothic" w:eastAsia="MS PGothic" w:hAnsi="MS PGothic"/>
          <w:sz w:val="16"/>
          <w:szCs w:val="16"/>
          <w:color w:val="83AD40"/>
        </w:rPr>
      </w:pPr>
    </w:p>
    <w:p>
      <w:pPr>
        <w:ind w:left="1040" w:hanging="224"/>
        <w:spacing w:after="0"/>
        <w:tabs>
          <w:tab w:leader="none" w:pos="1040" w:val="left"/>
        </w:tabs>
        <w:numPr>
          <w:ilvl w:val="0"/>
          <w:numId w:val="6"/>
        </w:numPr>
        <w:rPr>
          <w:rFonts w:ascii="MS PGothic" w:cs="MS PGothic" w:eastAsia="MS PGothic" w:hAnsi="MS PGothic"/>
          <w:sz w:val="16"/>
          <w:szCs w:val="16"/>
          <w:color w:val="83AD40"/>
        </w:rPr>
      </w:pPr>
      <w:r>
        <w:rPr>
          <w:rFonts w:ascii="Arial" w:cs="Arial" w:eastAsia="Arial" w:hAnsi="Arial"/>
          <w:sz w:val="16"/>
          <w:szCs w:val="16"/>
          <w:color w:val="auto"/>
        </w:rPr>
        <w:t>Refinanced, modified or extended over $5.2 billion of the Company’s debt</w:t>
      </w:r>
    </w:p>
    <w:p>
      <w:pPr>
        <w:spacing w:after="0" w:line="180" w:lineRule="exact"/>
        <w:rPr>
          <w:rFonts w:ascii="MS PGothic" w:cs="MS PGothic" w:eastAsia="MS PGothic" w:hAnsi="MS PGothic"/>
          <w:sz w:val="16"/>
          <w:szCs w:val="16"/>
          <w:color w:val="83AD40"/>
        </w:rPr>
      </w:pPr>
    </w:p>
    <w:p>
      <w:pPr>
        <w:ind w:left="1040" w:hanging="224"/>
        <w:spacing w:after="0"/>
        <w:tabs>
          <w:tab w:leader="none" w:pos="1040" w:val="left"/>
        </w:tabs>
        <w:numPr>
          <w:ilvl w:val="0"/>
          <w:numId w:val="6"/>
        </w:numPr>
        <w:rPr>
          <w:rFonts w:ascii="MS PGothic" w:cs="MS PGothic" w:eastAsia="MS PGothic" w:hAnsi="MS PGothic"/>
          <w:sz w:val="16"/>
          <w:szCs w:val="16"/>
          <w:color w:val="83AD40"/>
        </w:rPr>
      </w:pPr>
      <w:r>
        <w:rPr>
          <w:rFonts w:ascii="Arial" w:cs="Arial" w:eastAsia="Arial" w:hAnsi="Arial"/>
          <w:sz w:val="16"/>
          <w:szCs w:val="16"/>
          <w:color w:val="auto"/>
        </w:rPr>
        <w:t>Further leveraged Company’s low G&amp;A expense base, with new high-value, low-cost businesses</w:t>
      </w:r>
    </w:p>
    <w:p>
      <w:pPr>
        <w:spacing w:after="0" w:line="167" w:lineRule="exact"/>
        <w:rPr>
          <w:rFonts w:ascii="MS PGothic" w:cs="MS PGothic" w:eastAsia="MS PGothic" w:hAnsi="MS PGothic"/>
          <w:sz w:val="16"/>
          <w:szCs w:val="16"/>
          <w:color w:val="83AD40"/>
        </w:rPr>
      </w:pPr>
    </w:p>
    <w:p>
      <w:pPr>
        <w:ind w:left="1040" w:hanging="224"/>
        <w:spacing w:after="0"/>
        <w:tabs>
          <w:tab w:leader="none" w:pos="1040" w:val="left"/>
        </w:tabs>
        <w:numPr>
          <w:ilvl w:val="0"/>
          <w:numId w:val="6"/>
        </w:numPr>
        <w:rPr>
          <w:rFonts w:ascii="MS PGothic" w:cs="MS PGothic" w:eastAsia="MS PGothic" w:hAnsi="MS PGothic"/>
          <w:sz w:val="16"/>
          <w:szCs w:val="16"/>
          <w:color w:val="83AD40"/>
        </w:rPr>
      </w:pPr>
      <w:r>
        <w:rPr>
          <w:rFonts w:ascii="Arial" w:cs="Arial" w:eastAsia="Arial" w:hAnsi="Arial"/>
          <w:sz w:val="16"/>
          <w:szCs w:val="16"/>
          <w:color w:val="auto"/>
        </w:rPr>
        <w:t>Outperformance and downside protection driven by opportunistic dispositions since 2020 and stock buybacks since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1941195</wp:posOffset>
            </wp:positionV>
            <wp:extent cx="1234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ectPr>
          <w:pgSz w:w="11900" w:h="16838" w:orient="portrait"/>
          <w:cols w:equalWidth="0" w:num="1">
            <w:col w:w="9980"/>
          </w:cols>
          <w:pgMar w:left="580" w:top="97"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040" w:hanging="224"/>
        <w:spacing w:after="0"/>
        <w:tabs>
          <w:tab w:leader="none" w:pos="1040" w:val="left"/>
        </w:tabs>
        <w:numPr>
          <w:ilvl w:val="0"/>
          <w:numId w:val="7"/>
        </w:numPr>
        <w:rPr>
          <w:rFonts w:ascii="Arial" w:cs="Arial" w:eastAsia="Arial" w:hAnsi="Arial"/>
          <w:sz w:val="22"/>
          <w:szCs w:val="22"/>
          <w:color w:val="auto"/>
          <w:vertAlign w:val="superscript"/>
        </w:rPr>
      </w:pPr>
      <w:r>
        <w:rPr>
          <w:rFonts w:ascii="Arial" w:cs="Arial" w:eastAsia="Arial" w:hAnsi="Arial"/>
          <w:sz w:val="14"/>
          <w:szCs w:val="14"/>
          <w:color w:val="auto"/>
        </w:rPr>
        <w:t xml:space="preserve">Colliers. (Q4 2024). </w:t>
      </w:r>
      <w:r>
        <w:rPr>
          <w:rFonts w:ascii="Arial" w:cs="Arial" w:eastAsia="Arial" w:hAnsi="Arial"/>
          <w:sz w:val="14"/>
          <w:szCs w:val="14"/>
          <w:i w:val="1"/>
          <w:iCs w:val="1"/>
          <w:color w:val="auto"/>
        </w:rPr>
        <w:t>Research Report: New York City, Manhattan Office.</w:t>
      </w:r>
      <w:r>
        <w:rPr>
          <w:rFonts w:ascii="Arial" w:cs="Arial" w:eastAsia="Arial" w:hAnsi="Arial"/>
          <w:sz w:val="14"/>
          <w:szCs w:val="14"/>
          <w:color w:val="auto"/>
        </w:rPr>
        <w:t xml:space="preserve"> Retrieved from Colliers.com.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80"/>
          </w:cols>
          <w:pgMar w:left="580" w:top="97" w:right="1339"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p>
      <w:pPr>
        <w:ind w:left="820"/>
        <w:spacing w:after="0"/>
        <w:tabs>
          <w:tab w:leader="none" w:pos="1440" w:val="left"/>
          <w:tab w:leader="none" w:pos="9860" w:val="left"/>
        </w:tabs>
        <w:rPr>
          <w:sz w:val="20"/>
          <w:szCs w:val="20"/>
          <w:color w:val="auto"/>
        </w:rPr>
      </w:pPr>
      <w:r>
        <w:rPr>
          <w:rFonts w:ascii="Arial" w:cs="Arial" w:eastAsia="Arial" w:hAnsi="Arial"/>
          <w:sz w:val="22"/>
          <w:szCs w:val="22"/>
          <w:b w:val="1"/>
          <w:bCs w:val="1"/>
          <w:color w:val="1F2668"/>
        </w:rPr>
        <w:t>2​</w:t>
      </w:r>
      <w:r>
        <w:rPr>
          <w:sz w:val="20"/>
          <w:szCs w:val="20"/>
          <w:color w:val="auto"/>
        </w:rPr>
        <w:tab/>
      </w:r>
      <w:r>
        <w:rPr>
          <w:rFonts w:ascii="Arial" w:cs="Arial" w:eastAsia="Arial" w:hAnsi="Arial"/>
          <w:sz w:val="22"/>
          <w:szCs w:val="22"/>
          <w:b w:val="1"/>
          <w:bCs w:val="1"/>
          <w:color w:val="1F2668"/>
        </w:rPr>
        <w:t xml:space="preserve">​ ​ </w:t>
      </w:r>
      <w:r>
        <w:rPr>
          <w:rFonts w:ascii="Arial" w:cs="Arial" w:eastAsia="Arial" w:hAnsi="Arial"/>
          <w:sz w:val="14"/>
          <w:szCs w:val="14"/>
          <w:b w:val="1"/>
          <w:bCs w:val="1"/>
          <w:color w:val="1F2668"/>
        </w:rPr>
        <w:t>SL GREEN REALTY CORP. 2025 PROXY STATEMENT</w:t>
      </w:r>
      <w:r>
        <w:rPr>
          <w:sz w:val="20"/>
          <w:szCs w:val="20"/>
          <w:color w:val="auto"/>
        </w:rPr>
        <w:tab/>
      </w:r>
      <w:r>
        <w:rPr>
          <w:rFonts w:ascii="Arial" w:cs="Arial" w:eastAsia="Arial" w:hAnsi="Arial"/>
          <w:sz w:val="22"/>
          <w:szCs w:val="22"/>
          <w:b w:val="1"/>
          <w:bCs w:val="1"/>
          <w:color w:val="1F2668"/>
        </w:rPr>
        <w:t>​</w:t>
      </w:r>
    </w:p>
    <w:p>
      <w:pPr>
        <w:spacing w:after="0" w:line="200" w:lineRule="exact"/>
        <w:rPr>
          <w:sz w:val="20"/>
          <w:szCs w:val="20"/>
          <w:color w:val="auto"/>
        </w:rPr>
      </w:pPr>
    </w:p>
    <w:p>
      <w:pPr>
        <w:spacing w:after="0" w:line="257" w:lineRule="exact"/>
        <w:rPr>
          <w:sz w:val="20"/>
          <w:szCs w:val="20"/>
          <w:color w:val="auto"/>
        </w:rPr>
      </w:pPr>
    </w:p>
    <w:p>
      <w:pPr>
        <w:ind w:left="820" w:right="520"/>
        <w:spacing w:after="0" w:line="278" w:lineRule="auto"/>
        <w:rPr>
          <w:sz w:val="20"/>
          <w:szCs w:val="20"/>
          <w:color w:val="auto"/>
        </w:rPr>
      </w:pPr>
      <w:r>
        <w:rPr>
          <w:rFonts w:ascii="Arial" w:cs="Arial" w:eastAsia="Arial" w:hAnsi="Arial"/>
          <w:sz w:val="29"/>
          <w:szCs w:val="29"/>
          <w:b w:val="1"/>
          <w:bCs w:val="1"/>
          <w:color w:val="83AD40"/>
        </w:rPr>
        <w:t>CEO AGREEMENT EXTENDS OUR TRACK RECORD OF BOARD RESPONSIVENESS</w:t>
      </w:r>
    </w:p>
    <w:p>
      <w:pPr>
        <w:spacing w:after="0" w:line="44" w:lineRule="exact"/>
        <w:rPr>
          <w:sz w:val="20"/>
          <w:szCs w:val="20"/>
          <w:color w:val="auto"/>
        </w:rPr>
      </w:pPr>
    </w:p>
    <w:p>
      <w:pPr>
        <w:ind w:left="820" w:right="880"/>
        <w:spacing w:after="0" w:line="314" w:lineRule="auto"/>
        <w:rPr>
          <w:sz w:val="20"/>
          <w:szCs w:val="20"/>
          <w:color w:val="auto"/>
        </w:rPr>
      </w:pPr>
      <w:r>
        <w:rPr>
          <w:rFonts w:ascii="Arial" w:cs="Arial" w:eastAsia="Arial" w:hAnsi="Arial"/>
          <w:sz w:val="16"/>
          <w:szCs w:val="16"/>
          <w:b w:val="1"/>
          <w:bCs w:val="1"/>
          <w:color w:val="auto"/>
        </w:rPr>
        <w:t>New agreement incentivizes the execution of SLG’s visionary long-term strategy AND delivers on the Board’s commitment to stockholders</w:t>
      </w:r>
      <w:r>
        <w:rPr>
          <w:rFonts w:ascii="Arial" w:cs="Arial" w:eastAsia="Arial" w:hAnsi="Arial"/>
          <w:sz w:val="16"/>
          <w:szCs w:val="16"/>
          <w:color w:val="auto"/>
        </w:rPr>
        <w:t>.</w:t>
      </w:r>
    </w:p>
    <w:p>
      <w:pPr>
        <w:spacing w:after="0" w:line="140" w:lineRule="exact"/>
        <w:rPr>
          <w:sz w:val="20"/>
          <w:szCs w:val="20"/>
          <w:color w:val="auto"/>
        </w:rPr>
      </w:pPr>
    </w:p>
    <w:tbl>
      <w:tblPr>
        <w:tblLayout w:type="fixed"/>
        <w:tblInd w:w="820" w:type="dxa"/>
        <w:tblCellMar>
          <w:top w:w="0" w:type="dxa"/>
          <w:left w:w="0" w:type="dxa"/>
          <w:bottom w:w="0" w:type="dxa"/>
          <w:right w:w="0" w:type="dxa"/>
        </w:tblCellMar>
      </w:tblPr>
      <w:tr>
        <w:trPr>
          <w:trHeight w:val="342"/>
        </w:trPr>
        <w:tc>
          <w:tcPr>
            <w:tcW w:w="320" w:type="dxa"/>
            <w:vAlign w:val="bottom"/>
            <w:shd w:val="clear" w:color="auto" w:fill="E9F9D8"/>
          </w:tcPr>
          <w:p>
            <w:pPr>
              <w:spacing w:after="0"/>
              <w:rPr>
                <w:sz w:val="20"/>
                <w:szCs w:val="20"/>
                <w:color w:val="auto"/>
              </w:rPr>
            </w:pPr>
            <w:r>
              <w:rPr>
                <w:rFonts w:ascii="Arial" w:cs="Arial" w:eastAsia="Arial" w:hAnsi="Arial"/>
                <w:sz w:val="23"/>
                <w:szCs w:val="23"/>
                <w:b w:val="1"/>
                <w:bCs w:val="1"/>
                <w:color w:val="auto"/>
              </w:rPr>
              <w:t>​</w:t>
            </w:r>
          </w:p>
        </w:tc>
        <w:tc>
          <w:tcPr>
            <w:tcW w:w="8420" w:type="dxa"/>
            <w:vAlign w:val="bottom"/>
            <w:vMerge w:val="restart"/>
            <w:shd w:val="clear" w:color="auto" w:fill="E9F9D8"/>
          </w:tcPr>
          <w:p>
            <w:pPr>
              <w:spacing w:after="0"/>
              <w:rPr>
                <w:sz w:val="20"/>
                <w:szCs w:val="20"/>
                <w:color w:val="auto"/>
              </w:rPr>
            </w:pPr>
            <w:r>
              <w:rPr>
                <w:rFonts w:ascii="Arial" w:cs="Arial" w:eastAsia="Arial" w:hAnsi="Arial"/>
                <w:sz w:val="23"/>
                <w:szCs w:val="23"/>
                <w:b w:val="1"/>
                <w:bCs w:val="1"/>
                <w:color w:val="auto"/>
              </w:rPr>
              <w:t>New CEO Agreement Highlights:</w:t>
            </w:r>
            <w:r>
              <w:rPr>
                <w:rFonts w:ascii="Arial" w:cs="Arial" w:eastAsia="Arial" w:hAnsi="Arial"/>
                <w:sz w:val="16"/>
                <w:szCs w:val="16"/>
                <w:color w:val="auto"/>
              </w:rPr>
              <w:t>​</w:t>
            </w:r>
          </w:p>
        </w:tc>
        <w:tc>
          <w:tcPr>
            <w:tcW w:w="320" w:type="dxa"/>
            <w:vAlign w:val="bottom"/>
            <w:shd w:val="clear" w:color="auto" w:fill="E9F9D8"/>
          </w:tcPr>
          <w:p>
            <w:pPr>
              <w:spacing w:after="0"/>
              <w:rPr>
                <w:sz w:val="20"/>
                <w:szCs w:val="20"/>
                <w:color w:val="auto"/>
              </w:rPr>
            </w:pPr>
            <w:r>
              <w:rPr>
                <w:rFonts w:ascii="Arial" w:cs="Arial" w:eastAsia="Arial" w:hAnsi="Arial"/>
                <w:sz w:val="23"/>
                <w:szCs w:val="23"/>
                <w:b w:val="1"/>
                <w:bCs w:val="1"/>
                <w:color w:val="auto"/>
              </w:rPr>
              <w:t>​</w:t>
            </w:r>
          </w:p>
        </w:tc>
        <w:tc>
          <w:tcPr>
            <w:tcW w:w="0" w:type="dxa"/>
            <w:vAlign w:val="bottom"/>
          </w:tcPr>
          <w:p>
            <w:pPr>
              <w:spacing w:after="0"/>
              <w:rPr>
                <w:sz w:val="1"/>
                <w:szCs w:val="1"/>
                <w:color w:val="auto"/>
              </w:rPr>
            </w:pPr>
          </w:p>
        </w:tc>
      </w:tr>
      <w:tr>
        <w:trPr>
          <w:trHeight w:val="239"/>
        </w:trPr>
        <w:tc>
          <w:tcPr>
            <w:tcW w:w="320" w:type="dxa"/>
            <w:vAlign w:val="bottom"/>
            <w:vMerge w:val="restart"/>
            <w:shd w:val="clear" w:color="auto" w:fill="E9F9D8"/>
          </w:tcPr>
          <w:p>
            <w:pPr>
              <w:spacing w:after="0"/>
              <w:rPr>
                <w:sz w:val="20"/>
                <w:szCs w:val="20"/>
                <w:color w:val="auto"/>
              </w:rPr>
            </w:pPr>
            <w:r>
              <w:rPr>
                <w:rFonts w:ascii="Arial" w:cs="Arial" w:eastAsia="Arial" w:hAnsi="Arial"/>
                <w:sz w:val="16"/>
                <w:szCs w:val="16"/>
                <w:color w:val="auto"/>
              </w:rPr>
              <w:t>​</w:t>
            </w:r>
          </w:p>
        </w:tc>
        <w:tc>
          <w:tcPr>
            <w:tcW w:w="8420" w:type="dxa"/>
            <w:vAlign w:val="bottom"/>
            <w:vMerge w:val="continue"/>
            <w:shd w:val="clear" w:color="auto" w:fill="E9F9D8"/>
          </w:tcPr>
          <w:p>
            <w:pPr>
              <w:spacing w:after="0"/>
              <w:rPr>
                <w:sz w:val="20"/>
                <w:szCs w:val="20"/>
                <w:color w:val="auto"/>
              </w:rPr>
            </w:pPr>
          </w:p>
        </w:tc>
        <w:tc>
          <w:tcPr>
            <w:tcW w:w="320" w:type="dxa"/>
            <w:vAlign w:val="bottom"/>
            <w:vMerge w:val="restart"/>
            <w:shd w:val="clear" w:color="auto" w:fill="E9F9D8"/>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320" w:type="dxa"/>
            <w:vAlign w:val="bottom"/>
            <w:vMerge w:val="continue"/>
            <w:shd w:val="clear" w:color="auto" w:fill="E9F9D8"/>
          </w:tcPr>
          <w:p>
            <w:pPr>
              <w:spacing w:after="0"/>
              <w:rPr>
                <w:sz w:val="17"/>
                <w:szCs w:val="17"/>
                <w:color w:val="auto"/>
              </w:rPr>
            </w:pPr>
          </w:p>
        </w:tc>
        <w:tc>
          <w:tcPr>
            <w:tcW w:w="8420" w:type="dxa"/>
            <w:vAlign w:val="bottom"/>
            <w:vMerge w:val="restart"/>
            <w:shd w:val="clear" w:color="auto" w:fill="E9F9D8"/>
          </w:tcPr>
          <w:p>
            <w:pPr>
              <w:spacing w:after="0" w:line="184" w:lineRule="exact"/>
              <w:rPr>
                <w:sz w:val="20"/>
                <w:szCs w:val="20"/>
                <w:color w:val="auto"/>
              </w:rPr>
            </w:pPr>
            <w:r>
              <w:rPr>
                <w:rFonts w:ascii="MS PGothic" w:cs="MS PGothic" w:eastAsia="MS PGothic" w:hAnsi="MS PGothic"/>
                <w:sz w:val="16"/>
                <w:szCs w:val="16"/>
                <w:color w:val="83AD40"/>
              </w:rPr>
              <w:t>✓</w:t>
            </w:r>
            <w:r>
              <w:rPr>
                <w:rFonts w:ascii="Arial" w:cs="Arial" w:eastAsia="Arial" w:hAnsi="Arial"/>
                <w:sz w:val="16"/>
                <w:szCs w:val="16"/>
                <w:color w:val="auto"/>
              </w:rPr>
              <w:t xml:space="preserve"> Base salary is the only fixed pay element</w:t>
            </w:r>
          </w:p>
        </w:tc>
        <w:tc>
          <w:tcPr>
            <w:tcW w:w="320" w:type="dxa"/>
            <w:vAlign w:val="bottom"/>
            <w:vMerge w:val="continue"/>
            <w:shd w:val="clear" w:color="auto" w:fill="E9F9D8"/>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20" w:type="dxa"/>
            <w:vAlign w:val="bottom"/>
            <w:shd w:val="clear" w:color="auto" w:fill="E9F9D8"/>
          </w:tcPr>
          <w:p>
            <w:pPr>
              <w:spacing w:after="0"/>
              <w:rPr>
                <w:sz w:val="13"/>
                <w:szCs w:val="13"/>
                <w:color w:val="auto"/>
              </w:rPr>
            </w:pPr>
          </w:p>
        </w:tc>
        <w:tc>
          <w:tcPr>
            <w:tcW w:w="8420" w:type="dxa"/>
            <w:vAlign w:val="bottom"/>
            <w:vMerge w:val="continue"/>
            <w:shd w:val="clear" w:color="auto" w:fill="E9F9D8"/>
          </w:tcPr>
          <w:p>
            <w:pPr>
              <w:spacing w:after="0"/>
              <w:rPr>
                <w:sz w:val="13"/>
                <w:szCs w:val="13"/>
                <w:color w:val="auto"/>
              </w:rPr>
            </w:pPr>
          </w:p>
        </w:tc>
        <w:tc>
          <w:tcPr>
            <w:tcW w:w="320" w:type="dxa"/>
            <w:vAlign w:val="bottom"/>
            <w:shd w:val="clear" w:color="auto" w:fill="E9F9D8"/>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320" w:type="dxa"/>
            <w:vAlign w:val="bottom"/>
            <w:shd w:val="clear" w:color="auto" w:fill="E9F9D8"/>
          </w:tcPr>
          <w:p>
            <w:pPr>
              <w:spacing w:after="0"/>
              <w:rPr>
                <w:sz w:val="20"/>
                <w:szCs w:val="20"/>
                <w:color w:val="auto"/>
              </w:rPr>
            </w:pPr>
            <w:r>
              <w:rPr>
                <w:rFonts w:ascii="Arial" w:cs="Arial" w:eastAsia="Arial" w:hAnsi="Arial"/>
                <w:sz w:val="16"/>
                <w:szCs w:val="16"/>
                <w:color w:val="auto"/>
              </w:rPr>
              <w:t>​</w:t>
            </w:r>
          </w:p>
        </w:tc>
        <w:tc>
          <w:tcPr>
            <w:tcW w:w="8420" w:type="dxa"/>
            <w:vAlign w:val="bottom"/>
            <w:shd w:val="clear" w:color="auto" w:fill="E9F9D8"/>
          </w:tcPr>
          <w:p>
            <w:pPr>
              <w:spacing w:after="0" w:line="184" w:lineRule="exact"/>
              <w:rPr>
                <w:sz w:val="20"/>
                <w:szCs w:val="20"/>
                <w:color w:val="auto"/>
              </w:rPr>
            </w:pPr>
            <w:r>
              <w:rPr>
                <w:rFonts w:ascii="MS PGothic" w:cs="MS PGothic" w:eastAsia="MS PGothic" w:hAnsi="MS PGothic"/>
                <w:sz w:val="16"/>
                <w:szCs w:val="16"/>
                <w:color w:val="83AD40"/>
              </w:rPr>
              <w:t>✓</w:t>
            </w:r>
            <w:r>
              <w:rPr>
                <w:rFonts w:ascii="Arial" w:cs="Arial" w:eastAsia="Arial" w:hAnsi="Arial"/>
                <w:sz w:val="16"/>
                <w:szCs w:val="16"/>
                <w:color w:val="auto"/>
              </w:rPr>
              <w:t xml:space="preserve"> 100% of CEO annual incentive based on formulaic outcome</w:t>
            </w:r>
          </w:p>
        </w:tc>
        <w:tc>
          <w:tcPr>
            <w:tcW w:w="320" w:type="dxa"/>
            <w:vAlign w:val="bottom"/>
            <w:shd w:val="clear" w:color="auto" w:fill="E9F9D8"/>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320" w:type="dxa"/>
            <w:vAlign w:val="bottom"/>
            <w:shd w:val="clear" w:color="auto" w:fill="E9F9D8"/>
          </w:tcPr>
          <w:p>
            <w:pPr>
              <w:spacing w:after="0"/>
              <w:rPr>
                <w:sz w:val="20"/>
                <w:szCs w:val="20"/>
                <w:color w:val="auto"/>
              </w:rPr>
            </w:pPr>
            <w:r>
              <w:rPr>
                <w:rFonts w:ascii="Arial" w:cs="Arial" w:eastAsia="Arial" w:hAnsi="Arial"/>
                <w:sz w:val="16"/>
                <w:szCs w:val="16"/>
                <w:color w:val="auto"/>
              </w:rPr>
              <w:t>​</w:t>
            </w:r>
          </w:p>
        </w:tc>
        <w:tc>
          <w:tcPr>
            <w:tcW w:w="8420" w:type="dxa"/>
            <w:vAlign w:val="bottom"/>
            <w:shd w:val="clear" w:color="auto" w:fill="E9F9D8"/>
          </w:tcPr>
          <w:p>
            <w:pPr>
              <w:spacing w:after="0" w:line="184" w:lineRule="exact"/>
              <w:rPr>
                <w:sz w:val="20"/>
                <w:szCs w:val="20"/>
                <w:color w:val="auto"/>
              </w:rPr>
            </w:pPr>
            <w:r>
              <w:rPr>
                <w:rFonts w:ascii="MS PGothic" w:cs="MS PGothic" w:eastAsia="MS PGothic" w:hAnsi="MS PGothic"/>
                <w:sz w:val="16"/>
                <w:szCs w:val="16"/>
                <w:color w:val="83AD40"/>
              </w:rPr>
              <w:t>✓</w:t>
            </w:r>
            <w:r>
              <w:rPr>
                <w:rFonts w:ascii="Arial" w:cs="Arial" w:eastAsia="Arial" w:hAnsi="Arial"/>
                <w:sz w:val="16"/>
                <w:szCs w:val="16"/>
                <w:b w:val="1"/>
                <w:bCs w:val="1"/>
                <w:color w:val="auto"/>
              </w:rPr>
              <w:t xml:space="preserve"> Elimination of short-term performance goals for long-term equity incentives, in line with prior commitment</w:t>
            </w:r>
          </w:p>
        </w:tc>
        <w:tc>
          <w:tcPr>
            <w:tcW w:w="320" w:type="dxa"/>
            <w:vAlign w:val="bottom"/>
            <w:shd w:val="clear" w:color="auto" w:fill="E9F9D8"/>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320" w:type="dxa"/>
            <w:vAlign w:val="bottom"/>
            <w:shd w:val="clear" w:color="auto" w:fill="E9F9D8"/>
          </w:tcPr>
          <w:p>
            <w:pPr>
              <w:spacing w:after="0"/>
              <w:rPr>
                <w:sz w:val="20"/>
                <w:szCs w:val="20"/>
                <w:color w:val="auto"/>
              </w:rPr>
            </w:pPr>
            <w:r>
              <w:rPr>
                <w:rFonts w:ascii="Arial" w:cs="Arial" w:eastAsia="Arial" w:hAnsi="Arial"/>
                <w:sz w:val="16"/>
                <w:szCs w:val="16"/>
                <w:color w:val="auto"/>
              </w:rPr>
              <w:t>​</w:t>
            </w:r>
          </w:p>
        </w:tc>
        <w:tc>
          <w:tcPr>
            <w:tcW w:w="8420" w:type="dxa"/>
            <w:vAlign w:val="bottom"/>
            <w:shd w:val="clear" w:color="auto" w:fill="E9F9D8"/>
          </w:tcPr>
          <w:p>
            <w:pPr>
              <w:spacing w:after="0" w:line="184" w:lineRule="exact"/>
              <w:rPr>
                <w:sz w:val="20"/>
                <w:szCs w:val="20"/>
                <w:color w:val="auto"/>
              </w:rPr>
            </w:pPr>
            <w:r>
              <w:rPr>
                <w:rFonts w:ascii="MS PGothic" w:cs="MS PGothic" w:eastAsia="MS PGothic" w:hAnsi="MS PGothic"/>
                <w:sz w:val="16"/>
                <w:szCs w:val="16"/>
                <w:color w:val="83AD40"/>
              </w:rPr>
              <w:t>✓</w:t>
            </w:r>
            <w:r>
              <w:rPr>
                <w:rFonts w:ascii="Arial" w:cs="Arial" w:eastAsia="Arial" w:hAnsi="Arial"/>
                <w:sz w:val="16"/>
                <w:szCs w:val="16"/>
                <w:color w:val="auto"/>
              </w:rPr>
              <w:t xml:space="preserve"> Reduction of performance-based equity awards target value from $7.5 million to $5 million</w:t>
            </w:r>
          </w:p>
        </w:tc>
        <w:tc>
          <w:tcPr>
            <w:tcW w:w="320" w:type="dxa"/>
            <w:vAlign w:val="bottom"/>
            <w:shd w:val="clear" w:color="auto" w:fill="E9F9D8"/>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2"/>
        </w:trPr>
        <w:tc>
          <w:tcPr>
            <w:tcW w:w="320" w:type="dxa"/>
            <w:vAlign w:val="bottom"/>
            <w:shd w:val="clear" w:color="auto" w:fill="E9F9D8"/>
          </w:tcPr>
          <w:p>
            <w:pPr>
              <w:spacing w:after="0"/>
              <w:rPr>
                <w:sz w:val="20"/>
                <w:szCs w:val="20"/>
                <w:color w:val="auto"/>
              </w:rPr>
            </w:pPr>
            <w:r>
              <w:rPr>
                <w:rFonts w:ascii="Arial" w:cs="Arial" w:eastAsia="Arial" w:hAnsi="Arial"/>
                <w:sz w:val="16"/>
                <w:szCs w:val="16"/>
                <w:color w:val="auto"/>
              </w:rPr>
              <w:t>​</w:t>
            </w:r>
          </w:p>
        </w:tc>
        <w:tc>
          <w:tcPr>
            <w:tcW w:w="8420" w:type="dxa"/>
            <w:vAlign w:val="bottom"/>
            <w:shd w:val="clear" w:color="auto" w:fill="E9F9D8"/>
          </w:tcPr>
          <w:p>
            <w:pPr>
              <w:spacing w:after="0" w:line="184" w:lineRule="exact"/>
              <w:rPr>
                <w:sz w:val="20"/>
                <w:szCs w:val="20"/>
                <w:color w:val="auto"/>
              </w:rPr>
            </w:pPr>
            <w:r>
              <w:rPr>
                <w:rFonts w:ascii="MS PGothic" w:cs="MS PGothic" w:eastAsia="MS PGothic" w:hAnsi="MS PGothic"/>
                <w:sz w:val="16"/>
                <w:szCs w:val="16"/>
                <w:color w:val="83AD40"/>
              </w:rPr>
              <w:t>✓</w:t>
            </w:r>
            <w:r>
              <w:rPr>
                <w:rFonts w:ascii="Arial" w:cs="Arial" w:eastAsia="Arial" w:hAnsi="Arial"/>
                <w:sz w:val="16"/>
                <w:szCs w:val="16"/>
                <w:color w:val="auto"/>
              </w:rPr>
              <w:t xml:space="preserve"> Modified cash severance to average bonus in prior two years (from maximum bonus) for certain termination events</w:t>
            </w:r>
          </w:p>
        </w:tc>
        <w:tc>
          <w:tcPr>
            <w:tcW w:w="320" w:type="dxa"/>
            <w:vAlign w:val="bottom"/>
            <w:shd w:val="clear" w:color="auto" w:fill="E9F9D8"/>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84"/>
        </w:trPr>
        <w:tc>
          <w:tcPr>
            <w:tcW w:w="320" w:type="dxa"/>
            <w:vAlign w:val="bottom"/>
            <w:shd w:val="clear" w:color="auto" w:fill="E9F9D8"/>
          </w:tcPr>
          <w:p>
            <w:pPr>
              <w:spacing w:after="0"/>
              <w:rPr>
                <w:sz w:val="20"/>
                <w:szCs w:val="20"/>
                <w:color w:val="auto"/>
              </w:rPr>
            </w:pPr>
            <w:r>
              <w:rPr>
                <w:rFonts w:ascii="Arial" w:cs="Arial" w:eastAsia="Arial" w:hAnsi="Arial"/>
                <w:sz w:val="16"/>
                <w:szCs w:val="16"/>
                <w:b w:val="1"/>
                <w:bCs w:val="1"/>
                <w:color w:val="auto"/>
              </w:rPr>
              <w:t>​</w:t>
            </w:r>
          </w:p>
        </w:tc>
        <w:tc>
          <w:tcPr>
            <w:tcW w:w="8420" w:type="dxa"/>
            <w:vAlign w:val="bottom"/>
            <w:shd w:val="clear" w:color="auto" w:fill="E9F9D8"/>
          </w:tcPr>
          <w:p>
            <w:pPr>
              <w:spacing w:after="0" w:line="184" w:lineRule="exact"/>
              <w:rPr>
                <w:sz w:val="20"/>
                <w:szCs w:val="20"/>
                <w:color w:val="auto"/>
              </w:rPr>
            </w:pPr>
            <w:r>
              <w:rPr>
                <w:rFonts w:ascii="MS PGothic" w:cs="MS PGothic" w:eastAsia="MS PGothic" w:hAnsi="MS PGothic"/>
                <w:sz w:val="16"/>
                <w:szCs w:val="16"/>
                <w:color w:val="83AD40"/>
              </w:rPr>
              <w:t>✓</w:t>
            </w:r>
            <w:r>
              <w:rPr>
                <w:rFonts w:ascii="Arial" w:cs="Arial" w:eastAsia="Arial" w:hAnsi="Arial"/>
                <w:sz w:val="16"/>
                <w:szCs w:val="16"/>
                <w:b w:val="1"/>
                <w:bCs w:val="1"/>
                <w:color w:val="auto"/>
              </w:rPr>
              <w:t xml:space="preserve"> Incentivizes long-term visionary strategy to diversify beyond SLG’s traditional portfolio of well-located,</w:t>
            </w:r>
          </w:p>
        </w:tc>
        <w:tc>
          <w:tcPr>
            <w:tcW w:w="320" w:type="dxa"/>
            <w:vAlign w:val="bottom"/>
            <w:shd w:val="clear" w:color="auto" w:fill="E9F9D8"/>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320" w:type="dxa"/>
            <w:vAlign w:val="bottom"/>
            <w:shd w:val="clear" w:color="auto" w:fill="E9F9D8"/>
          </w:tcPr>
          <w:p>
            <w:pPr>
              <w:spacing w:after="0"/>
              <w:rPr>
                <w:sz w:val="19"/>
                <w:szCs w:val="19"/>
                <w:color w:val="auto"/>
              </w:rPr>
            </w:pPr>
          </w:p>
        </w:tc>
        <w:tc>
          <w:tcPr>
            <w:tcW w:w="8420" w:type="dxa"/>
            <w:vAlign w:val="bottom"/>
            <w:shd w:val="clear" w:color="auto" w:fill="E9F9D8"/>
          </w:tcPr>
          <w:p>
            <w:pPr>
              <w:ind w:left="220"/>
              <w:spacing w:after="0"/>
              <w:rPr>
                <w:sz w:val="20"/>
                <w:szCs w:val="20"/>
                <w:color w:val="auto"/>
              </w:rPr>
            </w:pPr>
            <w:r>
              <w:rPr>
                <w:rFonts w:ascii="Arial" w:cs="Arial" w:eastAsia="Arial" w:hAnsi="Arial"/>
                <w:sz w:val="16"/>
                <w:szCs w:val="16"/>
                <w:b w:val="1"/>
                <w:bCs w:val="1"/>
                <w:color w:val="auto"/>
              </w:rPr>
              <w:t>amenitized and sustainable Class A assets</w:t>
            </w:r>
          </w:p>
        </w:tc>
        <w:tc>
          <w:tcPr>
            <w:tcW w:w="320" w:type="dxa"/>
            <w:vAlign w:val="bottom"/>
            <w:shd w:val="clear" w:color="auto" w:fill="E9F9D8"/>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20" w:type="dxa"/>
            <w:vAlign w:val="bottom"/>
            <w:shd w:val="clear" w:color="auto" w:fill="E9F9D8"/>
          </w:tcPr>
          <w:p>
            <w:pPr>
              <w:spacing w:after="0"/>
              <w:rPr>
                <w:sz w:val="22"/>
                <w:szCs w:val="22"/>
                <w:color w:val="auto"/>
              </w:rPr>
            </w:pPr>
          </w:p>
        </w:tc>
        <w:tc>
          <w:tcPr>
            <w:tcW w:w="8420" w:type="dxa"/>
            <w:vAlign w:val="bottom"/>
            <w:shd w:val="clear" w:color="auto" w:fill="E9F9D8"/>
          </w:tcPr>
          <w:p>
            <w:pPr>
              <w:spacing w:after="0"/>
              <w:rPr>
                <w:sz w:val="22"/>
                <w:szCs w:val="22"/>
                <w:color w:val="auto"/>
              </w:rPr>
            </w:pPr>
          </w:p>
        </w:tc>
        <w:tc>
          <w:tcPr>
            <w:tcW w:w="320" w:type="dxa"/>
            <w:vAlign w:val="bottom"/>
            <w:shd w:val="clear" w:color="auto" w:fill="E9F9D8"/>
          </w:tcPr>
          <w:p>
            <w:pPr>
              <w:spacing w:after="0"/>
              <w:rPr>
                <w:sz w:val="22"/>
                <w:szCs w:val="22"/>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auto"/>
        </w:rPr>
        <w:t>Visionary Long-Term Strategy</w:t>
      </w:r>
    </w:p>
    <w:p>
      <w:pPr>
        <w:spacing w:after="0" w:line="119" w:lineRule="exact"/>
        <w:rPr>
          <w:sz w:val="20"/>
          <w:szCs w:val="20"/>
          <w:color w:val="auto"/>
        </w:rPr>
      </w:pPr>
    </w:p>
    <w:p>
      <w:pPr>
        <w:ind w:left="1040" w:hanging="224"/>
        <w:spacing w:after="0"/>
        <w:tabs>
          <w:tab w:leader="none" w:pos="1040" w:val="left"/>
        </w:tabs>
        <w:numPr>
          <w:ilvl w:val="0"/>
          <w:numId w:val="8"/>
        </w:numPr>
        <w:rPr>
          <w:rFonts w:ascii="MS PGothic" w:cs="MS PGothic" w:eastAsia="MS PGothic" w:hAnsi="MS PGothic"/>
          <w:sz w:val="16"/>
          <w:szCs w:val="16"/>
          <w:color w:val="auto"/>
        </w:rPr>
      </w:pPr>
      <w:r>
        <w:rPr>
          <w:rFonts w:ascii="Arial" w:cs="Arial" w:eastAsia="Arial" w:hAnsi="Arial"/>
          <w:sz w:val="16"/>
          <w:szCs w:val="16"/>
          <w:color w:val="auto"/>
        </w:rPr>
        <w:t>Build new highly profitable, complementary businesses</w:t>
      </w:r>
    </w:p>
    <w:p>
      <w:pPr>
        <w:spacing w:after="0" w:line="140" w:lineRule="exact"/>
        <w:rPr>
          <w:rFonts w:ascii="MS PGothic" w:cs="MS PGothic" w:eastAsia="MS PGothic" w:hAnsi="MS PGothic"/>
          <w:sz w:val="16"/>
          <w:szCs w:val="16"/>
          <w:color w:val="auto"/>
        </w:rPr>
      </w:pPr>
    </w:p>
    <w:p>
      <w:pPr>
        <w:ind w:left="1040" w:hanging="224"/>
        <w:spacing w:after="0"/>
        <w:tabs>
          <w:tab w:leader="none" w:pos="1040" w:val="left"/>
        </w:tabs>
        <w:numPr>
          <w:ilvl w:val="0"/>
          <w:numId w:val="8"/>
        </w:numPr>
        <w:rPr>
          <w:rFonts w:ascii="MS PGothic" w:cs="MS PGothic" w:eastAsia="MS PGothic" w:hAnsi="MS PGothic"/>
          <w:sz w:val="16"/>
          <w:szCs w:val="16"/>
          <w:color w:val="auto"/>
        </w:rPr>
      </w:pPr>
      <w:r>
        <w:rPr>
          <w:rFonts w:ascii="Arial" w:cs="Arial" w:eastAsia="Arial" w:hAnsi="Arial"/>
          <w:sz w:val="16"/>
          <w:szCs w:val="16"/>
          <w:color w:val="auto"/>
        </w:rPr>
        <w:t>Leverage Company’s scale, integrated platform and market expertise</w:t>
      </w:r>
    </w:p>
    <w:p>
      <w:pPr>
        <w:spacing w:after="0" w:line="140" w:lineRule="exact"/>
        <w:rPr>
          <w:rFonts w:ascii="MS PGothic" w:cs="MS PGothic" w:eastAsia="MS PGothic" w:hAnsi="MS PGothic"/>
          <w:sz w:val="16"/>
          <w:szCs w:val="16"/>
          <w:color w:val="auto"/>
        </w:rPr>
      </w:pPr>
    </w:p>
    <w:p>
      <w:pPr>
        <w:ind w:left="1040" w:hanging="224"/>
        <w:spacing w:after="0"/>
        <w:tabs>
          <w:tab w:leader="none" w:pos="1040" w:val="left"/>
        </w:tabs>
        <w:numPr>
          <w:ilvl w:val="0"/>
          <w:numId w:val="8"/>
        </w:numPr>
        <w:rPr>
          <w:rFonts w:ascii="MS PGothic" w:cs="MS PGothic" w:eastAsia="MS PGothic" w:hAnsi="MS PGothic"/>
          <w:sz w:val="16"/>
          <w:szCs w:val="16"/>
          <w:color w:val="auto"/>
        </w:rPr>
      </w:pPr>
      <w:r>
        <w:rPr>
          <w:rFonts w:ascii="Arial" w:cs="Arial" w:eastAsia="Arial" w:hAnsi="Arial"/>
          <w:sz w:val="16"/>
          <w:szCs w:val="16"/>
          <w:color w:val="auto"/>
        </w:rPr>
        <w:t>Develop recurring, incremental revenue streams with limited G&amp;A expense</w:t>
      </w:r>
    </w:p>
    <w:p>
      <w:pPr>
        <w:spacing w:after="0" w:line="140" w:lineRule="exact"/>
        <w:rPr>
          <w:rFonts w:ascii="MS PGothic" w:cs="MS PGothic" w:eastAsia="MS PGothic" w:hAnsi="MS PGothic"/>
          <w:sz w:val="16"/>
          <w:szCs w:val="16"/>
          <w:color w:val="auto"/>
        </w:rPr>
      </w:pPr>
    </w:p>
    <w:p>
      <w:pPr>
        <w:ind w:left="1040" w:hanging="224"/>
        <w:spacing w:after="0"/>
        <w:tabs>
          <w:tab w:leader="none" w:pos="1040" w:val="left"/>
        </w:tabs>
        <w:numPr>
          <w:ilvl w:val="0"/>
          <w:numId w:val="8"/>
        </w:numPr>
        <w:rPr>
          <w:rFonts w:ascii="MS PGothic" w:cs="MS PGothic" w:eastAsia="MS PGothic" w:hAnsi="MS PGothic"/>
          <w:sz w:val="16"/>
          <w:szCs w:val="16"/>
          <w:color w:val="auto"/>
        </w:rPr>
      </w:pPr>
      <w:r>
        <w:rPr>
          <w:rFonts w:ascii="Arial" w:cs="Arial" w:eastAsia="Arial" w:hAnsi="Arial"/>
          <w:sz w:val="16"/>
          <w:szCs w:val="16"/>
          <w:color w:val="auto"/>
        </w:rPr>
        <w:t>Diversify the business and lessen exposure to business cycles</w:t>
      </w:r>
    </w:p>
    <w:p>
      <w:pPr>
        <w:spacing w:after="0" w:line="323"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auto"/>
        </w:rPr>
        <w:t>New Businesses Expected to Create Significant Incremental Stockholder Value</w:t>
      </w:r>
    </w:p>
    <w:p>
      <w:pPr>
        <w:spacing w:after="0" w:line="154" w:lineRule="exact"/>
        <w:rPr>
          <w:sz w:val="20"/>
          <w:szCs w:val="20"/>
          <w:color w:val="auto"/>
        </w:rPr>
      </w:pPr>
    </w:p>
    <w:tbl>
      <w:tblPr>
        <w:tblLayout w:type="fixed"/>
        <w:tblInd w:w="830" w:type="dxa"/>
        <w:tblCellMar>
          <w:top w:w="0" w:type="dxa"/>
          <w:left w:w="0" w:type="dxa"/>
          <w:bottom w:w="0" w:type="dxa"/>
          <w:right w:w="0" w:type="dxa"/>
        </w:tblCellMar>
      </w:tblPr>
      <w:tr>
        <w:trPr>
          <w:trHeight w:val="228"/>
        </w:trPr>
        <w:tc>
          <w:tcPr>
            <w:tcW w:w="380" w:type="dxa"/>
            <w:vAlign w:val="bottom"/>
            <w:tcBorders>
              <w:top w:val="single" w:sz="8" w:color="83AD40"/>
              <w:left w:val="single" w:sz="8" w:color="83AD40"/>
            </w:tcBorders>
            <w:gridSpan w:val="2"/>
            <w:shd w:val="clear" w:color="auto" w:fill="E9F9D8"/>
          </w:tcPr>
          <w:p>
            <w:pPr>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83AD40"/>
            </w:tcBorders>
            <w:shd w:val="clear" w:color="auto" w:fill="E9F9D8"/>
          </w:tcPr>
          <w:p>
            <w:pPr>
              <w:spacing w:after="0"/>
              <w:rPr>
                <w:sz w:val="19"/>
                <w:szCs w:val="19"/>
                <w:color w:val="auto"/>
              </w:rPr>
            </w:pPr>
          </w:p>
        </w:tc>
        <w:tc>
          <w:tcPr>
            <w:tcW w:w="1320" w:type="dxa"/>
            <w:vAlign w:val="bottom"/>
            <w:tcBorders>
              <w:top w:val="single" w:sz="8" w:color="83AD40"/>
            </w:tcBorders>
            <w:shd w:val="clear" w:color="auto" w:fill="E9F9D8"/>
          </w:tcPr>
          <w:p>
            <w:pPr>
              <w:spacing w:after="0"/>
              <w:rPr>
                <w:sz w:val="19"/>
                <w:szCs w:val="19"/>
                <w:color w:val="auto"/>
              </w:rPr>
            </w:pPr>
          </w:p>
        </w:tc>
        <w:tc>
          <w:tcPr>
            <w:tcW w:w="280" w:type="dxa"/>
            <w:vAlign w:val="bottom"/>
            <w:tcBorders>
              <w:top w:val="single" w:sz="8" w:color="83AD40"/>
            </w:tcBorders>
            <w:shd w:val="clear" w:color="auto" w:fill="E9F9D8"/>
          </w:tcPr>
          <w:p>
            <w:pPr>
              <w:spacing w:after="0"/>
              <w:rPr>
                <w:sz w:val="19"/>
                <w:szCs w:val="19"/>
                <w:color w:val="auto"/>
              </w:rPr>
            </w:pPr>
          </w:p>
        </w:tc>
        <w:tc>
          <w:tcPr>
            <w:tcW w:w="120" w:type="dxa"/>
            <w:vAlign w:val="bottom"/>
            <w:tcBorders>
              <w:top w:val="single" w:sz="8" w:color="83AD40"/>
              <w:right w:val="single" w:sz="8" w:color="83AD40"/>
            </w:tcBorders>
            <w:shd w:val="clear" w:color="auto" w:fill="E9F9D8"/>
          </w:tcPr>
          <w:p>
            <w:pPr>
              <w:ind w:left="20"/>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83AD40"/>
            </w:tcBorders>
            <w:gridSpan w:val="2"/>
            <w:shd w:val="clear" w:color="auto" w:fill="E9F9D8"/>
          </w:tcPr>
          <w:p>
            <w:pPr>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83AD40"/>
            </w:tcBorders>
            <w:shd w:val="clear" w:color="auto" w:fill="E9F9D8"/>
          </w:tcPr>
          <w:p>
            <w:pPr>
              <w:spacing w:after="0"/>
              <w:rPr>
                <w:sz w:val="19"/>
                <w:szCs w:val="19"/>
                <w:color w:val="auto"/>
              </w:rPr>
            </w:pPr>
          </w:p>
        </w:tc>
        <w:tc>
          <w:tcPr>
            <w:tcW w:w="540" w:type="dxa"/>
            <w:vAlign w:val="bottom"/>
            <w:tcBorders>
              <w:top w:val="single" w:sz="8" w:color="83AD40"/>
              <w:right w:val="single" w:sz="8" w:color="83AD40"/>
            </w:tcBorders>
            <w:shd w:val="clear" w:color="auto" w:fill="E9F9D8"/>
          </w:tcPr>
          <w:p>
            <w:pPr>
              <w:ind w:left="420"/>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83AD40"/>
            </w:tcBorders>
            <w:shd w:val="clear" w:color="auto" w:fill="E9F9D8"/>
          </w:tcPr>
          <w:p>
            <w:pPr>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83AD40"/>
            </w:tcBorders>
            <w:shd w:val="clear" w:color="auto" w:fill="E9F9D8"/>
          </w:tcPr>
          <w:p>
            <w:pPr>
              <w:spacing w:after="0"/>
              <w:rPr>
                <w:sz w:val="19"/>
                <w:szCs w:val="19"/>
                <w:color w:val="auto"/>
              </w:rPr>
            </w:pPr>
          </w:p>
        </w:tc>
        <w:tc>
          <w:tcPr>
            <w:tcW w:w="120" w:type="dxa"/>
            <w:vAlign w:val="bottom"/>
            <w:tcBorders>
              <w:top w:val="single" w:sz="8" w:color="83AD40"/>
            </w:tcBorders>
            <w:shd w:val="clear" w:color="auto" w:fill="E9F9D8"/>
          </w:tcPr>
          <w:p>
            <w:pPr>
              <w:spacing w:after="0"/>
              <w:rPr>
                <w:sz w:val="19"/>
                <w:szCs w:val="19"/>
                <w:color w:val="auto"/>
              </w:rPr>
            </w:pPr>
          </w:p>
        </w:tc>
        <w:tc>
          <w:tcPr>
            <w:tcW w:w="1740" w:type="dxa"/>
            <w:vAlign w:val="bottom"/>
            <w:tcBorders>
              <w:top w:val="single" w:sz="8" w:color="83AD40"/>
            </w:tcBorders>
            <w:shd w:val="clear" w:color="auto" w:fill="E9F9D8"/>
          </w:tcPr>
          <w:p>
            <w:pPr>
              <w:spacing w:after="0"/>
              <w:rPr>
                <w:sz w:val="19"/>
                <w:szCs w:val="19"/>
                <w:color w:val="auto"/>
              </w:rPr>
            </w:pPr>
          </w:p>
        </w:tc>
        <w:tc>
          <w:tcPr>
            <w:tcW w:w="80" w:type="dxa"/>
            <w:vAlign w:val="bottom"/>
            <w:tcBorders>
              <w:top w:val="single" w:sz="8" w:color="83AD40"/>
            </w:tcBorders>
            <w:shd w:val="clear" w:color="auto" w:fill="E9F9D8"/>
          </w:tcPr>
          <w:p>
            <w:pPr>
              <w:spacing w:after="0"/>
              <w:rPr>
                <w:sz w:val="19"/>
                <w:szCs w:val="19"/>
                <w:color w:val="auto"/>
              </w:rPr>
            </w:pPr>
          </w:p>
        </w:tc>
        <w:tc>
          <w:tcPr>
            <w:tcW w:w="160" w:type="dxa"/>
            <w:vAlign w:val="bottom"/>
            <w:tcBorders>
              <w:top w:val="single" w:sz="8" w:color="83AD40"/>
              <w:right w:val="single" w:sz="8" w:color="83AD40"/>
            </w:tcBorders>
            <w:shd w:val="clear" w:color="auto" w:fill="E9F9D8"/>
          </w:tcPr>
          <w:p>
            <w:pPr>
              <w:ind w:left="40"/>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83AD40"/>
            </w:tcBorders>
            <w:gridSpan w:val="2"/>
            <w:shd w:val="clear" w:color="auto" w:fill="E9F9D8"/>
          </w:tcPr>
          <w:p>
            <w:pPr>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83AD40"/>
            </w:tcBorders>
            <w:shd w:val="clear" w:color="auto" w:fill="E9F9D8"/>
          </w:tcPr>
          <w:p>
            <w:pPr>
              <w:spacing w:after="0"/>
              <w:rPr>
                <w:sz w:val="19"/>
                <w:szCs w:val="19"/>
                <w:color w:val="auto"/>
              </w:rPr>
            </w:pPr>
          </w:p>
        </w:tc>
        <w:tc>
          <w:tcPr>
            <w:tcW w:w="760" w:type="dxa"/>
            <w:vAlign w:val="bottom"/>
            <w:tcBorders>
              <w:top w:val="single" w:sz="8" w:color="83AD40"/>
              <w:right w:val="single" w:sz="8" w:color="83AD40"/>
            </w:tcBorders>
            <w:shd w:val="clear" w:color="auto" w:fill="E9F9D8"/>
          </w:tcPr>
          <w:p>
            <w:pPr>
              <w:ind w:left="4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80" w:type="dxa"/>
            <w:vAlign w:val="bottom"/>
            <w:tcBorders>
              <w:left w:val="single" w:sz="8" w:color="83AD40"/>
            </w:tcBorders>
            <w:shd w:val="clear" w:color="auto" w:fill="E9F9D8"/>
          </w:tcPr>
          <w:p>
            <w:pPr>
              <w:spacing w:after="0"/>
              <w:rPr>
                <w:sz w:val="16"/>
                <w:szCs w:val="16"/>
                <w:color w:val="auto"/>
              </w:rPr>
            </w:pPr>
          </w:p>
        </w:tc>
        <w:tc>
          <w:tcPr>
            <w:tcW w:w="1960" w:type="dxa"/>
            <w:vAlign w:val="bottom"/>
            <w:gridSpan w:val="4"/>
            <w:shd w:val="clear" w:color="auto" w:fill="E9F9D8"/>
          </w:tcPr>
          <w:p>
            <w:pPr>
              <w:spacing w:after="0"/>
              <w:rPr>
                <w:sz w:val="20"/>
                <w:szCs w:val="20"/>
                <w:color w:val="auto"/>
              </w:rPr>
            </w:pPr>
            <w:r>
              <w:rPr>
                <w:rFonts w:ascii="Arial" w:cs="Arial" w:eastAsia="Arial" w:hAnsi="Arial"/>
                <w:sz w:val="16"/>
                <w:szCs w:val="16"/>
                <w:color w:val="auto"/>
              </w:rPr>
              <w:t>SLG Opportunistic Debt</w:t>
            </w:r>
          </w:p>
        </w:tc>
        <w:tc>
          <w:tcPr>
            <w:tcW w:w="120" w:type="dxa"/>
            <w:vAlign w:val="bottom"/>
            <w:tcBorders>
              <w:right w:val="single" w:sz="8" w:color="83AD40"/>
            </w:tcBorders>
            <w:shd w:val="clear" w:color="auto" w:fill="E9F9D8"/>
          </w:tcPr>
          <w:p>
            <w:pPr>
              <w:spacing w:after="0"/>
              <w:rPr>
                <w:sz w:val="16"/>
                <w:szCs w:val="16"/>
                <w:color w:val="auto"/>
              </w:rPr>
            </w:pPr>
          </w:p>
        </w:tc>
        <w:tc>
          <w:tcPr>
            <w:tcW w:w="100" w:type="dxa"/>
            <w:vAlign w:val="bottom"/>
            <w:shd w:val="clear" w:color="auto" w:fill="E9F9D8"/>
          </w:tcPr>
          <w:p>
            <w:pPr>
              <w:spacing w:after="0"/>
              <w:rPr>
                <w:sz w:val="16"/>
                <w:szCs w:val="16"/>
                <w:color w:val="auto"/>
              </w:rPr>
            </w:pPr>
          </w:p>
        </w:tc>
        <w:tc>
          <w:tcPr>
            <w:tcW w:w="2080" w:type="dxa"/>
            <w:vAlign w:val="bottom"/>
            <w:tcBorders>
              <w:right w:val="single" w:sz="8" w:color="83AD40"/>
            </w:tcBorders>
            <w:gridSpan w:val="3"/>
            <w:shd w:val="clear" w:color="auto" w:fill="E9F9D8"/>
          </w:tcPr>
          <w:p>
            <w:pPr>
              <w:spacing w:after="0"/>
              <w:rPr>
                <w:sz w:val="20"/>
                <w:szCs w:val="20"/>
                <w:color w:val="auto"/>
              </w:rPr>
            </w:pPr>
            <w:r>
              <w:rPr>
                <w:rFonts w:ascii="Arial" w:cs="Arial" w:eastAsia="Arial" w:hAnsi="Arial"/>
                <w:sz w:val="16"/>
                <w:szCs w:val="16"/>
                <w:color w:val="auto"/>
              </w:rPr>
              <w:t>SUMMIT International</w:t>
            </w:r>
          </w:p>
        </w:tc>
        <w:tc>
          <w:tcPr>
            <w:tcW w:w="60" w:type="dxa"/>
            <w:vAlign w:val="bottom"/>
            <w:shd w:val="clear" w:color="auto" w:fill="E9F9D8"/>
          </w:tcPr>
          <w:p>
            <w:pPr>
              <w:spacing w:after="0"/>
              <w:rPr>
                <w:sz w:val="16"/>
                <w:szCs w:val="16"/>
                <w:color w:val="auto"/>
              </w:rPr>
            </w:pPr>
          </w:p>
        </w:tc>
        <w:tc>
          <w:tcPr>
            <w:tcW w:w="1960" w:type="dxa"/>
            <w:vAlign w:val="bottom"/>
            <w:gridSpan w:val="4"/>
            <w:shd w:val="clear" w:color="auto" w:fill="E9F9D8"/>
          </w:tcPr>
          <w:p>
            <w:pPr>
              <w:ind w:left="20"/>
              <w:spacing w:after="0"/>
              <w:rPr>
                <w:sz w:val="20"/>
                <w:szCs w:val="20"/>
                <w:color w:val="auto"/>
              </w:rPr>
            </w:pPr>
            <w:r>
              <w:rPr>
                <w:rFonts w:ascii="Arial" w:cs="Arial" w:eastAsia="Arial" w:hAnsi="Arial"/>
                <w:sz w:val="16"/>
                <w:szCs w:val="16"/>
                <w:color w:val="auto"/>
              </w:rPr>
              <w:t>Special Servicing Platform</w:t>
            </w:r>
          </w:p>
        </w:tc>
        <w:tc>
          <w:tcPr>
            <w:tcW w:w="160" w:type="dxa"/>
            <w:vAlign w:val="bottom"/>
            <w:tcBorders>
              <w:right w:val="single" w:sz="8" w:color="83AD40"/>
            </w:tcBorders>
            <w:shd w:val="clear" w:color="auto" w:fill="E9F9D8"/>
          </w:tcPr>
          <w:p>
            <w:pPr>
              <w:spacing w:after="0"/>
              <w:rPr>
                <w:sz w:val="16"/>
                <w:szCs w:val="16"/>
                <w:color w:val="auto"/>
              </w:rPr>
            </w:pPr>
          </w:p>
        </w:tc>
        <w:tc>
          <w:tcPr>
            <w:tcW w:w="80" w:type="dxa"/>
            <w:vAlign w:val="bottom"/>
            <w:shd w:val="clear" w:color="auto" w:fill="E9F9D8"/>
          </w:tcPr>
          <w:p>
            <w:pPr>
              <w:spacing w:after="0"/>
              <w:rPr>
                <w:sz w:val="16"/>
                <w:szCs w:val="16"/>
                <w:color w:val="auto"/>
              </w:rPr>
            </w:pPr>
          </w:p>
        </w:tc>
        <w:tc>
          <w:tcPr>
            <w:tcW w:w="2280" w:type="dxa"/>
            <w:vAlign w:val="bottom"/>
            <w:tcBorders>
              <w:right w:val="single" w:sz="8" w:color="83AD40"/>
            </w:tcBorders>
            <w:gridSpan w:val="3"/>
            <w:shd w:val="clear" w:color="auto" w:fill="E9F9D8"/>
          </w:tcPr>
          <w:p>
            <w:pPr>
              <w:spacing w:after="0"/>
              <w:rPr>
                <w:sz w:val="20"/>
                <w:szCs w:val="20"/>
                <w:color w:val="auto"/>
              </w:rPr>
            </w:pPr>
            <w:r>
              <w:rPr>
                <w:rFonts w:ascii="Arial" w:cs="Arial" w:eastAsia="Arial" w:hAnsi="Arial"/>
                <w:sz w:val="16"/>
                <w:szCs w:val="16"/>
                <w:color w:val="auto"/>
              </w:rPr>
              <w:t>Times Square Casino</w:t>
            </w:r>
          </w:p>
        </w:tc>
        <w:tc>
          <w:tcPr>
            <w:tcW w:w="0" w:type="dxa"/>
            <w:vAlign w:val="bottom"/>
          </w:tcPr>
          <w:p>
            <w:pPr>
              <w:spacing w:after="0"/>
              <w:rPr>
                <w:sz w:val="1"/>
                <w:szCs w:val="1"/>
                <w:color w:val="auto"/>
              </w:rPr>
            </w:pPr>
          </w:p>
        </w:tc>
      </w:tr>
      <w:tr>
        <w:trPr>
          <w:trHeight w:val="169"/>
        </w:trPr>
        <w:tc>
          <w:tcPr>
            <w:tcW w:w="280" w:type="dxa"/>
            <w:vAlign w:val="bottom"/>
            <w:tcBorders>
              <w:top w:val="single" w:sz="8" w:color="E9F9D8"/>
              <w:left w:val="single" w:sz="8" w:color="83AD40"/>
            </w:tcBorders>
            <w:shd w:val="clear" w:color="auto" w:fill="E9F9D8"/>
          </w:tcPr>
          <w:p>
            <w:pPr>
              <w:spacing w:after="0"/>
              <w:rPr>
                <w:sz w:val="14"/>
                <w:szCs w:val="14"/>
                <w:color w:val="auto"/>
              </w:rPr>
            </w:pPr>
          </w:p>
        </w:tc>
        <w:tc>
          <w:tcPr>
            <w:tcW w:w="1680" w:type="dxa"/>
            <w:vAlign w:val="bottom"/>
            <w:tcBorders>
              <w:top w:val="single" w:sz="8" w:color="auto"/>
            </w:tcBorders>
            <w:gridSpan w:val="3"/>
            <w:shd w:val="clear" w:color="auto" w:fill="E9F9D8"/>
          </w:tcPr>
          <w:p>
            <w:pPr>
              <w:spacing w:after="0" w:line="169" w:lineRule="exact"/>
              <w:rPr>
                <w:sz w:val="20"/>
                <w:szCs w:val="20"/>
                <w:color w:val="auto"/>
              </w:rPr>
            </w:pPr>
            <w:r>
              <w:rPr>
                <w:rFonts w:ascii="Arial" w:cs="Arial" w:eastAsia="Arial" w:hAnsi="Arial"/>
                <w:sz w:val="16"/>
                <w:szCs w:val="16"/>
                <w:color w:val="auto"/>
              </w:rPr>
              <w:t>Fund</w:t>
            </w:r>
          </w:p>
        </w:tc>
        <w:tc>
          <w:tcPr>
            <w:tcW w:w="280" w:type="dxa"/>
            <w:vAlign w:val="bottom"/>
            <w:tcBorders>
              <w:top w:val="single" w:sz="8" w:color="E9F9D8"/>
            </w:tcBorders>
            <w:shd w:val="clear" w:color="auto" w:fill="E9F9D8"/>
          </w:tcPr>
          <w:p>
            <w:pPr>
              <w:spacing w:after="0"/>
              <w:rPr>
                <w:sz w:val="14"/>
                <w:szCs w:val="14"/>
                <w:color w:val="auto"/>
              </w:rPr>
            </w:pPr>
          </w:p>
        </w:tc>
        <w:tc>
          <w:tcPr>
            <w:tcW w:w="120" w:type="dxa"/>
            <w:vAlign w:val="bottom"/>
            <w:tcBorders>
              <w:top w:val="single" w:sz="8" w:color="E9F9D8"/>
              <w:right w:val="single" w:sz="8" w:color="83AD40"/>
            </w:tcBorders>
            <w:shd w:val="clear" w:color="auto" w:fill="E9F9D8"/>
          </w:tcPr>
          <w:p>
            <w:pPr>
              <w:spacing w:after="0"/>
              <w:rPr>
                <w:sz w:val="14"/>
                <w:szCs w:val="14"/>
                <w:color w:val="auto"/>
              </w:rPr>
            </w:pPr>
          </w:p>
        </w:tc>
        <w:tc>
          <w:tcPr>
            <w:tcW w:w="100" w:type="dxa"/>
            <w:vAlign w:val="bottom"/>
            <w:tcBorders>
              <w:top w:val="single" w:sz="8" w:color="E9F9D8"/>
            </w:tcBorders>
            <w:shd w:val="clear" w:color="auto" w:fill="E9F9D8"/>
          </w:tcPr>
          <w:p>
            <w:pPr>
              <w:spacing w:after="0"/>
              <w:rPr>
                <w:sz w:val="14"/>
                <w:szCs w:val="14"/>
                <w:color w:val="auto"/>
              </w:rPr>
            </w:pPr>
          </w:p>
        </w:tc>
        <w:tc>
          <w:tcPr>
            <w:tcW w:w="100" w:type="dxa"/>
            <w:vAlign w:val="bottom"/>
            <w:tcBorders>
              <w:top w:val="single" w:sz="8" w:color="auto"/>
            </w:tcBorders>
            <w:shd w:val="clear" w:color="auto" w:fill="E9F9D8"/>
          </w:tcPr>
          <w:p>
            <w:pPr>
              <w:spacing w:after="0"/>
              <w:rPr>
                <w:sz w:val="14"/>
                <w:szCs w:val="14"/>
                <w:color w:val="auto"/>
              </w:rPr>
            </w:pPr>
          </w:p>
        </w:tc>
        <w:tc>
          <w:tcPr>
            <w:tcW w:w="1440" w:type="dxa"/>
            <w:vAlign w:val="bottom"/>
            <w:tcBorders>
              <w:top w:val="single" w:sz="8" w:color="auto"/>
            </w:tcBorders>
            <w:shd w:val="clear" w:color="auto" w:fill="E9F9D8"/>
          </w:tcPr>
          <w:p>
            <w:pPr>
              <w:spacing w:after="0"/>
              <w:rPr>
                <w:sz w:val="14"/>
                <w:szCs w:val="14"/>
                <w:color w:val="auto"/>
              </w:rPr>
            </w:pPr>
          </w:p>
        </w:tc>
        <w:tc>
          <w:tcPr>
            <w:tcW w:w="540" w:type="dxa"/>
            <w:vAlign w:val="bottom"/>
            <w:tcBorders>
              <w:top w:val="single" w:sz="8" w:color="E9F9D8"/>
              <w:right w:val="single" w:sz="8" w:color="83AD40"/>
            </w:tcBorders>
            <w:shd w:val="clear" w:color="auto" w:fill="E9F9D8"/>
          </w:tcPr>
          <w:p>
            <w:pPr>
              <w:spacing w:after="0"/>
              <w:rPr>
                <w:sz w:val="14"/>
                <w:szCs w:val="14"/>
                <w:color w:val="auto"/>
              </w:rPr>
            </w:pPr>
          </w:p>
        </w:tc>
        <w:tc>
          <w:tcPr>
            <w:tcW w:w="60" w:type="dxa"/>
            <w:vAlign w:val="bottom"/>
            <w:tcBorders>
              <w:top w:val="single" w:sz="8" w:color="E9F9D8"/>
            </w:tcBorders>
            <w:shd w:val="clear" w:color="auto" w:fill="E9F9D8"/>
          </w:tcPr>
          <w:p>
            <w:pPr>
              <w:spacing w:after="0"/>
              <w:rPr>
                <w:sz w:val="14"/>
                <w:szCs w:val="14"/>
                <w:color w:val="auto"/>
              </w:rPr>
            </w:pPr>
          </w:p>
        </w:tc>
        <w:tc>
          <w:tcPr>
            <w:tcW w:w="20" w:type="dxa"/>
            <w:vAlign w:val="bottom"/>
            <w:tcBorders>
              <w:top w:val="single" w:sz="8" w:color="E9F9D8"/>
            </w:tcBorders>
            <w:shd w:val="clear" w:color="auto" w:fill="E9F9D8"/>
          </w:tcPr>
          <w:p>
            <w:pPr>
              <w:spacing w:after="0"/>
              <w:rPr>
                <w:sz w:val="14"/>
                <w:szCs w:val="14"/>
                <w:color w:val="auto"/>
              </w:rPr>
            </w:pPr>
          </w:p>
        </w:tc>
        <w:tc>
          <w:tcPr>
            <w:tcW w:w="120" w:type="dxa"/>
            <w:vAlign w:val="bottom"/>
            <w:tcBorders>
              <w:top w:val="single" w:sz="8" w:color="auto"/>
            </w:tcBorders>
            <w:shd w:val="clear" w:color="auto" w:fill="E9F9D8"/>
          </w:tcPr>
          <w:p>
            <w:pPr>
              <w:spacing w:after="0"/>
              <w:rPr>
                <w:sz w:val="14"/>
                <w:szCs w:val="14"/>
                <w:color w:val="auto"/>
              </w:rPr>
            </w:pPr>
          </w:p>
        </w:tc>
        <w:tc>
          <w:tcPr>
            <w:tcW w:w="1740" w:type="dxa"/>
            <w:vAlign w:val="bottom"/>
            <w:tcBorders>
              <w:top w:val="single" w:sz="8" w:color="auto"/>
            </w:tcBorders>
            <w:shd w:val="clear" w:color="auto" w:fill="E9F9D8"/>
          </w:tcPr>
          <w:p>
            <w:pPr>
              <w:spacing w:after="0"/>
              <w:rPr>
                <w:sz w:val="14"/>
                <w:szCs w:val="14"/>
                <w:color w:val="auto"/>
              </w:rPr>
            </w:pPr>
          </w:p>
        </w:tc>
        <w:tc>
          <w:tcPr>
            <w:tcW w:w="80" w:type="dxa"/>
            <w:vAlign w:val="bottom"/>
            <w:tcBorders>
              <w:top w:val="single" w:sz="8" w:color="E9F9D8"/>
            </w:tcBorders>
            <w:shd w:val="clear" w:color="auto" w:fill="E9F9D8"/>
          </w:tcPr>
          <w:p>
            <w:pPr>
              <w:spacing w:after="0"/>
              <w:rPr>
                <w:sz w:val="14"/>
                <w:szCs w:val="14"/>
                <w:color w:val="auto"/>
              </w:rPr>
            </w:pPr>
          </w:p>
        </w:tc>
        <w:tc>
          <w:tcPr>
            <w:tcW w:w="160" w:type="dxa"/>
            <w:vAlign w:val="bottom"/>
            <w:tcBorders>
              <w:top w:val="single" w:sz="8" w:color="E9F9D8"/>
              <w:right w:val="single" w:sz="8" w:color="83AD40"/>
            </w:tcBorders>
            <w:shd w:val="clear" w:color="auto" w:fill="E9F9D8"/>
          </w:tcPr>
          <w:p>
            <w:pPr>
              <w:spacing w:after="0"/>
              <w:rPr>
                <w:sz w:val="14"/>
                <w:szCs w:val="14"/>
                <w:color w:val="auto"/>
              </w:rPr>
            </w:pPr>
          </w:p>
        </w:tc>
        <w:tc>
          <w:tcPr>
            <w:tcW w:w="80" w:type="dxa"/>
            <w:vAlign w:val="bottom"/>
            <w:tcBorders>
              <w:top w:val="single" w:sz="8" w:color="E9F9D8"/>
            </w:tcBorders>
            <w:shd w:val="clear" w:color="auto" w:fill="E9F9D8"/>
          </w:tcPr>
          <w:p>
            <w:pPr>
              <w:spacing w:after="0"/>
              <w:rPr>
                <w:sz w:val="14"/>
                <w:szCs w:val="14"/>
                <w:color w:val="auto"/>
              </w:rPr>
            </w:pPr>
          </w:p>
        </w:tc>
        <w:tc>
          <w:tcPr>
            <w:tcW w:w="100" w:type="dxa"/>
            <w:vAlign w:val="bottom"/>
            <w:tcBorders>
              <w:top w:val="single" w:sz="8" w:color="auto"/>
            </w:tcBorders>
            <w:shd w:val="clear" w:color="auto" w:fill="E9F9D8"/>
          </w:tcPr>
          <w:p>
            <w:pPr>
              <w:spacing w:after="0"/>
              <w:rPr>
                <w:sz w:val="14"/>
                <w:szCs w:val="14"/>
                <w:color w:val="auto"/>
              </w:rPr>
            </w:pPr>
          </w:p>
        </w:tc>
        <w:tc>
          <w:tcPr>
            <w:tcW w:w="1420" w:type="dxa"/>
            <w:vAlign w:val="bottom"/>
            <w:tcBorders>
              <w:top w:val="single" w:sz="8" w:color="auto"/>
            </w:tcBorders>
            <w:shd w:val="clear" w:color="auto" w:fill="E9F9D8"/>
          </w:tcPr>
          <w:p>
            <w:pPr>
              <w:spacing w:after="0"/>
              <w:rPr>
                <w:sz w:val="14"/>
                <w:szCs w:val="14"/>
                <w:color w:val="auto"/>
              </w:rPr>
            </w:pPr>
          </w:p>
        </w:tc>
        <w:tc>
          <w:tcPr>
            <w:tcW w:w="760" w:type="dxa"/>
            <w:vAlign w:val="bottom"/>
            <w:tcBorders>
              <w:top w:val="single" w:sz="8" w:color="E9F9D8"/>
              <w:right w:val="single" w:sz="8" w:color="83AD40"/>
            </w:tcBorders>
            <w:shd w:val="clear" w:color="auto" w:fill="E9F9D8"/>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tcBorders>
              <w:left w:val="single" w:sz="8" w:color="83AD40"/>
            </w:tcBorders>
            <w:shd w:val="clear" w:color="auto" w:fill="E9F9D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E9F9D8"/>
          </w:tcPr>
          <w:p>
            <w:pPr>
              <w:spacing w:after="0" w:line="20" w:lineRule="exact"/>
              <w:rPr>
                <w:sz w:val="1"/>
                <w:szCs w:val="1"/>
                <w:color w:val="auto"/>
              </w:rPr>
            </w:pPr>
          </w:p>
        </w:tc>
        <w:tc>
          <w:tcPr>
            <w:tcW w:w="280" w:type="dxa"/>
            <w:vAlign w:val="bottom"/>
            <w:shd w:val="clear" w:color="auto" w:fill="E9F9D8"/>
          </w:tcPr>
          <w:p>
            <w:pPr>
              <w:spacing w:after="0" w:line="20" w:lineRule="exact"/>
              <w:rPr>
                <w:sz w:val="1"/>
                <w:szCs w:val="1"/>
                <w:color w:val="auto"/>
              </w:rPr>
            </w:pPr>
          </w:p>
        </w:tc>
        <w:tc>
          <w:tcPr>
            <w:tcW w:w="120" w:type="dxa"/>
            <w:vAlign w:val="bottom"/>
            <w:tcBorders>
              <w:right w:val="single" w:sz="8" w:color="83AD40"/>
            </w:tcBorders>
            <w:shd w:val="clear" w:color="auto" w:fill="E9F9D8"/>
          </w:tcPr>
          <w:p>
            <w:pPr>
              <w:spacing w:after="0" w:line="20" w:lineRule="exact"/>
              <w:rPr>
                <w:sz w:val="1"/>
                <w:szCs w:val="1"/>
                <w:color w:val="auto"/>
              </w:rPr>
            </w:pPr>
          </w:p>
        </w:tc>
        <w:tc>
          <w:tcPr>
            <w:tcW w:w="100" w:type="dxa"/>
            <w:vAlign w:val="bottom"/>
            <w:shd w:val="clear" w:color="auto" w:fill="E9F9D8"/>
          </w:tcPr>
          <w:p>
            <w:pPr>
              <w:spacing w:after="0" w:line="20" w:lineRule="exact"/>
              <w:rPr>
                <w:sz w:val="1"/>
                <w:szCs w:val="1"/>
                <w:color w:val="auto"/>
              </w:rPr>
            </w:pPr>
          </w:p>
        </w:tc>
        <w:tc>
          <w:tcPr>
            <w:tcW w:w="2080" w:type="dxa"/>
            <w:vAlign w:val="bottom"/>
            <w:tcBorders>
              <w:right w:val="single" w:sz="8" w:color="83AD40"/>
            </w:tcBorders>
            <w:gridSpan w:val="3"/>
            <w:vMerge w:val="restart"/>
            <w:shd w:val="clear" w:color="auto" w:fill="E9F9D8"/>
          </w:tcPr>
          <w:p>
            <w:pPr>
              <w:spacing w:after="0"/>
              <w:rPr>
                <w:sz w:val="20"/>
                <w:szCs w:val="20"/>
                <w:color w:val="auto"/>
              </w:rPr>
            </w:pPr>
            <w:r>
              <w:rPr>
                <w:rFonts w:ascii="Arial" w:cs="Arial" w:eastAsia="Arial" w:hAnsi="Arial"/>
                <w:sz w:val="16"/>
                <w:szCs w:val="16"/>
                <w:color w:val="auto"/>
              </w:rPr>
              <w:t>• Expand on the success</w:t>
            </w:r>
          </w:p>
        </w:tc>
        <w:tc>
          <w:tcPr>
            <w:tcW w:w="60" w:type="dxa"/>
            <w:vAlign w:val="bottom"/>
            <w:shd w:val="clear" w:color="auto" w:fill="E9F9D8"/>
          </w:tcPr>
          <w:p>
            <w:pPr>
              <w:spacing w:after="0" w:line="20" w:lineRule="exact"/>
              <w:rPr>
                <w:sz w:val="1"/>
                <w:szCs w:val="1"/>
                <w:color w:val="auto"/>
              </w:rPr>
            </w:pPr>
          </w:p>
        </w:tc>
        <w:tc>
          <w:tcPr>
            <w:tcW w:w="140" w:type="dxa"/>
            <w:vAlign w:val="bottom"/>
            <w:gridSpan w:val="2"/>
            <w:vMerge w:val="restart"/>
            <w:shd w:val="clear" w:color="auto" w:fill="E9F9D8"/>
          </w:tcPr>
          <w:p>
            <w:pPr>
              <w:ind w:left="20"/>
              <w:spacing w:after="0"/>
              <w:rPr>
                <w:sz w:val="20"/>
                <w:szCs w:val="20"/>
                <w:color w:val="auto"/>
              </w:rPr>
            </w:pPr>
            <w:r>
              <w:rPr>
                <w:rFonts w:ascii="Arial" w:cs="Arial" w:eastAsia="Arial" w:hAnsi="Arial"/>
                <w:sz w:val="16"/>
                <w:szCs w:val="16"/>
                <w:color w:val="auto"/>
              </w:rPr>
              <w:t>•</w:t>
            </w:r>
          </w:p>
        </w:tc>
        <w:tc>
          <w:tcPr>
            <w:tcW w:w="1820" w:type="dxa"/>
            <w:vAlign w:val="bottom"/>
            <w:gridSpan w:val="2"/>
            <w:vMerge w:val="restart"/>
            <w:shd w:val="clear" w:color="auto" w:fill="E9F9D8"/>
          </w:tcPr>
          <w:p>
            <w:pPr>
              <w:ind w:left="40"/>
              <w:spacing w:after="0"/>
              <w:rPr>
                <w:sz w:val="20"/>
                <w:szCs w:val="20"/>
                <w:color w:val="auto"/>
              </w:rPr>
            </w:pPr>
            <w:r>
              <w:rPr>
                <w:rFonts w:ascii="Arial" w:cs="Arial" w:eastAsia="Arial" w:hAnsi="Arial"/>
                <w:sz w:val="16"/>
                <w:szCs w:val="16"/>
                <w:color w:val="auto"/>
              </w:rPr>
              <w:t>Leverage expertise in</w:t>
            </w:r>
          </w:p>
        </w:tc>
        <w:tc>
          <w:tcPr>
            <w:tcW w:w="160" w:type="dxa"/>
            <w:vAlign w:val="bottom"/>
            <w:tcBorders>
              <w:right w:val="single" w:sz="8" w:color="83AD40"/>
            </w:tcBorders>
            <w:shd w:val="clear" w:color="auto" w:fill="E9F9D8"/>
          </w:tcPr>
          <w:p>
            <w:pPr>
              <w:spacing w:after="0" w:line="20" w:lineRule="exact"/>
              <w:rPr>
                <w:sz w:val="1"/>
                <w:szCs w:val="1"/>
                <w:color w:val="auto"/>
              </w:rPr>
            </w:pPr>
          </w:p>
        </w:tc>
        <w:tc>
          <w:tcPr>
            <w:tcW w:w="80" w:type="dxa"/>
            <w:vAlign w:val="bottom"/>
            <w:shd w:val="clear" w:color="auto" w:fill="E9F9D8"/>
          </w:tcPr>
          <w:p>
            <w:pPr>
              <w:spacing w:after="0" w:line="20" w:lineRule="exact"/>
              <w:rPr>
                <w:sz w:val="1"/>
                <w:szCs w:val="1"/>
                <w:color w:val="auto"/>
              </w:rPr>
            </w:pPr>
          </w:p>
        </w:tc>
        <w:tc>
          <w:tcPr>
            <w:tcW w:w="100" w:type="dxa"/>
            <w:vAlign w:val="bottom"/>
            <w:vMerge w:val="restart"/>
            <w:shd w:val="clear" w:color="auto" w:fill="E9F9D8"/>
          </w:tcPr>
          <w:p>
            <w:pPr>
              <w:spacing w:after="0"/>
              <w:rPr>
                <w:sz w:val="20"/>
                <w:szCs w:val="20"/>
                <w:color w:val="auto"/>
              </w:rPr>
            </w:pPr>
            <w:r>
              <w:rPr>
                <w:rFonts w:ascii="Arial" w:cs="Arial" w:eastAsia="Arial" w:hAnsi="Arial"/>
                <w:sz w:val="16"/>
                <w:szCs w:val="16"/>
                <w:color w:val="auto"/>
              </w:rPr>
              <w:t>•</w:t>
            </w:r>
          </w:p>
        </w:tc>
        <w:tc>
          <w:tcPr>
            <w:tcW w:w="2180" w:type="dxa"/>
            <w:vAlign w:val="bottom"/>
            <w:tcBorders>
              <w:right w:val="single" w:sz="8" w:color="83AD40"/>
            </w:tcBorders>
            <w:gridSpan w:val="2"/>
            <w:vMerge w:val="restart"/>
            <w:shd w:val="clear" w:color="auto" w:fill="E9F9D8"/>
          </w:tcPr>
          <w:p>
            <w:pPr>
              <w:ind w:left="60"/>
              <w:spacing w:after="0"/>
              <w:rPr>
                <w:sz w:val="20"/>
                <w:szCs w:val="20"/>
                <w:color w:val="auto"/>
              </w:rPr>
            </w:pPr>
            <w:r>
              <w:rPr>
                <w:rFonts w:ascii="Arial" w:cs="Arial" w:eastAsia="Arial" w:hAnsi="Arial"/>
                <w:sz w:val="16"/>
                <w:szCs w:val="16"/>
                <w:color w:val="auto"/>
              </w:rPr>
              <w:t>Submitting proposal in</w:t>
            </w:r>
          </w:p>
        </w:tc>
        <w:tc>
          <w:tcPr>
            <w:tcW w:w="0" w:type="dxa"/>
            <w:vAlign w:val="bottom"/>
          </w:tcPr>
          <w:p>
            <w:pPr>
              <w:spacing w:after="0" w:line="20" w:lineRule="exact"/>
              <w:rPr>
                <w:sz w:val="1"/>
                <w:szCs w:val="1"/>
                <w:color w:val="auto"/>
              </w:rPr>
            </w:pPr>
          </w:p>
        </w:tc>
      </w:tr>
      <w:tr>
        <w:trPr>
          <w:trHeight w:val="263"/>
        </w:trPr>
        <w:tc>
          <w:tcPr>
            <w:tcW w:w="280" w:type="dxa"/>
            <w:vAlign w:val="bottom"/>
            <w:tcBorders>
              <w:left w:val="single" w:sz="8" w:color="83AD40"/>
            </w:tcBorders>
            <w:shd w:val="clear" w:color="auto" w:fill="E9F9D8"/>
          </w:tcPr>
          <w:p>
            <w:pPr>
              <w:spacing w:after="0"/>
              <w:rPr>
                <w:sz w:val="22"/>
                <w:szCs w:val="22"/>
                <w:color w:val="auto"/>
              </w:rPr>
            </w:pPr>
          </w:p>
        </w:tc>
        <w:tc>
          <w:tcPr>
            <w:tcW w:w="100" w:type="dxa"/>
            <w:vAlign w:val="bottom"/>
            <w:vMerge w:val="restart"/>
            <w:shd w:val="clear" w:color="auto" w:fill="E9F9D8"/>
          </w:tcPr>
          <w:p>
            <w:pPr>
              <w:spacing w:after="0"/>
              <w:rPr>
                <w:sz w:val="20"/>
                <w:szCs w:val="20"/>
                <w:color w:val="auto"/>
              </w:rPr>
            </w:pPr>
            <w:r>
              <w:rPr>
                <w:rFonts w:ascii="Arial" w:cs="Arial" w:eastAsia="Arial" w:hAnsi="Arial"/>
                <w:sz w:val="16"/>
                <w:szCs w:val="16"/>
                <w:color w:val="auto"/>
              </w:rPr>
              <w:t>•</w:t>
            </w:r>
          </w:p>
        </w:tc>
        <w:tc>
          <w:tcPr>
            <w:tcW w:w="1860" w:type="dxa"/>
            <w:vAlign w:val="bottom"/>
            <w:gridSpan w:val="3"/>
            <w:vMerge w:val="restart"/>
            <w:shd w:val="clear" w:color="auto" w:fill="E9F9D8"/>
          </w:tcPr>
          <w:p>
            <w:pPr>
              <w:ind w:left="60"/>
              <w:spacing w:after="0"/>
              <w:rPr>
                <w:sz w:val="20"/>
                <w:szCs w:val="20"/>
                <w:color w:val="auto"/>
              </w:rPr>
            </w:pPr>
            <w:r>
              <w:rPr>
                <w:rFonts w:ascii="Arial" w:cs="Arial" w:eastAsia="Arial" w:hAnsi="Arial"/>
                <w:sz w:val="16"/>
                <w:szCs w:val="16"/>
                <w:color w:val="auto"/>
              </w:rPr>
              <w:t>Launched in 2024</w:t>
            </w:r>
          </w:p>
        </w:tc>
        <w:tc>
          <w:tcPr>
            <w:tcW w:w="120" w:type="dxa"/>
            <w:vAlign w:val="bottom"/>
            <w:tcBorders>
              <w:right w:val="single" w:sz="8" w:color="83AD40"/>
            </w:tcBorders>
            <w:shd w:val="clear" w:color="auto" w:fill="E9F9D8"/>
          </w:tcPr>
          <w:p>
            <w:pPr>
              <w:spacing w:after="0"/>
              <w:rPr>
                <w:sz w:val="22"/>
                <w:szCs w:val="22"/>
                <w:color w:val="auto"/>
              </w:rPr>
            </w:pPr>
          </w:p>
        </w:tc>
        <w:tc>
          <w:tcPr>
            <w:tcW w:w="100" w:type="dxa"/>
            <w:vAlign w:val="bottom"/>
            <w:shd w:val="clear" w:color="auto" w:fill="E9F9D8"/>
          </w:tcPr>
          <w:p>
            <w:pPr>
              <w:spacing w:after="0"/>
              <w:rPr>
                <w:sz w:val="22"/>
                <w:szCs w:val="22"/>
                <w:color w:val="auto"/>
              </w:rPr>
            </w:pPr>
          </w:p>
        </w:tc>
        <w:tc>
          <w:tcPr>
            <w:tcW w:w="2080" w:type="dxa"/>
            <w:vAlign w:val="bottom"/>
            <w:tcBorders>
              <w:right w:val="single" w:sz="8" w:color="83AD40"/>
            </w:tcBorders>
            <w:gridSpan w:val="3"/>
            <w:vMerge w:val="continue"/>
            <w:shd w:val="clear" w:color="auto" w:fill="E9F9D8"/>
          </w:tcPr>
          <w:p>
            <w:pPr>
              <w:spacing w:after="0"/>
              <w:rPr>
                <w:sz w:val="22"/>
                <w:szCs w:val="22"/>
                <w:color w:val="auto"/>
              </w:rPr>
            </w:pPr>
          </w:p>
        </w:tc>
        <w:tc>
          <w:tcPr>
            <w:tcW w:w="60" w:type="dxa"/>
            <w:vAlign w:val="bottom"/>
            <w:shd w:val="clear" w:color="auto" w:fill="E9F9D8"/>
          </w:tcPr>
          <w:p>
            <w:pPr>
              <w:spacing w:after="0"/>
              <w:rPr>
                <w:sz w:val="22"/>
                <w:szCs w:val="22"/>
                <w:color w:val="auto"/>
              </w:rPr>
            </w:pPr>
          </w:p>
        </w:tc>
        <w:tc>
          <w:tcPr>
            <w:tcW w:w="140" w:type="dxa"/>
            <w:vAlign w:val="bottom"/>
            <w:gridSpan w:val="2"/>
            <w:vMerge w:val="continue"/>
            <w:shd w:val="clear" w:color="auto" w:fill="E9F9D8"/>
          </w:tcPr>
          <w:p>
            <w:pPr>
              <w:spacing w:after="0"/>
              <w:rPr>
                <w:sz w:val="22"/>
                <w:szCs w:val="22"/>
                <w:color w:val="auto"/>
              </w:rPr>
            </w:pPr>
          </w:p>
        </w:tc>
        <w:tc>
          <w:tcPr>
            <w:tcW w:w="1820" w:type="dxa"/>
            <w:vAlign w:val="bottom"/>
            <w:gridSpan w:val="2"/>
            <w:vMerge w:val="continue"/>
            <w:shd w:val="clear" w:color="auto" w:fill="E9F9D8"/>
          </w:tcPr>
          <w:p>
            <w:pPr>
              <w:spacing w:after="0"/>
              <w:rPr>
                <w:sz w:val="22"/>
                <w:szCs w:val="22"/>
                <w:color w:val="auto"/>
              </w:rPr>
            </w:pPr>
          </w:p>
        </w:tc>
        <w:tc>
          <w:tcPr>
            <w:tcW w:w="160" w:type="dxa"/>
            <w:vAlign w:val="bottom"/>
            <w:tcBorders>
              <w:right w:val="single" w:sz="8" w:color="83AD40"/>
            </w:tcBorders>
            <w:shd w:val="clear" w:color="auto" w:fill="E9F9D8"/>
          </w:tcPr>
          <w:p>
            <w:pPr>
              <w:spacing w:after="0"/>
              <w:rPr>
                <w:sz w:val="22"/>
                <w:szCs w:val="22"/>
                <w:color w:val="auto"/>
              </w:rPr>
            </w:pPr>
          </w:p>
        </w:tc>
        <w:tc>
          <w:tcPr>
            <w:tcW w:w="80" w:type="dxa"/>
            <w:vAlign w:val="bottom"/>
            <w:shd w:val="clear" w:color="auto" w:fill="E9F9D8"/>
          </w:tcPr>
          <w:p>
            <w:pPr>
              <w:spacing w:after="0"/>
              <w:rPr>
                <w:sz w:val="22"/>
                <w:szCs w:val="22"/>
                <w:color w:val="auto"/>
              </w:rPr>
            </w:pPr>
          </w:p>
        </w:tc>
        <w:tc>
          <w:tcPr>
            <w:tcW w:w="100" w:type="dxa"/>
            <w:vAlign w:val="bottom"/>
            <w:vMerge w:val="continue"/>
            <w:shd w:val="clear" w:color="auto" w:fill="E9F9D8"/>
          </w:tcPr>
          <w:p>
            <w:pPr>
              <w:spacing w:after="0"/>
              <w:rPr>
                <w:sz w:val="22"/>
                <w:szCs w:val="22"/>
                <w:color w:val="auto"/>
              </w:rPr>
            </w:pPr>
          </w:p>
        </w:tc>
        <w:tc>
          <w:tcPr>
            <w:tcW w:w="2180" w:type="dxa"/>
            <w:vAlign w:val="bottom"/>
            <w:tcBorders>
              <w:right w:val="single" w:sz="8" w:color="83AD40"/>
            </w:tcBorders>
            <w:gridSpan w:val="2"/>
            <w:vMerge w:val="continue"/>
            <w:shd w:val="clear" w:color="auto" w:fill="E9F9D8"/>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80" w:type="dxa"/>
            <w:vAlign w:val="bottom"/>
            <w:tcBorders>
              <w:left w:val="single" w:sz="8" w:color="83AD40"/>
            </w:tcBorders>
            <w:shd w:val="clear" w:color="auto" w:fill="E9F9D8"/>
          </w:tcPr>
          <w:p>
            <w:pPr>
              <w:spacing w:after="0"/>
              <w:rPr>
                <w:sz w:val="16"/>
                <w:szCs w:val="16"/>
                <w:color w:val="auto"/>
              </w:rPr>
            </w:pPr>
          </w:p>
        </w:tc>
        <w:tc>
          <w:tcPr>
            <w:tcW w:w="100" w:type="dxa"/>
            <w:vAlign w:val="bottom"/>
            <w:vMerge w:val="continue"/>
            <w:shd w:val="clear" w:color="auto" w:fill="E9F9D8"/>
          </w:tcPr>
          <w:p>
            <w:pPr>
              <w:spacing w:after="0"/>
              <w:rPr>
                <w:sz w:val="16"/>
                <w:szCs w:val="16"/>
                <w:color w:val="auto"/>
              </w:rPr>
            </w:pPr>
          </w:p>
        </w:tc>
        <w:tc>
          <w:tcPr>
            <w:tcW w:w="1860" w:type="dxa"/>
            <w:vAlign w:val="bottom"/>
            <w:gridSpan w:val="3"/>
            <w:vMerge w:val="continue"/>
            <w:shd w:val="clear" w:color="auto" w:fill="E9F9D8"/>
          </w:tcPr>
          <w:p>
            <w:pPr>
              <w:spacing w:after="0"/>
              <w:rPr>
                <w:sz w:val="16"/>
                <w:szCs w:val="16"/>
                <w:color w:val="auto"/>
              </w:rPr>
            </w:pPr>
          </w:p>
        </w:tc>
        <w:tc>
          <w:tcPr>
            <w:tcW w:w="120" w:type="dxa"/>
            <w:vAlign w:val="bottom"/>
            <w:tcBorders>
              <w:right w:val="single" w:sz="8" w:color="83AD40"/>
            </w:tcBorders>
            <w:shd w:val="clear" w:color="auto" w:fill="E9F9D8"/>
          </w:tcPr>
          <w:p>
            <w:pPr>
              <w:spacing w:after="0"/>
              <w:rPr>
                <w:sz w:val="16"/>
                <w:szCs w:val="16"/>
                <w:color w:val="auto"/>
              </w:rPr>
            </w:pPr>
          </w:p>
        </w:tc>
        <w:tc>
          <w:tcPr>
            <w:tcW w:w="100" w:type="dxa"/>
            <w:vAlign w:val="bottom"/>
            <w:shd w:val="clear" w:color="auto" w:fill="E9F9D8"/>
          </w:tcPr>
          <w:p>
            <w:pPr>
              <w:spacing w:after="0"/>
              <w:rPr>
                <w:sz w:val="16"/>
                <w:szCs w:val="16"/>
                <w:color w:val="auto"/>
              </w:rPr>
            </w:pPr>
          </w:p>
        </w:tc>
        <w:tc>
          <w:tcPr>
            <w:tcW w:w="100" w:type="dxa"/>
            <w:vAlign w:val="bottom"/>
            <w:shd w:val="clear" w:color="auto" w:fill="E9F9D8"/>
          </w:tcPr>
          <w:p>
            <w:pPr>
              <w:spacing w:after="0"/>
              <w:rPr>
                <w:sz w:val="16"/>
                <w:szCs w:val="16"/>
                <w:color w:val="auto"/>
              </w:rPr>
            </w:pPr>
          </w:p>
        </w:tc>
        <w:tc>
          <w:tcPr>
            <w:tcW w:w="1980" w:type="dxa"/>
            <w:vAlign w:val="bottom"/>
            <w:tcBorders>
              <w:right w:val="single" w:sz="8" w:color="83AD40"/>
            </w:tcBorders>
            <w:gridSpan w:val="2"/>
            <w:shd w:val="clear" w:color="auto" w:fill="E9F9D8"/>
          </w:tcPr>
          <w:p>
            <w:pPr>
              <w:ind w:left="60"/>
              <w:spacing w:after="0"/>
              <w:rPr>
                <w:sz w:val="20"/>
                <w:szCs w:val="20"/>
                <w:color w:val="auto"/>
              </w:rPr>
            </w:pPr>
            <w:r>
              <w:rPr>
                <w:rFonts w:ascii="Arial" w:cs="Arial" w:eastAsia="Arial" w:hAnsi="Arial"/>
                <w:sz w:val="16"/>
                <w:szCs w:val="16"/>
                <w:color w:val="auto"/>
              </w:rPr>
              <w:t>of OVA’s multi-level</w:t>
            </w:r>
          </w:p>
        </w:tc>
        <w:tc>
          <w:tcPr>
            <w:tcW w:w="60" w:type="dxa"/>
            <w:vAlign w:val="bottom"/>
            <w:shd w:val="clear" w:color="auto" w:fill="E9F9D8"/>
          </w:tcPr>
          <w:p>
            <w:pPr>
              <w:spacing w:after="0"/>
              <w:rPr>
                <w:sz w:val="16"/>
                <w:szCs w:val="16"/>
                <w:color w:val="auto"/>
              </w:rPr>
            </w:pPr>
          </w:p>
        </w:tc>
        <w:tc>
          <w:tcPr>
            <w:tcW w:w="20" w:type="dxa"/>
            <w:vAlign w:val="bottom"/>
            <w:shd w:val="clear" w:color="auto" w:fill="E9F9D8"/>
          </w:tcPr>
          <w:p>
            <w:pPr>
              <w:spacing w:after="0"/>
              <w:rPr>
                <w:sz w:val="16"/>
                <w:szCs w:val="16"/>
                <w:color w:val="auto"/>
              </w:rPr>
            </w:pPr>
          </w:p>
        </w:tc>
        <w:tc>
          <w:tcPr>
            <w:tcW w:w="120" w:type="dxa"/>
            <w:vAlign w:val="bottom"/>
            <w:shd w:val="clear" w:color="auto" w:fill="E9F9D8"/>
          </w:tcPr>
          <w:p>
            <w:pPr>
              <w:spacing w:after="0"/>
              <w:rPr>
                <w:sz w:val="16"/>
                <w:szCs w:val="16"/>
                <w:color w:val="auto"/>
              </w:rPr>
            </w:pPr>
          </w:p>
        </w:tc>
        <w:tc>
          <w:tcPr>
            <w:tcW w:w="1820" w:type="dxa"/>
            <w:vAlign w:val="bottom"/>
            <w:gridSpan w:val="2"/>
            <w:shd w:val="clear" w:color="auto" w:fill="E9F9D8"/>
          </w:tcPr>
          <w:p>
            <w:pPr>
              <w:ind w:left="40"/>
              <w:spacing w:after="0"/>
              <w:rPr>
                <w:sz w:val="20"/>
                <w:szCs w:val="20"/>
                <w:color w:val="auto"/>
              </w:rPr>
            </w:pPr>
            <w:r>
              <w:rPr>
                <w:rFonts w:ascii="Arial" w:cs="Arial" w:eastAsia="Arial" w:hAnsi="Arial"/>
                <w:sz w:val="16"/>
                <w:szCs w:val="16"/>
                <w:color w:val="auto"/>
              </w:rPr>
              <w:t>managing complex</w:t>
            </w:r>
          </w:p>
        </w:tc>
        <w:tc>
          <w:tcPr>
            <w:tcW w:w="160" w:type="dxa"/>
            <w:vAlign w:val="bottom"/>
            <w:tcBorders>
              <w:right w:val="single" w:sz="8" w:color="83AD40"/>
            </w:tcBorders>
            <w:shd w:val="clear" w:color="auto" w:fill="E9F9D8"/>
          </w:tcPr>
          <w:p>
            <w:pPr>
              <w:spacing w:after="0"/>
              <w:rPr>
                <w:sz w:val="16"/>
                <w:szCs w:val="16"/>
                <w:color w:val="auto"/>
              </w:rPr>
            </w:pPr>
          </w:p>
        </w:tc>
        <w:tc>
          <w:tcPr>
            <w:tcW w:w="80" w:type="dxa"/>
            <w:vAlign w:val="bottom"/>
            <w:shd w:val="clear" w:color="auto" w:fill="E9F9D8"/>
          </w:tcPr>
          <w:p>
            <w:pPr>
              <w:spacing w:after="0"/>
              <w:rPr>
                <w:sz w:val="16"/>
                <w:szCs w:val="16"/>
                <w:color w:val="auto"/>
              </w:rPr>
            </w:pPr>
          </w:p>
        </w:tc>
        <w:tc>
          <w:tcPr>
            <w:tcW w:w="100" w:type="dxa"/>
            <w:vAlign w:val="bottom"/>
            <w:shd w:val="clear" w:color="auto" w:fill="E9F9D8"/>
          </w:tcPr>
          <w:p>
            <w:pPr>
              <w:spacing w:after="0"/>
              <w:rPr>
                <w:sz w:val="16"/>
                <w:szCs w:val="16"/>
                <w:color w:val="auto"/>
              </w:rPr>
            </w:pPr>
          </w:p>
        </w:tc>
        <w:tc>
          <w:tcPr>
            <w:tcW w:w="2180" w:type="dxa"/>
            <w:vAlign w:val="bottom"/>
            <w:tcBorders>
              <w:right w:val="single" w:sz="8" w:color="83AD40"/>
            </w:tcBorders>
            <w:gridSpan w:val="2"/>
            <w:shd w:val="clear" w:color="auto" w:fill="E9F9D8"/>
          </w:tcPr>
          <w:p>
            <w:pPr>
              <w:ind w:left="60"/>
              <w:spacing w:after="0"/>
              <w:rPr>
                <w:sz w:val="20"/>
                <w:szCs w:val="20"/>
                <w:color w:val="auto"/>
              </w:rPr>
            </w:pPr>
            <w:r>
              <w:rPr>
                <w:rFonts w:ascii="Arial" w:cs="Arial" w:eastAsia="Arial" w:hAnsi="Arial"/>
                <w:sz w:val="16"/>
                <w:szCs w:val="16"/>
                <w:color w:val="auto"/>
              </w:rPr>
              <w:t>partnership with Caesars</w:t>
            </w:r>
          </w:p>
        </w:tc>
        <w:tc>
          <w:tcPr>
            <w:tcW w:w="0" w:type="dxa"/>
            <w:vAlign w:val="bottom"/>
          </w:tcPr>
          <w:p>
            <w:pPr>
              <w:spacing w:after="0"/>
              <w:rPr>
                <w:sz w:val="1"/>
                <w:szCs w:val="1"/>
                <w:color w:val="auto"/>
              </w:rPr>
            </w:pPr>
          </w:p>
        </w:tc>
      </w:tr>
      <w:tr>
        <w:trPr>
          <w:trHeight w:val="215"/>
        </w:trPr>
        <w:tc>
          <w:tcPr>
            <w:tcW w:w="280" w:type="dxa"/>
            <w:vAlign w:val="bottom"/>
            <w:tcBorders>
              <w:left w:val="single" w:sz="8" w:color="83AD40"/>
            </w:tcBorders>
            <w:shd w:val="clear" w:color="auto" w:fill="E9F9D8"/>
          </w:tcPr>
          <w:p>
            <w:pPr>
              <w:spacing w:after="0"/>
              <w:rPr>
                <w:sz w:val="18"/>
                <w:szCs w:val="18"/>
                <w:color w:val="auto"/>
              </w:rPr>
            </w:pPr>
          </w:p>
        </w:tc>
        <w:tc>
          <w:tcPr>
            <w:tcW w:w="1960" w:type="dxa"/>
            <w:vAlign w:val="bottom"/>
            <w:gridSpan w:val="4"/>
            <w:vMerge w:val="restart"/>
            <w:shd w:val="clear" w:color="auto" w:fill="E9F9D8"/>
          </w:tcPr>
          <w:p>
            <w:pPr>
              <w:spacing w:after="0"/>
              <w:rPr>
                <w:sz w:val="20"/>
                <w:szCs w:val="20"/>
                <w:color w:val="auto"/>
              </w:rPr>
            </w:pPr>
            <w:r>
              <w:rPr>
                <w:rFonts w:ascii="Arial" w:cs="Arial" w:eastAsia="Arial" w:hAnsi="Arial"/>
                <w:sz w:val="16"/>
                <w:szCs w:val="16"/>
                <w:color w:val="auto"/>
              </w:rPr>
              <w:t>• At least $1 billion, funded</w:t>
            </w:r>
          </w:p>
        </w:tc>
        <w:tc>
          <w:tcPr>
            <w:tcW w:w="120" w:type="dxa"/>
            <w:vAlign w:val="bottom"/>
            <w:tcBorders>
              <w:right w:val="single" w:sz="8" w:color="83AD40"/>
            </w:tcBorders>
            <w:shd w:val="clear" w:color="auto" w:fill="E9F9D8"/>
          </w:tcPr>
          <w:p>
            <w:pPr>
              <w:spacing w:after="0"/>
              <w:rPr>
                <w:sz w:val="18"/>
                <w:szCs w:val="18"/>
                <w:color w:val="auto"/>
              </w:rPr>
            </w:pPr>
          </w:p>
        </w:tc>
        <w:tc>
          <w:tcPr>
            <w:tcW w:w="100" w:type="dxa"/>
            <w:vAlign w:val="bottom"/>
            <w:shd w:val="clear" w:color="auto" w:fill="E9F9D8"/>
          </w:tcPr>
          <w:p>
            <w:pPr>
              <w:spacing w:after="0"/>
              <w:rPr>
                <w:sz w:val="18"/>
                <w:szCs w:val="18"/>
                <w:color w:val="auto"/>
              </w:rPr>
            </w:pPr>
          </w:p>
        </w:tc>
        <w:tc>
          <w:tcPr>
            <w:tcW w:w="100" w:type="dxa"/>
            <w:vAlign w:val="bottom"/>
            <w:shd w:val="clear" w:color="auto" w:fill="E9F9D8"/>
          </w:tcPr>
          <w:p>
            <w:pPr>
              <w:spacing w:after="0"/>
              <w:rPr>
                <w:sz w:val="18"/>
                <w:szCs w:val="18"/>
                <w:color w:val="auto"/>
              </w:rPr>
            </w:pPr>
          </w:p>
        </w:tc>
        <w:tc>
          <w:tcPr>
            <w:tcW w:w="1980" w:type="dxa"/>
            <w:vAlign w:val="bottom"/>
            <w:tcBorders>
              <w:right w:val="single" w:sz="8" w:color="83AD40"/>
            </w:tcBorders>
            <w:gridSpan w:val="2"/>
            <w:shd w:val="clear" w:color="auto" w:fill="E9F9D8"/>
          </w:tcPr>
          <w:p>
            <w:pPr>
              <w:ind w:left="60"/>
              <w:spacing w:after="0"/>
              <w:rPr>
                <w:sz w:val="20"/>
                <w:szCs w:val="20"/>
                <w:color w:val="auto"/>
              </w:rPr>
            </w:pPr>
            <w:r>
              <w:rPr>
                <w:rFonts w:ascii="Arial" w:cs="Arial" w:eastAsia="Arial" w:hAnsi="Arial"/>
                <w:sz w:val="16"/>
                <w:szCs w:val="16"/>
                <w:color w:val="auto"/>
              </w:rPr>
              <w:t>sensory immersive</w:t>
            </w:r>
          </w:p>
        </w:tc>
        <w:tc>
          <w:tcPr>
            <w:tcW w:w="60" w:type="dxa"/>
            <w:vAlign w:val="bottom"/>
            <w:shd w:val="clear" w:color="auto" w:fill="E9F9D8"/>
          </w:tcPr>
          <w:p>
            <w:pPr>
              <w:spacing w:after="0"/>
              <w:rPr>
                <w:sz w:val="18"/>
                <w:szCs w:val="18"/>
                <w:color w:val="auto"/>
              </w:rPr>
            </w:pPr>
          </w:p>
        </w:tc>
        <w:tc>
          <w:tcPr>
            <w:tcW w:w="20" w:type="dxa"/>
            <w:vAlign w:val="bottom"/>
            <w:shd w:val="clear" w:color="auto" w:fill="E9F9D8"/>
          </w:tcPr>
          <w:p>
            <w:pPr>
              <w:spacing w:after="0"/>
              <w:rPr>
                <w:sz w:val="18"/>
                <w:szCs w:val="18"/>
                <w:color w:val="auto"/>
              </w:rPr>
            </w:pPr>
          </w:p>
        </w:tc>
        <w:tc>
          <w:tcPr>
            <w:tcW w:w="120" w:type="dxa"/>
            <w:vAlign w:val="bottom"/>
            <w:shd w:val="clear" w:color="auto" w:fill="E9F9D8"/>
          </w:tcPr>
          <w:p>
            <w:pPr>
              <w:spacing w:after="0"/>
              <w:rPr>
                <w:sz w:val="18"/>
                <w:szCs w:val="18"/>
                <w:color w:val="auto"/>
              </w:rPr>
            </w:pPr>
          </w:p>
        </w:tc>
        <w:tc>
          <w:tcPr>
            <w:tcW w:w="1820" w:type="dxa"/>
            <w:vAlign w:val="bottom"/>
            <w:gridSpan w:val="2"/>
            <w:shd w:val="clear" w:color="auto" w:fill="E9F9D8"/>
          </w:tcPr>
          <w:p>
            <w:pPr>
              <w:ind w:left="40"/>
              <w:spacing w:after="0"/>
              <w:rPr>
                <w:sz w:val="20"/>
                <w:szCs w:val="20"/>
                <w:color w:val="auto"/>
              </w:rPr>
            </w:pPr>
            <w:r>
              <w:rPr>
                <w:rFonts w:ascii="Arial" w:cs="Arial" w:eastAsia="Arial" w:hAnsi="Arial"/>
                <w:sz w:val="16"/>
                <w:szCs w:val="16"/>
                <w:color w:val="auto"/>
              </w:rPr>
              <w:t>capital structures</w:t>
            </w:r>
          </w:p>
        </w:tc>
        <w:tc>
          <w:tcPr>
            <w:tcW w:w="160" w:type="dxa"/>
            <w:vAlign w:val="bottom"/>
            <w:tcBorders>
              <w:right w:val="single" w:sz="8" w:color="83AD40"/>
            </w:tcBorders>
            <w:shd w:val="clear" w:color="auto" w:fill="E9F9D8"/>
          </w:tcPr>
          <w:p>
            <w:pPr>
              <w:spacing w:after="0"/>
              <w:rPr>
                <w:sz w:val="18"/>
                <w:szCs w:val="18"/>
                <w:color w:val="auto"/>
              </w:rPr>
            </w:pPr>
          </w:p>
        </w:tc>
        <w:tc>
          <w:tcPr>
            <w:tcW w:w="80" w:type="dxa"/>
            <w:vAlign w:val="bottom"/>
            <w:shd w:val="clear" w:color="auto" w:fill="E9F9D8"/>
          </w:tcPr>
          <w:p>
            <w:pPr>
              <w:spacing w:after="0"/>
              <w:rPr>
                <w:sz w:val="18"/>
                <w:szCs w:val="18"/>
                <w:color w:val="auto"/>
              </w:rPr>
            </w:pPr>
          </w:p>
        </w:tc>
        <w:tc>
          <w:tcPr>
            <w:tcW w:w="100" w:type="dxa"/>
            <w:vAlign w:val="bottom"/>
            <w:shd w:val="clear" w:color="auto" w:fill="E9F9D8"/>
          </w:tcPr>
          <w:p>
            <w:pPr>
              <w:spacing w:after="0"/>
              <w:rPr>
                <w:sz w:val="18"/>
                <w:szCs w:val="18"/>
                <w:color w:val="auto"/>
              </w:rPr>
            </w:pPr>
          </w:p>
        </w:tc>
        <w:tc>
          <w:tcPr>
            <w:tcW w:w="2180" w:type="dxa"/>
            <w:vAlign w:val="bottom"/>
            <w:tcBorders>
              <w:right w:val="single" w:sz="8" w:color="83AD40"/>
            </w:tcBorders>
            <w:gridSpan w:val="2"/>
            <w:shd w:val="clear" w:color="auto" w:fill="E9F9D8"/>
          </w:tcPr>
          <w:p>
            <w:pPr>
              <w:ind w:left="60"/>
              <w:spacing w:after="0"/>
              <w:rPr>
                <w:sz w:val="20"/>
                <w:szCs w:val="20"/>
                <w:color w:val="auto"/>
              </w:rPr>
            </w:pPr>
            <w:r>
              <w:rPr>
                <w:rFonts w:ascii="Arial" w:cs="Arial" w:eastAsia="Arial" w:hAnsi="Arial"/>
                <w:sz w:val="16"/>
                <w:szCs w:val="16"/>
                <w:color w:val="auto"/>
              </w:rPr>
              <w:t>Entertainment</w:t>
            </w:r>
          </w:p>
        </w:tc>
        <w:tc>
          <w:tcPr>
            <w:tcW w:w="0" w:type="dxa"/>
            <w:vAlign w:val="bottom"/>
          </w:tcPr>
          <w:p>
            <w:pPr>
              <w:spacing w:after="0"/>
              <w:rPr>
                <w:sz w:val="1"/>
                <w:szCs w:val="1"/>
                <w:color w:val="auto"/>
              </w:rPr>
            </w:pPr>
          </w:p>
        </w:tc>
      </w:tr>
      <w:tr>
        <w:trPr>
          <w:trHeight w:val="42"/>
        </w:trPr>
        <w:tc>
          <w:tcPr>
            <w:tcW w:w="280" w:type="dxa"/>
            <w:vAlign w:val="bottom"/>
            <w:tcBorders>
              <w:left w:val="single" w:sz="8" w:color="83AD40"/>
            </w:tcBorders>
            <w:shd w:val="clear" w:color="auto" w:fill="E9F9D8"/>
          </w:tcPr>
          <w:p>
            <w:pPr>
              <w:spacing w:after="0"/>
              <w:rPr>
                <w:sz w:val="3"/>
                <w:szCs w:val="3"/>
                <w:color w:val="auto"/>
              </w:rPr>
            </w:pPr>
          </w:p>
        </w:tc>
        <w:tc>
          <w:tcPr>
            <w:tcW w:w="1960" w:type="dxa"/>
            <w:vAlign w:val="bottom"/>
            <w:gridSpan w:val="4"/>
            <w:vMerge w:val="continue"/>
            <w:shd w:val="clear" w:color="auto" w:fill="E9F9D8"/>
          </w:tcPr>
          <w:p>
            <w:pPr>
              <w:spacing w:after="0"/>
              <w:rPr>
                <w:sz w:val="3"/>
                <w:szCs w:val="3"/>
                <w:color w:val="auto"/>
              </w:rPr>
            </w:pPr>
          </w:p>
        </w:tc>
        <w:tc>
          <w:tcPr>
            <w:tcW w:w="120" w:type="dxa"/>
            <w:vAlign w:val="bottom"/>
            <w:tcBorders>
              <w:right w:val="single" w:sz="8" w:color="83AD40"/>
            </w:tcBorders>
            <w:shd w:val="clear" w:color="auto" w:fill="E9F9D8"/>
          </w:tcPr>
          <w:p>
            <w:pPr>
              <w:spacing w:after="0"/>
              <w:rPr>
                <w:sz w:val="3"/>
                <w:szCs w:val="3"/>
                <w:color w:val="auto"/>
              </w:rPr>
            </w:pPr>
          </w:p>
        </w:tc>
        <w:tc>
          <w:tcPr>
            <w:tcW w:w="100" w:type="dxa"/>
            <w:vAlign w:val="bottom"/>
            <w:shd w:val="clear" w:color="auto" w:fill="E9F9D8"/>
          </w:tcPr>
          <w:p>
            <w:pPr>
              <w:spacing w:after="0"/>
              <w:rPr>
                <w:sz w:val="3"/>
                <w:szCs w:val="3"/>
                <w:color w:val="auto"/>
              </w:rPr>
            </w:pPr>
          </w:p>
        </w:tc>
        <w:tc>
          <w:tcPr>
            <w:tcW w:w="100" w:type="dxa"/>
            <w:vAlign w:val="bottom"/>
            <w:shd w:val="clear" w:color="auto" w:fill="E9F9D8"/>
          </w:tcPr>
          <w:p>
            <w:pPr>
              <w:spacing w:after="0"/>
              <w:rPr>
                <w:sz w:val="3"/>
                <w:szCs w:val="3"/>
                <w:color w:val="auto"/>
              </w:rPr>
            </w:pPr>
          </w:p>
        </w:tc>
        <w:tc>
          <w:tcPr>
            <w:tcW w:w="1980" w:type="dxa"/>
            <w:vAlign w:val="bottom"/>
            <w:tcBorders>
              <w:right w:val="single" w:sz="8" w:color="83AD40"/>
            </w:tcBorders>
            <w:gridSpan w:val="2"/>
            <w:vMerge w:val="restart"/>
            <w:shd w:val="clear" w:color="auto" w:fill="E9F9D8"/>
          </w:tcPr>
          <w:p>
            <w:pPr>
              <w:ind w:left="60"/>
              <w:spacing w:after="0"/>
              <w:rPr>
                <w:sz w:val="20"/>
                <w:szCs w:val="20"/>
                <w:color w:val="auto"/>
              </w:rPr>
            </w:pPr>
            <w:r>
              <w:rPr>
                <w:rFonts w:ascii="Arial" w:cs="Arial" w:eastAsia="Arial" w:hAnsi="Arial"/>
                <w:sz w:val="16"/>
                <w:szCs w:val="16"/>
                <w:color w:val="auto"/>
              </w:rPr>
              <w:t>experience</w:t>
            </w:r>
          </w:p>
        </w:tc>
        <w:tc>
          <w:tcPr>
            <w:tcW w:w="60" w:type="dxa"/>
            <w:vAlign w:val="bottom"/>
            <w:shd w:val="clear" w:color="auto" w:fill="E9F9D8"/>
          </w:tcPr>
          <w:p>
            <w:pPr>
              <w:spacing w:after="0"/>
              <w:rPr>
                <w:sz w:val="3"/>
                <w:szCs w:val="3"/>
                <w:color w:val="auto"/>
              </w:rPr>
            </w:pPr>
          </w:p>
        </w:tc>
        <w:tc>
          <w:tcPr>
            <w:tcW w:w="20" w:type="dxa"/>
            <w:vAlign w:val="bottom"/>
            <w:shd w:val="clear" w:color="auto" w:fill="E9F9D8"/>
          </w:tcPr>
          <w:p>
            <w:pPr>
              <w:spacing w:after="0"/>
              <w:rPr>
                <w:sz w:val="3"/>
                <w:szCs w:val="3"/>
                <w:color w:val="auto"/>
              </w:rPr>
            </w:pPr>
          </w:p>
        </w:tc>
        <w:tc>
          <w:tcPr>
            <w:tcW w:w="120" w:type="dxa"/>
            <w:vAlign w:val="bottom"/>
            <w:shd w:val="clear" w:color="auto" w:fill="E9F9D8"/>
          </w:tcPr>
          <w:p>
            <w:pPr>
              <w:spacing w:after="0"/>
              <w:rPr>
                <w:sz w:val="3"/>
                <w:szCs w:val="3"/>
                <w:color w:val="auto"/>
              </w:rPr>
            </w:pPr>
          </w:p>
        </w:tc>
        <w:tc>
          <w:tcPr>
            <w:tcW w:w="1740" w:type="dxa"/>
            <w:vAlign w:val="bottom"/>
            <w:shd w:val="clear" w:color="auto" w:fill="E9F9D8"/>
          </w:tcPr>
          <w:p>
            <w:pPr>
              <w:spacing w:after="0"/>
              <w:rPr>
                <w:sz w:val="3"/>
                <w:szCs w:val="3"/>
                <w:color w:val="auto"/>
              </w:rPr>
            </w:pPr>
          </w:p>
        </w:tc>
        <w:tc>
          <w:tcPr>
            <w:tcW w:w="80" w:type="dxa"/>
            <w:vAlign w:val="bottom"/>
            <w:shd w:val="clear" w:color="auto" w:fill="E9F9D8"/>
          </w:tcPr>
          <w:p>
            <w:pPr>
              <w:spacing w:after="0"/>
              <w:rPr>
                <w:sz w:val="3"/>
                <w:szCs w:val="3"/>
                <w:color w:val="auto"/>
              </w:rPr>
            </w:pPr>
          </w:p>
        </w:tc>
        <w:tc>
          <w:tcPr>
            <w:tcW w:w="160" w:type="dxa"/>
            <w:vAlign w:val="bottom"/>
            <w:tcBorders>
              <w:right w:val="single" w:sz="8" w:color="83AD40"/>
            </w:tcBorders>
            <w:shd w:val="clear" w:color="auto" w:fill="E9F9D8"/>
          </w:tcPr>
          <w:p>
            <w:pPr>
              <w:spacing w:after="0"/>
              <w:rPr>
                <w:sz w:val="3"/>
                <w:szCs w:val="3"/>
                <w:color w:val="auto"/>
              </w:rPr>
            </w:pPr>
          </w:p>
        </w:tc>
        <w:tc>
          <w:tcPr>
            <w:tcW w:w="80" w:type="dxa"/>
            <w:vAlign w:val="bottom"/>
            <w:shd w:val="clear" w:color="auto" w:fill="E9F9D8"/>
          </w:tcPr>
          <w:p>
            <w:pPr>
              <w:spacing w:after="0"/>
              <w:rPr>
                <w:sz w:val="3"/>
                <w:szCs w:val="3"/>
                <w:color w:val="auto"/>
              </w:rPr>
            </w:pPr>
          </w:p>
        </w:tc>
        <w:tc>
          <w:tcPr>
            <w:tcW w:w="100" w:type="dxa"/>
            <w:vAlign w:val="bottom"/>
            <w:shd w:val="clear" w:color="auto" w:fill="E9F9D8"/>
          </w:tcPr>
          <w:p>
            <w:pPr>
              <w:spacing w:after="0"/>
              <w:rPr>
                <w:sz w:val="3"/>
                <w:szCs w:val="3"/>
                <w:color w:val="auto"/>
              </w:rPr>
            </w:pPr>
          </w:p>
        </w:tc>
        <w:tc>
          <w:tcPr>
            <w:tcW w:w="1420" w:type="dxa"/>
            <w:vAlign w:val="bottom"/>
            <w:shd w:val="clear" w:color="auto" w:fill="E9F9D8"/>
          </w:tcPr>
          <w:p>
            <w:pPr>
              <w:spacing w:after="0"/>
              <w:rPr>
                <w:sz w:val="3"/>
                <w:szCs w:val="3"/>
                <w:color w:val="auto"/>
              </w:rPr>
            </w:pPr>
          </w:p>
        </w:tc>
        <w:tc>
          <w:tcPr>
            <w:tcW w:w="760" w:type="dxa"/>
            <w:vAlign w:val="bottom"/>
            <w:tcBorders>
              <w:right w:val="single" w:sz="8" w:color="83AD40"/>
            </w:tcBorders>
            <w:shd w:val="clear" w:color="auto" w:fill="E9F9D8"/>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80" w:type="dxa"/>
            <w:vAlign w:val="bottom"/>
            <w:tcBorders>
              <w:left w:val="single" w:sz="8" w:color="83AD40"/>
            </w:tcBorders>
            <w:shd w:val="clear" w:color="auto" w:fill="E9F9D8"/>
          </w:tcPr>
          <w:p>
            <w:pPr>
              <w:spacing w:after="0"/>
              <w:rPr>
                <w:sz w:val="15"/>
                <w:szCs w:val="15"/>
                <w:color w:val="auto"/>
              </w:rPr>
            </w:pPr>
          </w:p>
        </w:tc>
        <w:tc>
          <w:tcPr>
            <w:tcW w:w="100" w:type="dxa"/>
            <w:vAlign w:val="bottom"/>
            <w:shd w:val="clear" w:color="auto" w:fill="E9F9D8"/>
          </w:tcPr>
          <w:p>
            <w:pPr>
              <w:spacing w:after="0"/>
              <w:rPr>
                <w:sz w:val="15"/>
                <w:szCs w:val="15"/>
                <w:color w:val="auto"/>
              </w:rPr>
            </w:pPr>
          </w:p>
        </w:tc>
        <w:tc>
          <w:tcPr>
            <w:tcW w:w="1860" w:type="dxa"/>
            <w:vAlign w:val="bottom"/>
            <w:gridSpan w:val="3"/>
            <w:vMerge w:val="restart"/>
            <w:shd w:val="clear" w:color="auto" w:fill="E9F9D8"/>
          </w:tcPr>
          <w:p>
            <w:pPr>
              <w:ind w:left="60"/>
              <w:spacing w:after="0"/>
              <w:rPr>
                <w:sz w:val="20"/>
                <w:szCs w:val="20"/>
                <w:color w:val="auto"/>
              </w:rPr>
            </w:pPr>
            <w:r>
              <w:rPr>
                <w:rFonts w:ascii="Arial" w:cs="Arial" w:eastAsia="Arial" w:hAnsi="Arial"/>
                <w:sz w:val="16"/>
                <w:szCs w:val="16"/>
                <w:color w:val="auto"/>
              </w:rPr>
              <w:t>largely by third-party</w:t>
            </w:r>
          </w:p>
        </w:tc>
        <w:tc>
          <w:tcPr>
            <w:tcW w:w="120" w:type="dxa"/>
            <w:vAlign w:val="bottom"/>
            <w:tcBorders>
              <w:right w:val="single" w:sz="8" w:color="83AD40"/>
            </w:tcBorders>
            <w:shd w:val="clear" w:color="auto" w:fill="E9F9D8"/>
          </w:tcPr>
          <w:p>
            <w:pPr>
              <w:spacing w:after="0"/>
              <w:rPr>
                <w:sz w:val="15"/>
                <w:szCs w:val="15"/>
                <w:color w:val="auto"/>
              </w:rPr>
            </w:pPr>
          </w:p>
        </w:tc>
        <w:tc>
          <w:tcPr>
            <w:tcW w:w="100" w:type="dxa"/>
            <w:vAlign w:val="bottom"/>
            <w:shd w:val="clear" w:color="auto" w:fill="E9F9D8"/>
          </w:tcPr>
          <w:p>
            <w:pPr>
              <w:spacing w:after="0"/>
              <w:rPr>
                <w:sz w:val="15"/>
                <w:szCs w:val="15"/>
                <w:color w:val="auto"/>
              </w:rPr>
            </w:pPr>
          </w:p>
        </w:tc>
        <w:tc>
          <w:tcPr>
            <w:tcW w:w="100" w:type="dxa"/>
            <w:vAlign w:val="bottom"/>
            <w:shd w:val="clear" w:color="auto" w:fill="E9F9D8"/>
          </w:tcPr>
          <w:p>
            <w:pPr>
              <w:spacing w:after="0"/>
              <w:rPr>
                <w:sz w:val="15"/>
                <w:szCs w:val="15"/>
                <w:color w:val="auto"/>
              </w:rPr>
            </w:pPr>
          </w:p>
        </w:tc>
        <w:tc>
          <w:tcPr>
            <w:tcW w:w="1980" w:type="dxa"/>
            <w:vAlign w:val="bottom"/>
            <w:tcBorders>
              <w:right w:val="single" w:sz="8" w:color="83AD40"/>
            </w:tcBorders>
            <w:gridSpan w:val="2"/>
            <w:vMerge w:val="continue"/>
            <w:shd w:val="clear" w:color="auto" w:fill="E9F9D8"/>
          </w:tcPr>
          <w:p>
            <w:pPr>
              <w:spacing w:after="0"/>
              <w:rPr>
                <w:sz w:val="15"/>
                <w:szCs w:val="15"/>
                <w:color w:val="auto"/>
              </w:rPr>
            </w:pPr>
          </w:p>
        </w:tc>
        <w:tc>
          <w:tcPr>
            <w:tcW w:w="60" w:type="dxa"/>
            <w:vAlign w:val="bottom"/>
            <w:shd w:val="clear" w:color="auto" w:fill="E9F9D8"/>
          </w:tcPr>
          <w:p>
            <w:pPr>
              <w:spacing w:after="0"/>
              <w:rPr>
                <w:sz w:val="15"/>
                <w:szCs w:val="15"/>
                <w:color w:val="auto"/>
              </w:rPr>
            </w:pPr>
          </w:p>
        </w:tc>
        <w:tc>
          <w:tcPr>
            <w:tcW w:w="140" w:type="dxa"/>
            <w:vAlign w:val="bottom"/>
            <w:gridSpan w:val="2"/>
            <w:vMerge w:val="restart"/>
            <w:shd w:val="clear" w:color="auto" w:fill="E9F9D8"/>
          </w:tcPr>
          <w:p>
            <w:pPr>
              <w:ind w:left="20"/>
              <w:spacing w:after="0"/>
              <w:rPr>
                <w:sz w:val="20"/>
                <w:szCs w:val="20"/>
                <w:color w:val="auto"/>
              </w:rPr>
            </w:pPr>
            <w:r>
              <w:rPr>
                <w:rFonts w:ascii="Arial" w:cs="Arial" w:eastAsia="Arial" w:hAnsi="Arial"/>
                <w:sz w:val="16"/>
                <w:szCs w:val="16"/>
                <w:color w:val="auto"/>
              </w:rPr>
              <w:t>•</w:t>
            </w:r>
          </w:p>
        </w:tc>
        <w:tc>
          <w:tcPr>
            <w:tcW w:w="1820" w:type="dxa"/>
            <w:vAlign w:val="bottom"/>
            <w:gridSpan w:val="2"/>
            <w:vMerge w:val="restart"/>
            <w:shd w:val="clear" w:color="auto" w:fill="E9F9D8"/>
          </w:tcPr>
          <w:p>
            <w:pPr>
              <w:ind w:left="40"/>
              <w:spacing w:after="0"/>
              <w:rPr>
                <w:sz w:val="20"/>
                <w:szCs w:val="20"/>
                <w:color w:val="auto"/>
              </w:rPr>
            </w:pPr>
            <w:r>
              <w:rPr>
                <w:rFonts w:ascii="Arial" w:cs="Arial" w:eastAsia="Arial" w:hAnsi="Arial"/>
                <w:sz w:val="16"/>
                <w:szCs w:val="16"/>
                <w:color w:val="auto"/>
              </w:rPr>
              <w:t>Focus on maximizing</w:t>
            </w:r>
          </w:p>
        </w:tc>
        <w:tc>
          <w:tcPr>
            <w:tcW w:w="160" w:type="dxa"/>
            <w:vAlign w:val="bottom"/>
            <w:tcBorders>
              <w:right w:val="single" w:sz="8" w:color="83AD40"/>
            </w:tcBorders>
            <w:shd w:val="clear" w:color="auto" w:fill="E9F9D8"/>
          </w:tcPr>
          <w:p>
            <w:pPr>
              <w:spacing w:after="0"/>
              <w:rPr>
                <w:sz w:val="15"/>
                <w:szCs w:val="15"/>
                <w:color w:val="auto"/>
              </w:rPr>
            </w:pPr>
          </w:p>
        </w:tc>
        <w:tc>
          <w:tcPr>
            <w:tcW w:w="80" w:type="dxa"/>
            <w:vAlign w:val="bottom"/>
            <w:shd w:val="clear" w:color="auto" w:fill="E9F9D8"/>
          </w:tcPr>
          <w:p>
            <w:pPr>
              <w:spacing w:after="0"/>
              <w:rPr>
                <w:sz w:val="15"/>
                <w:szCs w:val="15"/>
                <w:color w:val="auto"/>
              </w:rPr>
            </w:pPr>
          </w:p>
        </w:tc>
        <w:tc>
          <w:tcPr>
            <w:tcW w:w="100" w:type="dxa"/>
            <w:vAlign w:val="bottom"/>
            <w:vMerge w:val="restart"/>
            <w:shd w:val="clear" w:color="auto" w:fill="E9F9D8"/>
          </w:tcPr>
          <w:p>
            <w:pPr>
              <w:spacing w:after="0"/>
              <w:rPr>
                <w:sz w:val="20"/>
                <w:szCs w:val="20"/>
                <w:color w:val="auto"/>
              </w:rPr>
            </w:pPr>
            <w:r>
              <w:rPr>
                <w:rFonts w:ascii="Arial" w:cs="Arial" w:eastAsia="Arial" w:hAnsi="Arial"/>
                <w:sz w:val="16"/>
                <w:szCs w:val="16"/>
                <w:color w:val="auto"/>
              </w:rPr>
              <w:t>•</w:t>
            </w:r>
          </w:p>
        </w:tc>
        <w:tc>
          <w:tcPr>
            <w:tcW w:w="2180" w:type="dxa"/>
            <w:vAlign w:val="bottom"/>
            <w:tcBorders>
              <w:right w:val="single" w:sz="8" w:color="83AD40"/>
            </w:tcBorders>
            <w:gridSpan w:val="2"/>
            <w:vMerge w:val="restart"/>
            <w:shd w:val="clear" w:color="auto" w:fill="E9F9D8"/>
          </w:tcPr>
          <w:p>
            <w:pPr>
              <w:ind w:left="60"/>
              <w:spacing w:after="0"/>
              <w:rPr>
                <w:sz w:val="20"/>
                <w:szCs w:val="20"/>
                <w:color w:val="auto"/>
              </w:rPr>
            </w:pPr>
            <w:r>
              <w:rPr>
                <w:rFonts w:ascii="Arial" w:cs="Arial" w:eastAsia="Arial" w:hAnsi="Arial"/>
                <w:sz w:val="16"/>
                <w:szCs w:val="16"/>
                <w:color w:val="auto"/>
              </w:rPr>
              <w:t>Redevelops 1515</w:t>
            </w:r>
          </w:p>
        </w:tc>
        <w:tc>
          <w:tcPr>
            <w:tcW w:w="0" w:type="dxa"/>
            <w:vAlign w:val="bottom"/>
          </w:tcPr>
          <w:p>
            <w:pPr>
              <w:spacing w:after="0"/>
              <w:rPr>
                <w:sz w:val="1"/>
                <w:szCs w:val="1"/>
                <w:color w:val="auto"/>
              </w:rPr>
            </w:pPr>
          </w:p>
        </w:tc>
      </w:tr>
      <w:tr>
        <w:trPr>
          <w:trHeight w:val="30"/>
        </w:trPr>
        <w:tc>
          <w:tcPr>
            <w:tcW w:w="280" w:type="dxa"/>
            <w:vAlign w:val="bottom"/>
            <w:tcBorders>
              <w:left w:val="single" w:sz="8" w:color="83AD40"/>
            </w:tcBorders>
            <w:shd w:val="clear" w:color="auto" w:fill="E9F9D8"/>
          </w:tcPr>
          <w:p>
            <w:pPr>
              <w:spacing w:after="0"/>
              <w:rPr>
                <w:sz w:val="2"/>
                <w:szCs w:val="2"/>
                <w:color w:val="auto"/>
              </w:rPr>
            </w:pPr>
          </w:p>
        </w:tc>
        <w:tc>
          <w:tcPr>
            <w:tcW w:w="100" w:type="dxa"/>
            <w:vAlign w:val="bottom"/>
            <w:shd w:val="clear" w:color="auto" w:fill="E9F9D8"/>
          </w:tcPr>
          <w:p>
            <w:pPr>
              <w:spacing w:after="0"/>
              <w:rPr>
                <w:sz w:val="2"/>
                <w:szCs w:val="2"/>
                <w:color w:val="auto"/>
              </w:rPr>
            </w:pPr>
          </w:p>
        </w:tc>
        <w:tc>
          <w:tcPr>
            <w:tcW w:w="1860" w:type="dxa"/>
            <w:vAlign w:val="bottom"/>
            <w:gridSpan w:val="3"/>
            <w:vMerge w:val="continue"/>
            <w:shd w:val="clear" w:color="auto" w:fill="E9F9D8"/>
          </w:tcPr>
          <w:p>
            <w:pPr>
              <w:spacing w:after="0"/>
              <w:rPr>
                <w:sz w:val="2"/>
                <w:szCs w:val="2"/>
                <w:color w:val="auto"/>
              </w:rPr>
            </w:pPr>
          </w:p>
        </w:tc>
        <w:tc>
          <w:tcPr>
            <w:tcW w:w="120" w:type="dxa"/>
            <w:vAlign w:val="bottom"/>
            <w:tcBorders>
              <w:right w:val="single" w:sz="8" w:color="83AD40"/>
            </w:tcBorders>
            <w:shd w:val="clear" w:color="auto" w:fill="E9F9D8"/>
          </w:tcPr>
          <w:p>
            <w:pPr>
              <w:spacing w:after="0"/>
              <w:rPr>
                <w:sz w:val="2"/>
                <w:szCs w:val="2"/>
                <w:color w:val="auto"/>
              </w:rPr>
            </w:pPr>
          </w:p>
        </w:tc>
        <w:tc>
          <w:tcPr>
            <w:tcW w:w="100" w:type="dxa"/>
            <w:vAlign w:val="bottom"/>
            <w:shd w:val="clear" w:color="auto" w:fill="E9F9D8"/>
          </w:tcPr>
          <w:p>
            <w:pPr>
              <w:spacing w:after="0"/>
              <w:rPr>
                <w:sz w:val="2"/>
                <w:szCs w:val="2"/>
                <w:color w:val="auto"/>
              </w:rPr>
            </w:pPr>
          </w:p>
        </w:tc>
        <w:tc>
          <w:tcPr>
            <w:tcW w:w="100" w:type="dxa"/>
            <w:vAlign w:val="bottom"/>
            <w:shd w:val="clear" w:color="auto" w:fill="E9F9D8"/>
          </w:tcPr>
          <w:p>
            <w:pPr>
              <w:spacing w:after="0"/>
              <w:rPr>
                <w:sz w:val="2"/>
                <w:szCs w:val="2"/>
                <w:color w:val="auto"/>
              </w:rPr>
            </w:pPr>
          </w:p>
        </w:tc>
        <w:tc>
          <w:tcPr>
            <w:tcW w:w="1440" w:type="dxa"/>
            <w:vAlign w:val="bottom"/>
            <w:shd w:val="clear" w:color="auto" w:fill="E9F9D8"/>
          </w:tcPr>
          <w:p>
            <w:pPr>
              <w:spacing w:after="0"/>
              <w:rPr>
                <w:sz w:val="2"/>
                <w:szCs w:val="2"/>
                <w:color w:val="auto"/>
              </w:rPr>
            </w:pPr>
          </w:p>
        </w:tc>
        <w:tc>
          <w:tcPr>
            <w:tcW w:w="540" w:type="dxa"/>
            <w:vAlign w:val="bottom"/>
            <w:tcBorders>
              <w:right w:val="single" w:sz="8" w:color="83AD40"/>
            </w:tcBorders>
            <w:shd w:val="clear" w:color="auto" w:fill="E9F9D8"/>
          </w:tcPr>
          <w:p>
            <w:pPr>
              <w:spacing w:after="0"/>
              <w:rPr>
                <w:sz w:val="2"/>
                <w:szCs w:val="2"/>
                <w:color w:val="auto"/>
              </w:rPr>
            </w:pPr>
          </w:p>
        </w:tc>
        <w:tc>
          <w:tcPr>
            <w:tcW w:w="60" w:type="dxa"/>
            <w:vAlign w:val="bottom"/>
            <w:shd w:val="clear" w:color="auto" w:fill="E9F9D8"/>
          </w:tcPr>
          <w:p>
            <w:pPr>
              <w:spacing w:after="0"/>
              <w:rPr>
                <w:sz w:val="2"/>
                <w:szCs w:val="2"/>
                <w:color w:val="auto"/>
              </w:rPr>
            </w:pPr>
          </w:p>
        </w:tc>
        <w:tc>
          <w:tcPr>
            <w:tcW w:w="140" w:type="dxa"/>
            <w:vAlign w:val="bottom"/>
            <w:gridSpan w:val="2"/>
            <w:vMerge w:val="continue"/>
            <w:shd w:val="clear" w:color="auto" w:fill="E9F9D8"/>
          </w:tcPr>
          <w:p>
            <w:pPr>
              <w:spacing w:after="0"/>
              <w:rPr>
                <w:sz w:val="2"/>
                <w:szCs w:val="2"/>
                <w:color w:val="auto"/>
              </w:rPr>
            </w:pPr>
          </w:p>
        </w:tc>
        <w:tc>
          <w:tcPr>
            <w:tcW w:w="1820" w:type="dxa"/>
            <w:vAlign w:val="bottom"/>
            <w:gridSpan w:val="2"/>
            <w:vMerge w:val="continue"/>
            <w:shd w:val="clear" w:color="auto" w:fill="E9F9D8"/>
          </w:tcPr>
          <w:p>
            <w:pPr>
              <w:spacing w:after="0"/>
              <w:rPr>
                <w:sz w:val="2"/>
                <w:szCs w:val="2"/>
                <w:color w:val="auto"/>
              </w:rPr>
            </w:pPr>
          </w:p>
        </w:tc>
        <w:tc>
          <w:tcPr>
            <w:tcW w:w="160" w:type="dxa"/>
            <w:vAlign w:val="bottom"/>
            <w:tcBorders>
              <w:right w:val="single" w:sz="8" w:color="83AD40"/>
            </w:tcBorders>
            <w:shd w:val="clear" w:color="auto" w:fill="E9F9D8"/>
          </w:tcPr>
          <w:p>
            <w:pPr>
              <w:spacing w:after="0"/>
              <w:rPr>
                <w:sz w:val="2"/>
                <w:szCs w:val="2"/>
                <w:color w:val="auto"/>
              </w:rPr>
            </w:pPr>
          </w:p>
        </w:tc>
        <w:tc>
          <w:tcPr>
            <w:tcW w:w="80" w:type="dxa"/>
            <w:vAlign w:val="bottom"/>
            <w:shd w:val="clear" w:color="auto" w:fill="E9F9D8"/>
          </w:tcPr>
          <w:p>
            <w:pPr>
              <w:spacing w:after="0"/>
              <w:rPr>
                <w:sz w:val="2"/>
                <w:szCs w:val="2"/>
                <w:color w:val="auto"/>
              </w:rPr>
            </w:pPr>
          </w:p>
        </w:tc>
        <w:tc>
          <w:tcPr>
            <w:tcW w:w="100" w:type="dxa"/>
            <w:vAlign w:val="bottom"/>
            <w:vMerge w:val="continue"/>
            <w:shd w:val="clear" w:color="auto" w:fill="E9F9D8"/>
          </w:tcPr>
          <w:p>
            <w:pPr>
              <w:spacing w:after="0"/>
              <w:rPr>
                <w:sz w:val="2"/>
                <w:szCs w:val="2"/>
                <w:color w:val="auto"/>
              </w:rPr>
            </w:pPr>
          </w:p>
        </w:tc>
        <w:tc>
          <w:tcPr>
            <w:tcW w:w="2180" w:type="dxa"/>
            <w:vAlign w:val="bottom"/>
            <w:tcBorders>
              <w:right w:val="single" w:sz="8" w:color="83AD40"/>
            </w:tcBorders>
            <w:gridSpan w:val="2"/>
            <w:vMerge w:val="continue"/>
            <w:shd w:val="clear" w:color="auto" w:fill="E9F9D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0" w:type="dxa"/>
            <w:vAlign w:val="bottom"/>
            <w:tcBorders>
              <w:left w:val="single" w:sz="8" w:color="83AD40"/>
            </w:tcBorders>
            <w:shd w:val="clear" w:color="auto" w:fill="E9F9D8"/>
          </w:tcPr>
          <w:p>
            <w:pPr>
              <w:spacing w:after="0"/>
              <w:rPr>
                <w:sz w:val="19"/>
                <w:szCs w:val="19"/>
                <w:color w:val="auto"/>
              </w:rPr>
            </w:pPr>
          </w:p>
        </w:tc>
        <w:tc>
          <w:tcPr>
            <w:tcW w:w="100" w:type="dxa"/>
            <w:vAlign w:val="bottom"/>
            <w:shd w:val="clear" w:color="auto" w:fill="E9F9D8"/>
          </w:tcPr>
          <w:p>
            <w:pPr>
              <w:spacing w:after="0"/>
              <w:rPr>
                <w:sz w:val="19"/>
                <w:szCs w:val="19"/>
                <w:color w:val="auto"/>
              </w:rPr>
            </w:pPr>
          </w:p>
        </w:tc>
        <w:tc>
          <w:tcPr>
            <w:tcW w:w="1860" w:type="dxa"/>
            <w:vAlign w:val="bottom"/>
            <w:gridSpan w:val="3"/>
            <w:shd w:val="clear" w:color="auto" w:fill="E9F9D8"/>
          </w:tcPr>
          <w:p>
            <w:pPr>
              <w:ind w:left="60"/>
              <w:spacing w:after="0"/>
              <w:rPr>
                <w:sz w:val="20"/>
                <w:szCs w:val="20"/>
                <w:color w:val="auto"/>
              </w:rPr>
            </w:pPr>
            <w:r>
              <w:rPr>
                <w:rFonts w:ascii="Arial" w:cs="Arial" w:eastAsia="Arial" w:hAnsi="Arial"/>
                <w:sz w:val="16"/>
                <w:szCs w:val="16"/>
                <w:color w:val="auto"/>
              </w:rPr>
              <w:t>institutional investors</w:t>
            </w:r>
          </w:p>
        </w:tc>
        <w:tc>
          <w:tcPr>
            <w:tcW w:w="120" w:type="dxa"/>
            <w:vAlign w:val="bottom"/>
            <w:tcBorders>
              <w:right w:val="single" w:sz="8" w:color="83AD40"/>
            </w:tcBorders>
            <w:shd w:val="clear" w:color="auto" w:fill="E9F9D8"/>
          </w:tcPr>
          <w:p>
            <w:pPr>
              <w:spacing w:after="0"/>
              <w:rPr>
                <w:sz w:val="19"/>
                <w:szCs w:val="19"/>
                <w:color w:val="auto"/>
              </w:rPr>
            </w:pPr>
          </w:p>
        </w:tc>
        <w:tc>
          <w:tcPr>
            <w:tcW w:w="100" w:type="dxa"/>
            <w:vAlign w:val="bottom"/>
            <w:shd w:val="clear" w:color="auto" w:fill="E9F9D8"/>
          </w:tcPr>
          <w:p>
            <w:pPr>
              <w:spacing w:after="0"/>
              <w:rPr>
                <w:sz w:val="19"/>
                <w:szCs w:val="19"/>
                <w:color w:val="auto"/>
              </w:rPr>
            </w:pPr>
          </w:p>
        </w:tc>
        <w:tc>
          <w:tcPr>
            <w:tcW w:w="100" w:type="dxa"/>
            <w:vAlign w:val="bottom"/>
            <w:shd w:val="clear" w:color="auto" w:fill="E9F9D8"/>
          </w:tcPr>
          <w:p>
            <w:pPr>
              <w:spacing w:after="0"/>
              <w:rPr>
                <w:sz w:val="20"/>
                <w:szCs w:val="20"/>
                <w:color w:val="auto"/>
              </w:rPr>
            </w:pPr>
            <w:r>
              <w:rPr>
                <w:rFonts w:ascii="Arial" w:cs="Arial" w:eastAsia="Arial" w:hAnsi="Arial"/>
                <w:sz w:val="16"/>
                <w:szCs w:val="16"/>
                <w:color w:val="auto"/>
              </w:rPr>
              <w:t>•</w:t>
            </w:r>
          </w:p>
        </w:tc>
        <w:tc>
          <w:tcPr>
            <w:tcW w:w="1980" w:type="dxa"/>
            <w:vAlign w:val="bottom"/>
            <w:tcBorders>
              <w:right w:val="single" w:sz="8" w:color="83AD40"/>
            </w:tcBorders>
            <w:gridSpan w:val="2"/>
            <w:shd w:val="clear" w:color="auto" w:fill="E9F9D8"/>
          </w:tcPr>
          <w:p>
            <w:pPr>
              <w:ind w:left="60"/>
              <w:spacing w:after="0"/>
              <w:rPr>
                <w:sz w:val="20"/>
                <w:szCs w:val="20"/>
                <w:color w:val="auto"/>
              </w:rPr>
            </w:pPr>
            <w:r>
              <w:rPr>
                <w:rFonts w:ascii="Arial" w:cs="Arial" w:eastAsia="Arial" w:hAnsi="Arial"/>
                <w:sz w:val="16"/>
                <w:szCs w:val="16"/>
                <w:color w:val="auto"/>
              </w:rPr>
              <w:t>2024 SUMMIT OVA</w:t>
            </w:r>
          </w:p>
        </w:tc>
        <w:tc>
          <w:tcPr>
            <w:tcW w:w="60" w:type="dxa"/>
            <w:vAlign w:val="bottom"/>
            <w:shd w:val="clear" w:color="auto" w:fill="E9F9D8"/>
          </w:tcPr>
          <w:p>
            <w:pPr>
              <w:spacing w:after="0"/>
              <w:rPr>
                <w:sz w:val="19"/>
                <w:szCs w:val="19"/>
                <w:color w:val="auto"/>
              </w:rPr>
            </w:pPr>
          </w:p>
        </w:tc>
        <w:tc>
          <w:tcPr>
            <w:tcW w:w="20" w:type="dxa"/>
            <w:vAlign w:val="bottom"/>
            <w:shd w:val="clear" w:color="auto" w:fill="E9F9D8"/>
          </w:tcPr>
          <w:p>
            <w:pPr>
              <w:spacing w:after="0"/>
              <w:rPr>
                <w:sz w:val="19"/>
                <w:szCs w:val="19"/>
                <w:color w:val="auto"/>
              </w:rPr>
            </w:pPr>
          </w:p>
        </w:tc>
        <w:tc>
          <w:tcPr>
            <w:tcW w:w="120" w:type="dxa"/>
            <w:vAlign w:val="bottom"/>
            <w:shd w:val="clear" w:color="auto" w:fill="E9F9D8"/>
          </w:tcPr>
          <w:p>
            <w:pPr>
              <w:spacing w:after="0"/>
              <w:rPr>
                <w:sz w:val="19"/>
                <w:szCs w:val="19"/>
                <w:color w:val="auto"/>
              </w:rPr>
            </w:pPr>
          </w:p>
        </w:tc>
        <w:tc>
          <w:tcPr>
            <w:tcW w:w="1820" w:type="dxa"/>
            <w:vAlign w:val="bottom"/>
            <w:gridSpan w:val="2"/>
            <w:shd w:val="clear" w:color="auto" w:fill="E9F9D8"/>
          </w:tcPr>
          <w:p>
            <w:pPr>
              <w:ind w:left="40"/>
              <w:spacing w:after="0"/>
              <w:rPr>
                <w:sz w:val="20"/>
                <w:szCs w:val="20"/>
                <w:color w:val="auto"/>
              </w:rPr>
            </w:pPr>
            <w:r>
              <w:rPr>
                <w:rFonts w:ascii="Arial" w:cs="Arial" w:eastAsia="Arial" w:hAnsi="Arial"/>
                <w:sz w:val="16"/>
                <w:szCs w:val="16"/>
                <w:color w:val="auto"/>
              </w:rPr>
              <w:t>recoveries on distressed</w:t>
            </w:r>
          </w:p>
        </w:tc>
        <w:tc>
          <w:tcPr>
            <w:tcW w:w="160" w:type="dxa"/>
            <w:vAlign w:val="bottom"/>
            <w:tcBorders>
              <w:right w:val="single" w:sz="8" w:color="83AD40"/>
            </w:tcBorders>
            <w:shd w:val="clear" w:color="auto" w:fill="E9F9D8"/>
          </w:tcPr>
          <w:p>
            <w:pPr>
              <w:spacing w:after="0"/>
              <w:rPr>
                <w:sz w:val="19"/>
                <w:szCs w:val="19"/>
                <w:color w:val="auto"/>
              </w:rPr>
            </w:pPr>
          </w:p>
        </w:tc>
        <w:tc>
          <w:tcPr>
            <w:tcW w:w="80" w:type="dxa"/>
            <w:vAlign w:val="bottom"/>
            <w:shd w:val="clear" w:color="auto" w:fill="E9F9D8"/>
          </w:tcPr>
          <w:p>
            <w:pPr>
              <w:spacing w:after="0"/>
              <w:rPr>
                <w:sz w:val="19"/>
                <w:szCs w:val="19"/>
                <w:color w:val="auto"/>
              </w:rPr>
            </w:pPr>
          </w:p>
        </w:tc>
        <w:tc>
          <w:tcPr>
            <w:tcW w:w="100" w:type="dxa"/>
            <w:vAlign w:val="bottom"/>
            <w:shd w:val="clear" w:color="auto" w:fill="E9F9D8"/>
          </w:tcPr>
          <w:p>
            <w:pPr>
              <w:spacing w:after="0"/>
              <w:rPr>
                <w:sz w:val="19"/>
                <w:szCs w:val="19"/>
                <w:color w:val="auto"/>
              </w:rPr>
            </w:pPr>
          </w:p>
        </w:tc>
        <w:tc>
          <w:tcPr>
            <w:tcW w:w="2180" w:type="dxa"/>
            <w:vAlign w:val="bottom"/>
            <w:tcBorders>
              <w:right w:val="single" w:sz="8" w:color="83AD40"/>
            </w:tcBorders>
            <w:gridSpan w:val="2"/>
            <w:shd w:val="clear" w:color="auto" w:fill="E9F9D8"/>
          </w:tcPr>
          <w:p>
            <w:pPr>
              <w:ind w:left="60"/>
              <w:spacing w:after="0"/>
              <w:rPr>
                <w:sz w:val="20"/>
                <w:szCs w:val="20"/>
                <w:color w:val="auto"/>
              </w:rPr>
            </w:pPr>
            <w:r>
              <w:rPr>
                <w:rFonts w:ascii="Arial" w:cs="Arial" w:eastAsia="Arial" w:hAnsi="Arial"/>
                <w:sz w:val="16"/>
                <w:szCs w:val="16"/>
                <w:color w:val="auto"/>
              </w:rPr>
              <w:t>Broadway into a premier</w:t>
            </w:r>
          </w:p>
        </w:tc>
        <w:tc>
          <w:tcPr>
            <w:tcW w:w="0" w:type="dxa"/>
            <w:vAlign w:val="bottom"/>
          </w:tcPr>
          <w:p>
            <w:pPr>
              <w:spacing w:after="0"/>
              <w:rPr>
                <w:sz w:val="1"/>
                <w:szCs w:val="1"/>
                <w:color w:val="auto"/>
              </w:rPr>
            </w:pPr>
          </w:p>
        </w:tc>
      </w:tr>
      <w:tr>
        <w:trPr>
          <w:trHeight w:val="215"/>
        </w:trPr>
        <w:tc>
          <w:tcPr>
            <w:tcW w:w="280" w:type="dxa"/>
            <w:vAlign w:val="bottom"/>
            <w:tcBorders>
              <w:left w:val="single" w:sz="8" w:color="83AD40"/>
            </w:tcBorders>
            <w:shd w:val="clear" w:color="auto" w:fill="E9F9D8"/>
          </w:tcPr>
          <w:p>
            <w:pPr>
              <w:spacing w:after="0"/>
              <w:rPr>
                <w:sz w:val="18"/>
                <w:szCs w:val="18"/>
                <w:color w:val="auto"/>
              </w:rPr>
            </w:pPr>
          </w:p>
        </w:tc>
        <w:tc>
          <w:tcPr>
            <w:tcW w:w="100" w:type="dxa"/>
            <w:vAlign w:val="bottom"/>
            <w:vMerge w:val="restart"/>
            <w:shd w:val="clear" w:color="auto" w:fill="E9F9D8"/>
          </w:tcPr>
          <w:p>
            <w:pPr>
              <w:spacing w:after="0"/>
              <w:rPr>
                <w:sz w:val="20"/>
                <w:szCs w:val="20"/>
                <w:color w:val="auto"/>
              </w:rPr>
            </w:pPr>
            <w:r>
              <w:rPr>
                <w:rFonts w:ascii="Arial" w:cs="Arial" w:eastAsia="Arial" w:hAnsi="Arial"/>
                <w:sz w:val="16"/>
                <w:szCs w:val="16"/>
                <w:color w:val="auto"/>
              </w:rPr>
              <w:t>•</w:t>
            </w:r>
          </w:p>
        </w:tc>
        <w:tc>
          <w:tcPr>
            <w:tcW w:w="1860" w:type="dxa"/>
            <w:vAlign w:val="bottom"/>
            <w:gridSpan w:val="3"/>
            <w:vMerge w:val="restart"/>
            <w:shd w:val="clear" w:color="auto" w:fill="E9F9D8"/>
          </w:tcPr>
          <w:p>
            <w:pPr>
              <w:ind w:left="60"/>
              <w:spacing w:after="0"/>
              <w:rPr>
                <w:sz w:val="20"/>
                <w:szCs w:val="20"/>
                <w:color w:val="auto"/>
              </w:rPr>
            </w:pPr>
            <w:r>
              <w:rPr>
                <w:rFonts w:ascii="Arial" w:cs="Arial" w:eastAsia="Arial" w:hAnsi="Arial"/>
                <w:sz w:val="16"/>
                <w:szCs w:val="16"/>
                <w:color w:val="auto"/>
              </w:rPr>
              <w:t>Capitalizes on current</w:t>
            </w:r>
          </w:p>
        </w:tc>
        <w:tc>
          <w:tcPr>
            <w:tcW w:w="120" w:type="dxa"/>
            <w:vAlign w:val="bottom"/>
            <w:tcBorders>
              <w:right w:val="single" w:sz="8" w:color="83AD40"/>
            </w:tcBorders>
            <w:shd w:val="clear" w:color="auto" w:fill="E9F9D8"/>
          </w:tcPr>
          <w:p>
            <w:pPr>
              <w:spacing w:after="0"/>
              <w:rPr>
                <w:sz w:val="18"/>
                <w:szCs w:val="18"/>
                <w:color w:val="auto"/>
              </w:rPr>
            </w:pPr>
          </w:p>
        </w:tc>
        <w:tc>
          <w:tcPr>
            <w:tcW w:w="100" w:type="dxa"/>
            <w:vAlign w:val="bottom"/>
            <w:shd w:val="clear" w:color="auto" w:fill="E9F9D8"/>
          </w:tcPr>
          <w:p>
            <w:pPr>
              <w:spacing w:after="0"/>
              <w:rPr>
                <w:sz w:val="18"/>
                <w:szCs w:val="18"/>
                <w:color w:val="auto"/>
              </w:rPr>
            </w:pPr>
          </w:p>
        </w:tc>
        <w:tc>
          <w:tcPr>
            <w:tcW w:w="100" w:type="dxa"/>
            <w:vAlign w:val="bottom"/>
            <w:shd w:val="clear" w:color="auto" w:fill="E9F9D8"/>
          </w:tcPr>
          <w:p>
            <w:pPr>
              <w:spacing w:after="0"/>
              <w:rPr>
                <w:sz w:val="18"/>
                <w:szCs w:val="18"/>
                <w:color w:val="auto"/>
              </w:rPr>
            </w:pPr>
          </w:p>
        </w:tc>
        <w:tc>
          <w:tcPr>
            <w:tcW w:w="1980" w:type="dxa"/>
            <w:vAlign w:val="bottom"/>
            <w:tcBorders>
              <w:right w:val="single" w:sz="8" w:color="83AD40"/>
            </w:tcBorders>
            <w:gridSpan w:val="2"/>
            <w:shd w:val="clear" w:color="auto" w:fill="E9F9D8"/>
          </w:tcPr>
          <w:p>
            <w:pPr>
              <w:ind w:left="60"/>
              <w:spacing w:after="0"/>
              <w:rPr>
                <w:sz w:val="20"/>
                <w:szCs w:val="20"/>
                <w:color w:val="auto"/>
              </w:rPr>
            </w:pPr>
            <w:r>
              <w:rPr>
                <w:rFonts w:ascii="Arial" w:cs="Arial" w:eastAsia="Arial" w:hAnsi="Arial"/>
                <w:sz w:val="16"/>
                <w:szCs w:val="16"/>
                <w:color w:val="auto"/>
              </w:rPr>
              <w:t>Revenue &gt;$130M</w:t>
            </w:r>
          </w:p>
        </w:tc>
        <w:tc>
          <w:tcPr>
            <w:tcW w:w="60" w:type="dxa"/>
            <w:vAlign w:val="bottom"/>
            <w:shd w:val="clear" w:color="auto" w:fill="E9F9D8"/>
          </w:tcPr>
          <w:p>
            <w:pPr>
              <w:spacing w:after="0"/>
              <w:rPr>
                <w:sz w:val="18"/>
                <w:szCs w:val="18"/>
                <w:color w:val="auto"/>
              </w:rPr>
            </w:pPr>
          </w:p>
        </w:tc>
        <w:tc>
          <w:tcPr>
            <w:tcW w:w="20" w:type="dxa"/>
            <w:vAlign w:val="bottom"/>
            <w:shd w:val="clear" w:color="auto" w:fill="E9F9D8"/>
          </w:tcPr>
          <w:p>
            <w:pPr>
              <w:spacing w:after="0"/>
              <w:rPr>
                <w:sz w:val="18"/>
                <w:szCs w:val="18"/>
                <w:color w:val="auto"/>
              </w:rPr>
            </w:pPr>
          </w:p>
        </w:tc>
        <w:tc>
          <w:tcPr>
            <w:tcW w:w="120" w:type="dxa"/>
            <w:vAlign w:val="bottom"/>
            <w:shd w:val="clear" w:color="auto" w:fill="E9F9D8"/>
          </w:tcPr>
          <w:p>
            <w:pPr>
              <w:spacing w:after="0"/>
              <w:rPr>
                <w:sz w:val="18"/>
                <w:szCs w:val="18"/>
                <w:color w:val="auto"/>
              </w:rPr>
            </w:pPr>
          </w:p>
        </w:tc>
        <w:tc>
          <w:tcPr>
            <w:tcW w:w="1820" w:type="dxa"/>
            <w:vAlign w:val="bottom"/>
            <w:gridSpan w:val="2"/>
            <w:shd w:val="clear" w:color="auto" w:fill="E9F9D8"/>
          </w:tcPr>
          <w:p>
            <w:pPr>
              <w:ind w:left="40"/>
              <w:spacing w:after="0"/>
              <w:rPr>
                <w:sz w:val="20"/>
                <w:szCs w:val="20"/>
                <w:color w:val="auto"/>
              </w:rPr>
            </w:pPr>
            <w:r>
              <w:rPr>
                <w:rFonts w:ascii="Arial" w:cs="Arial" w:eastAsia="Arial" w:hAnsi="Arial"/>
                <w:sz w:val="16"/>
                <w:szCs w:val="16"/>
                <w:color w:val="auto"/>
              </w:rPr>
              <w:t>or non-performing</w:t>
            </w:r>
          </w:p>
        </w:tc>
        <w:tc>
          <w:tcPr>
            <w:tcW w:w="160" w:type="dxa"/>
            <w:vAlign w:val="bottom"/>
            <w:tcBorders>
              <w:right w:val="single" w:sz="8" w:color="83AD40"/>
            </w:tcBorders>
            <w:shd w:val="clear" w:color="auto" w:fill="E9F9D8"/>
          </w:tcPr>
          <w:p>
            <w:pPr>
              <w:spacing w:after="0"/>
              <w:rPr>
                <w:sz w:val="18"/>
                <w:szCs w:val="18"/>
                <w:color w:val="auto"/>
              </w:rPr>
            </w:pPr>
          </w:p>
        </w:tc>
        <w:tc>
          <w:tcPr>
            <w:tcW w:w="80" w:type="dxa"/>
            <w:vAlign w:val="bottom"/>
            <w:shd w:val="clear" w:color="auto" w:fill="E9F9D8"/>
          </w:tcPr>
          <w:p>
            <w:pPr>
              <w:spacing w:after="0"/>
              <w:rPr>
                <w:sz w:val="18"/>
                <w:szCs w:val="18"/>
                <w:color w:val="auto"/>
              </w:rPr>
            </w:pPr>
          </w:p>
        </w:tc>
        <w:tc>
          <w:tcPr>
            <w:tcW w:w="100" w:type="dxa"/>
            <w:vAlign w:val="bottom"/>
            <w:shd w:val="clear" w:color="auto" w:fill="E9F9D8"/>
          </w:tcPr>
          <w:p>
            <w:pPr>
              <w:spacing w:after="0"/>
              <w:rPr>
                <w:sz w:val="18"/>
                <w:szCs w:val="18"/>
                <w:color w:val="auto"/>
              </w:rPr>
            </w:pPr>
          </w:p>
        </w:tc>
        <w:tc>
          <w:tcPr>
            <w:tcW w:w="2180" w:type="dxa"/>
            <w:vAlign w:val="bottom"/>
            <w:tcBorders>
              <w:right w:val="single" w:sz="8" w:color="83AD40"/>
            </w:tcBorders>
            <w:gridSpan w:val="2"/>
            <w:shd w:val="clear" w:color="auto" w:fill="E9F9D8"/>
          </w:tcPr>
          <w:p>
            <w:pPr>
              <w:ind w:left="60"/>
              <w:spacing w:after="0"/>
              <w:rPr>
                <w:sz w:val="20"/>
                <w:szCs w:val="20"/>
                <w:color w:val="auto"/>
              </w:rPr>
            </w:pPr>
            <w:r>
              <w:rPr>
                <w:rFonts w:ascii="Arial" w:cs="Arial" w:eastAsia="Arial" w:hAnsi="Arial"/>
                <w:sz w:val="16"/>
                <w:szCs w:val="16"/>
                <w:color w:val="auto"/>
              </w:rPr>
              <w:t>one-of-a-kind casino and</w:t>
            </w:r>
          </w:p>
        </w:tc>
        <w:tc>
          <w:tcPr>
            <w:tcW w:w="0" w:type="dxa"/>
            <w:vAlign w:val="bottom"/>
          </w:tcPr>
          <w:p>
            <w:pPr>
              <w:spacing w:after="0"/>
              <w:rPr>
                <w:sz w:val="1"/>
                <w:szCs w:val="1"/>
                <w:color w:val="auto"/>
              </w:rPr>
            </w:pPr>
          </w:p>
        </w:tc>
      </w:tr>
      <w:tr>
        <w:trPr>
          <w:trHeight w:val="42"/>
        </w:trPr>
        <w:tc>
          <w:tcPr>
            <w:tcW w:w="280" w:type="dxa"/>
            <w:vAlign w:val="bottom"/>
            <w:tcBorders>
              <w:left w:val="single" w:sz="8" w:color="83AD40"/>
            </w:tcBorders>
            <w:shd w:val="clear" w:color="auto" w:fill="E9F9D8"/>
          </w:tcPr>
          <w:p>
            <w:pPr>
              <w:spacing w:after="0"/>
              <w:rPr>
                <w:sz w:val="3"/>
                <w:szCs w:val="3"/>
                <w:color w:val="auto"/>
              </w:rPr>
            </w:pPr>
          </w:p>
        </w:tc>
        <w:tc>
          <w:tcPr>
            <w:tcW w:w="100" w:type="dxa"/>
            <w:vAlign w:val="bottom"/>
            <w:vMerge w:val="continue"/>
            <w:shd w:val="clear" w:color="auto" w:fill="E9F9D8"/>
          </w:tcPr>
          <w:p>
            <w:pPr>
              <w:spacing w:after="0"/>
              <w:rPr>
                <w:sz w:val="3"/>
                <w:szCs w:val="3"/>
                <w:color w:val="auto"/>
              </w:rPr>
            </w:pPr>
          </w:p>
        </w:tc>
        <w:tc>
          <w:tcPr>
            <w:tcW w:w="1860" w:type="dxa"/>
            <w:vAlign w:val="bottom"/>
            <w:gridSpan w:val="3"/>
            <w:vMerge w:val="continue"/>
            <w:shd w:val="clear" w:color="auto" w:fill="E9F9D8"/>
          </w:tcPr>
          <w:p>
            <w:pPr>
              <w:spacing w:after="0"/>
              <w:rPr>
                <w:sz w:val="3"/>
                <w:szCs w:val="3"/>
                <w:color w:val="auto"/>
              </w:rPr>
            </w:pPr>
          </w:p>
        </w:tc>
        <w:tc>
          <w:tcPr>
            <w:tcW w:w="120" w:type="dxa"/>
            <w:vAlign w:val="bottom"/>
            <w:tcBorders>
              <w:right w:val="single" w:sz="8" w:color="83AD40"/>
            </w:tcBorders>
            <w:shd w:val="clear" w:color="auto" w:fill="E9F9D8"/>
          </w:tcPr>
          <w:p>
            <w:pPr>
              <w:spacing w:after="0"/>
              <w:rPr>
                <w:sz w:val="3"/>
                <w:szCs w:val="3"/>
                <w:color w:val="auto"/>
              </w:rPr>
            </w:pPr>
          </w:p>
        </w:tc>
        <w:tc>
          <w:tcPr>
            <w:tcW w:w="100" w:type="dxa"/>
            <w:vAlign w:val="bottom"/>
            <w:shd w:val="clear" w:color="auto" w:fill="E9F9D8"/>
          </w:tcPr>
          <w:p>
            <w:pPr>
              <w:spacing w:after="0"/>
              <w:rPr>
                <w:sz w:val="3"/>
                <w:szCs w:val="3"/>
                <w:color w:val="auto"/>
              </w:rPr>
            </w:pPr>
          </w:p>
        </w:tc>
        <w:tc>
          <w:tcPr>
            <w:tcW w:w="100" w:type="dxa"/>
            <w:vAlign w:val="bottom"/>
            <w:shd w:val="clear" w:color="auto" w:fill="E9F9D8"/>
          </w:tcPr>
          <w:p>
            <w:pPr>
              <w:spacing w:after="0"/>
              <w:rPr>
                <w:sz w:val="3"/>
                <w:szCs w:val="3"/>
                <w:color w:val="auto"/>
              </w:rPr>
            </w:pPr>
          </w:p>
        </w:tc>
        <w:tc>
          <w:tcPr>
            <w:tcW w:w="1440" w:type="dxa"/>
            <w:vAlign w:val="bottom"/>
            <w:shd w:val="clear" w:color="auto" w:fill="E9F9D8"/>
          </w:tcPr>
          <w:p>
            <w:pPr>
              <w:spacing w:after="0"/>
              <w:rPr>
                <w:sz w:val="3"/>
                <w:szCs w:val="3"/>
                <w:color w:val="auto"/>
              </w:rPr>
            </w:pPr>
          </w:p>
        </w:tc>
        <w:tc>
          <w:tcPr>
            <w:tcW w:w="540" w:type="dxa"/>
            <w:vAlign w:val="bottom"/>
            <w:tcBorders>
              <w:right w:val="single" w:sz="8" w:color="83AD40"/>
            </w:tcBorders>
            <w:shd w:val="clear" w:color="auto" w:fill="E9F9D8"/>
          </w:tcPr>
          <w:p>
            <w:pPr>
              <w:spacing w:after="0"/>
              <w:rPr>
                <w:sz w:val="3"/>
                <w:szCs w:val="3"/>
                <w:color w:val="auto"/>
              </w:rPr>
            </w:pPr>
          </w:p>
        </w:tc>
        <w:tc>
          <w:tcPr>
            <w:tcW w:w="60" w:type="dxa"/>
            <w:vAlign w:val="bottom"/>
            <w:shd w:val="clear" w:color="auto" w:fill="E9F9D8"/>
          </w:tcPr>
          <w:p>
            <w:pPr>
              <w:spacing w:after="0"/>
              <w:rPr>
                <w:sz w:val="3"/>
                <w:szCs w:val="3"/>
                <w:color w:val="auto"/>
              </w:rPr>
            </w:pPr>
          </w:p>
        </w:tc>
        <w:tc>
          <w:tcPr>
            <w:tcW w:w="20" w:type="dxa"/>
            <w:vAlign w:val="bottom"/>
            <w:shd w:val="clear" w:color="auto" w:fill="E9F9D8"/>
          </w:tcPr>
          <w:p>
            <w:pPr>
              <w:spacing w:after="0"/>
              <w:rPr>
                <w:sz w:val="3"/>
                <w:szCs w:val="3"/>
                <w:color w:val="auto"/>
              </w:rPr>
            </w:pPr>
          </w:p>
        </w:tc>
        <w:tc>
          <w:tcPr>
            <w:tcW w:w="120" w:type="dxa"/>
            <w:vAlign w:val="bottom"/>
            <w:shd w:val="clear" w:color="auto" w:fill="E9F9D8"/>
          </w:tcPr>
          <w:p>
            <w:pPr>
              <w:spacing w:after="0"/>
              <w:rPr>
                <w:sz w:val="3"/>
                <w:szCs w:val="3"/>
                <w:color w:val="auto"/>
              </w:rPr>
            </w:pPr>
          </w:p>
        </w:tc>
        <w:tc>
          <w:tcPr>
            <w:tcW w:w="1820" w:type="dxa"/>
            <w:vAlign w:val="bottom"/>
            <w:gridSpan w:val="2"/>
            <w:vMerge w:val="restart"/>
            <w:shd w:val="clear" w:color="auto" w:fill="E9F9D8"/>
          </w:tcPr>
          <w:p>
            <w:pPr>
              <w:ind w:left="40"/>
              <w:spacing w:after="0" w:line="177" w:lineRule="exact"/>
              <w:rPr>
                <w:sz w:val="20"/>
                <w:szCs w:val="20"/>
                <w:color w:val="auto"/>
              </w:rPr>
            </w:pPr>
            <w:r>
              <w:rPr>
                <w:rFonts w:ascii="Arial" w:cs="Arial" w:eastAsia="Arial" w:hAnsi="Arial"/>
                <w:sz w:val="16"/>
                <w:szCs w:val="16"/>
                <w:color w:val="auto"/>
              </w:rPr>
              <w:t>commercial real-estate</w:t>
            </w:r>
          </w:p>
        </w:tc>
        <w:tc>
          <w:tcPr>
            <w:tcW w:w="160" w:type="dxa"/>
            <w:vAlign w:val="bottom"/>
            <w:tcBorders>
              <w:right w:val="single" w:sz="8" w:color="83AD40"/>
            </w:tcBorders>
            <w:shd w:val="clear" w:color="auto" w:fill="E9F9D8"/>
          </w:tcPr>
          <w:p>
            <w:pPr>
              <w:spacing w:after="0"/>
              <w:rPr>
                <w:sz w:val="3"/>
                <w:szCs w:val="3"/>
                <w:color w:val="auto"/>
              </w:rPr>
            </w:pPr>
          </w:p>
        </w:tc>
        <w:tc>
          <w:tcPr>
            <w:tcW w:w="80" w:type="dxa"/>
            <w:vAlign w:val="bottom"/>
            <w:shd w:val="clear" w:color="auto" w:fill="E9F9D8"/>
          </w:tcPr>
          <w:p>
            <w:pPr>
              <w:spacing w:after="0"/>
              <w:rPr>
                <w:sz w:val="3"/>
                <w:szCs w:val="3"/>
                <w:color w:val="auto"/>
              </w:rPr>
            </w:pPr>
          </w:p>
        </w:tc>
        <w:tc>
          <w:tcPr>
            <w:tcW w:w="100" w:type="dxa"/>
            <w:vAlign w:val="bottom"/>
            <w:shd w:val="clear" w:color="auto" w:fill="E9F9D8"/>
          </w:tcPr>
          <w:p>
            <w:pPr>
              <w:spacing w:after="0"/>
              <w:rPr>
                <w:sz w:val="3"/>
                <w:szCs w:val="3"/>
                <w:color w:val="auto"/>
              </w:rPr>
            </w:pPr>
          </w:p>
        </w:tc>
        <w:tc>
          <w:tcPr>
            <w:tcW w:w="2180" w:type="dxa"/>
            <w:vAlign w:val="bottom"/>
            <w:tcBorders>
              <w:right w:val="single" w:sz="8" w:color="83AD40"/>
            </w:tcBorders>
            <w:gridSpan w:val="2"/>
            <w:vMerge w:val="restart"/>
            <w:shd w:val="clear" w:color="auto" w:fill="E9F9D8"/>
          </w:tcPr>
          <w:p>
            <w:pPr>
              <w:ind w:left="60"/>
              <w:spacing w:after="0" w:line="177" w:lineRule="exact"/>
              <w:rPr>
                <w:sz w:val="20"/>
                <w:szCs w:val="20"/>
                <w:color w:val="auto"/>
              </w:rPr>
            </w:pPr>
            <w:r>
              <w:rPr>
                <w:rFonts w:ascii="Arial" w:cs="Arial" w:eastAsia="Arial" w:hAnsi="Arial"/>
                <w:sz w:val="16"/>
                <w:szCs w:val="16"/>
                <w:color w:val="auto"/>
              </w:rPr>
              <w:t>hotel</w:t>
            </w:r>
          </w:p>
        </w:tc>
        <w:tc>
          <w:tcPr>
            <w:tcW w:w="0" w:type="dxa"/>
            <w:vAlign w:val="bottom"/>
          </w:tcPr>
          <w:p>
            <w:pPr>
              <w:spacing w:after="0"/>
              <w:rPr>
                <w:sz w:val="1"/>
                <w:szCs w:val="1"/>
                <w:color w:val="auto"/>
              </w:rPr>
            </w:pPr>
          </w:p>
        </w:tc>
      </w:tr>
      <w:tr>
        <w:trPr>
          <w:trHeight w:val="135"/>
        </w:trPr>
        <w:tc>
          <w:tcPr>
            <w:tcW w:w="280" w:type="dxa"/>
            <w:vAlign w:val="bottom"/>
            <w:tcBorders>
              <w:left w:val="single" w:sz="8" w:color="83AD40"/>
            </w:tcBorders>
            <w:shd w:val="clear" w:color="auto" w:fill="E9F9D8"/>
          </w:tcPr>
          <w:p>
            <w:pPr>
              <w:spacing w:after="0"/>
              <w:rPr>
                <w:sz w:val="11"/>
                <w:szCs w:val="11"/>
                <w:color w:val="auto"/>
              </w:rPr>
            </w:pPr>
          </w:p>
        </w:tc>
        <w:tc>
          <w:tcPr>
            <w:tcW w:w="100" w:type="dxa"/>
            <w:vAlign w:val="bottom"/>
            <w:shd w:val="clear" w:color="auto" w:fill="E9F9D8"/>
          </w:tcPr>
          <w:p>
            <w:pPr>
              <w:spacing w:after="0"/>
              <w:rPr>
                <w:sz w:val="11"/>
                <w:szCs w:val="11"/>
                <w:color w:val="auto"/>
              </w:rPr>
            </w:pPr>
          </w:p>
        </w:tc>
        <w:tc>
          <w:tcPr>
            <w:tcW w:w="1860" w:type="dxa"/>
            <w:vAlign w:val="bottom"/>
            <w:gridSpan w:val="3"/>
            <w:vMerge w:val="restart"/>
            <w:shd w:val="clear" w:color="auto" w:fill="E9F9D8"/>
          </w:tcPr>
          <w:p>
            <w:pPr>
              <w:ind w:left="60"/>
              <w:spacing w:after="0"/>
              <w:rPr>
                <w:sz w:val="20"/>
                <w:szCs w:val="20"/>
                <w:color w:val="auto"/>
              </w:rPr>
            </w:pPr>
            <w:r>
              <w:rPr>
                <w:rFonts w:ascii="Arial" w:cs="Arial" w:eastAsia="Arial" w:hAnsi="Arial"/>
                <w:sz w:val="16"/>
                <w:szCs w:val="16"/>
                <w:color w:val="auto"/>
              </w:rPr>
              <w:t>market dislocation by</w:t>
            </w:r>
          </w:p>
        </w:tc>
        <w:tc>
          <w:tcPr>
            <w:tcW w:w="120" w:type="dxa"/>
            <w:vAlign w:val="bottom"/>
            <w:tcBorders>
              <w:right w:val="single" w:sz="8" w:color="83AD40"/>
            </w:tcBorders>
            <w:shd w:val="clear" w:color="auto" w:fill="E9F9D8"/>
          </w:tcPr>
          <w:p>
            <w:pPr>
              <w:spacing w:after="0"/>
              <w:rPr>
                <w:sz w:val="11"/>
                <w:szCs w:val="11"/>
                <w:color w:val="auto"/>
              </w:rPr>
            </w:pPr>
          </w:p>
        </w:tc>
        <w:tc>
          <w:tcPr>
            <w:tcW w:w="100" w:type="dxa"/>
            <w:vAlign w:val="bottom"/>
            <w:shd w:val="clear" w:color="auto" w:fill="E9F9D8"/>
          </w:tcPr>
          <w:p>
            <w:pPr>
              <w:spacing w:after="0"/>
              <w:rPr>
                <w:sz w:val="11"/>
                <w:szCs w:val="11"/>
                <w:color w:val="auto"/>
              </w:rPr>
            </w:pPr>
          </w:p>
        </w:tc>
        <w:tc>
          <w:tcPr>
            <w:tcW w:w="100" w:type="dxa"/>
            <w:vAlign w:val="bottom"/>
            <w:vMerge w:val="restart"/>
            <w:shd w:val="clear" w:color="auto" w:fill="E9F9D8"/>
          </w:tcPr>
          <w:p>
            <w:pPr>
              <w:spacing w:after="0"/>
              <w:rPr>
                <w:sz w:val="20"/>
                <w:szCs w:val="20"/>
                <w:color w:val="auto"/>
              </w:rPr>
            </w:pPr>
            <w:r>
              <w:rPr>
                <w:rFonts w:ascii="Arial" w:cs="Arial" w:eastAsia="Arial" w:hAnsi="Arial"/>
                <w:sz w:val="16"/>
                <w:szCs w:val="16"/>
                <w:color w:val="auto"/>
              </w:rPr>
              <w:t>•</w:t>
            </w:r>
          </w:p>
        </w:tc>
        <w:tc>
          <w:tcPr>
            <w:tcW w:w="1980" w:type="dxa"/>
            <w:vAlign w:val="bottom"/>
            <w:tcBorders>
              <w:right w:val="single" w:sz="8" w:color="83AD40"/>
            </w:tcBorders>
            <w:gridSpan w:val="2"/>
            <w:vMerge w:val="restart"/>
            <w:shd w:val="clear" w:color="auto" w:fill="E9F9D8"/>
          </w:tcPr>
          <w:p>
            <w:pPr>
              <w:ind w:left="60"/>
              <w:spacing w:after="0"/>
              <w:rPr>
                <w:sz w:val="20"/>
                <w:szCs w:val="20"/>
                <w:color w:val="auto"/>
              </w:rPr>
            </w:pPr>
            <w:r>
              <w:rPr>
                <w:rFonts w:ascii="Arial" w:cs="Arial" w:eastAsia="Arial" w:hAnsi="Arial"/>
                <w:sz w:val="16"/>
                <w:szCs w:val="16"/>
                <w:color w:val="auto"/>
              </w:rPr>
              <w:t>Open additional locations</w:t>
            </w:r>
          </w:p>
        </w:tc>
        <w:tc>
          <w:tcPr>
            <w:tcW w:w="60" w:type="dxa"/>
            <w:vAlign w:val="bottom"/>
            <w:shd w:val="clear" w:color="auto" w:fill="E9F9D8"/>
          </w:tcPr>
          <w:p>
            <w:pPr>
              <w:spacing w:after="0"/>
              <w:rPr>
                <w:sz w:val="11"/>
                <w:szCs w:val="11"/>
                <w:color w:val="auto"/>
              </w:rPr>
            </w:pPr>
          </w:p>
        </w:tc>
        <w:tc>
          <w:tcPr>
            <w:tcW w:w="20" w:type="dxa"/>
            <w:vAlign w:val="bottom"/>
            <w:shd w:val="clear" w:color="auto" w:fill="E9F9D8"/>
          </w:tcPr>
          <w:p>
            <w:pPr>
              <w:spacing w:after="0"/>
              <w:rPr>
                <w:sz w:val="11"/>
                <w:szCs w:val="11"/>
                <w:color w:val="auto"/>
              </w:rPr>
            </w:pPr>
          </w:p>
        </w:tc>
        <w:tc>
          <w:tcPr>
            <w:tcW w:w="120" w:type="dxa"/>
            <w:vAlign w:val="bottom"/>
            <w:shd w:val="clear" w:color="auto" w:fill="E9F9D8"/>
          </w:tcPr>
          <w:p>
            <w:pPr>
              <w:spacing w:after="0"/>
              <w:rPr>
                <w:sz w:val="11"/>
                <w:szCs w:val="11"/>
                <w:color w:val="auto"/>
              </w:rPr>
            </w:pPr>
          </w:p>
        </w:tc>
        <w:tc>
          <w:tcPr>
            <w:tcW w:w="1820" w:type="dxa"/>
            <w:vAlign w:val="bottom"/>
            <w:gridSpan w:val="2"/>
            <w:vMerge w:val="continue"/>
            <w:shd w:val="clear" w:color="auto" w:fill="E9F9D8"/>
          </w:tcPr>
          <w:p>
            <w:pPr>
              <w:spacing w:after="0"/>
              <w:rPr>
                <w:sz w:val="11"/>
                <w:szCs w:val="11"/>
                <w:color w:val="auto"/>
              </w:rPr>
            </w:pPr>
          </w:p>
        </w:tc>
        <w:tc>
          <w:tcPr>
            <w:tcW w:w="160" w:type="dxa"/>
            <w:vAlign w:val="bottom"/>
            <w:tcBorders>
              <w:right w:val="single" w:sz="8" w:color="83AD40"/>
            </w:tcBorders>
            <w:shd w:val="clear" w:color="auto" w:fill="E9F9D8"/>
          </w:tcPr>
          <w:p>
            <w:pPr>
              <w:spacing w:after="0"/>
              <w:rPr>
                <w:sz w:val="11"/>
                <w:szCs w:val="11"/>
                <w:color w:val="auto"/>
              </w:rPr>
            </w:pPr>
          </w:p>
        </w:tc>
        <w:tc>
          <w:tcPr>
            <w:tcW w:w="80" w:type="dxa"/>
            <w:vAlign w:val="bottom"/>
            <w:shd w:val="clear" w:color="auto" w:fill="E9F9D8"/>
          </w:tcPr>
          <w:p>
            <w:pPr>
              <w:spacing w:after="0"/>
              <w:rPr>
                <w:sz w:val="11"/>
                <w:szCs w:val="11"/>
                <w:color w:val="auto"/>
              </w:rPr>
            </w:pPr>
          </w:p>
        </w:tc>
        <w:tc>
          <w:tcPr>
            <w:tcW w:w="100" w:type="dxa"/>
            <w:vAlign w:val="bottom"/>
            <w:shd w:val="clear" w:color="auto" w:fill="E9F9D8"/>
          </w:tcPr>
          <w:p>
            <w:pPr>
              <w:spacing w:after="0"/>
              <w:rPr>
                <w:sz w:val="11"/>
                <w:szCs w:val="11"/>
                <w:color w:val="auto"/>
              </w:rPr>
            </w:pPr>
          </w:p>
        </w:tc>
        <w:tc>
          <w:tcPr>
            <w:tcW w:w="2180" w:type="dxa"/>
            <w:vAlign w:val="bottom"/>
            <w:tcBorders>
              <w:right w:val="single" w:sz="8" w:color="83AD40"/>
            </w:tcBorders>
            <w:gridSpan w:val="2"/>
            <w:vMerge w:val="continue"/>
            <w:shd w:val="clear" w:color="auto" w:fill="E9F9D8"/>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280" w:type="dxa"/>
            <w:vAlign w:val="bottom"/>
            <w:tcBorders>
              <w:left w:val="single" w:sz="8" w:color="83AD40"/>
            </w:tcBorders>
            <w:shd w:val="clear" w:color="auto" w:fill="E9F9D8"/>
          </w:tcPr>
          <w:p>
            <w:pPr>
              <w:spacing w:after="0"/>
              <w:rPr>
                <w:sz w:val="4"/>
                <w:szCs w:val="4"/>
                <w:color w:val="auto"/>
              </w:rPr>
            </w:pPr>
          </w:p>
        </w:tc>
        <w:tc>
          <w:tcPr>
            <w:tcW w:w="100" w:type="dxa"/>
            <w:vAlign w:val="bottom"/>
            <w:shd w:val="clear" w:color="auto" w:fill="E9F9D8"/>
          </w:tcPr>
          <w:p>
            <w:pPr>
              <w:spacing w:after="0"/>
              <w:rPr>
                <w:sz w:val="4"/>
                <w:szCs w:val="4"/>
                <w:color w:val="auto"/>
              </w:rPr>
            </w:pPr>
          </w:p>
        </w:tc>
        <w:tc>
          <w:tcPr>
            <w:tcW w:w="1860" w:type="dxa"/>
            <w:vAlign w:val="bottom"/>
            <w:gridSpan w:val="3"/>
            <w:vMerge w:val="continue"/>
            <w:shd w:val="clear" w:color="auto" w:fill="E9F9D8"/>
          </w:tcPr>
          <w:p>
            <w:pPr>
              <w:spacing w:after="0"/>
              <w:rPr>
                <w:sz w:val="4"/>
                <w:szCs w:val="4"/>
                <w:color w:val="auto"/>
              </w:rPr>
            </w:pPr>
          </w:p>
        </w:tc>
        <w:tc>
          <w:tcPr>
            <w:tcW w:w="120" w:type="dxa"/>
            <w:vAlign w:val="bottom"/>
            <w:tcBorders>
              <w:right w:val="single" w:sz="8" w:color="83AD40"/>
            </w:tcBorders>
            <w:shd w:val="clear" w:color="auto" w:fill="E9F9D8"/>
          </w:tcPr>
          <w:p>
            <w:pPr>
              <w:spacing w:after="0"/>
              <w:rPr>
                <w:sz w:val="4"/>
                <w:szCs w:val="4"/>
                <w:color w:val="auto"/>
              </w:rPr>
            </w:pPr>
          </w:p>
        </w:tc>
        <w:tc>
          <w:tcPr>
            <w:tcW w:w="100" w:type="dxa"/>
            <w:vAlign w:val="bottom"/>
            <w:shd w:val="clear" w:color="auto" w:fill="E9F9D8"/>
          </w:tcPr>
          <w:p>
            <w:pPr>
              <w:spacing w:after="0"/>
              <w:rPr>
                <w:sz w:val="4"/>
                <w:szCs w:val="4"/>
                <w:color w:val="auto"/>
              </w:rPr>
            </w:pPr>
          </w:p>
        </w:tc>
        <w:tc>
          <w:tcPr>
            <w:tcW w:w="100" w:type="dxa"/>
            <w:vAlign w:val="bottom"/>
            <w:vMerge w:val="continue"/>
            <w:shd w:val="clear" w:color="auto" w:fill="E9F9D8"/>
          </w:tcPr>
          <w:p>
            <w:pPr>
              <w:spacing w:after="0"/>
              <w:rPr>
                <w:sz w:val="4"/>
                <w:szCs w:val="4"/>
                <w:color w:val="auto"/>
              </w:rPr>
            </w:pPr>
          </w:p>
        </w:tc>
        <w:tc>
          <w:tcPr>
            <w:tcW w:w="1980" w:type="dxa"/>
            <w:vAlign w:val="bottom"/>
            <w:tcBorders>
              <w:right w:val="single" w:sz="8" w:color="83AD40"/>
            </w:tcBorders>
            <w:gridSpan w:val="2"/>
            <w:vMerge w:val="continue"/>
            <w:shd w:val="clear" w:color="auto" w:fill="E9F9D8"/>
          </w:tcPr>
          <w:p>
            <w:pPr>
              <w:spacing w:after="0"/>
              <w:rPr>
                <w:sz w:val="4"/>
                <w:szCs w:val="4"/>
                <w:color w:val="auto"/>
              </w:rPr>
            </w:pPr>
          </w:p>
        </w:tc>
        <w:tc>
          <w:tcPr>
            <w:tcW w:w="60" w:type="dxa"/>
            <w:vAlign w:val="bottom"/>
            <w:shd w:val="clear" w:color="auto" w:fill="E9F9D8"/>
          </w:tcPr>
          <w:p>
            <w:pPr>
              <w:spacing w:after="0"/>
              <w:rPr>
                <w:sz w:val="4"/>
                <w:szCs w:val="4"/>
                <w:color w:val="auto"/>
              </w:rPr>
            </w:pPr>
          </w:p>
        </w:tc>
        <w:tc>
          <w:tcPr>
            <w:tcW w:w="20" w:type="dxa"/>
            <w:vAlign w:val="bottom"/>
            <w:shd w:val="clear" w:color="auto" w:fill="E9F9D8"/>
          </w:tcPr>
          <w:p>
            <w:pPr>
              <w:spacing w:after="0"/>
              <w:rPr>
                <w:sz w:val="4"/>
                <w:szCs w:val="4"/>
                <w:color w:val="auto"/>
              </w:rPr>
            </w:pPr>
          </w:p>
        </w:tc>
        <w:tc>
          <w:tcPr>
            <w:tcW w:w="120" w:type="dxa"/>
            <w:vAlign w:val="bottom"/>
            <w:shd w:val="clear" w:color="auto" w:fill="E9F9D8"/>
          </w:tcPr>
          <w:p>
            <w:pPr>
              <w:spacing w:after="0"/>
              <w:rPr>
                <w:sz w:val="4"/>
                <w:szCs w:val="4"/>
                <w:color w:val="auto"/>
              </w:rPr>
            </w:pPr>
          </w:p>
        </w:tc>
        <w:tc>
          <w:tcPr>
            <w:tcW w:w="1820" w:type="dxa"/>
            <w:vAlign w:val="bottom"/>
            <w:gridSpan w:val="2"/>
            <w:vMerge w:val="restart"/>
            <w:shd w:val="clear" w:color="auto" w:fill="E9F9D8"/>
          </w:tcPr>
          <w:p>
            <w:pPr>
              <w:ind w:left="40"/>
              <w:spacing w:after="0"/>
              <w:rPr>
                <w:sz w:val="20"/>
                <w:szCs w:val="20"/>
                <w:color w:val="auto"/>
              </w:rPr>
            </w:pPr>
            <w:r>
              <w:rPr>
                <w:rFonts w:ascii="Arial" w:cs="Arial" w:eastAsia="Arial" w:hAnsi="Arial"/>
                <w:sz w:val="16"/>
                <w:szCs w:val="16"/>
                <w:color w:val="auto"/>
              </w:rPr>
              <w:t>loans</w:t>
            </w:r>
          </w:p>
        </w:tc>
        <w:tc>
          <w:tcPr>
            <w:tcW w:w="160" w:type="dxa"/>
            <w:vAlign w:val="bottom"/>
            <w:tcBorders>
              <w:right w:val="single" w:sz="8" w:color="83AD40"/>
            </w:tcBorders>
            <w:shd w:val="clear" w:color="auto" w:fill="E9F9D8"/>
          </w:tcPr>
          <w:p>
            <w:pPr>
              <w:spacing w:after="0"/>
              <w:rPr>
                <w:sz w:val="4"/>
                <w:szCs w:val="4"/>
                <w:color w:val="auto"/>
              </w:rPr>
            </w:pPr>
          </w:p>
        </w:tc>
        <w:tc>
          <w:tcPr>
            <w:tcW w:w="80" w:type="dxa"/>
            <w:vAlign w:val="bottom"/>
            <w:shd w:val="clear" w:color="auto" w:fill="E9F9D8"/>
          </w:tcPr>
          <w:p>
            <w:pPr>
              <w:spacing w:after="0"/>
              <w:rPr>
                <w:sz w:val="4"/>
                <w:szCs w:val="4"/>
                <w:color w:val="auto"/>
              </w:rPr>
            </w:pPr>
          </w:p>
        </w:tc>
        <w:tc>
          <w:tcPr>
            <w:tcW w:w="100" w:type="dxa"/>
            <w:vAlign w:val="bottom"/>
            <w:shd w:val="clear" w:color="auto" w:fill="E9F9D8"/>
          </w:tcPr>
          <w:p>
            <w:pPr>
              <w:spacing w:after="0"/>
              <w:rPr>
                <w:sz w:val="4"/>
                <w:szCs w:val="4"/>
                <w:color w:val="auto"/>
              </w:rPr>
            </w:pPr>
          </w:p>
        </w:tc>
        <w:tc>
          <w:tcPr>
            <w:tcW w:w="1420" w:type="dxa"/>
            <w:vAlign w:val="bottom"/>
            <w:shd w:val="clear" w:color="auto" w:fill="E9F9D8"/>
          </w:tcPr>
          <w:p>
            <w:pPr>
              <w:spacing w:after="0"/>
              <w:rPr>
                <w:sz w:val="4"/>
                <w:szCs w:val="4"/>
                <w:color w:val="auto"/>
              </w:rPr>
            </w:pPr>
          </w:p>
        </w:tc>
        <w:tc>
          <w:tcPr>
            <w:tcW w:w="760" w:type="dxa"/>
            <w:vAlign w:val="bottom"/>
            <w:tcBorders>
              <w:right w:val="single" w:sz="8" w:color="83AD40"/>
            </w:tcBorders>
            <w:shd w:val="clear" w:color="auto" w:fill="E9F9D8"/>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80" w:type="dxa"/>
            <w:vAlign w:val="bottom"/>
            <w:tcBorders>
              <w:left w:val="single" w:sz="8" w:color="83AD40"/>
            </w:tcBorders>
            <w:shd w:val="clear" w:color="auto" w:fill="E9F9D8"/>
          </w:tcPr>
          <w:p>
            <w:pPr>
              <w:spacing w:after="0"/>
              <w:rPr>
                <w:sz w:val="13"/>
                <w:szCs w:val="13"/>
                <w:color w:val="auto"/>
              </w:rPr>
            </w:pPr>
          </w:p>
        </w:tc>
        <w:tc>
          <w:tcPr>
            <w:tcW w:w="100" w:type="dxa"/>
            <w:vAlign w:val="bottom"/>
            <w:shd w:val="clear" w:color="auto" w:fill="E9F9D8"/>
          </w:tcPr>
          <w:p>
            <w:pPr>
              <w:spacing w:after="0"/>
              <w:rPr>
                <w:sz w:val="13"/>
                <w:szCs w:val="13"/>
                <w:color w:val="auto"/>
              </w:rPr>
            </w:pPr>
          </w:p>
        </w:tc>
        <w:tc>
          <w:tcPr>
            <w:tcW w:w="1860" w:type="dxa"/>
            <w:vAlign w:val="bottom"/>
            <w:gridSpan w:val="3"/>
            <w:vMerge w:val="restart"/>
            <w:shd w:val="clear" w:color="auto" w:fill="E9F9D8"/>
          </w:tcPr>
          <w:p>
            <w:pPr>
              <w:ind w:left="60"/>
              <w:spacing w:after="0"/>
              <w:rPr>
                <w:sz w:val="20"/>
                <w:szCs w:val="20"/>
                <w:color w:val="auto"/>
              </w:rPr>
            </w:pPr>
            <w:r>
              <w:rPr>
                <w:rFonts w:ascii="Arial" w:cs="Arial" w:eastAsia="Arial" w:hAnsi="Arial"/>
                <w:sz w:val="16"/>
                <w:szCs w:val="16"/>
                <w:color w:val="auto"/>
              </w:rPr>
              <w:t>acquiring or originating</w:t>
            </w:r>
          </w:p>
        </w:tc>
        <w:tc>
          <w:tcPr>
            <w:tcW w:w="120" w:type="dxa"/>
            <w:vAlign w:val="bottom"/>
            <w:tcBorders>
              <w:right w:val="single" w:sz="8" w:color="83AD40"/>
            </w:tcBorders>
            <w:shd w:val="clear" w:color="auto" w:fill="E9F9D8"/>
          </w:tcPr>
          <w:p>
            <w:pPr>
              <w:spacing w:after="0"/>
              <w:rPr>
                <w:sz w:val="13"/>
                <w:szCs w:val="13"/>
                <w:color w:val="auto"/>
              </w:rPr>
            </w:pPr>
          </w:p>
        </w:tc>
        <w:tc>
          <w:tcPr>
            <w:tcW w:w="100" w:type="dxa"/>
            <w:vAlign w:val="bottom"/>
            <w:shd w:val="clear" w:color="auto" w:fill="E9F9D8"/>
          </w:tcPr>
          <w:p>
            <w:pPr>
              <w:spacing w:after="0"/>
              <w:rPr>
                <w:sz w:val="13"/>
                <w:szCs w:val="13"/>
                <w:color w:val="auto"/>
              </w:rPr>
            </w:pPr>
          </w:p>
        </w:tc>
        <w:tc>
          <w:tcPr>
            <w:tcW w:w="100" w:type="dxa"/>
            <w:vAlign w:val="bottom"/>
            <w:shd w:val="clear" w:color="auto" w:fill="E9F9D8"/>
          </w:tcPr>
          <w:p>
            <w:pPr>
              <w:spacing w:after="0"/>
              <w:rPr>
                <w:sz w:val="13"/>
                <w:szCs w:val="13"/>
                <w:color w:val="auto"/>
              </w:rPr>
            </w:pPr>
          </w:p>
        </w:tc>
        <w:tc>
          <w:tcPr>
            <w:tcW w:w="1980" w:type="dxa"/>
            <w:vAlign w:val="bottom"/>
            <w:tcBorders>
              <w:right w:val="single" w:sz="8" w:color="83AD40"/>
            </w:tcBorders>
            <w:gridSpan w:val="2"/>
            <w:vMerge w:val="restart"/>
            <w:shd w:val="clear" w:color="auto" w:fill="E9F9D8"/>
          </w:tcPr>
          <w:p>
            <w:pPr>
              <w:ind w:left="60"/>
              <w:spacing w:after="0"/>
              <w:rPr>
                <w:sz w:val="20"/>
                <w:szCs w:val="20"/>
                <w:color w:val="auto"/>
              </w:rPr>
            </w:pPr>
            <w:r>
              <w:rPr>
                <w:rFonts w:ascii="Arial" w:cs="Arial" w:eastAsia="Arial" w:hAnsi="Arial"/>
                <w:sz w:val="16"/>
                <w:szCs w:val="16"/>
                <w:color w:val="auto"/>
              </w:rPr>
              <w:t>in key global tourist</w:t>
            </w:r>
          </w:p>
        </w:tc>
        <w:tc>
          <w:tcPr>
            <w:tcW w:w="60" w:type="dxa"/>
            <w:vAlign w:val="bottom"/>
            <w:shd w:val="clear" w:color="auto" w:fill="E9F9D8"/>
          </w:tcPr>
          <w:p>
            <w:pPr>
              <w:spacing w:after="0"/>
              <w:rPr>
                <w:sz w:val="13"/>
                <w:szCs w:val="13"/>
                <w:color w:val="auto"/>
              </w:rPr>
            </w:pPr>
          </w:p>
        </w:tc>
        <w:tc>
          <w:tcPr>
            <w:tcW w:w="20" w:type="dxa"/>
            <w:vAlign w:val="bottom"/>
            <w:shd w:val="clear" w:color="auto" w:fill="E9F9D8"/>
          </w:tcPr>
          <w:p>
            <w:pPr>
              <w:spacing w:after="0"/>
              <w:rPr>
                <w:sz w:val="13"/>
                <w:szCs w:val="13"/>
                <w:color w:val="auto"/>
              </w:rPr>
            </w:pPr>
          </w:p>
        </w:tc>
        <w:tc>
          <w:tcPr>
            <w:tcW w:w="120" w:type="dxa"/>
            <w:vAlign w:val="bottom"/>
            <w:shd w:val="clear" w:color="auto" w:fill="E9F9D8"/>
          </w:tcPr>
          <w:p>
            <w:pPr>
              <w:spacing w:after="0"/>
              <w:rPr>
                <w:sz w:val="13"/>
                <w:szCs w:val="13"/>
                <w:color w:val="auto"/>
              </w:rPr>
            </w:pPr>
          </w:p>
        </w:tc>
        <w:tc>
          <w:tcPr>
            <w:tcW w:w="1820" w:type="dxa"/>
            <w:vAlign w:val="bottom"/>
            <w:gridSpan w:val="2"/>
            <w:vMerge w:val="continue"/>
            <w:shd w:val="clear" w:color="auto" w:fill="E9F9D8"/>
          </w:tcPr>
          <w:p>
            <w:pPr>
              <w:spacing w:after="0"/>
              <w:rPr>
                <w:sz w:val="13"/>
                <w:szCs w:val="13"/>
                <w:color w:val="auto"/>
              </w:rPr>
            </w:pPr>
          </w:p>
        </w:tc>
        <w:tc>
          <w:tcPr>
            <w:tcW w:w="160" w:type="dxa"/>
            <w:vAlign w:val="bottom"/>
            <w:tcBorders>
              <w:right w:val="single" w:sz="8" w:color="83AD40"/>
            </w:tcBorders>
            <w:shd w:val="clear" w:color="auto" w:fill="E9F9D8"/>
          </w:tcPr>
          <w:p>
            <w:pPr>
              <w:spacing w:after="0"/>
              <w:rPr>
                <w:sz w:val="13"/>
                <w:szCs w:val="13"/>
                <w:color w:val="auto"/>
              </w:rPr>
            </w:pPr>
          </w:p>
        </w:tc>
        <w:tc>
          <w:tcPr>
            <w:tcW w:w="80" w:type="dxa"/>
            <w:vAlign w:val="bottom"/>
            <w:shd w:val="clear" w:color="auto" w:fill="E9F9D8"/>
          </w:tcPr>
          <w:p>
            <w:pPr>
              <w:spacing w:after="0"/>
              <w:rPr>
                <w:sz w:val="13"/>
                <w:szCs w:val="13"/>
                <w:color w:val="auto"/>
              </w:rPr>
            </w:pPr>
          </w:p>
        </w:tc>
        <w:tc>
          <w:tcPr>
            <w:tcW w:w="100" w:type="dxa"/>
            <w:vAlign w:val="bottom"/>
            <w:vMerge w:val="restart"/>
            <w:shd w:val="clear" w:color="auto" w:fill="E9F9D8"/>
          </w:tcPr>
          <w:p>
            <w:pPr>
              <w:spacing w:after="0"/>
              <w:rPr>
                <w:sz w:val="20"/>
                <w:szCs w:val="20"/>
                <w:color w:val="auto"/>
              </w:rPr>
            </w:pPr>
            <w:r>
              <w:rPr>
                <w:rFonts w:ascii="Arial" w:cs="Arial" w:eastAsia="Arial" w:hAnsi="Arial"/>
                <w:sz w:val="16"/>
                <w:szCs w:val="16"/>
                <w:color w:val="auto"/>
              </w:rPr>
              <w:t>•</w:t>
            </w:r>
          </w:p>
        </w:tc>
        <w:tc>
          <w:tcPr>
            <w:tcW w:w="2180" w:type="dxa"/>
            <w:vAlign w:val="bottom"/>
            <w:tcBorders>
              <w:right w:val="single" w:sz="8" w:color="83AD40"/>
            </w:tcBorders>
            <w:gridSpan w:val="2"/>
            <w:vMerge w:val="restart"/>
            <w:shd w:val="clear" w:color="auto" w:fill="E9F9D8"/>
          </w:tcPr>
          <w:p>
            <w:pPr>
              <w:ind w:left="60"/>
              <w:spacing w:after="0"/>
              <w:rPr>
                <w:sz w:val="20"/>
                <w:szCs w:val="20"/>
                <w:color w:val="auto"/>
              </w:rPr>
            </w:pPr>
            <w:r>
              <w:rPr>
                <w:rFonts w:ascii="Arial" w:cs="Arial" w:eastAsia="Arial" w:hAnsi="Arial"/>
                <w:sz w:val="16"/>
                <w:szCs w:val="16"/>
                <w:color w:val="auto"/>
              </w:rPr>
              <w:t>Competitive process</w:t>
            </w:r>
          </w:p>
        </w:tc>
        <w:tc>
          <w:tcPr>
            <w:tcW w:w="0" w:type="dxa"/>
            <w:vAlign w:val="bottom"/>
          </w:tcPr>
          <w:p>
            <w:pPr>
              <w:spacing w:after="0"/>
              <w:rPr>
                <w:sz w:val="1"/>
                <w:szCs w:val="1"/>
                <w:color w:val="auto"/>
              </w:rPr>
            </w:pPr>
          </w:p>
        </w:tc>
      </w:tr>
      <w:tr>
        <w:trPr>
          <w:trHeight w:val="42"/>
        </w:trPr>
        <w:tc>
          <w:tcPr>
            <w:tcW w:w="280" w:type="dxa"/>
            <w:vAlign w:val="bottom"/>
            <w:tcBorders>
              <w:left w:val="single" w:sz="8" w:color="83AD40"/>
            </w:tcBorders>
            <w:shd w:val="clear" w:color="auto" w:fill="E9F9D8"/>
          </w:tcPr>
          <w:p>
            <w:pPr>
              <w:spacing w:after="0"/>
              <w:rPr>
                <w:sz w:val="3"/>
                <w:szCs w:val="3"/>
                <w:color w:val="auto"/>
              </w:rPr>
            </w:pPr>
          </w:p>
        </w:tc>
        <w:tc>
          <w:tcPr>
            <w:tcW w:w="100" w:type="dxa"/>
            <w:vAlign w:val="bottom"/>
            <w:shd w:val="clear" w:color="auto" w:fill="E9F9D8"/>
          </w:tcPr>
          <w:p>
            <w:pPr>
              <w:spacing w:after="0"/>
              <w:rPr>
                <w:sz w:val="3"/>
                <w:szCs w:val="3"/>
                <w:color w:val="auto"/>
              </w:rPr>
            </w:pPr>
          </w:p>
        </w:tc>
        <w:tc>
          <w:tcPr>
            <w:tcW w:w="1860" w:type="dxa"/>
            <w:vAlign w:val="bottom"/>
            <w:gridSpan w:val="3"/>
            <w:vMerge w:val="continue"/>
            <w:shd w:val="clear" w:color="auto" w:fill="E9F9D8"/>
          </w:tcPr>
          <w:p>
            <w:pPr>
              <w:spacing w:after="0"/>
              <w:rPr>
                <w:sz w:val="3"/>
                <w:szCs w:val="3"/>
                <w:color w:val="auto"/>
              </w:rPr>
            </w:pPr>
          </w:p>
        </w:tc>
        <w:tc>
          <w:tcPr>
            <w:tcW w:w="120" w:type="dxa"/>
            <w:vAlign w:val="bottom"/>
            <w:tcBorders>
              <w:right w:val="single" w:sz="8" w:color="83AD40"/>
            </w:tcBorders>
            <w:shd w:val="clear" w:color="auto" w:fill="E9F9D8"/>
          </w:tcPr>
          <w:p>
            <w:pPr>
              <w:spacing w:after="0"/>
              <w:rPr>
                <w:sz w:val="3"/>
                <w:szCs w:val="3"/>
                <w:color w:val="auto"/>
              </w:rPr>
            </w:pPr>
          </w:p>
        </w:tc>
        <w:tc>
          <w:tcPr>
            <w:tcW w:w="100" w:type="dxa"/>
            <w:vAlign w:val="bottom"/>
            <w:shd w:val="clear" w:color="auto" w:fill="E9F9D8"/>
          </w:tcPr>
          <w:p>
            <w:pPr>
              <w:spacing w:after="0"/>
              <w:rPr>
                <w:sz w:val="3"/>
                <w:szCs w:val="3"/>
                <w:color w:val="auto"/>
              </w:rPr>
            </w:pPr>
          </w:p>
        </w:tc>
        <w:tc>
          <w:tcPr>
            <w:tcW w:w="100" w:type="dxa"/>
            <w:vAlign w:val="bottom"/>
            <w:shd w:val="clear" w:color="auto" w:fill="E9F9D8"/>
          </w:tcPr>
          <w:p>
            <w:pPr>
              <w:spacing w:after="0"/>
              <w:rPr>
                <w:sz w:val="3"/>
                <w:szCs w:val="3"/>
                <w:color w:val="auto"/>
              </w:rPr>
            </w:pPr>
          </w:p>
        </w:tc>
        <w:tc>
          <w:tcPr>
            <w:tcW w:w="1980" w:type="dxa"/>
            <w:vAlign w:val="bottom"/>
            <w:tcBorders>
              <w:right w:val="single" w:sz="8" w:color="83AD40"/>
            </w:tcBorders>
            <w:gridSpan w:val="2"/>
            <w:vMerge w:val="continue"/>
            <w:shd w:val="clear" w:color="auto" w:fill="E9F9D8"/>
          </w:tcPr>
          <w:p>
            <w:pPr>
              <w:spacing w:after="0"/>
              <w:rPr>
                <w:sz w:val="3"/>
                <w:szCs w:val="3"/>
                <w:color w:val="auto"/>
              </w:rPr>
            </w:pPr>
          </w:p>
        </w:tc>
        <w:tc>
          <w:tcPr>
            <w:tcW w:w="60" w:type="dxa"/>
            <w:vAlign w:val="bottom"/>
            <w:shd w:val="clear" w:color="auto" w:fill="E9F9D8"/>
          </w:tcPr>
          <w:p>
            <w:pPr>
              <w:spacing w:after="0"/>
              <w:rPr>
                <w:sz w:val="3"/>
                <w:szCs w:val="3"/>
                <w:color w:val="auto"/>
              </w:rPr>
            </w:pPr>
          </w:p>
        </w:tc>
        <w:tc>
          <w:tcPr>
            <w:tcW w:w="20" w:type="dxa"/>
            <w:vAlign w:val="bottom"/>
            <w:shd w:val="clear" w:color="auto" w:fill="E9F9D8"/>
          </w:tcPr>
          <w:p>
            <w:pPr>
              <w:spacing w:after="0"/>
              <w:rPr>
                <w:sz w:val="3"/>
                <w:szCs w:val="3"/>
                <w:color w:val="auto"/>
              </w:rPr>
            </w:pPr>
          </w:p>
        </w:tc>
        <w:tc>
          <w:tcPr>
            <w:tcW w:w="120" w:type="dxa"/>
            <w:vAlign w:val="bottom"/>
            <w:shd w:val="clear" w:color="auto" w:fill="E9F9D8"/>
          </w:tcPr>
          <w:p>
            <w:pPr>
              <w:spacing w:after="0"/>
              <w:rPr>
                <w:sz w:val="3"/>
                <w:szCs w:val="3"/>
                <w:color w:val="auto"/>
              </w:rPr>
            </w:pPr>
          </w:p>
        </w:tc>
        <w:tc>
          <w:tcPr>
            <w:tcW w:w="1740" w:type="dxa"/>
            <w:vAlign w:val="bottom"/>
            <w:shd w:val="clear" w:color="auto" w:fill="E9F9D8"/>
          </w:tcPr>
          <w:p>
            <w:pPr>
              <w:spacing w:after="0"/>
              <w:rPr>
                <w:sz w:val="3"/>
                <w:szCs w:val="3"/>
                <w:color w:val="auto"/>
              </w:rPr>
            </w:pPr>
          </w:p>
        </w:tc>
        <w:tc>
          <w:tcPr>
            <w:tcW w:w="80" w:type="dxa"/>
            <w:vAlign w:val="bottom"/>
            <w:shd w:val="clear" w:color="auto" w:fill="E9F9D8"/>
          </w:tcPr>
          <w:p>
            <w:pPr>
              <w:spacing w:after="0"/>
              <w:rPr>
                <w:sz w:val="3"/>
                <w:szCs w:val="3"/>
                <w:color w:val="auto"/>
              </w:rPr>
            </w:pPr>
          </w:p>
        </w:tc>
        <w:tc>
          <w:tcPr>
            <w:tcW w:w="160" w:type="dxa"/>
            <w:vAlign w:val="bottom"/>
            <w:tcBorders>
              <w:right w:val="single" w:sz="8" w:color="83AD40"/>
            </w:tcBorders>
            <w:shd w:val="clear" w:color="auto" w:fill="E9F9D8"/>
          </w:tcPr>
          <w:p>
            <w:pPr>
              <w:spacing w:after="0"/>
              <w:rPr>
                <w:sz w:val="3"/>
                <w:szCs w:val="3"/>
                <w:color w:val="auto"/>
              </w:rPr>
            </w:pPr>
          </w:p>
        </w:tc>
        <w:tc>
          <w:tcPr>
            <w:tcW w:w="80" w:type="dxa"/>
            <w:vAlign w:val="bottom"/>
            <w:shd w:val="clear" w:color="auto" w:fill="E9F9D8"/>
          </w:tcPr>
          <w:p>
            <w:pPr>
              <w:spacing w:after="0"/>
              <w:rPr>
                <w:sz w:val="3"/>
                <w:szCs w:val="3"/>
                <w:color w:val="auto"/>
              </w:rPr>
            </w:pPr>
          </w:p>
        </w:tc>
        <w:tc>
          <w:tcPr>
            <w:tcW w:w="100" w:type="dxa"/>
            <w:vAlign w:val="bottom"/>
            <w:vMerge w:val="continue"/>
            <w:shd w:val="clear" w:color="auto" w:fill="E9F9D8"/>
          </w:tcPr>
          <w:p>
            <w:pPr>
              <w:spacing w:after="0"/>
              <w:rPr>
                <w:sz w:val="3"/>
                <w:szCs w:val="3"/>
                <w:color w:val="auto"/>
              </w:rPr>
            </w:pPr>
          </w:p>
        </w:tc>
        <w:tc>
          <w:tcPr>
            <w:tcW w:w="2180" w:type="dxa"/>
            <w:vAlign w:val="bottom"/>
            <w:tcBorders>
              <w:right w:val="single" w:sz="8" w:color="83AD40"/>
            </w:tcBorders>
            <w:gridSpan w:val="2"/>
            <w:vMerge w:val="continue"/>
            <w:shd w:val="clear" w:color="auto" w:fill="E9F9D8"/>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80" w:type="dxa"/>
            <w:vAlign w:val="bottom"/>
            <w:tcBorders>
              <w:left w:val="single" w:sz="8" w:color="83AD40"/>
            </w:tcBorders>
            <w:shd w:val="clear" w:color="auto" w:fill="E9F9D8"/>
          </w:tcPr>
          <w:p>
            <w:pPr>
              <w:spacing w:after="0"/>
              <w:rPr>
                <w:sz w:val="17"/>
                <w:szCs w:val="17"/>
                <w:color w:val="auto"/>
              </w:rPr>
            </w:pPr>
          </w:p>
        </w:tc>
        <w:tc>
          <w:tcPr>
            <w:tcW w:w="100" w:type="dxa"/>
            <w:vAlign w:val="bottom"/>
            <w:shd w:val="clear" w:color="auto" w:fill="E9F9D8"/>
          </w:tcPr>
          <w:p>
            <w:pPr>
              <w:spacing w:after="0"/>
              <w:rPr>
                <w:sz w:val="17"/>
                <w:szCs w:val="17"/>
                <w:color w:val="auto"/>
              </w:rPr>
            </w:pPr>
          </w:p>
        </w:tc>
        <w:tc>
          <w:tcPr>
            <w:tcW w:w="1860" w:type="dxa"/>
            <w:vAlign w:val="bottom"/>
            <w:gridSpan w:val="3"/>
            <w:shd w:val="clear" w:color="auto" w:fill="E9F9D8"/>
          </w:tcPr>
          <w:p>
            <w:pPr>
              <w:ind w:left="60"/>
              <w:spacing w:after="0"/>
              <w:rPr>
                <w:sz w:val="20"/>
                <w:szCs w:val="20"/>
                <w:color w:val="auto"/>
              </w:rPr>
            </w:pPr>
            <w:r>
              <w:rPr>
                <w:rFonts w:ascii="Arial" w:cs="Arial" w:eastAsia="Arial" w:hAnsi="Arial"/>
                <w:sz w:val="16"/>
                <w:szCs w:val="16"/>
                <w:color w:val="auto"/>
              </w:rPr>
              <w:t>debt positions in high-</w:t>
            </w:r>
          </w:p>
        </w:tc>
        <w:tc>
          <w:tcPr>
            <w:tcW w:w="120" w:type="dxa"/>
            <w:vAlign w:val="bottom"/>
            <w:tcBorders>
              <w:right w:val="single" w:sz="8" w:color="83AD40"/>
            </w:tcBorders>
            <w:shd w:val="clear" w:color="auto" w:fill="E9F9D8"/>
          </w:tcPr>
          <w:p>
            <w:pPr>
              <w:spacing w:after="0"/>
              <w:rPr>
                <w:sz w:val="17"/>
                <w:szCs w:val="17"/>
                <w:color w:val="auto"/>
              </w:rPr>
            </w:pPr>
          </w:p>
        </w:tc>
        <w:tc>
          <w:tcPr>
            <w:tcW w:w="100" w:type="dxa"/>
            <w:vAlign w:val="bottom"/>
            <w:shd w:val="clear" w:color="auto" w:fill="E9F9D8"/>
          </w:tcPr>
          <w:p>
            <w:pPr>
              <w:spacing w:after="0"/>
              <w:rPr>
                <w:sz w:val="17"/>
                <w:szCs w:val="17"/>
                <w:color w:val="auto"/>
              </w:rPr>
            </w:pPr>
          </w:p>
        </w:tc>
        <w:tc>
          <w:tcPr>
            <w:tcW w:w="100" w:type="dxa"/>
            <w:vAlign w:val="bottom"/>
            <w:shd w:val="clear" w:color="auto" w:fill="E9F9D8"/>
          </w:tcPr>
          <w:p>
            <w:pPr>
              <w:spacing w:after="0"/>
              <w:rPr>
                <w:sz w:val="17"/>
                <w:szCs w:val="17"/>
                <w:color w:val="auto"/>
              </w:rPr>
            </w:pPr>
          </w:p>
        </w:tc>
        <w:tc>
          <w:tcPr>
            <w:tcW w:w="1980" w:type="dxa"/>
            <w:vAlign w:val="bottom"/>
            <w:tcBorders>
              <w:right w:val="single" w:sz="8" w:color="83AD40"/>
            </w:tcBorders>
            <w:gridSpan w:val="2"/>
            <w:shd w:val="clear" w:color="auto" w:fill="E9F9D8"/>
          </w:tcPr>
          <w:p>
            <w:pPr>
              <w:ind w:left="60"/>
              <w:spacing w:after="0"/>
              <w:rPr>
                <w:sz w:val="20"/>
                <w:szCs w:val="20"/>
                <w:color w:val="auto"/>
              </w:rPr>
            </w:pPr>
            <w:r>
              <w:rPr>
                <w:rFonts w:ascii="Arial" w:cs="Arial" w:eastAsia="Arial" w:hAnsi="Arial"/>
                <w:sz w:val="16"/>
                <w:szCs w:val="16"/>
                <w:color w:val="auto"/>
              </w:rPr>
              <w:t>destinations</w:t>
            </w:r>
          </w:p>
        </w:tc>
        <w:tc>
          <w:tcPr>
            <w:tcW w:w="60" w:type="dxa"/>
            <w:vAlign w:val="bottom"/>
            <w:shd w:val="clear" w:color="auto" w:fill="E9F9D8"/>
          </w:tcPr>
          <w:p>
            <w:pPr>
              <w:spacing w:after="0"/>
              <w:rPr>
                <w:sz w:val="17"/>
                <w:szCs w:val="17"/>
                <w:color w:val="auto"/>
              </w:rPr>
            </w:pPr>
          </w:p>
        </w:tc>
        <w:tc>
          <w:tcPr>
            <w:tcW w:w="1960" w:type="dxa"/>
            <w:vAlign w:val="bottom"/>
            <w:gridSpan w:val="4"/>
            <w:shd w:val="clear" w:color="auto" w:fill="E9F9D8"/>
          </w:tcPr>
          <w:p>
            <w:pPr>
              <w:ind w:left="20"/>
              <w:spacing w:after="0"/>
              <w:rPr>
                <w:sz w:val="20"/>
                <w:szCs w:val="20"/>
                <w:color w:val="auto"/>
              </w:rPr>
            </w:pPr>
            <w:r>
              <w:rPr>
                <w:rFonts w:ascii="Arial" w:cs="Arial" w:eastAsia="Arial" w:hAnsi="Arial"/>
                <w:sz w:val="16"/>
                <w:szCs w:val="16"/>
                <w:color w:val="auto"/>
              </w:rPr>
              <w:t>• FY 2024 $13.2B active</w:t>
            </w:r>
          </w:p>
        </w:tc>
        <w:tc>
          <w:tcPr>
            <w:tcW w:w="160" w:type="dxa"/>
            <w:vAlign w:val="bottom"/>
            <w:tcBorders>
              <w:right w:val="single" w:sz="8" w:color="83AD40"/>
            </w:tcBorders>
            <w:shd w:val="clear" w:color="auto" w:fill="E9F9D8"/>
          </w:tcPr>
          <w:p>
            <w:pPr>
              <w:spacing w:after="0"/>
              <w:rPr>
                <w:sz w:val="17"/>
                <w:szCs w:val="17"/>
                <w:color w:val="auto"/>
              </w:rPr>
            </w:pPr>
          </w:p>
        </w:tc>
        <w:tc>
          <w:tcPr>
            <w:tcW w:w="80" w:type="dxa"/>
            <w:vAlign w:val="bottom"/>
            <w:shd w:val="clear" w:color="auto" w:fill="E9F9D8"/>
          </w:tcPr>
          <w:p>
            <w:pPr>
              <w:spacing w:after="0"/>
              <w:rPr>
                <w:sz w:val="17"/>
                <w:szCs w:val="17"/>
                <w:color w:val="auto"/>
              </w:rPr>
            </w:pPr>
          </w:p>
        </w:tc>
        <w:tc>
          <w:tcPr>
            <w:tcW w:w="100" w:type="dxa"/>
            <w:vAlign w:val="bottom"/>
            <w:shd w:val="clear" w:color="auto" w:fill="E9F9D8"/>
          </w:tcPr>
          <w:p>
            <w:pPr>
              <w:spacing w:after="0"/>
              <w:rPr>
                <w:sz w:val="17"/>
                <w:szCs w:val="17"/>
                <w:color w:val="auto"/>
              </w:rPr>
            </w:pPr>
          </w:p>
        </w:tc>
        <w:tc>
          <w:tcPr>
            <w:tcW w:w="2180" w:type="dxa"/>
            <w:vAlign w:val="bottom"/>
            <w:tcBorders>
              <w:right w:val="single" w:sz="8" w:color="83AD40"/>
            </w:tcBorders>
            <w:gridSpan w:val="2"/>
            <w:shd w:val="clear" w:color="auto" w:fill="E9F9D8"/>
          </w:tcPr>
          <w:p>
            <w:pPr>
              <w:ind w:left="60"/>
              <w:spacing w:after="0"/>
              <w:rPr>
                <w:sz w:val="20"/>
                <w:szCs w:val="20"/>
                <w:color w:val="auto"/>
              </w:rPr>
            </w:pPr>
            <w:r>
              <w:rPr>
                <w:rFonts w:ascii="Arial" w:cs="Arial" w:eastAsia="Arial" w:hAnsi="Arial"/>
                <w:sz w:val="16"/>
                <w:szCs w:val="16"/>
                <w:color w:val="auto"/>
              </w:rPr>
              <w:t>among &gt;10 other bidders</w:t>
            </w:r>
          </w:p>
        </w:tc>
        <w:tc>
          <w:tcPr>
            <w:tcW w:w="0" w:type="dxa"/>
            <w:vAlign w:val="bottom"/>
          </w:tcPr>
          <w:p>
            <w:pPr>
              <w:spacing w:after="0"/>
              <w:rPr>
                <w:sz w:val="1"/>
                <w:szCs w:val="1"/>
                <w:color w:val="auto"/>
              </w:rPr>
            </w:pPr>
          </w:p>
        </w:tc>
      </w:tr>
      <w:tr>
        <w:trPr>
          <w:trHeight w:val="189"/>
        </w:trPr>
        <w:tc>
          <w:tcPr>
            <w:tcW w:w="280" w:type="dxa"/>
            <w:vAlign w:val="bottom"/>
            <w:tcBorders>
              <w:left w:val="single" w:sz="8" w:color="83AD40"/>
            </w:tcBorders>
            <w:shd w:val="clear" w:color="auto" w:fill="E9F9D8"/>
          </w:tcPr>
          <w:p>
            <w:pPr>
              <w:spacing w:after="0"/>
              <w:rPr>
                <w:sz w:val="16"/>
                <w:szCs w:val="16"/>
                <w:color w:val="auto"/>
              </w:rPr>
            </w:pPr>
          </w:p>
        </w:tc>
        <w:tc>
          <w:tcPr>
            <w:tcW w:w="100" w:type="dxa"/>
            <w:vAlign w:val="bottom"/>
            <w:shd w:val="clear" w:color="auto" w:fill="E9F9D8"/>
          </w:tcPr>
          <w:p>
            <w:pPr>
              <w:spacing w:after="0"/>
              <w:rPr>
                <w:sz w:val="16"/>
                <w:szCs w:val="16"/>
                <w:color w:val="auto"/>
              </w:rPr>
            </w:pPr>
          </w:p>
        </w:tc>
        <w:tc>
          <w:tcPr>
            <w:tcW w:w="1860" w:type="dxa"/>
            <w:vAlign w:val="bottom"/>
            <w:gridSpan w:val="3"/>
            <w:shd w:val="clear" w:color="auto" w:fill="E9F9D8"/>
          </w:tcPr>
          <w:p>
            <w:pPr>
              <w:ind w:left="60"/>
              <w:spacing w:after="0"/>
              <w:rPr>
                <w:sz w:val="20"/>
                <w:szCs w:val="20"/>
                <w:color w:val="auto"/>
              </w:rPr>
            </w:pPr>
            <w:r>
              <w:rPr>
                <w:rFonts w:ascii="Arial" w:cs="Arial" w:eastAsia="Arial" w:hAnsi="Arial"/>
                <w:sz w:val="16"/>
                <w:szCs w:val="16"/>
                <w:color w:val="auto"/>
              </w:rPr>
              <w:t>quality NYC commercial</w:t>
            </w:r>
          </w:p>
        </w:tc>
        <w:tc>
          <w:tcPr>
            <w:tcW w:w="120" w:type="dxa"/>
            <w:vAlign w:val="bottom"/>
            <w:tcBorders>
              <w:right w:val="single" w:sz="8" w:color="83AD40"/>
            </w:tcBorders>
            <w:shd w:val="clear" w:color="auto" w:fill="E9F9D8"/>
          </w:tcPr>
          <w:p>
            <w:pPr>
              <w:spacing w:after="0"/>
              <w:rPr>
                <w:sz w:val="16"/>
                <w:szCs w:val="16"/>
                <w:color w:val="auto"/>
              </w:rPr>
            </w:pPr>
          </w:p>
        </w:tc>
        <w:tc>
          <w:tcPr>
            <w:tcW w:w="100" w:type="dxa"/>
            <w:vAlign w:val="bottom"/>
            <w:shd w:val="clear" w:color="auto" w:fill="E9F9D8"/>
          </w:tcPr>
          <w:p>
            <w:pPr>
              <w:spacing w:after="0"/>
              <w:rPr>
                <w:sz w:val="16"/>
                <w:szCs w:val="16"/>
                <w:color w:val="auto"/>
              </w:rPr>
            </w:pPr>
          </w:p>
        </w:tc>
        <w:tc>
          <w:tcPr>
            <w:tcW w:w="2080" w:type="dxa"/>
            <w:vAlign w:val="bottom"/>
            <w:tcBorders>
              <w:right w:val="single" w:sz="8" w:color="83AD40"/>
            </w:tcBorders>
            <w:gridSpan w:val="3"/>
            <w:vMerge w:val="restart"/>
            <w:shd w:val="clear" w:color="auto" w:fill="E9F9D8"/>
          </w:tcPr>
          <w:p>
            <w:pPr>
              <w:spacing w:after="0"/>
              <w:rPr>
                <w:sz w:val="20"/>
                <w:szCs w:val="20"/>
                <w:color w:val="auto"/>
              </w:rPr>
            </w:pPr>
            <w:r>
              <w:rPr>
                <w:rFonts w:ascii="Arial" w:cs="Arial" w:eastAsia="Arial" w:hAnsi="Arial"/>
                <w:sz w:val="16"/>
                <w:szCs w:val="16"/>
                <w:color w:val="auto"/>
              </w:rPr>
              <w:t>• New SUMMIT to be built</w:t>
            </w:r>
          </w:p>
        </w:tc>
        <w:tc>
          <w:tcPr>
            <w:tcW w:w="60" w:type="dxa"/>
            <w:vAlign w:val="bottom"/>
            <w:shd w:val="clear" w:color="auto" w:fill="E9F9D8"/>
          </w:tcPr>
          <w:p>
            <w:pPr>
              <w:spacing w:after="0"/>
              <w:rPr>
                <w:sz w:val="16"/>
                <w:szCs w:val="16"/>
                <w:color w:val="auto"/>
              </w:rPr>
            </w:pPr>
          </w:p>
        </w:tc>
        <w:tc>
          <w:tcPr>
            <w:tcW w:w="20" w:type="dxa"/>
            <w:vAlign w:val="bottom"/>
            <w:shd w:val="clear" w:color="auto" w:fill="E9F9D8"/>
          </w:tcPr>
          <w:p>
            <w:pPr>
              <w:spacing w:after="0"/>
              <w:rPr>
                <w:sz w:val="16"/>
                <w:szCs w:val="16"/>
                <w:color w:val="auto"/>
              </w:rPr>
            </w:pPr>
          </w:p>
        </w:tc>
        <w:tc>
          <w:tcPr>
            <w:tcW w:w="120" w:type="dxa"/>
            <w:vAlign w:val="bottom"/>
            <w:shd w:val="clear" w:color="auto" w:fill="E9F9D8"/>
          </w:tcPr>
          <w:p>
            <w:pPr>
              <w:spacing w:after="0"/>
              <w:rPr>
                <w:sz w:val="16"/>
                <w:szCs w:val="16"/>
                <w:color w:val="auto"/>
              </w:rPr>
            </w:pPr>
          </w:p>
        </w:tc>
        <w:tc>
          <w:tcPr>
            <w:tcW w:w="1820" w:type="dxa"/>
            <w:vAlign w:val="bottom"/>
            <w:gridSpan w:val="2"/>
            <w:shd w:val="clear" w:color="auto" w:fill="E9F9D8"/>
          </w:tcPr>
          <w:p>
            <w:pPr>
              <w:ind w:left="40"/>
              <w:spacing w:after="0"/>
              <w:rPr>
                <w:sz w:val="20"/>
                <w:szCs w:val="20"/>
                <w:color w:val="auto"/>
              </w:rPr>
            </w:pPr>
            <w:r>
              <w:rPr>
                <w:rFonts w:ascii="Arial" w:cs="Arial" w:eastAsia="Arial" w:hAnsi="Arial"/>
                <w:sz w:val="16"/>
                <w:szCs w:val="16"/>
                <w:color w:val="auto"/>
              </w:rPr>
              <w:t>and designated</w:t>
            </w:r>
          </w:p>
        </w:tc>
        <w:tc>
          <w:tcPr>
            <w:tcW w:w="160" w:type="dxa"/>
            <w:vAlign w:val="bottom"/>
            <w:tcBorders>
              <w:right w:val="single" w:sz="8" w:color="83AD40"/>
            </w:tcBorders>
            <w:shd w:val="clear" w:color="auto" w:fill="E9F9D8"/>
          </w:tcPr>
          <w:p>
            <w:pPr>
              <w:spacing w:after="0"/>
              <w:rPr>
                <w:sz w:val="16"/>
                <w:szCs w:val="16"/>
                <w:color w:val="auto"/>
              </w:rPr>
            </w:pPr>
          </w:p>
        </w:tc>
        <w:tc>
          <w:tcPr>
            <w:tcW w:w="80" w:type="dxa"/>
            <w:vAlign w:val="bottom"/>
            <w:shd w:val="clear" w:color="auto" w:fill="E9F9D8"/>
          </w:tcPr>
          <w:p>
            <w:pPr>
              <w:spacing w:after="0"/>
              <w:rPr>
                <w:sz w:val="16"/>
                <w:szCs w:val="16"/>
                <w:color w:val="auto"/>
              </w:rPr>
            </w:pPr>
          </w:p>
        </w:tc>
        <w:tc>
          <w:tcPr>
            <w:tcW w:w="100" w:type="dxa"/>
            <w:vAlign w:val="bottom"/>
            <w:vMerge w:val="restart"/>
            <w:shd w:val="clear" w:color="auto" w:fill="E9F9D8"/>
          </w:tcPr>
          <w:p>
            <w:pPr>
              <w:spacing w:after="0"/>
              <w:rPr>
                <w:sz w:val="20"/>
                <w:szCs w:val="20"/>
                <w:color w:val="auto"/>
              </w:rPr>
            </w:pPr>
            <w:r>
              <w:rPr>
                <w:rFonts w:ascii="Arial" w:cs="Arial" w:eastAsia="Arial" w:hAnsi="Arial"/>
                <w:sz w:val="16"/>
                <w:szCs w:val="16"/>
                <w:color w:val="auto"/>
              </w:rPr>
              <w:t>•</w:t>
            </w:r>
          </w:p>
        </w:tc>
        <w:tc>
          <w:tcPr>
            <w:tcW w:w="2180" w:type="dxa"/>
            <w:vAlign w:val="bottom"/>
            <w:tcBorders>
              <w:right w:val="single" w:sz="8" w:color="83AD40"/>
            </w:tcBorders>
            <w:gridSpan w:val="2"/>
            <w:vMerge w:val="restart"/>
            <w:shd w:val="clear" w:color="auto" w:fill="E9F9D8"/>
          </w:tcPr>
          <w:p>
            <w:pPr>
              <w:ind w:left="60"/>
              <w:spacing w:after="0"/>
              <w:rPr>
                <w:sz w:val="20"/>
                <w:szCs w:val="20"/>
                <w:color w:val="auto"/>
              </w:rPr>
            </w:pPr>
            <w:r>
              <w:rPr>
                <w:rFonts w:ascii="Arial" w:cs="Arial" w:eastAsia="Arial" w:hAnsi="Arial"/>
                <w:sz w:val="16"/>
                <w:szCs w:val="16"/>
                <w:color w:val="auto"/>
              </w:rPr>
              <w:t>Ensures long-term value</w:t>
            </w:r>
          </w:p>
        </w:tc>
        <w:tc>
          <w:tcPr>
            <w:tcW w:w="0" w:type="dxa"/>
            <w:vAlign w:val="bottom"/>
          </w:tcPr>
          <w:p>
            <w:pPr>
              <w:spacing w:after="0"/>
              <w:rPr>
                <w:sz w:val="1"/>
                <w:szCs w:val="1"/>
                <w:color w:val="auto"/>
              </w:rPr>
            </w:pPr>
          </w:p>
        </w:tc>
      </w:tr>
      <w:tr>
        <w:trPr>
          <w:trHeight w:val="134"/>
        </w:trPr>
        <w:tc>
          <w:tcPr>
            <w:tcW w:w="280" w:type="dxa"/>
            <w:vAlign w:val="bottom"/>
            <w:tcBorders>
              <w:left w:val="single" w:sz="8" w:color="83AD40"/>
            </w:tcBorders>
            <w:shd w:val="clear" w:color="auto" w:fill="E9F9D8"/>
          </w:tcPr>
          <w:p>
            <w:pPr>
              <w:spacing w:after="0"/>
              <w:rPr>
                <w:sz w:val="11"/>
                <w:szCs w:val="11"/>
                <w:color w:val="auto"/>
              </w:rPr>
            </w:pPr>
          </w:p>
        </w:tc>
        <w:tc>
          <w:tcPr>
            <w:tcW w:w="100" w:type="dxa"/>
            <w:vAlign w:val="bottom"/>
            <w:shd w:val="clear" w:color="auto" w:fill="E9F9D8"/>
          </w:tcPr>
          <w:p>
            <w:pPr>
              <w:spacing w:after="0"/>
              <w:rPr>
                <w:sz w:val="11"/>
                <w:szCs w:val="11"/>
                <w:color w:val="auto"/>
              </w:rPr>
            </w:pPr>
          </w:p>
        </w:tc>
        <w:tc>
          <w:tcPr>
            <w:tcW w:w="1860" w:type="dxa"/>
            <w:vAlign w:val="bottom"/>
            <w:gridSpan w:val="3"/>
            <w:vMerge w:val="restart"/>
            <w:shd w:val="clear" w:color="auto" w:fill="E9F9D8"/>
          </w:tcPr>
          <w:p>
            <w:pPr>
              <w:ind w:left="60"/>
              <w:spacing w:after="0"/>
              <w:rPr>
                <w:sz w:val="20"/>
                <w:szCs w:val="20"/>
                <w:color w:val="auto"/>
              </w:rPr>
            </w:pPr>
            <w:r>
              <w:rPr>
                <w:rFonts w:ascii="Arial" w:cs="Arial" w:eastAsia="Arial" w:hAnsi="Arial"/>
                <w:sz w:val="16"/>
                <w:szCs w:val="16"/>
                <w:color w:val="auto"/>
              </w:rPr>
              <w:t>assets</w:t>
            </w:r>
          </w:p>
        </w:tc>
        <w:tc>
          <w:tcPr>
            <w:tcW w:w="120" w:type="dxa"/>
            <w:vAlign w:val="bottom"/>
            <w:tcBorders>
              <w:right w:val="single" w:sz="8" w:color="83AD40"/>
            </w:tcBorders>
            <w:shd w:val="clear" w:color="auto" w:fill="E9F9D8"/>
          </w:tcPr>
          <w:p>
            <w:pPr>
              <w:spacing w:after="0"/>
              <w:rPr>
                <w:sz w:val="11"/>
                <w:szCs w:val="11"/>
                <w:color w:val="auto"/>
              </w:rPr>
            </w:pPr>
          </w:p>
        </w:tc>
        <w:tc>
          <w:tcPr>
            <w:tcW w:w="100" w:type="dxa"/>
            <w:vAlign w:val="bottom"/>
            <w:shd w:val="clear" w:color="auto" w:fill="E9F9D8"/>
          </w:tcPr>
          <w:p>
            <w:pPr>
              <w:spacing w:after="0"/>
              <w:rPr>
                <w:sz w:val="11"/>
                <w:szCs w:val="11"/>
                <w:color w:val="auto"/>
              </w:rPr>
            </w:pPr>
          </w:p>
        </w:tc>
        <w:tc>
          <w:tcPr>
            <w:tcW w:w="2080" w:type="dxa"/>
            <w:vAlign w:val="bottom"/>
            <w:tcBorders>
              <w:right w:val="single" w:sz="8" w:color="83AD40"/>
            </w:tcBorders>
            <w:gridSpan w:val="3"/>
            <w:vMerge w:val="continue"/>
            <w:shd w:val="clear" w:color="auto" w:fill="E9F9D8"/>
          </w:tcPr>
          <w:p>
            <w:pPr>
              <w:spacing w:after="0"/>
              <w:rPr>
                <w:sz w:val="11"/>
                <w:szCs w:val="11"/>
                <w:color w:val="auto"/>
              </w:rPr>
            </w:pPr>
          </w:p>
        </w:tc>
        <w:tc>
          <w:tcPr>
            <w:tcW w:w="60" w:type="dxa"/>
            <w:vAlign w:val="bottom"/>
            <w:shd w:val="clear" w:color="auto" w:fill="E9F9D8"/>
          </w:tcPr>
          <w:p>
            <w:pPr>
              <w:spacing w:after="0"/>
              <w:rPr>
                <w:sz w:val="11"/>
                <w:szCs w:val="11"/>
                <w:color w:val="auto"/>
              </w:rPr>
            </w:pPr>
          </w:p>
        </w:tc>
        <w:tc>
          <w:tcPr>
            <w:tcW w:w="20" w:type="dxa"/>
            <w:vAlign w:val="bottom"/>
            <w:shd w:val="clear" w:color="auto" w:fill="E9F9D8"/>
          </w:tcPr>
          <w:p>
            <w:pPr>
              <w:spacing w:after="0"/>
              <w:rPr>
                <w:sz w:val="11"/>
                <w:szCs w:val="11"/>
                <w:color w:val="auto"/>
              </w:rPr>
            </w:pPr>
          </w:p>
        </w:tc>
        <w:tc>
          <w:tcPr>
            <w:tcW w:w="120" w:type="dxa"/>
            <w:vAlign w:val="bottom"/>
            <w:shd w:val="clear" w:color="auto" w:fill="E9F9D8"/>
          </w:tcPr>
          <w:p>
            <w:pPr>
              <w:spacing w:after="0"/>
              <w:rPr>
                <w:sz w:val="11"/>
                <w:szCs w:val="11"/>
                <w:color w:val="auto"/>
              </w:rPr>
            </w:pPr>
          </w:p>
        </w:tc>
        <w:tc>
          <w:tcPr>
            <w:tcW w:w="1820" w:type="dxa"/>
            <w:vAlign w:val="bottom"/>
            <w:gridSpan w:val="2"/>
            <w:vMerge w:val="restart"/>
            <w:shd w:val="clear" w:color="auto" w:fill="E9F9D8"/>
          </w:tcPr>
          <w:p>
            <w:pPr>
              <w:ind w:left="40"/>
              <w:spacing w:after="0"/>
              <w:rPr>
                <w:sz w:val="20"/>
                <w:szCs w:val="20"/>
                <w:color w:val="auto"/>
              </w:rPr>
            </w:pPr>
            <w:r>
              <w:rPr>
                <w:rFonts w:ascii="Arial" w:cs="Arial" w:eastAsia="Arial" w:hAnsi="Arial"/>
                <w:sz w:val="16"/>
                <w:szCs w:val="16"/>
                <w:color w:val="auto"/>
              </w:rPr>
              <w:t>assignments</w:t>
            </w:r>
          </w:p>
        </w:tc>
        <w:tc>
          <w:tcPr>
            <w:tcW w:w="160" w:type="dxa"/>
            <w:vAlign w:val="bottom"/>
            <w:tcBorders>
              <w:right w:val="single" w:sz="8" w:color="83AD40"/>
            </w:tcBorders>
            <w:shd w:val="clear" w:color="auto" w:fill="E9F9D8"/>
          </w:tcPr>
          <w:p>
            <w:pPr>
              <w:spacing w:after="0"/>
              <w:rPr>
                <w:sz w:val="11"/>
                <w:szCs w:val="11"/>
                <w:color w:val="auto"/>
              </w:rPr>
            </w:pPr>
          </w:p>
        </w:tc>
        <w:tc>
          <w:tcPr>
            <w:tcW w:w="80" w:type="dxa"/>
            <w:vAlign w:val="bottom"/>
            <w:shd w:val="clear" w:color="auto" w:fill="E9F9D8"/>
          </w:tcPr>
          <w:p>
            <w:pPr>
              <w:spacing w:after="0"/>
              <w:rPr>
                <w:sz w:val="11"/>
                <w:szCs w:val="11"/>
                <w:color w:val="auto"/>
              </w:rPr>
            </w:pPr>
          </w:p>
        </w:tc>
        <w:tc>
          <w:tcPr>
            <w:tcW w:w="100" w:type="dxa"/>
            <w:vAlign w:val="bottom"/>
            <w:vMerge w:val="continue"/>
            <w:shd w:val="clear" w:color="auto" w:fill="E9F9D8"/>
          </w:tcPr>
          <w:p>
            <w:pPr>
              <w:spacing w:after="0"/>
              <w:rPr>
                <w:sz w:val="11"/>
                <w:szCs w:val="11"/>
                <w:color w:val="auto"/>
              </w:rPr>
            </w:pPr>
          </w:p>
        </w:tc>
        <w:tc>
          <w:tcPr>
            <w:tcW w:w="2180" w:type="dxa"/>
            <w:vAlign w:val="bottom"/>
            <w:tcBorders>
              <w:right w:val="single" w:sz="8" w:color="83AD40"/>
            </w:tcBorders>
            <w:gridSpan w:val="2"/>
            <w:vMerge w:val="continue"/>
            <w:shd w:val="clear" w:color="auto" w:fill="E9F9D8"/>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80" w:type="dxa"/>
            <w:vAlign w:val="bottom"/>
            <w:tcBorders>
              <w:left w:val="single" w:sz="8" w:color="83AD40"/>
            </w:tcBorders>
            <w:shd w:val="clear" w:color="auto" w:fill="E9F9D8"/>
          </w:tcPr>
          <w:p>
            <w:pPr>
              <w:spacing w:after="0"/>
              <w:rPr>
                <w:sz w:val="10"/>
                <w:szCs w:val="10"/>
                <w:color w:val="auto"/>
              </w:rPr>
            </w:pPr>
          </w:p>
        </w:tc>
        <w:tc>
          <w:tcPr>
            <w:tcW w:w="100" w:type="dxa"/>
            <w:vAlign w:val="bottom"/>
            <w:shd w:val="clear" w:color="auto" w:fill="E9F9D8"/>
          </w:tcPr>
          <w:p>
            <w:pPr>
              <w:spacing w:after="0"/>
              <w:rPr>
                <w:sz w:val="10"/>
                <w:szCs w:val="10"/>
                <w:color w:val="auto"/>
              </w:rPr>
            </w:pPr>
          </w:p>
        </w:tc>
        <w:tc>
          <w:tcPr>
            <w:tcW w:w="1860" w:type="dxa"/>
            <w:vAlign w:val="bottom"/>
            <w:gridSpan w:val="3"/>
            <w:vMerge w:val="continue"/>
            <w:shd w:val="clear" w:color="auto" w:fill="E9F9D8"/>
          </w:tcPr>
          <w:p>
            <w:pPr>
              <w:spacing w:after="0"/>
              <w:rPr>
                <w:sz w:val="10"/>
                <w:szCs w:val="10"/>
                <w:color w:val="auto"/>
              </w:rPr>
            </w:pPr>
          </w:p>
        </w:tc>
        <w:tc>
          <w:tcPr>
            <w:tcW w:w="120" w:type="dxa"/>
            <w:vAlign w:val="bottom"/>
            <w:tcBorders>
              <w:right w:val="single" w:sz="8" w:color="83AD40"/>
            </w:tcBorders>
            <w:shd w:val="clear" w:color="auto" w:fill="E9F9D8"/>
          </w:tcPr>
          <w:p>
            <w:pPr>
              <w:spacing w:after="0"/>
              <w:rPr>
                <w:sz w:val="10"/>
                <w:szCs w:val="10"/>
                <w:color w:val="auto"/>
              </w:rPr>
            </w:pPr>
          </w:p>
        </w:tc>
        <w:tc>
          <w:tcPr>
            <w:tcW w:w="100" w:type="dxa"/>
            <w:vAlign w:val="bottom"/>
            <w:shd w:val="clear" w:color="auto" w:fill="E9F9D8"/>
          </w:tcPr>
          <w:p>
            <w:pPr>
              <w:spacing w:after="0"/>
              <w:rPr>
                <w:sz w:val="10"/>
                <w:szCs w:val="10"/>
                <w:color w:val="auto"/>
              </w:rPr>
            </w:pPr>
          </w:p>
        </w:tc>
        <w:tc>
          <w:tcPr>
            <w:tcW w:w="100" w:type="dxa"/>
            <w:vAlign w:val="bottom"/>
            <w:shd w:val="clear" w:color="auto" w:fill="E9F9D8"/>
          </w:tcPr>
          <w:p>
            <w:pPr>
              <w:spacing w:after="0"/>
              <w:rPr>
                <w:sz w:val="10"/>
                <w:szCs w:val="10"/>
                <w:color w:val="auto"/>
              </w:rPr>
            </w:pPr>
          </w:p>
        </w:tc>
        <w:tc>
          <w:tcPr>
            <w:tcW w:w="1980" w:type="dxa"/>
            <w:vAlign w:val="bottom"/>
            <w:tcBorders>
              <w:right w:val="single" w:sz="8" w:color="83AD40"/>
            </w:tcBorders>
            <w:gridSpan w:val="2"/>
            <w:vMerge w:val="restart"/>
            <w:shd w:val="clear" w:color="auto" w:fill="E9F9D8"/>
          </w:tcPr>
          <w:p>
            <w:pPr>
              <w:ind w:left="60"/>
              <w:spacing w:after="0"/>
              <w:rPr>
                <w:sz w:val="20"/>
                <w:szCs w:val="20"/>
                <w:color w:val="auto"/>
              </w:rPr>
            </w:pPr>
            <w:r>
              <w:rPr>
                <w:rFonts w:ascii="Arial" w:cs="Arial" w:eastAsia="Arial" w:hAnsi="Arial"/>
                <w:sz w:val="16"/>
                <w:szCs w:val="16"/>
                <w:color w:val="auto"/>
              </w:rPr>
              <w:t>in Paris</w:t>
            </w:r>
          </w:p>
        </w:tc>
        <w:tc>
          <w:tcPr>
            <w:tcW w:w="60" w:type="dxa"/>
            <w:vAlign w:val="bottom"/>
            <w:shd w:val="clear" w:color="auto" w:fill="E9F9D8"/>
          </w:tcPr>
          <w:p>
            <w:pPr>
              <w:spacing w:after="0"/>
              <w:rPr>
                <w:sz w:val="10"/>
                <w:szCs w:val="10"/>
                <w:color w:val="auto"/>
              </w:rPr>
            </w:pPr>
          </w:p>
        </w:tc>
        <w:tc>
          <w:tcPr>
            <w:tcW w:w="20" w:type="dxa"/>
            <w:vAlign w:val="bottom"/>
            <w:shd w:val="clear" w:color="auto" w:fill="E9F9D8"/>
          </w:tcPr>
          <w:p>
            <w:pPr>
              <w:spacing w:after="0"/>
              <w:rPr>
                <w:sz w:val="10"/>
                <w:szCs w:val="10"/>
                <w:color w:val="auto"/>
              </w:rPr>
            </w:pPr>
          </w:p>
        </w:tc>
        <w:tc>
          <w:tcPr>
            <w:tcW w:w="120" w:type="dxa"/>
            <w:vAlign w:val="bottom"/>
            <w:shd w:val="clear" w:color="auto" w:fill="E9F9D8"/>
          </w:tcPr>
          <w:p>
            <w:pPr>
              <w:spacing w:after="0"/>
              <w:rPr>
                <w:sz w:val="10"/>
                <w:szCs w:val="10"/>
                <w:color w:val="auto"/>
              </w:rPr>
            </w:pPr>
          </w:p>
        </w:tc>
        <w:tc>
          <w:tcPr>
            <w:tcW w:w="1820" w:type="dxa"/>
            <w:vAlign w:val="bottom"/>
            <w:gridSpan w:val="2"/>
            <w:vMerge w:val="continue"/>
            <w:shd w:val="clear" w:color="auto" w:fill="E9F9D8"/>
          </w:tcPr>
          <w:p>
            <w:pPr>
              <w:spacing w:after="0"/>
              <w:rPr>
                <w:sz w:val="10"/>
                <w:szCs w:val="10"/>
                <w:color w:val="auto"/>
              </w:rPr>
            </w:pPr>
          </w:p>
        </w:tc>
        <w:tc>
          <w:tcPr>
            <w:tcW w:w="160" w:type="dxa"/>
            <w:vAlign w:val="bottom"/>
            <w:tcBorders>
              <w:right w:val="single" w:sz="8" w:color="83AD40"/>
            </w:tcBorders>
            <w:shd w:val="clear" w:color="auto" w:fill="E9F9D8"/>
          </w:tcPr>
          <w:p>
            <w:pPr>
              <w:spacing w:after="0"/>
              <w:rPr>
                <w:sz w:val="10"/>
                <w:szCs w:val="10"/>
                <w:color w:val="auto"/>
              </w:rPr>
            </w:pPr>
          </w:p>
        </w:tc>
        <w:tc>
          <w:tcPr>
            <w:tcW w:w="80" w:type="dxa"/>
            <w:vAlign w:val="bottom"/>
            <w:shd w:val="clear" w:color="auto" w:fill="E9F9D8"/>
          </w:tcPr>
          <w:p>
            <w:pPr>
              <w:spacing w:after="0"/>
              <w:rPr>
                <w:sz w:val="10"/>
                <w:szCs w:val="10"/>
                <w:color w:val="auto"/>
              </w:rPr>
            </w:pPr>
          </w:p>
        </w:tc>
        <w:tc>
          <w:tcPr>
            <w:tcW w:w="100" w:type="dxa"/>
            <w:vAlign w:val="bottom"/>
            <w:shd w:val="clear" w:color="auto" w:fill="E9F9D8"/>
          </w:tcPr>
          <w:p>
            <w:pPr>
              <w:spacing w:after="0"/>
              <w:rPr>
                <w:sz w:val="10"/>
                <w:szCs w:val="10"/>
                <w:color w:val="auto"/>
              </w:rPr>
            </w:pPr>
          </w:p>
        </w:tc>
        <w:tc>
          <w:tcPr>
            <w:tcW w:w="2180" w:type="dxa"/>
            <w:vAlign w:val="bottom"/>
            <w:tcBorders>
              <w:right w:val="single" w:sz="8" w:color="83AD40"/>
            </w:tcBorders>
            <w:gridSpan w:val="2"/>
            <w:vMerge w:val="restart"/>
            <w:shd w:val="clear" w:color="auto" w:fill="E9F9D8"/>
          </w:tcPr>
          <w:p>
            <w:pPr>
              <w:ind w:left="60"/>
              <w:spacing w:after="0"/>
              <w:rPr>
                <w:sz w:val="20"/>
                <w:szCs w:val="20"/>
                <w:color w:val="auto"/>
              </w:rPr>
            </w:pPr>
            <w:r>
              <w:rPr>
                <w:rFonts w:ascii="Arial" w:cs="Arial" w:eastAsia="Arial" w:hAnsi="Arial"/>
                <w:sz w:val="16"/>
                <w:szCs w:val="16"/>
                <w:color w:val="auto"/>
              </w:rPr>
              <w:t>creation in preeminent</w:t>
            </w:r>
          </w:p>
        </w:tc>
        <w:tc>
          <w:tcPr>
            <w:tcW w:w="0" w:type="dxa"/>
            <w:vAlign w:val="bottom"/>
          </w:tcPr>
          <w:p>
            <w:pPr>
              <w:spacing w:after="0"/>
              <w:rPr>
                <w:sz w:val="1"/>
                <w:szCs w:val="1"/>
                <w:color w:val="auto"/>
              </w:rPr>
            </w:pPr>
          </w:p>
        </w:tc>
      </w:tr>
      <w:tr>
        <w:trPr>
          <w:trHeight w:val="69"/>
        </w:trPr>
        <w:tc>
          <w:tcPr>
            <w:tcW w:w="280" w:type="dxa"/>
            <w:vAlign w:val="bottom"/>
            <w:tcBorders>
              <w:left w:val="single" w:sz="8" w:color="83AD40"/>
            </w:tcBorders>
            <w:shd w:val="clear" w:color="auto" w:fill="E9F9D8"/>
          </w:tcPr>
          <w:p>
            <w:pPr>
              <w:spacing w:after="0"/>
              <w:rPr>
                <w:sz w:val="5"/>
                <w:szCs w:val="5"/>
                <w:color w:val="auto"/>
              </w:rPr>
            </w:pPr>
          </w:p>
        </w:tc>
        <w:tc>
          <w:tcPr>
            <w:tcW w:w="100" w:type="dxa"/>
            <w:vAlign w:val="bottom"/>
            <w:vMerge w:val="restart"/>
            <w:shd w:val="clear" w:color="auto" w:fill="E9F9D8"/>
          </w:tcPr>
          <w:p>
            <w:pPr>
              <w:spacing w:after="0"/>
              <w:rPr>
                <w:sz w:val="20"/>
                <w:szCs w:val="20"/>
                <w:color w:val="auto"/>
              </w:rPr>
            </w:pPr>
            <w:r>
              <w:rPr>
                <w:rFonts w:ascii="Arial" w:cs="Arial" w:eastAsia="Arial" w:hAnsi="Arial"/>
                <w:sz w:val="16"/>
                <w:szCs w:val="16"/>
                <w:color w:val="auto"/>
              </w:rPr>
              <w:t>•</w:t>
            </w:r>
          </w:p>
        </w:tc>
        <w:tc>
          <w:tcPr>
            <w:tcW w:w="1860" w:type="dxa"/>
            <w:vAlign w:val="bottom"/>
            <w:gridSpan w:val="3"/>
            <w:vMerge w:val="restart"/>
            <w:shd w:val="clear" w:color="auto" w:fill="E9F9D8"/>
          </w:tcPr>
          <w:p>
            <w:pPr>
              <w:ind w:left="60"/>
              <w:spacing w:after="0"/>
              <w:rPr>
                <w:sz w:val="20"/>
                <w:szCs w:val="20"/>
                <w:color w:val="auto"/>
              </w:rPr>
            </w:pPr>
            <w:r>
              <w:rPr>
                <w:rFonts w:ascii="Arial" w:cs="Arial" w:eastAsia="Arial" w:hAnsi="Arial"/>
                <w:sz w:val="16"/>
                <w:szCs w:val="16"/>
                <w:color w:val="auto"/>
              </w:rPr>
              <w:t>Requires limited</w:t>
            </w:r>
          </w:p>
        </w:tc>
        <w:tc>
          <w:tcPr>
            <w:tcW w:w="120" w:type="dxa"/>
            <w:vAlign w:val="bottom"/>
            <w:tcBorders>
              <w:right w:val="single" w:sz="8" w:color="83AD40"/>
            </w:tcBorders>
            <w:shd w:val="clear" w:color="auto" w:fill="E9F9D8"/>
          </w:tcPr>
          <w:p>
            <w:pPr>
              <w:spacing w:after="0"/>
              <w:rPr>
                <w:sz w:val="5"/>
                <w:szCs w:val="5"/>
                <w:color w:val="auto"/>
              </w:rPr>
            </w:pPr>
          </w:p>
        </w:tc>
        <w:tc>
          <w:tcPr>
            <w:tcW w:w="100" w:type="dxa"/>
            <w:vAlign w:val="bottom"/>
            <w:shd w:val="clear" w:color="auto" w:fill="E9F9D8"/>
          </w:tcPr>
          <w:p>
            <w:pPr>
              <w:spacing w:after="0"/>
              <w:rPr>
                <w:sz w:val="5"/>
                <w:szCs w:val="5"/>
                <w:color w:val="auto"/>
              </w:rPr>
            </w:pPr>
          </w:p>
        </w:tc>
        <w:tc>
          <w:tcPr>
            <w:tcW w:w="100" w:type="dxa"/>
            <w:vAlign w:val="bottom"/>
            <w:shd w:val="clear" w:color="auto" w:fill="E9F9D8"/>
          </w:tcPr>
          <w:p>
            <w:pPr>
              <w:spacing w:after="0"/>
              <w:rPr>
                <w:sz w:val="5"/>
                <w:szCs w:val="5"/>
                <w:color w:val="auto"/>
              </w:rPr>
            </w:pPr>
          </w:p>
        </w:tc>
        <w:tc>
          <w:tcPr>
            <w:tcW w:w="1980" w:type="dxa"/>
            <w:vAlign w:val="bottom"/>
            <w:tcBorders>
              <w:right w:val="single" w:sz="8" w:color="83AD40"/>
            </w:tcBorders>
            <w:gridSpan w:val="2"/>
            <w:vMerge w:val="continue"/>
            <w:shd w:val="clear" w:color="auto" w:fill="E9F9D8"/>
          </w:tcPr>
          <w:p>
            <w:pPr>
              <w:spacing w:after="0"/>
              <w:rPr>
                <w:sz w:val="5"/>
                <w:szCs w:val="5"/>
                <w:color w:val="auto"/>
              </w:rPr>
            </w:pPr>
          </w:p>
        </w:tc>
        <w:tc>
          <w:tcPr>
            <w:tcW w:w="60" w:type="dxa"/>
            <w:vAlign w:val="bottom"/>
            <w:shd w:val="clear" w:color="auto" w:fill="E9F9D8"/>
          </w:tcPr>
          <w:p>
            <w:pPr>
              <w:spacing w:after="0"/>
              <w:rPr>
                <w:sz w:val="5"/>
                <w:szCs w:val="5"/>
                <w:color w:val="auto"/>
              </w:rPr>
            </w:pPr>
          </w:p>
        </w:tc>
        <w:tc>
          <w:tcPr>
            <w:tcW w:w="20" w:type="dxa"/>
            <w:vAlign w:val="bottom"/>
            <w:shd w:val="clear" w:color="auto" w:fill="E9F9D8"/>
          </w:tcPr>
          <w:p>
            <w:pPr>
              <w:spacing w:after="0"/>
              <w:rPr>
                <w:sz w:val="5"/>
                <w:szCs w:val="5"/>
                <w:color w:val="auto"/>
              </w:rPr>
            </w:pPr>
          </w:p>
        </w:tc>
        <w:tc>
          <w:tcPr>
            <w:tcW w:w="120" w:type="dxa"/>
            <w:vAlign w:val="bottom"/>
            <w:shd w:val="clear" w:color="auto" w:fill="E9F9D8"/>
          </w:tcPr>
          <w:p>
            <w:pPr>
              <w:spacing w:after="0"/>
              <w:rPr>
                <w:sz w:val="5"/>
                <w:szCs w:val="5"/>
                <w:color w:val="auto"/>
              </w:rPr>
            </w:pPr>
          </w:p>
        </w:tc>
        <w:tc>
          <w:tcPr>
            <w:tcW w:w="1740" w:type="dxa"/>
            <w:vAlign w:val="bottom"/>
            <w:shd w:val="clear" w:color="auto" w:fill="E9F9D8"/>
          </w:tcPr>
          <w:p>
            <w:pPr>
              <w:spacing w:after="0"/>
              <w:rPr>
                <w:sz w:val="5"/>
                <w:szCs w:val="5"/>
                <w:color w:val="auto"/>
              </w:rPr>
            </w:pPr>
          </w:p>
        </w:tc>
        <w:tc>
          <w:tcPr>
            <w:tcW w:w="80" w:type="dxa"/>
            <w:vAlign w:val="bottom"/>
            <w:shd w:val="clear" w:color="auto" w:fill="E9F9D8"/>
          </w:tcPr>
          <w:p>
            <w:pPr>
              <w:spacing w:after="0"/>
              <w:rPr>
                <w:sz w:val="5"/>
                <w:szCs w:val="5"/>
                <w:color w:val="auto"/>
              </w:rPr>
            </w:pPr>
          </w:p>
        </w:tc>
        <w:tc>
          <w:tcPr>
            <w:tcW w:w="160" w:type="dxa"/>
            <w:vAlign w:val="bottom"/>
            <w:tcBorders>
              <w:right w:val="single" w:sz="8" w:color="83AD40"/>
            </w:tcBorders>
            <w:shd w:val="clear" w:color="auto" w:fill="E9F9D8"/>
          </w:tcPr>
          <w:p>
            <w:pPr>
              <w:spacing w:after="0"/>
              <w:rPr>
                <w:sz w:val="5"/>
                <w:szCs w:val="5"/>
                <w:color w:val="auto"/>
              </w:rPr>
            </w:pPr>
          </w:p>
        </w:tc>
        <w:tc>
          <w:tcPr>
            <w:tcW w:w="80" w:type="dxa"/>
            <w:vAlign w:val="bottom"/>
            <w:shd w:val="clear" w:color="auto" w:fill="E9F9D8"/>
          </w:tcPr>
          <w:p>
            <w:pPr>
              <w:spacing w:after="0"/>
              <w:rPr>
                <w:sz w:val="5"/>
                <w:szCs w:val="5"/>
                <w:color w:val="auto"/>
              </w:rPr>
            </w:pPr>
          </w:p>
        </w:tc>
        <w:tc>
          <w:tcPr>
            <w:tcW w:w="100" w:type="dxa"/>
            <w:vAlign w:val="bottom"/>
            <w:shd w:val="clear" w:color="auto" w:fill="E9F9D8"/>
          </w:tcPr>
          <w:p>
            <w:pPr>
              <w:spacing w:after="0"/>
              <w:rPr>
                <w:sz w:val="5"/>
                <w:szCs w:val="5"/>
                <w:color w:val="auto"/>
              </w:rPr>
            </w:pPr>
          </w:p>
        </w:tc>
        <w:tc>
          <w:tcPr>
            <w:tcW w:w="2180" w:type="dxa"/>
            <w:vAlign w:val="bottom"/>
            <w:tcBorders>
              <w:right w:val="single" w:sz="8" w:color="83AD40"/>
            </w:tcBorders>
            <w:gridSpan w:val="2"/>
            <w:vMerge w:val="continue"/>
            <w:shd w:val="clear" w:color="auto" w:fill="E9F9D8"/>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83AD40"/>
            </w:tcBorders>
            <w:shd w:val="clear" w:color="auto" w:fill="E9F9D8"/>
          </w:tcPr>
          <w:p>
            <w:pPr>
              <w:spacing w:after="0"/>
              <w:rPr>
                <w:sz w:val="14"/>
                <w:szCs w:val="14"/>
                <w:color w:val="auto"/>
              </w:rPr>
            </w:pPr>
          </w:p>
        </w:tc>
        <w:tc>
          <w:tcPr>
            <w:tcW w:w="100" w:type="dxa"/>
            <w:vAlign w:val="bottom"/>
            <w:vMerge w:val="continue"/>
            <w:shd w:val="clear" w:color="auto" w:fill="E9F9D8"/>
          </w:tcPr>
          <w:p>
            <w:pPr>
              <w:spacing w:after="0"/>
              <w:rPr>
                <w:sz w:val="14"/>
                <w:szCs w:val="14"/>
                <w:color w:val="auto"/>
              </w:rPr>
            </w:pPr>
          </w:p>
        </w:tc>
        <w:tc>
          <w:tcPr>
            <w:tcW w:w="1860" w:type="dxa"/>
            <w:vAlign w:val="bottom"/>
            <w:gridSpan w:val="3"/>
            <w:vMerge w:val="continue"/>
            <w:shd w:val="clear" w:color="auto" w:fill="E9F9D8"/>
          </w:tcPr>
          <w:p>
            <w:pPr>
              <w:spacing w:after="0"/>
              <w:rPr>
                <w:sz w:val="14"/>
                <w:szCs w:val="14"/>
                <w:color w:val="auto"/>
              </w:rPr>
            </w:pPr>
          </w:p>
        </w:tc>
        <w:tc>
          <w:tcPr>
            <w:tcW w:w="120" w:type="dxa"/>
            <w:vAlign w:val="bottom"/>
            <w:tcBorders>
              <w:right w:val="single" w:sz="8" w:color="83AD40"/>
            </w:tcBorders>
            <w:shd w:val="clear" w:color="auto" w:fill="E9F9D8"/>
          </w:tcPr>
          <w:p>
            <w:pPr>
              <w:spacing w:after="0"/>
              <w:rPr>
                <w:sz w:val="14"/>
                <w:szCs w:val="14"/>
                <w:color w:val="auto"/>
              </w:rPr>
            </w:pPr>
          </w:p>
        </w:tc>
        <w:tc>
          <w:tcPr>
            <w:tcW w:w="100" w:type="dxa"/>
            <w:vAlign w:val="bottom"/>
            <w:shd w:val="clear" w:color="auto" w:fill="E9F9D8"/>
          </w:tcPr>
          <w:p>
            <w:pPr>
              <w:spacing w:after="0"/>
              <w:rPr>
                <w:sz w:val="14"/>
                <w:szCs w:val="14"/>
                <w:color w:val="auto"/>
              </w:rPr>
            </w:pPr>
          </w:p>
        </w:tc>
        <w:tc>
          <w:tcPr>
            <w:tcW w:w="100" w:type="dxa"/>
            <w:vAlign w:val="bottom"/>
            <w:vMerge w:val="restart"/>
            <w:shd w:val="clear" w:color="auto" w:fill="E9F9D8"/>
          </w:tcPr>
          <w:p>
            <w:pPr>
              <w:spacing w:after="0"/>
              <w:rPr>
                <w:sz w:val="20"/>
                <w:szCs w:val="20"/>
                <w:color w:val="auto"/>
              </w:rPr>
            </w:pPr>
            <w:r>
              <w:rPr>
                <w:rFonts w:ascii="Arial" w:cs="Arial" w:eastAsia="Arial" w:hAnsi="Arial"/>
                <w:sz w:val="16"/>
                <w:szCs w:val="16"/>
                <w:color w:val="auto"/>
              </w:rPr>
              <w:t>•</w:t>
            </w:r>
          </w:p>
        </w:tc>
        <w:tc>
          <w:tcPr>
            <w:tcW w:w="1980" w:type="dxa"/>
            <w:vAlign w:val="bottom"/>
            <w:tcBorders>
              <w:right w:val="single" w:sz="8" w:color="83AD40"/>
            </w:tcBorders>
            <w:gridSpan w:val="2"/>
            <w:vMerge w:val="restart"/>
            <w:shd w:val="clear" w:color="auto" w:fill="E9F9D8"/>
          </w:tcPr>
          <w:p>
            <w:pPr>
              <w:ind w:left="60"/>
              <w:spacing w:after="0"/>
              <w:rPr>
                <w:sz w:val="20"/>
                <w:szCs w:val="20"/>
                <w:color w:val="auto"/>
              </w:rPr>
            </w:pPr>
            <w:r>
              <w:rPr>
                <w:rFonts w:ascii="Arial" w:cs="Arial" w:eastAsia="Arial" w:hAnsi="Arial"/>
                <w:sz w:val="16"/>
                <w:szCs w:val="16"/>
                <w:color w:val="auto"/>
              </w:rPr>
              <w:t>Significant recurring</w:t>
            </w:r>
          </w:p>
        </w:tc>
        <w:tc>
          <w:tcPr>
            <w:tcW w:w="60" w:type="dxa"/>
            <w:vAlign w:val="bottom"/>
            <w:shd w:val="clear" w:color="auto" w:fill="E9F9D8"/>
          </w:tcPr>
          <w:p>
            <w:pPr>
              <w:spacing w:after="0"/>
              <w:rPr>
                <w:sz w:val="14"/>
                <w:szCs w:val="14"/>
                <w:color w:val="auto"/>
              </w:rPr>
            </w:pPr>
          </w:p>
        </w:tc>
        <w:tc>
          <w:tcPr>
            <w:tcW w:w="140" w:type="dxa"/>
            <w:vAlign w:val="bottom"/>
            <w:gridSpan w:val="2"/>
            <w:shd w:val="clear" w:color="auto" w:fill="E9F9D8"/>
          </w:tcPr>
          <w:p>
            <w:pPr>
              <w:ind w:left="20"/>
              <w:spacing w:after="0" w:line="163" w:lineRule="exact"/>
              <w:rPr>
                <w:sz w:val="20"/>
                <w:szCs w:val="20"/>
                <w:color w:val="auto"/>
              </w:rPr>
            </w:pPr>
            <w:r>
              <w:rPr>
                <w:rFonts w:ascii="Arial" w:cs="Arial" w:eastAsia="Arial" w:hAnsi="Arial"/>
                <w:sz w:val="16"/>
                <w:szCs w:val="16"/>
                <w:color w:val="auto"/>
              </w:rPr>
              <w:t>•</w:t>
            </w:r>
          </w:p>
        </w:tc>
        <w:tc>
          <w:tcPr>
            <w:tcW w:w="1820" w:type="dxa"/>
            <w:vAlign w:val="bottom"/>
            <w:gridSpan w:val="2"/>
            <w:shd w:val="clear" w:color="auto" w:fill="E9F9D8"/>
          </w:tcPr>
          <w:p>
            <w:pPr>
              <w:ind w:left="40"/>
              <w:spacing w:after="0" w:line="163" w:lineRule="exact"/>
              <w:rPr>
                <w:sz w:val="20"/>
                <w:szCs w:val="20"/>
                <w:color w:val="auto"/>
              </w:rPr>
            </w:pPr>
            <w:r>
              <w:rPr>
                <w:rFonts w:ascii="Arial" w:cs="Arial" w:eastAsia="Arial" w:hAnsi="Arial"/>
                <w:sz w:val="16"/>
                <w:szCs w:val="16"/>
                <w:color w:val="auto"/>
              </w:rPr>
              <w:t>Fee-driven business</w:t>
            </w:r>
          </w:p>
        </w:tc>
        <w:tc>
          <w:tcPr>
            <w:tcW w:w="160" w:type="dxa"/>
            <w:vAlign w:val="bottom"/>
            <w:tcBorders>
              <w:right w:val="single" w:sz="8" w:color="83AD40"/>
            </w:tcBorders>
            <w:shd w:val="clear" w:color="auto" w:fill="E9F9D8"/>
          </w:tcPr>
          <w:p>
            <w:pPr>
              <w:spacing w:after="0"/>
              <w:rPr>
                <w:sz w:val="14"/>
                <w:szCs w:val="14"/>
                <w:color w:val="auto"/>
              </w:rPr>
            </w:pPr>
          </w:p>
        </w:tc>
        <w:tc>
          <w:tcPr>
            <w:tcW w:w="80" w:type="dxa"/>
            <w:vAlign w:val="bottom"/>
            <w:shd w:val="clear" w:color="auto" w:fill="E9F9D8"/>
          </w:tcPr>
          <w:p>
            <w:pPr>
              <w:spacing w:after="0"/>
              <w:rPr>
                <w:sz w:val="14"/>
                <w:szCs w:val="14"/>
                <w:color w:val="auto"/>
              </w:rPr>
            </w:pPr>
          </w:p>
        </w:tc>
        <w:tc>
          <w:tcPr>
            <w:tcW w:w="100" w:type="dxa"/>
            <w:vAlign w:val="bottom"/>
            <w:shd w:val="clear" w:color="auto" w:fill="E9F9D8"/>
          </w:tcPr>
          <w:p>
            <w:pPr>
              <w:spacing w:after="0"/>
              <w:rPr>
                <w:sz w:val="14"/>
                <w:szCs w:val="14"/>
                <w:color w:val="auto"/>
              </w:rPr>
            </w:pPr>
          </w:p>
        </w:tc>
        <w:tc>
          <w:tcPr>
            <w:tcW w:w="2180" w:type="dxa"/>
            <w:vAlign w:val="bottom"/>
            <w:tcBorders>
              <w:right w:val="single" w:sz="8" w:color="83AD40"/>
            </w:tcBorders>
            <w:gridSpan w:val="2"/>
            <w:shd w:val="clear" w:color="auto" w:fill="E9F9D8"/>
          </w:tcPr>
          <w:p>
            <w:pPr>
              <w:ind w:left="60"/>
              <w:spacing w:after="0" w:line="163" w:lineRule="exact"/>
              <w:rPr>
                <w:sz w:val="20"/>
                <w:szCs w:val="20"/>
                <w:color w:val="auto"/>
              </w:rPr>
            </w:pPr>
            <w:r>
              <w:rPr>
                <w:rFonts w:ascii="Arial" w:cs="Arial" w:eastAsia="Arial" w:hAnsi="Arial"/>
                <w:sz w:val="16"/>
                <w:szCs w:val="16"/>
                <w:color w:val="auto"/>
              </w:rPr>
              <w:t>entertainment destination</w:t>
            </w:r>
          </w:p>
        </w:tc>
        <w:tc>
          <w:tcPr>
            <w:tcW w:w="0" w:type="dxa"/>
            <w:vAlign w:val="bottom"/>
          </w:tcPr>
          <w:p>
            <w:pPr>
              <w:spacing w:after="0"/>
              <w:rPr>
                <w:sz w:val="1"/>
                <w:szCs w:val="1"/>
                <w:color w:val="auto"/>
              </w:rPr>
            </w:pPr>
          </w:p>
        </w:tc>
      </w:tr>
      <w:tr>
        <w:trPr>
          <w:trHeight w:val="134"/>
        </w:trPr>
        <w:tc>
          <w:tcPr>
            <w:tcW w:w="280" w:type="dxa"/>
            <w:vAlign w:val="bottom"/>
            <w:tcBorders>
              <w:left w:val="single" w:sz="8" w:color="83AD40"/>
            </w:tcBorders>
            <w:shd w:val="clear" w:color="auto" w:fill="E9F9D8"/>
          </w:tcPr>
          <w:p>
            <w:pPr>
              <w:spacing w:after="0"/>
              <w:rPr>
                <w:sz w:val="11"/>
                <w:szCs w:val="11"/>
                <w:color w:val="auto"/>
              </w:rPr>
            </w:pPr>
          </w:p>
        </w:tc>
        <w:tc>
          <w:tcPr>
            <w:tcW w:w="100" w:type="dxa"/>
            <w:vAlign w:val="bottom"/>
            <w:shd w:val="clear" w:color="auto" w:fill="E9F9D8"/>
          </w:tcPr>
          <w:p>
            <w:pPr>
              <w:spacing w:after="0"/>
              <w:rPr>
                <w:sz w:val="11"/>
                <w:szCs w:val="11"/>
                <w:color w:val="auto"/>
              </w:rPr>
            </w:pPr>
          </w:p>
        </w:tc>
        <w:tc>
          <w:tcPr>
            <w:tcW w:w="1860" w:type="dxa"/>
            <w:vAlign w:val="bottom"/>
            <w:gridSpan w:val="3"/>
            <w:vMerge w:val="restart"/>
            <w:shd w:val="clear" w:color="auto" w:fill="E9F9D8"/>
          </w:tcPr>
          <w:p>
            <w:pPr>
              <w:ind w:left="60"/>
              <w:spacing w:after="0"/>
              <w:rPr>
                <w:sz w:val="20"/>
                <w:szCs w:val="20"/>
                <w:color w:val="auto"/>
              </w:rPr>
            </w:pPr>
            <w:r>
              <w:rPr>
                <w:rFonts w:ascii="Arial" w:cs="Arial" w:eastAsia="Arial" w:hAnsi="Arial"/>
                <w:sz w:val="16"/>
                <w:szCs w:val="16"/>
                <w:color w:val="auto"/>
              </w:rPr>
              <w:t>incremental G&amp;A</w:t>
            </w:r>
          </w:p>
        </w:tc>
        <w:tc>
          <w:tcPr>
            <w:tcW w:w="120" w:type="dxa"/>
            <w:vAlign w:val="bottom"/>
            <w:tcBorders>
              <w:right w:val="single" w:sz="8" w:color="83AD40"/>
            </w:tcBorders>
            <w:shd w:val="clear" w:color="auto" w:fill="E9F9D8"/>
          </w:tcPr>
          <w:p>
            <w:pPr>
              <w:spacing w:after="0"/>
              <w:rPr>
                <w:sz w:val="11"/>
                <w:szCs w:val="11"/>
                <w:color w:val="auto"/>
              </w:rPr>
            </w:pPr>
          </w:p>
        </w:tc>
        <w:tc>
          <w:tcPr>
            <w:tcW w:w="100" w:type="dxa"/>
            <w:vAlign w:val="bottom"/>
            <w:shd w:val="clear" w:color="auto" w:fill="E9F9D8"/>
          </w:tcPr>
          <w:p>
            <w:pPr>
              <w:spacing w:after="0"/>
              <w:rPr>
                <w:sz w:val="11"/>
                <w:szCs w:val="11"/>
                <w:color w:val="auto"/>
              </w:rPr>
            </w:pPr>
          </w:p>
        </w:tc>
        <w:tc>
          <w:tcPr>
            <w:tcW w:w="100" w:type="dxa"/>
            <w:vAlign w:val="bottom"/>
            <w:vMerge w:val="continue"/>
            <w:shd w:val="clear" w:color="auto" w:fill="E9F9D8"/>
          </w:tcPr>
          <w:p>
            <w:pPr>
              <w:spacing w:after="0"/>
              <w:rPr>
                <w:sz w:val="11"/>
                <w:szCs w:val="11"/>
                <w:color w:val="auto"/>
              </w:rPr>
            </w:pPr>
          </w:p>
        </w:tc>
        <w:tc>
          <w:tcPr>
            <w:tcW w:w="1980" w:type="dxa"/>
            <w:vAlign w:val="bottom"/>
            <w:tcBorders>
              <w:right w:val="single" w:sz="8" w:color="83AD40"/>
            </w:tcBorders>
            <w:gridSpan w:val="2"/>
            <w:vMerge w:val="continue"/>
            <w:shd w:val="clear" w:color="auto" w:fill="E9F9D8"/>
          </w:tcPr>
          <w:p>
            <w:pPr>
              <w:spacing w:after="0"/>
              <w:rPr>
                <w:sz w:val="11"/>
                <w:szCs w:val="11"/>
                <w:color w:val="auto"/>
              </w:rPr>
            </w:pPr>
          </w:p>
        </w:tc>
        <w:tc>
          <w:tcPr>
            <w:tcW w:w="60" w:type="dxa"/>
            <w:vAlign w:val="bottom"/>
            <w:shd w:val="clear" w:color="auto" w:fill="E9F9D8"/>
          </w:tcPr>
          <w:p>
            <w:pPr>
              <w:spacing w:after="0"/>
              <w:rPr>
                <w:sz w:val="11"/>
                <w:szCs w:val="11"/>
                <w:color w:val="auto"/>
              </w:rPr>
            </w:pPr>
          </w:p>
        </w:tc>
        <w:tc>
          <w:tcPr>
            <w:tcW w:w="20" w:type="dxa"/>
            <w:vAlign w:val="bottom"/>
            <w:shd w:val="clear" w:color="auto" w:fill="E9F9D8"/>
          </w:tcPr>
          <w:p>
            <w:pPr>
              <w:spacing w:after="0"/>
              <w:rPr>
                <w:sz w:val="11"/>
                <w:szCs w:val="11"/>
                <w:color w:val="auto"/>
              </w:rPr>
            </w:pPr>
          </w:p>
        </w:tc>
        <w:tc>
          <w:tcPr>
            <w:tcW w:w="120" w:type="dxa"/>
            <w:vAlign w:val="bottom"/>
            <w:shd w:val="clear" w:color="auto" w:fill="E9F9D8"/>
          </w:tcPr>
          <w:p>
            <w:pPr>
              <w:spacing w:after="0"/>
              <w:rPr>
                <w:sz w:val="11"/>
                <w:szCs w:val="11"/>
                <w:color w:val="auto"/>
              </w:rPr>
            </w:pPr>
          </w:p>
        </w:tc>
        <w:tc>
          <w:tcPr>
            <w:tcW w:w="1820" w:type="dxa"/>
            <w:vAlign w:val="bottom"/>
            <w:gridSpan w:val="2"/>
            <w:vMerge w:val="restart"/>
            <w:shd w:val="clear" w:color="auto" w:fill="E9F9D8"/>
          </w:tcPr>
          <w:p>
            <w:pPr>
              <w:ind w:left="40"/>
              <w:spacing w:after="0"/>
              <w:rPr>
                <w:sz w:val="20"/>
                <w:szCs w:val="20"/>
                <w:color w:val="auto"/>
              </w:rPr>
            </w:pPr>
            <w:r>
              <w:rPr>
                <w:rFonts w:ascii="Arial" w:cs="Arial" w:eastAsia="Arial" w:hAnsi="Arial"/>
                <w:sz w:val="16"/>
                <w:szCs w:val="16"/>
                <w:color w:val="auto"/>
              </w:rPr>
              <w:t>requiring no incremental</w:t>
            </w:r>
          </w:p>
        </w:tc>
        <w:tc>
          <w:tcPr>
            <w:tcW w:w="160" w:type="dxa"/>
            <w:vAlign w:val="bottom"/>
            <w:tcBorders>
              <w:right w:val="single" w:sz="8" w:color="83AD40"/>
            </w:tcBorders>
            <w:shd w:val="clear" w:color="auto" w:fill="E9F9D8"/>
          </w:tcPr>
          <w:p>
            <w:pPr>
              <w:spacing w:after="0"/>
              <w:rPr>
                <w:sz w:val="11"/>
                <w:szCs w:val="11"/>
                <w:color w:val="auto"/>
              </w:rPr>
            </w:pPr>
          </w:p>
        </w:tc>
        <w:tc>
          <w:tcPr>
            <w:tcW w:w="80" w:type="dxa"/>
            <w:vAlign w:val="bottom"/>
            <w:shd w:val="clear" w:color="auto" w:fill="E9F9D8"/>
          </w:tcPr>
          <w:p>
            <w:pPr>
              <w:spacing w:after="0"/>
              <w:rPr>
                <w:sz w:val="11"/>
                <w:szCs w:val="11"/>
                <w:color w:val="auto"/>
              </w:rPr>
            </w:pPr>
          </w:p>
        </w:tc>
        <w:tc>
          <w:tcPr>
            <w:tcW w:w="100" w:type="dxa"/>
            <w:vAlign w:val="bottom"/>
            <w:shd w:val="clear" w:color="auto" w:fill="E9F9D8"/>
          </w:tcPr>
          <w:p>
            <w:pPr>
              <w:spacing w:after="0"/>
              <w:rPr>
                <w:sz w:val="11"/>
                <w:szCs w:val="11"/>
                <w:color w:val="auto"/>
              </w:rPr>
            </w:pPr>
          </w:p>
        </w:tc>
        <w:tc>
          <w:tcPr>
            <w:tcW w:w="1420" w:type="dxa"/>
            <w:vAlign w:val="bottom"/>
            <w:shd w:val="clear" w:color="auto" w:fill="E9F9D8"/>
          </w:tcPr>
          <w:p>
            <w:pPr>
              <w:spacing w:after="0"/>
              <w:rPr>
                <w:sz w:val="11"/>
                <w:szCs w:val="11"/>
                <w:color w:val="auto"/>
              </w:rPr>
            </w:pPr>
          </w:p>
        </w:tc>
        <w:tc>
          <w:tcPr>
            <w:tcW w:w="760" w:type="dxa"/>
            <w:vAlign w:val="bottom"/>
            <w:tcBorders>
              <w:right w:val="single" w:sz="8" w:color="83AD40"/>
            </w:tcBorders>
            <w:shd w:val="clear" w:color="auto" w:fill="E9F9D8"/>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83AD40"/>
            </w:tcBorders>
            <w:shd w:val="clear" w:color="auto" w:fill="E9F9D8"/>
          </w:tcPr>
          <w:p>
            <w:pPr>
              <w:spacing w:after="0"/>
              <w:rPr>
                <w:sz w:val="5"/>
                <w:szCs w:val="5"/>
                <w:color w:val="auto"/>
              </w:rPr>
            </w:pPr>
          </w:p>
        </w:tc>
        <w:tc>
          <w:tcPr>
            <w:tcW w:w="100" w:type="dxa"/>
            <w:vAlign w:val="bottom"/>
            <w:shd w:val="clear" w:color="auto" w:fill="E9F9D8"/>
          </w:tcPr>
          <w:p>
            <w:pPr>
              <w:spacing w:after="0"/>
              <w:rPr>
                <w:sz w:val="5"/>
                <w:szCs w:val="5"/>
                <w:color w:val="auto"/>
              </w:rPr>
            </w:pPr>
          </w:p>
        </w:tc>
        <w:tc>
          <w:tcPr>
            <w:tcW w:w="1860" w:type="dxa"/>
            <w:vAlign w:val="bottom"/>
            <w:gridSpan w:val="3"/>
            <w:vMerge w:val="continue"/>
            <w:shd w:val="clear" w:color="auto" w:fill="E9F9D8"/>
          </w:tcPr>
          <w:p>
            <w:pPr>
              <w:spacing w:after="0"/>
              <w:rPr>
                <w:sz w:val="5"/>
                <w:szCs w:val="5"/>
                <w:color w:val="auto"/>
              </w:rPr>
            </w:pPr>
          </w:p>
        </w:tc>
        <w:tc>
          <w:tcPr>
            <w:tcW w:w="120" w:type="dxa"/>
            <w:vAlign w:val="bottom"/>
            <w:tcBorders>
              <w:right w:val="single" w:sz="8" w:color="83AD40"/>
            </w:tcBorders>
            <w:shd w:val="clear" w:color="auto" w:fill="E9F9D8"/>
          </w:tcPr>
          <w:p>
            <w:pPr>
              <w:spacing w:after="0"/>
              <w:rPr>
                <w:sz w:val="5"/>
                <w:szCs w:val="5"/>
                <w:color w:val="auto"/>
              </w:rPr>
            </w:pPr>
          </w:p>
        </w:tc>
        <w:tc>
          <w:tcPr>
            <w:tcW w:w="100" w:type="dxa"/>
            <w:vAlign w:val="bottom"/>
            <w:shd w:val="clear" w:color="auto" w:fill="E9F9D8"/>
          </w:tcPr>
          <w:p>
            <w:pPr>
              <w:spacing w:after="0"/>
              <w:rPr>
                <w:sz w:val="5"/>
                <w:szCs w:val="5"/>
                <w:color w:val="auto"/>
              </w:rPr>
            </w:pPr>
          </w:p>
        </w:tc>
        <w:tc>
          <w:tcPr>
            <w:tcW w:w="100" w:type="dxa"/>
            <w:vAlign w:val="bottom"/>
            <w:shd w:val="clear" w:color="auto" w:fill="E9F9D8"/>
          </w:tcPr>
          <w:p>
            <w:pPr>
              <w:spacing w:after="0"/>
              <w:rPr>
                <w:sz w:val="5"/>
                <w:szCs w:val="5"/>
                <w:color w:val="auto"/>
              </w:rPr>
            </w:pPr>
          </w:p>
        </w:tc>
        <w:tc>
          <w:tcPr>
            <w:tcW w:w="1980" w:type="dxa"/>
            <w:vAlign w:val="bottom"/>
            <w:tcBorders>
              <w:right w:val="single" w:sz="8" w:color="83AD40"/>
            </w:tcBorders>
            <w:gridSpan w:val="2"/>
            <w:vMerge w:val="restart"/>
            <w:shd w:val="clear" w:color="auto" w:fill="E9F9D8"/>
          </w:tcPr>
          <w:p>
            <w:pPr>
              <w:ind w:left="60"/>
              <w:spacing w:after="0"/>
              <w:rPr>
                <w:sz w:val="20"/>
                <w:szCs w:val="20"/>
                <w:color w:val="auto"/>
              </w:rPr>
            </w:pPr>
            <w:r>
              <w:rPr>
                <w:rFonts w:ascii="Arial" w:cs="Arial" w:eastAsia="Arial" w:hAnsi="Arial"/>
                <w:sz w:val="16"/>
                <w:szCs w:val="16"/>
                <w:color w:val="auto"/>
              </w:rPr>
              <w:t>revenue stream not tied</w:t>
            </w:r>
          </w:p>
        </w:tc>
        <w:tc>
          <w:tcPr>
            <w:tcW w:w="60" w:type="dxa"/>
            <w:vAlign w:val="bottom"/>
            <w:shd w:val="clear" w:color="auto" w:fill="E9F9D8"/>
          </w:tcPr>
          <w:p>
            <w:pPr>
              <w:spacing w:after="0"/>
              <w:rPr>
                <w:sz w:val="5"/>
                <w:szCs w:val="5"/>
                <w:color w:val="auto"/>
              </w:rPr>
            </w:pPr>
          </w:p>
        </w:tc>
        <w:tc>
          <w:tcPr>
            <w:tcW w:w="20" w:type="dxa"/>
            <w:vAlign w:val="bottom"/>
            <w:shd w:val="clear" w:color="auto" w:fill="E9F9D8"/>
          </w:tcPr>
          <w:p>
            <w:pPr>
              <w:spacing w:after="0"/>
              <w:rPr>
                <w:sz w:val="5"/>
                <w:szCs w:val="5"/>
                <w:color w:val="auto"/>
              </w:rPr>
            </w:pPr>
          </w:p>
        </w:tc>
        <w:tc>
          <w:tcPr>
            <w:tcW w:w="120" w:type="dxa"/>
            <w:vAlign w:val="bottom"/>
            <w:shd w:val="clear" w:color="auto" w:fill="E9F9D8"/>
          </w:tcPr>
          <w:p>
            <w:pPr>
              <w:spacing w:after="0"/>
              <w:rPr>
                <w:sz w:val="5"/>
                <w:szCs w:val="5"/>
                <w:color w:val="auto"/>
              </w:rPr>
            </w:pPr>
          </w:p>
        </w:tc>
        <w:tc>
          <w:tcPr>
            <w:tcW w:w="1820" w:type="dxa"/>
            <w:vAlign w:val="bottom"/>
            <w:gridSpan w:val="2"/>
            <w:vMerge w:val="continue"/>
            <w:shd w:val="clear" w:color="auto" w:fill="E9F9D8"/>
          </w:tcPr>
          <w:p>
            <w:pPr>
              <w:spacing w:after="0"/>
              <w:rPr>
                <w:sz w:val="5"/>
                <w:szCs w:val="5"/>
                <w:color w:val="auto"/>
              </w:rPr>
            </w:pPr>
          </w:p>
        </w:tc>
        <w:tc>
          <w:tcPr>
            <w:tcW w:w="160" w:type="dxa"/>
            <w:vAlign w:val="bottom"/>
            <w:tcBorders>
              <w:right w:val="single" w:sz="8" w:color="83AD40"/>
            </w:tcBorders>
            <w:shd w:val="clear" w:color="auto" w:fill="E9F9D8"/>
          </w:tcPr>
          <w:p>
            <w:pPr>
              <w:spacing w:after="0"/>
              <w:rPr>
                <w:sz w:val="5"/>
                <w:szCs w:val="5"/>
                <w:color w:val="auto"/>
              </w:rPr>
            </w:pPr>
          </w:p>
        </w:tc>
        <w:tc>
          <w:tcPr>
            <w:tcW w:w="80" w:type="dxa"/>
            <w:vAlign w:val="bottom"/>
            <w:shd w:val="clear" w:color="auto" w:fill="E9F9D8"/>
          </w:tcPr>
          <w:p>
            <w:pPr>
              <w:spacing w:after="0"/>
              <w:rPr>
                <w:sz w:val="5"/>
                <w:szCs w:val="5"/>
                <w:color w:val="auto"/>
              </w:rPr>
            </w:pPr>
          </w:p>
        </w:tc>
        <w:tc>
          <w:tcPr>
            <w:tcW w:w="100" w:type="dxa"/>
            <w:vAlign w:val="bottom"/>
            <w:shd w:val="clear" w:color="auto" w:fill="E9F9D8"/>
          </w:tcPr>
          <w:p>
            <w:pPr>
              <w:spacing w:after="0"/>
              <w:rPr>
                <w:sz w:val="5"/>
                <w:szCs w:val="5"/>
                <w:color w:val="auto"/>
              </w:rPr>
            </w:pPr>
          </w:p>
        </w:tc>
        <w:tc>
          <w:tcPr>
            <w:tcW w:w="1420" w:type="dxa"/>
            <w:vAlign w:val="bottom"/>
            <w:shd w:val="clear" w:color="auto" w:fill="E9F9D8"/>
          </w:tcPr>
          <w:p>
            <w:pPr>
              <w:spacing w:after="0"/>
              <w:rPr>
                <w:sz w:val="5"/>
                <w:szCs w:val="5"/>
                <w:color w:val="auto"/>
              </w:rPr>
            </w:pPr>
          </w:p>
        </w:tc>
        <w:tc>
          <w:tcPr>
            <w:tcW w:w="760" w:type="dxa"/>
            <w:vAlign w:val="bottom"/>
            <w:tcBorders>
              <w:right w:val="single" w:sz="8" w:color="83AD40"/>
            </w:tcBorders>
            <w:shd w:val="clear" w:color="auto" w:fill="E9F9D8"/>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80" w:type="dxa"/>
            <w:vAlign w:val="bottom"/>
            <w:tcBorders>
              <w:left w:val="single" w:sz="8" w:color="83AD40"/>
            </w:tcBorders>
            <w:shd w:val="clear" w:color="auto" w:fill="E9F9D8"/>
          </w:tcPr>
          <w:p>
            <w:pPr>
              <w:spacing w:after="0"/>
              <w:rPr>
                <w:sz w:val="10"/>
                <w:szCs w:val="10"/>
                <w:color w:val="auto"/>
              </w:rPr>
            </w:pPr>
          </w:p>
        </w:tc>
        <w:tc>
          <w:tcPr>
            <w:tcW w:w="100" w:type="dxa"/>
            <w:vAlign w:val="bottom"/>
            <w:shd w:val="clear" w:color="auto" w:fill="E9F9D8"/>
          </w:tcPr>
          <w:p>
            <w:pPr>
              <w:spacing w:after="0"/>
              <w:rPr>
                <w:sz w:val="10"/>
                <w:szCs w:val="10"/>
                <w:color w:val="auto"/>
              </w:rPr>
            </w:pPr>
          </w:p>
        </w:tc>
        <w:tc>
          <w:tcPr>
            <w:tcW w:w="1860" w:type="dxa"/>
            <w:vAlign w:val="bottom"/>
            <w:gridSpan w:val="3"/>
            <w:vMerge w:val="restart"/>
            <w:shd w:val="clear" w:color="auto" w:fill="E9F9D8"/>
          </w:tcPr>
          <w:p>
            <w:pPr>
              <w:ind w:left="60"/>
              <w:spacing w:after="0"/>
              <w:rPr>
                <w:sz w:val="20"/>
                <w:szCs w:val="20"/>
                <w:color w:val="auto"/>
              </w:rPr>
            </w:pPr>
            <w:r>
              <w:rPr>
                <w:rFonts w:ascii="Arial" w:cs="Arial" w:eastAsia="Arial" w:hAnsi="Arial"/>
                <w:sz w:val="16"/>
                <w:szCs w:val="16"/>
                <w:color w:val="auto"/>
              </w:rPr>
              <w:t>expense</w:t>
            </w:r>
          </w:p>
        </w:tc>
        <w:tc>
          <w:tcPr>
            <w:tcW w:w="120" w:type="dxa"/>
            <w:vAlign w:val="bottom"/>
            <w:tcBorders>
              <w:right w:val="single" w:sz="8" w:color="83AD40"/>
            </w:tcBorders>
            <w:shd w:val="clear" w:color="auto" w:fill="E9F9D8"/>
          </w:tcPr>
          <w:p>
            <w:pPr>
              <w:spacing w:after="0"/>
              <w:rPr>
                <w:sz w:val="10"/>
                <w:szCs w:val="10"/>
                <w:color w:val="auto"/>
              </w:rPr>
            </w:pPr>
          </w:p>
        </w:tc>
        <w:tc>
          <w:tcPr>
            <w:tcW w:w="100" w:type="dxa"/>
            <w:vAlign w:val="bottom"/>
            <w:shd w:val="clear" w:color="auto" w:fill="E9F9D8"/>
          </w:tcPr>
          <w:p>
            <w:pPr>
              <w:spacing w:after="0"/>
              <w:rPr>
                <w:sz w:val="10"/>
                <w:szCs w:val="10"/>
                <w:color w:val="auto"/>
              </w:rPr>
            </w:pPr>
          </w:p>
        </w:tc>
        <w:tc>
          <w:tcPr>
            <w:tcW w:w="100" w:type="dxa"/>
            <w:vAlign w:val="bottom"/>
            <w:shd w:val="clear" w:color="auto" w:fill="E9F9D8"/>
          </w:tcPr>
          <w:p>
            <w:pPr>
              <w:spacing w:after="0"/>
              <w:rPr>
                <w:sz w:val="10"/>
                <w:szCs w:val="10"/>
                <w:color w:val="auto"/>
              </w:rPr>
            </w:pPr>
          </w:p>
        </w:tc>
        <w:tc>
          <w:tcPr>
            <w:tcW w:w="1980" w:type="dxa"/>
            <w:vAlign w:val="bottom"/>
            <w:tcBorders>
              <w:right w:val="single" w:sz="8" w:color="83AD40"/>
            </w:tcBorders>
            <w:gridSpan w:val="2"/>
            <w:vMerge w:val="continue"/>
            <w:shd w:val="clear" w:color="auto" w:fill="E9F9D8"/>
          </w:tcPr>
          <w:p>
            <w:pPr>
              <w:spacing w:after="0"/>
              <w:rPr>
                <w:sz w:val="10"/>
                <w:szCs w:val="10"/>
                <w:color w:val="auto"/>
              </w:rPr>
            </w:pPr>
          </w:p>
        </w:tc>
        <w:tc>
          <w:tcPr>
            <w:tcW w:w="60" w:type="dxa"/>
            <w:vAlign w:val="bottom"/>
            <w:shd w:val="clear" w:color="auto" w:fill="E9F9D8"/>
          </w:tcPr>
          <w:p>
            <w:pPr>
              <w:spacing w:after="0"/>
              <w:rPr>
                <w:sz w:val="10"/>
                <w:szCs w:val="10"/>
                <w:color w:val="auto"/>
              </w:rPr>
            </w:pPr>
          </w:p>
        </w:tc>
        <w:tc>
          <w:tcPr>
            <w:tcW w:w="20" w:type="dxa"/>
            <w:vAlign w:val="bottom"/>
            <w:shd w:val="clear" w:color="auto" w:fill="E9F9D8"/>
          </w:tcPr>
          <w:p>
            <w:pPr>
              <w:spacing w:after="0"/>
              <w:rPr>
                <w:sz w:val="10"/>
                <w:szCs w:val="10"/>
                <w:color w:val="auto"/>
              </w:rPr>
            </w:pPr>
          </w:p>
        </w:tc>
        <w:tc>
          <w:tcPr>
            <w:tcW w:w="120" w:type="dxa"/>
            <w:vAlign w:val="bottom"/>
            <w:shd w:val="clear" w:color="auto" w:fill="E9F9D8"/>
          </w:tcPr>
          <w:p>
            <w:pPr>
              <w:spacing w:after="0"/>
              <w:rPr>
                <w:sz w:val="10"/>
                <w:szCs w:val="10"/>
                <w:color w:val="auto"/>
              </w:rPr>
            </w:pPr>
          </w:p>
        </w:tc>
        <w:tc>
          <w:tcPr>
            <w:tcW w:w="1820" w:type="dxa"/>
            <w:vAlign w:val="bottom"/>
            <w:gridSpan w:val="2"/>
            <w:vMerge w:val="restart"/>
            <w:shd w:val="clear" w:color="auto" w:fill="E9F9D8"/>
          </w:tcPr>
          <w:p>
            <w:pPr>
              <w:ind w:left="40"/>
              <w:spacing w:after="0"/>
              <w:rPr>
                <w:sz w:val="20"/>
                <w:szCs w:val="20"/>
                <w:color w:val="auto"/>
              </w:rPr>
            </w:pPr>
            <w:r>
              <w:rPr>
                <w:rFonts w:ascii="Arial" w:cs="Arial" w:eastAsia="Arial" w:hAnsi="Arial"/>
                <w:sz w:val="16"/>
                <w:szCs w:val="16"/>
                <w:color w:val="auto"/>
              </w:rPr>
              <w:t>G&amp;A expense</w:t>
            </w:r>
          </w:p>
        </w:tc>
        <w:tc>
          <w:tcPr>
            <w:tcW w:w="160" w:type="dxa"/>
            <w:vAlign w:val="bottom"/>
            <w:tcBorders>
              <w:right w:val="single" w:sz="8" w:color="83AD40"/>
            </w:tcBorders>
            <w:shd w:val="clear" w:color="auto" w:fill="E9F9D8"/>
          </w:tcPr>
          <w:p>
            <w:pPr>
              <w:spacing w:after="0"/>
              <w:rPr>
                <w:sz w:val="10"/>
                <w:szCs w:val="10"/>
                <w:color w:val="auto"/>
              </w:rPr>
            </w:pPr>
          </w:p>
        </w:tc>
        <w:tc>
          <w:tcPr>
            <w:tcW w:w="80" w:type="dxa"/>
            <w:vAlign w:val="bottom"/>
            <w:shd w:val="clear" w:color="auto" w:fill="E9F9D8"/>
          </w:tcPr>
          <w:p>
            <w:pPr>
              <w:spacing w:after="0"/>
              <w:rPr>
                <w:sz w:val="10"/>
                <w:szCs w:val="10"/>
                <w:color w:val="auto"/>
              </w:rPr>
            </w:pPr>
          </w:p>
        </w:tc>
        <w:tc>
          <w:tcPr>
            <w:tcW w:w="100" w:type="dxa"/>
            <w:vAlign w:val="bottom"/>
            <w:shd w:val="clear" w:color="auto" w:fill="E9F9D8"/>
          </w:tcPr>
          <w:p>
            <w:pPr>
              <w:spacing w:after="0"/>
              <w:rPr>
                <w:sz w:val="10"/>
                <w:szCs w:val="10"/>
                <w:color w:val="auto"/>
              </w:rPr>
            </w:pPr>
          </w:p>
        </w:tc>
        <w:tc>
          <w:tcPr>
            <w:tcW w:w="1420" w:type="dxa"/>
            <w:vAlign w:val="bottom"/>
            <w:shd w:val="clear" w:color="auto" w:fill="E9F9D8"/>
          </w:tcPr>
          <w:p>
            <w:pPr>
              <w:spacing w:after="0"/>
              <w:rPr>
                <w:sz w:val="10"/>
                <w:szCs w:val="10"/>
                <w:color w:val="auto"/>
              </w:rPr>
            </w:pPr>
          </w:p>
        </w:tc>
        <w:tc>
          <w:tcPr>
            <w:tcW w:w="760" w:type="dxa"/>
            <w:vAlign w:val="bottom"/>
            <w:tcBorders>
              <w:right w:val="single" w:sz="8" w:color="83AD40"/>
            </w:tcBorders>
            <w:shd w:val="clear" w:color="auto" w:fill="E9F9D8"/>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80" w:type="dxa"/>
            <w:vAlign w:val="bottom"/>
            <w:tcBorders>
              <w:left w:val="single" w:sz="8" w:color="83AD40"/>
            </w:tcBorders>
            <w:shd w:val="clear" w:color="auto" w:fill="E9F9D8"/>
          </w:tcPr>
          <w:p>
            <w:pPr>
              <w:spacing w:after="0"/>
              <w:rPr>
                <w:sz w:val="11"/>
                <w:szCs w:val="11"/>
                <w:color w:val="auto"/>
              </w:rPr>
            </w:pPr>
          </w:p>
        </w:tc>
        <w:tc>
          <w:tcPr>
            <w:tcW w:w="100" w:type="dxa"/>
            <w:vAlign w:val="bottom"/>
            <w:shd w:val="clear" w:color="auto" w:fill="E9F9D8"/>
          </w:tcPr>
          <w:p>
            <w:pPr>
              <w:spacing w:after="0"/>
              <w:rPr>
                <w:sz w:val="11"/>
                <w:szCs w:val="11"/>
                <w:color w:val="auto"/>
              </w:rPr>
            </w:pPr>
          </w:p>
        </w:tc>
        <w:tc>
          <w:tcPr>
            <w:tcW w:w="1860" w:type="dxa"/>
            <w:vAlign w:val="bottom"/>
            <w:gridSpan w:val="3"/>
            <w:vMerge w:val="continue"/>
            <w:shd w:val="clear" w:color="auto" w:fill="E9F9D8"/>
          </w:tcPr>
          <w:p>
            <w:pPr>
              <w:spacing w:after="0"/>
              <w:rPr>
                <w:sz w:val="11"/>
                <w:szCs w:val="11"/>
                <w:color w:val="auto"/>
              </w:rPr>
            </w:pPr>
          </w:p>
        </w:tc>
        <w:tc>
          <w:tcPr>
            <w:tcW w:w="120" w:type="dxa"/>
            <w:vAlign w:val="bottom"/>
            <w:tcBorders>
              <w:right w:val="single" w:sz="8" w:color="83AD40"/>
            </w:tcBorders>
            <w:shd w:val="clear" w:color="auto" w:fill="E9F9D8"/>
          </w:tcPr>
          <w:p>
            <w:pPr>
              <w:spacing w:after="0"/>
              <w:rPr>
                <w:sz w:val="11"/>
                <w:szCs w:val="11"/>
                <w:color w:val="auto"/>
              </w:rPr>
            </w:pPr>
          </w:p>
        </w:tc>
        <w:tc>
          <w:tcPr>
            <w:tcW w:w="100" w:type="dxa"/>
            <w:vAlign w:val="bottom"/>
            <w:shd w:val="clear" w:color="auto" w:fill="E9F9D8"/>
          </w:tcPr>
          <w:p>
            <w:pPr>
              <w:spacing w:after="0"/>
              <w:rPr>
                <w:sz w:val="11"/>
                <w:szCs w:val="11"/>
                <w:color w:val="auto"/>
              </w:rPr>
            </w:pPr>
          </w:p>
        </w:tc>
        <w:tc>
          <w:tcPr>
            <w:tcW w:w="100" w:type="dxa"/>
            <w:vAlign w:val="bottom"/>
            <w:shd w:val="clear" w:color="auto" w:fill="E9F9D8"/>
          </w:tcPr>
          <w:p>
            <w:pPr>
              <w:spacing w:after="0"/>
              <w:rPr>
                <w:sz w:val="11"/>
                <w:szCs w:val="11"/>
                <w:color w:val="auto"/>
              </w:rPr>
            </w:pPr>
          </w:p>
        </w:tc>
        <w:tc>
          <w:tcPr>
            <w:tcW w:w="1980" w:type="dxa"/>
            <w:vAlign w:val="bottom"/>
            <w:tcBorders>
              <w:right w:val="single" w:sz="8" w:color="83AD40"/>
            </w:tcBorders>
            <w:gridSpan w:val="2"/>
            <w:vMerge w:val="restart"/>
            <w:shd w:val="clear" w:color="auto" w:fill="E9F9D8"/>
          </w:tcPr>
          <w:p>
            <w:pPr>
              <w:ind w:left="60"/>
              <w:spacing w:after="0"/>
              <w:rPr>
                <w:sz w:val="20"/>
                <w:szCs w:val="20"/>
                <w:color w:val="auto"/>
              </w:rPr>
            </w:pPr>
            <w:r>
              <w:rPr>
                <w:rFonts w:ascii="Arial" w:cs="Arial" w:eastAsia="Arial" w:hAnsi="Arial"/>
                <w:sz w:val="16"/>
                <w:szCs w:val="16"/>
                <w:color w:val="auto"/>
              </w:rPr>
              <w:t>to REIT business cycles</w:t>
            </w:r>
          </w:p>
        </w:tc>
        <w:tc>
          <w:tcPr>
            <w:tcW w:w="60" w:type="dxa"/>
            <w:vAlign w:val="bottom"/>
            <w:shd w:val="clear" w:color="auto" w:fill="E9F9D8"/>
          </w:tcPr>
          <w:p>
            <w:pPr>
              <w:spacing w:after="0"/>
              <w:rPr>
                <w:sz w:val="11"/>
                <w:szCs w:val="11"/>
                <w:color w:val="auto"/>
              </w:rPr>
            </w:pPr>
          </w:p>
        </w:tc>
        <w:tc>
          <w:tcPr>
            <w:tcW w:w="20" w:type="dxa"/>
            <w:vAlign w:val="bottom"/>
            <w:shd w:val="clear" w:color="auto" w:fill="E9F9D8"/>
          </w:tcPr>
          <w:p>
            <w:pPr>
              <w:spacing w:after="0"/>
              <w:rPr>
                <w:sz w:val="11"/>
                <w:szCs w:val="11"/>
                <w:color w:val="auto"/>
              </w:rPr>
            </w:pPr>
          </w:p>
        </w:tc>
        <w:tc>
          <w:tcPr>
            <w:tcW w:w="120" w:type="dxa"/>
            <w:vAlign w:val="bottom"/>
            <w:shd w:val="clear" w:color="auto" w:fill="E9F9D8"/>
          </w:tcPr>
          <w:p>
            <w:pPr>
              <w:spacing w:after="0"/>
              <w:rPr>
                <w:sz w:val="11"/>
                <w:szCs w:val="11"/>
                <w:color w:val="auto"/>
              </w:rPr>
            </w:pPr>
          </w:p>
        </w:tc>
        <w:tc>
          <w:tcPr>
            <w:tcW w:w="1820" w:type="dxa"/>
            <w:vAlign w:val="bottom"/>
            <w:gridSpan w:val="2"/>
            <w:vMerge w:val="continue"/>
            <w:shd w:val="clear" w:color="auto" w:fill="E9F9D8"/>
          </w:tcPr>
          <w:p>
            <w:pPr>
              <w:spacing w:after="0"/>
              <w:rPr>
                <w:sz w:val="11"/>
                <w:szCs w:val="11"/>
                <w:color w:val="auto"/>
              </w:rPr>
            </w:pPr>
          </w:p>
        </w:tc>
        <w:tc>
          <w:tcPr>
            <w:tcW w:w="160" w:type="dxa"/>
            <w:vAlign w:val="bottom"/>
            <w:tcBorders>
              <w:right w:val="single" w:sz="8" w:color="83AD40"/>
            </w:tcBorders>
            <w:shd w:val="clear" w:color="auto" w:fill="E9F9D8"/>
          </w:tcPr>
          <w:p>
            <w:pPr>
              <w:spacing w:after="0"/>
              <w:rPr>
                <w:sz w:val="11"/>
                <w:szCs w:val="11"/>
                <w:color w:val="auto"/>
              </w:rPr>
            </w:pPr>
          </w:p>
        </w:tc>
        <w:tc>
          <w:tcPr>
            <w:tcW w:w="80" w:type="dxa"/>
            <w:vAlign w:val="bottom"/>
            <w:shd w:val="clear" w:color="auto" w:fill="E9F9D8"/>
          </w:tcPr>
          <w:p>
            <w:pPr>
              <w:spacing w:after="0"/>
              <w:rPr>
                <w:sz w:val="11"/>
                <w:szCs w:val="11"/>
                <w:color w:val="auto"/>
              </w:rPr>
            </w:pPr>
          </w:p>
        </w:tc>
        <w:tc>
          <w:tcPr>
            <w:tcW w:w="100" w:type="dxa"/>
            <w:vAlign w:val="bottom"/>
            <w:shd w:val="clear" w:color="auto" w:fill="E9F9D8"/>
          </w:tcPr>
          <w:p>
            <w:pPr>
              <w:spacing w:after="0"/>
              <w:rPr>
                <w:sz w:val="11"/>
                <w:szCs w:val="11"/>
                <w:color w:val="auto"/>
              </w:rPr>
            </w:pPr>
          </w:p>
        </w:tc>
        <w:tc>
          <w:tcPr>
            <w:tcW w:w="1420" w:type="dxa"/>
            <w:vAlign w:val="bottom"/>
            <w:shd w:val="clear" w:color="auto" w:fill="E9F9D8"/>
          </w:tcPr>
          <w:p>
            <w:pPr>
              <w:spacing w:after="0"/>
              <w:rPr>
                <w:sz w:val="11"/>
                <w:szCs w:val="11"/>
                <w:color w:val="auto"/>
              </w:rPr>
            </w:pPr>
          </w:p>
        </w:tc>
        <w:tc>
          <w:tcPr>
            <w:tcW w:w="760" w:type="dxa"/>
            <w:vAlign w:val="bottom"/>
            <w:tcBorders>
              <w:right w:val="single" w:sz="8" w:color="83AD40"/>
            </w:tcBorders>
            <w:shd w:val="clear" w:color="auto" w:fill="E9F9D8"/>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80" w:type="dxa"/>
            <w:vAlign w:val="bottom"/>
            <w:tcBorders>
              <w:left w:val="single" w:sz="8" w:color="83AD40"/>
            </w:tcBorders>
            <w:shd w:val="clear" w:color="auto" w:fill="E9F9D8"/>
          </w:tcPr>
          <w:p>
            <w:pPr>
              <w:spacing w:after="0"/>
              <w:rPr>
                <w:sz w:val="7"/>
                <w:szCs w:val="7"/>
                <w:color w:val="auto"/>
              </w:rPr>
            </w:pPr>
          </w:p>
        </w:tc>
        <w:tc>
          <w:tcPr>
            <w:tcW w:w="100" w:type="dxa"/>
            <w:vAlign w:val="bottom"/>
            <w:shd w:val="clear" w:color="auto" w:fill="E9F9D8"/>
          </w:tcPr>
          <w:p>
            <w:pPr>
              <w:spacing w:after="0"/>
              <w:rPr>
                <w:sz w:val="7"/>
                <w:szCs w:val="7"/>
                <w:color w:val="auto"/>
              </w:rPr>
            </w:pPr>
          </w:p>
        </w:tc>
        <w:tc>
          <w:tcPr>
            <w:tcW w:w="260" w:type="dxa"/>
            <w:vAlign w:val="bottom"/>
            <w:shd w:val="clear" w:color="auto" w:fill="E9F9D8"/>
          </w:tcPr>
          <w:p>
            <w:pPr>
              <w:spacing w:after="0"/>
              <w:rPr>
                <w:sz w:val="7"/>
                <w:szCs w:val="7"/>
                <w:color w:val="auto"/>
              </w:rPr>
            </w:pPr>
          </w:p>
        </w:tc>
        <w:tc>
          <w:tcPr>
            <w:tcW w:w="1320" w:type="dxa"/>
            <w:vAlign w:val="bottom"/>
            <w:shd w:val="clear" w:color="auto" w:fill="E9F9D8"/>
          </w:tcPr>
          <w:p>
            <w:pPr>
              <w:spacing w:after="0"/>
              <w:rPr>
                <w:sz w:val="7"/>
                <w:szCs w:val="7"/>
                <w:color w:val="auto"/>
              </w:rPr>
            </w:pPr>
          </w:p>
        </w:tc>
        <w:tc>
          <w:tcPr>
            <w:tcW w:w="280" w:type="dxa"/>
            <w:vAlign w:val="bottom"/>
            <w:shd w:val="clear" w:color="auto" w:fill="E9F9D8"/>
          </w:tcPr>
          <w:p>
            <w:pPr>
              <w:spacing w:after="0"/>
              <w:rPr>
                <w:sz w:val="7"/>
                <w:szCs w:val="7"/>
                <w:color w:val="auto"/>
              </w:rPr>
            </w:pPr>
          </w:p>
        </w:tc>
        <w:tc>
          <w:tcPr>
            <w:tcW w:w="120" w:type="dxa"/>
            <w:vAlign w:val="bottom"/>
            <w:tcBorders>
              <w:right w:val="single" w:sz="8" w:color="83AD40"/>
            </w:tcBorders>
            <w:shd w:val="clear" w:color="auto" w:fill="E9F9D8"/>
          </w:tcPr>
          <w:p>
            <w:pPr>
              <w:spacing w:after="0"/>
              <w:rPr>
                <w:sz w:val="7"/>
                <w:szCs w:val="7"/>
                <w:color w:val="auto"/>
              </w:rPr>
            </w:pPr>
          </w:p>
        </w:tc>
        <w:tc>
          <w:tcPr>
            <w:tcW w:w="100" w:type="dxa"/>
            <w:vAlign w:val="bottom"/>
            <w:shd w:val="clear" w:color="auto" w:fill="E9F9D8"/>
          </w:tcPr>
          <w:p>
            <w:pPr>
              <w:spacing w:after="0"/>
              <w:rPr>
                <w:sz w:val="7"/>
                <w:szCs w:val="7"/>
                <w:color w:val="auto"/>
              </w:rPr>
            </w:pPr>
          </w:p>
        </w:tc>
        <w:tc>
          <w:tcPr>
            <w:tcW w:w="100" w:type="dxa"/>
            <w:vAlign w:val="bottom"/>
            <w:shd w:val="clear" w:color="auto" w:fill="E9F9D8"/>
          </w:tcPr>
          <w:p>
            <w:pPr>
              <w:spacing w:after="0"/>
              <w:rPr>
                <w:sz w:val="7"/>
                <w:szCs w:val="7"/>
                <w:color w:val="auto"/>
              </w:rPr>
            </w:pPr>
          </w:p>
        </w:tc>
        <w:tc>
          <w:tcPr>
            <w:tcW w:w="1980" w:type="dxa"/>
            <w:vAlign w:val="bottom"/>
            <w:tcBorders>
              <w:right w:val="single" w:sz="8" w:color="83AD40"/>
            </w:tcBorders>
            <w:gridSpan w:val="2"/>
            <w:vMerge w:val="continue"/>
            <w:shd w:val="clear" w:color="auto" w:fill="E9F9D8"/>
          </w:tcPr>
          <w:p>
            <w:pPr>
              <w:spacing w:after="0"/>
              <w:rPr>
                <w:sz w:val="7"/>
                <w:szCs w:val="7"/>
                <w:color w:val="auto"/>
              </w:rPr>
            </w:pPr>
          </w:p>
        </w:tc>
        <w:tc>
          <w:tcPr>
            <w:tcW w:w="60" w:type="dxa"/>
            <w:vAlign w:val="bottom"/>
            <w:shd w:val="clear" w:color="auto" w:fill="E9F9D8"/>
          </w:tcPr>
          <w:p>
            <w:pPr>
              <w:spacing w:after="0"/>
              <w:rPr>
                <w:sz w:val="7"/>
                <w:szCs w:val="7"/>
                <w:color w:val="auto"/>
              </w:rPr>
            </w:pPr>
          </w:p>
        </w:tc>
        <w:tc>
          <w:tcPr>
            <w:tcW w:w="20" w:type="dxa"/>
            <w:vAlign w:val="bottom"/>
            <w:shd w:val="clear" w:color="auto" w:fill="E9F9D8"/>
          </w:tcPr>
          <w:p>
            <w:pPr>
              <w:spacing w:after="0"/>
              <w:rPr>
                <w:sz w:val="7"/>
                <w:szCs w:val="7"/>
                <w:color w:val="auto"/>
              </w:rPr>
            </w:pPr>
          </w:p>
        </w:tc>
        <w:tc>
          <w:tcPr>
            <w:tcW w:w="120" w:type="dxa"/>
            <w:vAlign w:val="bottom"/>
            <w:shd w:val="clear" w:color="auto" w:fill="E9F9D8"/>
          </w:tcPr>
          <w:p>
            <w:pPr>
              <w:spacing w:after="0"/>
              <w:rPr>
                <w:sz w:val="7"/>
                <w:szCs w:val="7"/>
                <w:color w:val="auto"/>
              </w:rPr>
            </w:pPr>
          </w:p>
        </w:tc>
        <w:tc>
          <w:tcPr>
            <w:tcW w:w="1740" w:type="dxa"/>
            <w:vAlign w:val="bottom"/>
            <w:shd w:val="clear" w:color="auto" w:fill="E9F9D8"/>
          </w:tcPr>
          <w:p>
            <w:pPr>
              <w:spacing w:after="0"/>
              <w:rPr>
                <w:sz w:val="7"/>
                <w:szCs w:val="7"/>
                <w:color w:val="auto"/>
              </w:rPr>
            </w:pPr>
          </w:p>
        </w:tc>
        <w:tc>
          <w:tcPr>
            <w:tcW w:w="80" w:type="dxa"/>
            <w:vAlign w:val="bottom"/>
            <w:shd w:val="clear" w:color="auto" w:fill="E9F9D8"/>
          </w:tcPr>
          <w:p>
            <w:pPr>
              <w:spacing w:after="0"/>
              <w:rPr>
                <w:sz w:val="7"/>
                <w:szCs w:val="7"/>
                <w:color w:val="auto"/>
              </w:rPr>
            </w:pPr>
          </w:p>
        </w:tc>
        <w:tc>
          <w:tcPr>
            <w:tcW w:w="160" w:type="dxa"/>
            <w:vAlign w:val="bottom"/>
            <w:tcBorders>
              <w:right w:val="single" w:sz="8" w:color="83AD40"/>
            </w:tcBorders>
            <w:shd w:val="clear" w:color="auto" w:fill="E9F9D8"/>
          </w:tcPr>
          <w:p>
            <w:pPr>
              <w:spacing w:after="0"/>
              <w:rPr>
                <w:sz w:val="7"/>
                <w:szCs w:val="7"/>
                <w:color w:val="auto"/>
              </w:rPr>
            </w:pPr>
          </w:p>
        </w:tc>
        <w:tc>
          <w:tcPr>
            <w:tcW w:w="80" w:type="dxa"/>
            <w:vAlign w:val="bottom"/>
            <w:shd w:val="clear" w:color="auto" w:fill="E9F9D8"/>
          </w:tcPr>
          <w:p>
            <w:pPr>
              <w:spacing w:after="0"/>
              <w:rPr>
                <w:sz w:val="7"/>
                <w:szCs w:val="7"/>
                <w:color w:val="auto"/>
              </w:rPr>
            </w:pPr>
          </w:p>
        </w:tc>
        <w:tc>
          <w:tcPr>
            <w:tcW w:w="100" w:type="dxa"/>
            <w:vAlign w:val="bottom"/>
            <w:shd w:val="clear" w:color="auto" w:fill="E9F9D8"/>
          </w:tcPr>
          <w:p>
            <w:pPr>
              <w:spacing w:after="0"/>
              <w:rPr>
                <w:sz w:val="7"/>
                <w:szCs w:val="7"/>
                <w:color w:val="auto"/>
              </w:rPr>
            </w:pPr>
          </w:p>
        </w:tc>
        <w:tc>
          <w:tcPr>
            <w:tcW w:w="1420" w:type="dxa"/>
            <w:vAlign w:val="bottom"/>
            <w:shd w:val="clear" w:color="auto" w:fill="E9F9D8"/>
          </w:tcPr>
          <w:p>
            <w:pPr>
              <w:spacing w:after="0"/>
              <w:rPr>
                <w:sz w:val="7"/>
                <w:szCs w:val="7"/>
                <w:color w:val="auto"/>
              </w:rPr>
            </w:pPr>
          </w:p>
        </w:tc>
        <w:tc>
          <w:tcPr>
            <w:tcW w:w="760" w:type="dxa"/>
            <w:vAlign w:val="bottom"/>
            <w:tcBorders>
              <w:right w:val="single" w:sz="8" w:color="83AD40"/>
            </w:tcBorders>
            <w:shd w:val="clear" w:color="auto" w:fill="E9F9D8"/>
          </w:tcPr>
          <w:p>
            <w:pPr>
              <w:spacing w:after="0"/>
              <w:rPr>
                <w:sz w:val="7"/>
                <w:szCs w:val="7"/>
                <w:color w:val="auto"/>
              </w:rPr>
            </w:pPr>
          </w:p>
        </w:tc>
        <w:tc>
          <w:tcPr>
            <w:tcW w:w="0" w:type="dxa"/>
            <w:vAlign w:val="bottom"/>
          </w:tcPr>
          <w:p>
            <w:pPr>
              <w:spacing w:after="0"/>
              <w:rPr>
                <w:sz w:val="1"/>
                <w:szCs w:val="1"/>
                <w:color w:val="auto"/>
              </w:rPr>
            </w:pPr>
          </w:p>
        </w:tc>
      </w:tr>
      <w:tr>
        <w:trPr>
          <w:trHeight w:val="366"/>
        </w:trPr>
        <w:tc>
          <w:tcPr>
            <w:tcW w:w="280" w:type="dxa"/>
            <w:vAlign w:val="bottom"/>
            <w:tcBorders>
              <w:left w:val="single" w:sz="8" w:color="83AD40"/>
              <w:bottom w:val="single" w:sz="8" w:color="83AD40"/>
            </w:tcBorders>
            <w:shd w:val="clear" w:color="auto" w:fill="E9F9D8"/>
          </w:tcPr>
          <w:p>
            <w:pPr>
              <w:spacing w:after="0"/>
              <w:rPr>
                <w:sz w:val="24"/>
                <w:szCs w:val="24"/>
                <w:color w:val="auto"/>
              </w:rPr>
            </w:pPr>
          </w:p>
        </w:tc>
        <w:tc>
          <w:tcPr>
            <w:tcW w:w="100" w:type="dxa"/>
            <w:vAlign w:val="bottom"/>
            <w:tcBorders>
              <w:bottom w:val="single" w:sz="8" w:color="83AD40"/>
            </w:tcBorders>
            <w:shd w:val="clear" w:color="auto" w:fill="E9F9D8"/>
          </w:tcPr>
          <w:p>
            <w:pPr>
              <w:spacing w:after="0"/>
              <w:rPr>
                <w:sz w:val="24"/>
                <w:szCs w:val="24"/>
                <w:color w:val="auto"/>
              </w:rPr>
            </w:pPr>
          </w:p>
        </w:tc>
        <w:tc>
          <w:tcPr>
            <w:tcW w:w="260" w:type="dxa"/>
            <w:vAlign w:val="bottom"/>
            <w:tcBorders>
              <w:bottom w:val="single" w:sz="8" w:color="83AD40"/>
            </w:tcBorders>
            <w:shd w:val="clear" w:color="auto" w:fill="E9F9D8"/>
          </w:tcPr>
          <w:p>
            <w:pPr>
              <w:spacing w:after="0"/>
              <w:rPr>
                <w:sz w:val="24"/>
                <w:szCs w:val="24"/>
                <w:color w:val="auto"/>
              </w:rPr>
            </w:pPr>
          </w:p>
        </w:tc>
        <w:tc>
          <w:tcPr>
            <w:tcW w:w="1320" w:type="dxa"/>
            <w:vAlign w:val="bottom"/>
            <w:tcBorders>
              <w:bottom w:val="single" w:sz="8" w:color="83AD40"/>
            </w:tcBorders>
            <w:shd w:val="clear" w:color="auto" w:fill="E9F9D8"/>
          </w:tcPr>
          <w:p>
            <w:pPr>
              <w:spacing w:after="0"/>
              <w:rPr>
                <w:sz w:val="24"/>
                <w:szCs w:val="24"/>
                <w:color w:val="auto"/>
              </w:rPr>
            </w:pPr>
          </w:p>
        </w:tc>
        <w:tc>
          <w:tcPr>
            <w:tcW w:w="280" w:type="dxa"/>
            <w:vAlign w:val="bottom"/>
            <w:tcBorders>
              <w:bottom w:val="single" w:sz="8" w:color="83AD40"/>
            </w:tcBorders>
            <w:shd w:val="clear" w:color="auto" w:fill="E9F9D8"/>
          </w:tcPr>
          <w:p>
            <w:pPr>
              <w:spacing w:after="0"/>
              <w:rPr>
                <w:sz w:val="24"/>
                <w:szCs w:val="24"/>
                <w:color w:val="auto"/>
              </w:rPr>
            </w:pPr>
          </w:p>
        </w:tc>
        <w:tc>
          <w:tcPr>
            <w:tcW w:w="120" w:type="dxa"/>
            <w:vAlign w:val="bottom"/>
            <w:tcBorders>
              <w:bottom w:val="single" w:sz="8" w:color="83AD40"/>
              <w:right w:val="single" w:sz="8" w:color="83AD40"/>
            </w:tcBorders>
            <w:shd w:val="clear" w:color="auto" w:fill="E9F9D8"/>
          </w:tcPr>
          <w:p>
            <w:pPr>
              <w:spacing w:after="0"/>
              <w:rPr>
                <w:sz w:val="24"/>
                <w:szCs w:val="24"/>
                <w:color w:val="auto"/>
              </w:rPr>
            </w:pPr>
          </w:p>
        </w:tc>
        <w:tc>
          <w:tcPr>
            <w:tcW w:w="100" w:type="dxa"/>
            <w:vAlign w:val="bottom"/>
            <w:tcBorders>
              <w:bottom w:val="single" w:sz="8" w:color="83AD40"/>
            </w:tcBorders>
            <w:shd w:val="clear" w:color="auto" w:fill="E9F9D8"/>
          </w:tcPr>
          <w:p>
            <w:pPr>
              <w:spacing w:after="0"/>
              <w:rPr>
                <w:sz w:val="24"/>
                <w:szCs w:val="24"/>
                <w:color w:val="auto"/>
              </w:rPr>
            </w:pPr>
          </w:p>
        </w:tc>
        <w:tc>
          <w:tcPr>
            <w:tcW w:w="100" w:type="dxa"/>
            <w:vAlign w:val="bottom"/>
            <w:tcBorders>
              <w:bottom w:val="single" w:sz="8" w:color="83AD40"/>
            </w:tcBorders>
            <w:shd w:val="clear" w:color="auto" w:fill="E9F9D8"/>
          </w:tcPr>
          <w:p>
            <w:pPr>
              <w:spacing w:after="0"/>
              <w:rPr>
                <w:sz w:val="24"/>
                <w:szCs w:val="24"/>
                <w:color w:val="auto"/>
              </w:rPr>
            </w:pPr>
          </w:p>
        </w:tc>
        <w:tc>
          <w:tcPr>
            <w:tcW w:w="1440" w:type="dxa"/>
            <w:vAlign w:val="bottom"/>
            <w:tcBorders>
              <w:bottom w:val="single" w:sz="8" w:color="83AD40"/>
            </w:tcBorders>
            <w:shd w:val="clear" w:color="auto" w:fill="E9F9D8"/>
          </w:tcPr>
          <w:p>
            <w:pPr>
              <w:spacing w:after="0"/>
              <w:rPr>
                <w:sz w:val="24"/>
                <w:szCs w:val="24"/>
                <w:color w:val="auto"/>
              </w:rPr>
            </w:pPr>
          </w:p>
        </w:tc>
        <w:tc>
          <w:tcPr>
            <w:tcW w:w="540" w:type="dxa"/>
            <w:vAlign w:val="bottom"/>
            <w:tcBorders>
              <w:bottom w:val="single" w:sz="8" w:color="83AD40"/>
              <w:right w:val="single" w:sz="8" w:color="83AD40"/>
            </w:tcBorders>
            <w:shd w:val="clear" w:color="auto" w:fill="E9F9D8"/>
          </w:tcPr>
          <w:p>
            <w:pPr>
              <w:spacing w:after="0"/>
              <w:rPr>
                <w:sz w:val="24"/>
                <w:szCs w:val="24"/>
                <w:color w:val="auto"/>
              </w:rPr>
            </w:pPr>
          </w:p>
        </w:tc>
        <w:tc>
          <w:tcPr>
            <w:tcW w:w="60" w:type="dxa"/>
            <w:vAlign w:val="bottom"/>
            <w:tcBorders>
              <w:bottom w:val="single" w:sz="8" w:color="83AD40"/>
            </w:tcBorders>
            <w:shd w:val="clear" w:color="auto" w:fill="E9F9D8"/>
          </w:tcPr>
          <w:p>
            <w:pPr>
              <w:spacing w:after="0"/>
              <w:rPr>
                <w:sz w:val="24"/>
                <w:szCs w:val="24"/>
                <w:color w:val="auto"/>
              </w:rPr>
            </w:pPr>
          </w:p>
        </w:tc>
        <w:tc>
          <w:tcPr>
            <w:tcW w:w="20" w:type="dxa"/>
            <w:vAlign w:val="bottom"/>
            <w:tcBorders>
              <w:bottom w:val="single" w:sz="8" w:color="83AD40"/>
            </w:tcBorders>
            <w:shd w:val="clear" w:color="auto" w:fill="E9F9D8"/>
          </w:tcPr>
          <w:p>
            <w:pPr>
              <w:spacing w:after="0"/>
              <w:rPr>
                <w:sz w:val="24"/>
                <w:szCs w:val="24"/>
                <w:color w:val="auto"/>
              </w:rPr>
            </w:pPr>
          </w:p>
        </w:tc>
        <w:tc>
          <w:tcPr>
            <w:tcW w:w="120" w:type="dxa"/>
            <w:vAlign w:val="bottom"/>
            <w:tcBorders>
              <w:bottom w:val="single" w:sz="8" w:color="83AD40"/>
            </w:tcBorders>
            <w:shd w:val="clear" w:color="auto" w:fill="E9F9D8"/>
          </w:tcPr>
          <w:p>
            <w:pPr>
              <w:spacing w:after="0"/>
              <w:rPr>
                <w:sz w:val="24"/>
                <w:szCs w:val="24"/>
                <w:color w:val="auto"/>
              </w:rPr>
            </w:pPr>
          </w:p>
        </w:tc>
        <w:tc>
          <w:tcPr>
            <w:tcW w:w="1740" w:type="dxa"/>
            <w:vAlign w:val="bottom"/>
            <w:tcBorders>
              <w:bottom w:val="single" w:sz="8" w:color="83AD40"/>
            </w:tcBorders>
            <w:shd w:val="clear" w:color="auto" w:fill="E9F9D8"/>
          </w:tcPr>
          <w:p>
            <w:pPr>
              <w:spacing w:after="0"/>
              <w:rPr>
                <w:sz w:val="24"/>
                <w:szCs w:val="24"/>
                <w:color w:val="auto"/>
              </w:rPr>
            </w:pPr>
          </w:p>
        </w:tc>
        <w:tc>
          <w:tcPr>
            <w:tcW w:w="80" w:type="dxa"/>
            <w:vAlign w:val="bottom"/>
            <w:tcBorders>
              <w:bottom w:val="single" w:sz="8" w:color="83AD40"/>
            </w:tcBorders>
            <w:shd w:val="clear" w:color="auto" w:fill="E9F9D8"/>
          </w:tcPr>
          <w:p>
            <w:pPr>
              <w:spacing w:after="0"/>
              <w:rPr>
                <w:sz w:val="24"/>
                <w:szCs w:val="24"/>
                <w:color w:val="auto"/>
              </w:rPr>
            </w:pPr>
          </w:p>
        </w:tc>
        <w:tc>
          <w:tcPr>
            <w:tcW w:w="160" w:type="dxa"/>
            <w:vAlign w:val="bottom"/>
            <w:tcBorders>
              <w:bottom w:val="single" w:sz="8" w:color="83AD40"/>
              <w:right w:val="single" w:sz="8" w:color="83AD40"/>
            </w:tcBorders>
            <w:shd w:val="clear" w:color="auto" w:fill="E9F9D8"/>
          </w:tcPr>
          <w:p>
            <w:pPr>
              <w:spacing w:after="0"/>
              <w:rPr>
                <w:sz w:val="24"/>
                <w:szCs w:val="24"/>
                <w:color w:val="auto"/>
              </w:rPr>
            </w:pPr>
          </w:p>
        </w:tc>
        <w:tc>
          <w:tcPr>
            <w:tcW w:w="80" w:type="dxa"/>
            <w:vAlign w:val="bottom"/>
            <w:tcBorders>
              <w:bottom w:val="single" w:sz="8" w:color="83AD40"/>
            </w:tcBorders>
            <w:shd w:val="clear" w:color="auto" w:fill="E9F9D8"/>
          </w:tcPr>
          <w:p>
            <w:pPr>
              <w:spacing w:after="0"/>
              <w:rPr>
                <w:sz w:val="24"/>
                <w:szCs w:val="24"/>
                <w:color w:val="auto"/>
              </w:rPr>
            </w:pPr>
          </w:p>
        </w:tc>
        <w:tc>
          <w:tcPr>
            <w:tcW w:w="100" w:type="dxa"/>
            <w:vAlign w:val="bottom"/>
            <w:tcBorders>
              <w:bottom w:val="single" w:sz="8" w:color="83AD40"/>
            </w:tcBorders>
            <w:shd w:val="clear" w:color="auto" w:fill="E9F9D8"/>
          </w:tcPr>
          <w:p>
            <w:pPr>
              <w:spacing w:after="0"/>
              <w:rPr>
                <w:sz w:val="24"/>
                <w:szCs w:val="24"/>
                <w:color w:val="auto"/>
              </w:rPr>
            </w:pPr>
          </w:p>
        </w:tc>
        <w:tc>
          <w:tcPr>
            <w:tcW w:w="1420" w:type="dxa"/>
            <w:vAlign w:val="bottom"/>
            <w:tcBorders>
              <w:bottom w:val="single" w:sz="8" w:color="83AD40"/>
            </w:tcBorders>
            <w:shd w:val="clear" w:color="auto" w:fill="E9F9D8"/>
          </w:tcPr>
          <w:p>
            <w:pPr>
              <w:spacing w:after="0"/>
              <w:rPr>
                <w:sz w:val="24"/>
                <w:szCs w:val="24"/>
                <w:color w:val="auto"/>
              </w:rPr>
            </w:pPr>
          </w:p>
        </w:tc>
        <w:tc>
          <w:tcPr>
            <w:tcW w:w="760" w:type="dxa"/>
            <w:vAlign w:val="bottom"/>
            <w:tcBorders>
              <w:bottom w:val="single" w:sz="8" w:color="83AD40"/>
              <w:right w:val="single" w:sz="8" w:color="83AD40"/>
            </w:tcBorders>
            <w:shd w:val="clear" w:color="auto" w:fill="E9F9D8"/>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820" w:right="880"/>
        <w:spacing w:after="0" w:line="304" w:lineRule="auto"/>
        <w:rPr>
          <w:sz w:val="20"/>
          <w:szCs w:val="20"/>
          <w:color w:val="auto"/>
        </w:rPr>
      </w:pPr>
      <w:r>
        <w:rPr>
          <w:rFonts w:ascii="Arial" w:cs="Arial" w:eastAsia="Arial" w:hAnsi="Arial"/>
          <w:sz w:val="16"/>
          <w:szCs w:val="16"/>
          <w:color w:val="auto"/>
        </w:rPr>
        <w:t>To effectively motivate and reward the CEO to maximize growth in these new strategic businesses, the Compensation Committee:</w:t>
      </w:r>
    </w:p>
    <w:p>
      <w:pPr>
        <w:spacing w:after="0" w:line="74" w:lineRule="exact"/>
        <w:rPr>
          <w:sz w:val="20"/>
          <w:szCs w:val="20"/>
          <w:color w:val="auto"/>
        </w:rPr>
      </w:pPr>
    </w:p>
    <w:p>
      <w:pPr>
        <w:ind w:left="1000" w:hanging="184"/>
        <w:spacing w:after="0"/>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thoughtfully reviewed compensation structures of other companies in these non-commercial REIT businesses, and</w:t>
      </w:r>
    </w:p>
    <w:p>
      <w:pPr>
        <w:spacing w:after="0" w:line="45" w:lineRule="exact"/>
        <w:rPr>
          <w:rFonts w:ascii="Arial" w:cs="Arial" w:eastAsia="Arial" w:hAnsi="Arial"/>
          <w:sz w:val="16"/>
          <w:szCs w:val="16"/>
          <w:color w:val="auto"/>
        </w:rPr>
      </w:pPr>
    </w:p>
    <w:p>
      <w:pPr>
        <w:ind w:left="1000" w:hanging="184"/>
        <w:spacing w:after="0"/>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collected feedback from stockholders during the Company’s most recent off-season engagement.</w:t>
      </w:r>
    </w:p>
    <w:p>
      <w:pPr>
        <w:spacing w:after="0" w:line="140" w:lineRule="exact"/>
        <w:rPr>
          <w:sz w:val="20"/>
          <w:szCs w:val="20"/>
          <w:color w:val="auto"/>
        </w:rPr>
      </w:pPr>
    </w:p>
    <w:p>
      <w:pPr>
        <w:ind w:left="820" w:right="180"/>
        <w:spacing w:after="0" w:line="292" w:lineRule="auto"/>
        <w:rPr>
          <w:sz w:val="20"/>
          <w:szCs w:val="20"/>
          <w:color w:val="auto"/>
        </w:rPr>
      </w:pPr>
      <w:r>
        <w:rPr>
          <w:rFonts w:ascii="Arial" w:cs="Arial" w:eastAsia="Arial" w:hAnsi="Arial"/>
          <w:sz w:val="16"/>
          <w:szCs w:val="16"/>
          <w:color w:val="auto"/>
        </w:rPr>
        <w:t>The Compensation Committee adopted specific incentives for select new businesses, based on pre-set financial goals aligned with long-term shareholder value creation in order to achieve a direct and transparent compensation structure. These incentives are detailed in the Compensation Discussion and Analysis section of the proxy statement, beginning on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50165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98" w:lineRule="exact"/>
        <w:rPr>
          <w:sz w:val="20"/>
          <w:szCs w:val="20"/>
          <w:color w:val="auto"/>
        </w:rPr>
      </w:pPr>
    </w:p>
    <w:tbl>
      <w:tblPr>
        <w:tblLayout w:type="fixed"/>
        <w:tblInd w:w="820" w:type="dxa"/>
        <w:tblCellMar>
          <w:top w:w="0" w:type="dxa"/>
          <w:left w:w="0" w:type="dxa"/>
          <w:bottom w:w="0" w:type="dxa"/>
          <w:right w:w="0" w:type="dxa"/>
        </w:tblCellMar>
      </w:tblPr>
      <w:tr>
        <w:trPr>
          <w:trHeight w:val="253"/>
        </w:trPr>
        <w:tc>
          <w:tcPr>
            <w:tcW w:w="4120" w:type="dxa"/>
            <w:vAlign w:val="bottom"/>
          </w:tcPr>
          <w:p>
            <w:pPr>
              <w:spacing w:after="0"/>
              <w:rPr>
                <w:sz w:val="20"/>
                <w:szCs w:val="20"/>
                <w:color w:val="auto"/>
              </w:rPr>
            </w:pPr>
            <w:r>
              <w:rPr>
                <w:rFonts w:ascii="Arial" w:cs="Arial" w:eastAsia="Arial" w:hAnsi="Arial"/>
                <w:sz w:val="14"/>
                <w:szCs w:val="14"/>
                <w:b w:val="1"/>
                <w:bCs w:val="1"/>
                <w:color w:val="auto"/>
              </w:rPr>
              <w:t> </w:t>
            </w:r>
          </w:p>
        </w:tc>
        <w:tc>
          <w:tcPr>
            <w:tcW w:w="4520" w:type="dxa"/>
            <w:vAlign w:val="bottom"/>
            <w:vMerge w:val="restart"/>
          </w:tcPr>
          <w:p>
            <w:pPr>
              <w:ind w:left="4080"/>
              <w:spacing w:after="0"/>
              <w:rPr>
                <w:sz w:val="20"/>
                <w:szCs w:val="20"/>
                <w:color w:val="auto"/>
              </w:rPr>
            </w:pPr>
            <w:r>
              <w:rPr>
                <w:rFonts w:ascii="Arial" w:cs="Arial" w:eastAsia="Arial" w:hAnsi="Arial"/>
                <w:sz w:val="14"/>
                <w:szCs w:val="14"/>
                <w:b w:val="1"/>
                <w:bCs w:val="1"/>
                <w:color w:val="auto"/>
              </w:rPr>
              <w:t>​ ​</w:t>
            </w:r>
          </w:p>
        </w:tc>
        <w:tc>
          <w:tcPr>
            <w:tcW w:w="420" w:type="dxa"/>
            <w:vAlign w:val="bottom"/>
          </w:tcPr>
          <w:p>
            <w:pPr>
              <w:jc w:val="right"/>
              <w:spacing w:after="0"/>
              <w:rPr>
                <w:sz w:val="20"/>
                <w:szCs w:val="20"/>
                <w:color w:val="auto"/>
              </w:rPr>
            </w:pPr>
            <w:r>
              <w:rPr>
                <w:rFonts w:ascii="Arial" w:cs="Arial" w:eastAsia="Arial" w:hAnsi="Arial"/>
                <w:sz w:val="22"/>
                <w:szCs w:val="22"/>
                <w:b w:val="1"/>
                <w:bCs w:val="1"/>
                <w:color w:val="1F2668"/>
              </w:rPr>
              <w:t>3</w:t>
            </w:r>
          </w:p>
        </w:tc>
        <w:tc>
          <w:tcPr>
            <w:tcW w:w="4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4120" w:type="dxa"/>
            <w:vAlign w:val="bottom"/>
          </w:tcPr>
          <w:p>
            <w:pPr>
              <w:spacing w:after="0"/>
              <w:rPr>
                <w:sz w:val="20"/>
                <w:szCs w:val="20"/>
                <w:color w:val="auto"/>
              </w:rPr>
            </w:pPr>
            <w:r>
              <w:rPr>
                <w:rFonts w:ascii="Arial" w:cs="Arial" w:eastAsia="Arial" w:hAnsi="Arial"/>
                <w:sz w:val="14"/>
                <w:szCs w:val="14"/>
                <w:b w:val="1"/>
                <w:bCs w:val="1"/>
                <w:color w:val="auto"/>
              </w:rPr>
              <w:t>​</w:t>
            </w:r>
          </w:p>
        </w:tc>
        <w:tc>
          <w:tcPr>
            <w:tcW w:w="45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ind w:left="820" w:right="2100"/>
        <w:spacing w:after="0" w:line="278" w:lineRule="auto"/>
        <w:rPr>
          <w:sz w:val="20"/>
          <w:szCs w:val="20"/>
          <w:color w:val="auto"/>
        </w:rPr>
      </w:pPr>
      <w:r>
        <w:rPr>
          <w:rFonts w:ascii="Arial" w:cs="Arial" w:eastAsia="Arial" w:hAnsi="Arial"/>
          <w:sz w:val="29"/>
          <w:szCs w:val="29"/>
          <w:b w:val="1"/>
          <w:bCs w:val="1"/>
          <w:color w:val="83AD40"/>
        </w:rPr>
        <w:t>TRANSFORMATION OF EXECUTIVE PAY REFLECTS STOCKHOLDER FEEDBACK</w:t>
      </w:r>
    </w:p>
    <w:p>
      <w:pPr>
        <w:spacing w:after="0" w:line="57" w:lineRule="exact"/>
        <w:rPr>
          <w:sz w:val="20"/>
          <w:szCs w:val="20"/>
          <w:color w:val="auto"/>
        </w:rPr>
      </w:pPr>
    </w:p>
    <w:p>
      <w:pPr>
        <w:ind w:left="820" w:right="300"/>
        <w:spacing w:after="0" w:line="307" w:lineRule="auto"/>
        <w:rPr>
          <w:sz w:val="20"/>
          <w:szCs w:val="20"/>
          <w:color w:val="auto"/>
        </w:rPr>
      </w:pPr>
      <w:r>
        <w:rPr>
          <w:rFonts w:ascii="Arial" w:cs="Arial" w:eastAsia="Arial" w:hAnsi="Arial"/>
          <w:sz w:val="16"/>
          <w:szCs w:val="16"/>
          <w:color w:val="auto"/>
        </w:rPr>
        <w:t>In line with stockholder feedback, our executive pay has been deliberately and decisively transformed to focus on incentivizing and rewarding executives for actions that create sustainable stockholder value.</w:t>
      </w:r>
    </w:p>
    <w:tbl>
      <w:tblPr>
        <w:tblLayout w:type="fixed"/>
        <w:tblInd w:w="820" w:type="dxa"/>
        <w:tblCellMar>
          <w:top w:w="0" w:type="dxa"/>
          <w:left w:w="0" w:type="dxa"/>
          <w:bottom w:w="0" w:type="dxa"/>
          <w:right w:w="0" w:type="dxa"/>
        </w:tblCellMar>
      </w:tblPr>
      <w:tr>
        <w:trPr>
          <w:trHeight w:val="367"/>
        </w:trPr>
        <w:tc>
          <w:tcPr>
            <w:tcW w:w="5620" w:type="dxa"/>
            <w:vAlign w:val="bottom"/>
          </w:tcPr>
          <w:p>
            <w:pPr>
              <w:spacing w:after="0"/>
              <w:rPr>
                <w:sz w:val="20"/>
                <w:szCs w:val="20"/>
                <w:color w:val="auto"/>
              </w:rPr>
            </w:pPr>
            <w:r>
              <w:rPr>
                <w:rFonts w:ascii="Arial" w:cs="Arial" w:eastAsia="Arial" w:hAnsi="Arial"/>
                <w:sz w:val="14"/>
                <w:szCs w:val="14"/>
                <w:b w:val="1"/>
                <w:bCs w:val="1"/>
                <w:color w:val="1F2668"/>
              </w:rPr>
              <w:t>​</w:t>
            </w:r>
          </w:p>
        </w:tc>
        <w:tc>
          <w:tcPr>
            <w:tcW w:w="3500" w:type="dxa"/>
            <w:vAlign w:val="bottom"/>
            <w:gridSpan w:val="17"/>
          </w:tcPr>
          <w:p>
            <w:pPr>
              <w:jc w:val="right"/>
              <w:ind w:right="20"/>
              <w:spacing w:after="0"/>
              <w:rPr>
                <w:sz w:val="20"/>
                <w:szCs w:val="20"/>
                <w:color w:val="auto"/>
              </w:rPr>
            </w:pPr>
            <w:r>
              <w:rPr>
                <w:rFonts w:ascii="Arial" w:cs="Arial" w:eastAsia="Arial" w:hAnsi="Arial"/>
                <w:sz w:val="28"/>
                <w:szCs w:val="28"/>
                <w:b w:val="1"/>
                <w:bCs w:val="1"/>
                <w:color w:val="1F2668"/>
                <w:vertAlign w:val="subscript"/>
              </w:rPr>
              <w:t>​​</w:t>
            </w:r>
            <w:r>
              <w:rPr>
                <w:rFonts w:ascii="Arial" w:cs="Arial" w:eastAsia="Arial" w:hAnsi="Arial"/>
                <w:sz w:val="14"/>
                <w:szCs w:val="14"/>
                <w:b w:val="1"/>
                <w:bCs w:val="1"/>
                <w:color w:val="1F2668"/>
              </w:rPr>
              <w:t xml:space="preserve"> Stockholder Outreach following Annual Meeting </w:t>
            </w:r>
            <w:r>
              <w:rPr>
                <w:rFonts w:ascii="Arial" w:cs="Arial" w:eastAsia="Arial" w:hAnsi="Arial"/>
                <w:sz w:val="28"/>
                <w:szCs w:val="28"/>
                <w:b w:val="1"/>
                <w:bCs w:val="1"/>
                <w:color w:val="1F2668"/>
                <w:vertAlign w:val="subscript"/>
              </w:rPr>
              <w:t>​</w:t>
            </w: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1F2668"/>
          </w:tcPr>
          <w:p>
            <w:pPr>
              <w:spacing w:after="0" w:line="20" w:lineRule="exact"/>
              <w:rPr>
                <w:sz w:val="1"/>
                <w:szCs w:val="1"/>
                <w:color w:val="auto"/>
              </w:rPr>
            </w:pPr>
          </w:p>
        </w:tc>
        <w:tc>
          <w:tcPr>
            <w:tcW w:w="680" w:type="dxa"/>
            <w:vAlign w:val="bottom"/>
            <w:gridSpan w:val="3"/>
            <w:shd w:val="clear" w:color="auto" w:fill="1F2668"/>
          </w:tcPr>
          <w:p>
            <w:pPr>
              <w:spacing w:after="0" w:line="20" w:lineRule="exact"/>
              <w:rPr>
                <w:sz w:val="1"/>
                <w:szCs w:val="1"/>
                <w:color w:val="auto"/>
              </w:rPr>
            </w:pPr>
          </w:p>
        </w:tc>
        <w:tc>
          <w:tcPr>
            <w:tcW w:w="680" w:type="dxa"/>
            <w:vAlign w:val="bottom"/>
            <w:gridSpan w:val="3"/>
            <w:shd w:val="clear" w:color="auto" w:fill="1F2668"/>
          </w:tcPr>
          <w:p>
            <w:pPr>
              <w:spacing w:after="0" w:line="20" w:lineRule="exact"/>
              <w:rPr>
                <w:sz w:val="1"/>
                <w:szCs w:val="1"/>
                <w:color w:val="auto"/>
              </w:rPr>
            </w:pPr>
          </w:p>
        </w:tc>
        <w:tc>
          <w:tcPr>
            <w:tcW w:w="700" w:type="dxa"/>
            <w:vAlign w:val="bottom"/>
            <w:gridSpan w:val="3"/>
            <w:shd w:val="clear" w:color="auto" w:fill="1F2668"/>
          </w:tcPr>
          <w:p>
            <w:pPr>
              <w:spacing w:after="0" w:line="20" w:lineRule="exact"/>
              <w:rPr>
                <w:sz w:val="1"/>
                <w:szCs w:val="1"/>
                <w:color w:val="auto"/>
              </w:rPr>
            </w:pPr>
          </w:p>
        </w:tc>
        <w:tc>
          <w:tcPr>
            <w:tcW w:w="680" w:type="dxa"/>
            <w:vAlign w:val="bottom"/>
            <w:gridSpan w:val="4"/>
            <w:shd w:val="clear" w:color="auto" w:fill="1F2668"/>
          </w:tcPr>
          <w:p>
            <w:pPr>
              <w:spacing w:after="0" w:line="20" w:lineRule="exact"/>
              <w:rPr>
                <w:sz w:val="1"/>
                <w:szCs w:val="1"/>
                <w:color w:val="auto"/>
              </w:rPr>
            </w:pPr>
          </w:p>
        </w:tc>
        <w:tc>
          <w:tcPr>
            <w:tcW w:w="440" w:type="dxa"/>
            <w:vAlign w:val="bottom"/>
            <w:shd w:val="clear" w:color="auto" w:fill="1F266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620" w:type="dxa"/>
            <w:vAlign w:val="bottom"/>
          </w:tcPr>
          <w:p>
            <w:pPr>
              <w:spacing w:after="0"/>
              <w:rPr>
                <w:sz w:val="20"/>
                <w:szCs w:val="20"/>
                <w:color w:val="auto"/>
              </w:rPr>
            </w:pPr>
            <w:r>
              <w:rPr>
                <w:rFonts w:ascii="Arial" w:cs="Arial" w:eastAsia="Arial" w:hAnsi="Arial"/>
                <w:sz w:val="14"/>
                <w:szCs w:val="14"/>
                <w:b w:val="1"/>
                <w:bCs w:val="1"/>
                <w:color w:val="1F2668"/>
              </w:rPr>
              <w:t>​</w:t>
            </w:r>
          </w:p>
        </w:tc>
        <w:tc>
          <w:tcPr>
            <w:tcW w:w="260" w:type="dxa"/>
            <w:vAlign w:val="bottom"/>
            <w:gridSpan w:val="2"/>
          </w:tcPr>
          <w:p>
            <w:pPr>
              <w:ind w:left="60"/>
              <w:spacing w:after="0"/>
              <w:rPr>
                <w:sz w:val="20"/>
                <w:szCs w:val="20"/>
                <w:color w:val="auto"/>
              </w:rPr>
            </w:pPr>
            <w:r>
              <w:rPr>
                <w:rFonts w:ascii="Arial" w:cs="Arial" w:eastAsia="Arial" w:hAnsi="Arial"/>
                <w:sz w:val="14"/>
                <w:szCs w:val="14"/>
                <w:b w:val="1"/>
                <w:bCs w:val="1"/>
                <w:color w:val="1F2668"/>
              </w:rPr>
              <w:t>​​</w:t>
            </w:r>
          </w:p>
        </w:tc>
        <w:tc>
          <w:tcPr>
            <w:tcW w:w="680" w:type="dxa"/>
            <w:vAlign w:val="bottom"/>
            <w:gridSpan w:val="3"/>
          </w:tcPr>
          <w:p>
            <w:pPr>
              <w:ind w:left="120"/>
              <w:spacing w:after="0" w:line="263" w:lineRule="exact"/>
              <w:rPr>
                <w:sz w:val="20"/>
                <w:szCs w:val="20"/>
                <w:color w:val="auto"/>
              </w:rPr>
            </w:pPr>
            <w:r>
              <w:rPr>
                <w:rFonts w:ascii="Arial" w:cs="Arial" w:eastAsia="Arial" w:hAnsi="Arial"/>
                <w:sz w:val="14"/>
                <w:szCs w:val="14"/>
                <w:b w:val="1"/>
                <w:bCs w:val="1"/>
                <w:color w:val="1F2668"/>
              </w:rPr>
              <w:t xml:space="preserve">2024 </w:t>
            </w:r>
            <w:r>
              <w:rPr>
                <w:rFonts w:ascii="Arial" w:cs="Arial" w:eastAsia="Arial" w:hAnsi="Arial"/>
                <w:sz w:val="28"/>
                <w:szCs w:val="28"/>
                <w:b w:val="1"/>
                <w:bCs w:val="1"/>
                <w:color w:val="1F2668"/>
                <w:vertAlign w:val="subscript"/>
              </w:rPr>
              <w:t>​​</w:t>
            </w:r>
          </w:p>
        </w:tc>
        <w:tc>
          <w:tcPr>
            <w:tcW w:w="680" w:type="dxa"/>
            <w:vAlign w:val="bottom"/>
            <w:gridSpan w:val="3"/>
          </w:tcPr>
          <w:p>
            <w:pPr>
              <w:ind w:left="120"/>
              <w:spacing w:after="0" w:line="263" w:lineRule="exact"/>
              <w:rPr>
                <w:sz w:val="20"/>
                <w:szCs w:val="20"/>
                <w:color w:val="auto"/>
              </w:rPr>
            </w:pPr>
            <w:r>
              <w:rPr>
                <w:rFonts w:ascii="Arial" w:cs="Arial" w:eastAsia="Arial" w:hAnsi="Arial"/>
                <w:sz w:val="14"/>
                <w:szCs w:val="14"/>
                <w:b w:val="1"/>
                <w:bCs w:val="1"/>
                <w:color w:val="1F2668"/>
              </w:rPr>
              <w:t xml:space="preserve">2023 </w:t>
            </w:r>
            <w:r>
              <w:rPr>
                <w:rFonts w:ascii="Arial" w:cs="Arial" w:eastAsia="Arial" w:hAnsi="Arial"/>
                <w:sz w:val="28"/>
                <w:szCs w:val="28"/>
                <w:b w:val="1"/>
                <w:bCs w:val="1"/>
                <w:color w:val="1F2668"/>
                <w:vertAlign w:val="subscript"/>
              </w:rPr>
              <w:t>​​</w:t>
            </w:r>
          </w:p>
        </w:tc>
        <w:tc>
          <w:tcPr>
            <w:tcW w:w="700" w:type="dxa"/>
            <w:vAlign w:val="bottom"/>
            <w:gridSpan w:val="3"/>
          </w:tcPr>
          <w:p>
            <w:pPr>
              <w:ind w:left="120"/>
              <w:spacing w:after="0" w:line="263" w:lineRule="exact"/>
              <w:rPr>
                <w:sz w:val="20"/>
                <w:szCs w:val="20"/>
                <w:color w:val="auto"/>
              </w:rPr>
            </w:pPr>
            <w:r>
              <w:rPr>
                <w:rFonts w:ascii="Arial" w:cs="Arial" w:eastAsia="Arial" w:hAnsi="Arial"/>
                <w:sz w:val="14"/>
                <w:szCs w:val="14"/>
                <w:b w:val="1"/>
                <w:bCs w:val="1"/>
                <w:color w:val="1F2668"/>
              </w:rPr>
              <w:t xml:space="preserve">2022 </w:t>
            </w:r>
            <w:r>
              <w:rPr>
                <w:rFonts w:ascii="Arial" w:cs="Arial" w:eastAsia="Arial" w:hAnsi="Arial"/>
                <w:sz w:val="28"/>
                <w:szCs w:val="28"/>
                <w:b w:val="1"/>
                <w:bCs w:val="1"/>
                <w:color w:val="1F2668"/>
                <w:vertAlign w:val="subscript"/>
              </w:rPr>
              <w:t>​​</w:t>
            </w:r>
          </w:p>
        </w:tc>
        <w:tc>
          <w:tcPr>
            <w:tcW w:w="680" w:type="dxa"/>
            <w:vAlign w:val="bottom"/>
            <w:gridSpan w:val="4"/>
          </w:tcPr>
          <w:p>
            <w:pPr>
              <w:ind w:left="120"/>
              <w:spacing w:after="0" w:line="263" w:lineRule="exact"/>
              <w:rPr>
                <w:sz w:val="20"/>
                <w:szCs w:val="20"/>
                <w:color w:val="auto"/>
              </w:rPr>
            </w:pPr>
            <w:r>
              <w:rPr>
                <w:rFonts w:ascii="Arial" w:cs="Arial" w:eastAsia="Arial" w:hAnsi="Arial"/>
                <w:sz w:val="14"/>
                <w:szCs w:val="14"/>
                <w:b w:val="1"/>
                <w:bCs w:val="1"/>
                <w:color w:val="1F2668"/>
              </w:rPr>
              <w:t xml:space="preserve">2021 </w:t>
            </w:r>
            <w:r>
              <w:rPr>
                <w:rFonts w:ascii="Arial" w:cs="Arial" w:eastAsia="Arial" w:hAnsi="Arial"/>
                <w:sz w:val="28"/>
                <w:szCs w:val="28"/>
                <w:b w:val="1"/>
                <w:bCs w:val="1"/>
                <w:color w:val="1F2668"/>
                <w:vertAlign w:val="subscript"/>
              </w:rPr>
              <w:t>​​</w:t>
            </w:r>
          </w:p>
        </w:tc>
        <w:tc>
          <w:tcPr>
            <w:tcW w:w="500" w:type="dxa"/>
            <w:vAlign w:val="bottom"/>
            <w:gridSpan w:val="2"/>
          </w:tcPr>
          <w:p>
            <w:pPr>
              <w:jc w:val="right"/>
              <w:ind w:right="20"/>
              <w:spacing w:after="0" w:line="263" w:lineRule="exact"/>
              <w:rPr>
                <w:sz w:val="20"/>
                <w:szCs w:val="20"/>
                <w:color w:val="auto"/>
              </w:rPr>
            </w:pPr>
            <w:r>
              <w:rPr>
                <w:rFonts w:ascii="Arial" w:cs="Arial" w:eastAsia="Arial" w:hAnsi="Arial"/>
                <w:sz w:val="14"/>
                <w:szCs w:val="14"/>
                <w:b w:val="1"/>
                <w:bCs w:val="1"/>
                <w:color w:val="1F2668"/>
              </w:rPr>
              <w:t>2020</w:t>
            </w:r>
            <w:r>
              <w:rPr>
                <w:rFonts w:ascii="Arial" w:cs="Arial" w:eastAsia="Arial" w:hAnsi="Arial"/>
                <w:sz w:val="28"/>
                <w:szCs w:val="28"/>
                <w:b w:val="1"/>
                <w:bCs w:val="1"/>
                <w:color w:val="1F2668"/>
                <w:vertAlign w:val="subscript"/>
              </w:rPr>
              <w:t>​</w:t>
            </w: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1F2668"/>
          </w:tcPr>
          <w:p>
            <w:pPr>
              <w:spacing w:after="0" w:line="20" w:lineRule="exact"/>
              <w:rPr>
                <w:sz w:val="1"/>
                <w:szCs w:val="1"/>
                <w:color w:val="auto"/>
              </w:rPr>
            </w:pPr>
          </w:p>
        </w:tc>
        <w:tc>
          <w:tcPr>
            <w:tcW w:w="44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1F2668"/>
          </w:tcPr>
          <w:p>
            <w:pPr>
              <w:spacing w:after="0" w:line="20" w:lineRule="exact"/>
              <w:rPr>
                <w:sz w:val="1"/>
                <w:szCs w:val="1"/>
                <w:color w:val="auto"/>
              </w:rPr>
            </w:pPr>
          </w:p>
        </w:tc>
        <w:tc>
          <w:tcPr>
            <w:tcW w:w="44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1F2668"/>
          </w:tcPr>
          <w:p>
            <w:pPr>
              <w:spacing w:after="0" w:line="20" w:lineRule="exact"/>
              <w:rPr>
                <w:sz w:val="1"/>
                <w:szCs w:val="1"/>
                <w:color w:val="auto"/>
              </w:rPr>
            </w:pPr>
          </w:p>
        </w:tc>
        <w:tc>
          <w:tcPr>
            <w:tcW w:w="440" w:type="dxa"/>
            <w:vAlign w:val="bottom"/>
            <w:shd w:val="clear" w:color="auto" w:fill="1F266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1F2668"/>
          </w:tcPr>
          <w:p>
            <w:pPr>
              <w:spacing w:after="0" w:line="20" w:lineRule="exact"/>
              <w:rPr>
                <w:sz w:val="1"/>
                <w:szCs w:val="1"/>
                <w:color w:val="auto"/>
              </w:rPr>
            </w:pPr>
          </w:p>
        </w:tc>
        <w:tc>
          <w:tcPr>
            <w:tcW w:w="44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shd w:val="clear" w:color="auto" w:fill="1F2668"/>
          </w:tcPr>
          <w:p>
            <w:pPr>
              <w:spacing w:after="0" w:line="20" w:lineRule="exact"/>
              <w:rPr>
                <w:sz w:val="1"/>
                <w:szCs w:val="1"/>
                <w:color w:val="auto"/>
              </w:rPr>
            </w:pPr>
          </w:p>
        </w:tc>
        <w:tc>
          <w:tcPr>
            <w:tcW w:w="440" w:type="dxa"/>
            <w:vAlign w:val="bottom"/>
            <w:shd w:val="clear" w:color="auto" w:fill="1F266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5620" w:type="dxa"/>
            <w:vAlign w:val="bottom"/>
          </w:tcPr>
          <w:p>
            <w:pPr>
              <w:spacing w:after="0"/>
              <w:rPr>
                <w:sz w:val="20"/>
                <w:szCs w:val="20"/>
                <w:color w:val="auto"/>
              </w:rPr>
            </w:pPr>
            <w:r>
              <w:rPr>
                <w:rFonts w:ascii="Arial" w:cs="Arial" w:eastAsia="Arial" w:hAnsi="Arial"/>
                <w:sz w:val="16"/>
                <w:szCs w:val="16"/>
                <w:color w:val="1F2668"/>
              </w:rPr>
              <w:t>Offered engagement to stockholders representing approx.</w:t>
            </w:r>
          </w:p>
        </w:tc>
        <w:tc>
          <w:tcPr>
            <w:tcW w:w="2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680" w:type="dxa"/>
            <w:vAlign w:val="bottom"/>
            <w:gridSpan w:val="3"/>
          </w:tcPr>
          <w:p>
            <w:pPr>
              <w:ind w:left="10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​68%</w:t>
            </w:r>
            <w:r>
              <w:rPr>
                <w:rFonts w:ascii="Arial" w:cs="Arial" w:eastAsia="Arial" w:hAnsi="Arial"/>
                <w:sz w:val="32"/>
                <w:szCs w:val="32"/>
                <w:color w:val="auto"/>
                <w:vertAlign w:val="subscript"/>
              </w:rPr>
              <w:t>​​​</w:t>
            </w:r>
          </w:p>
        </w:tc>
        <w:tc>
          <w:tcPr>
            <w:tcW w:w="680" w:type="dxa"/>
            <w:vAlign w:val="bottom"/>
            <w:gridSpan w:val="3"/>
          </w:tcPr>
          <w:p>
            <w:pPr>
              <w:ind w:left="10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​75%</w:t>
            </w:r>
            <w:r>
              <w:rPr>
                <w:rFonts w:ascii="Arial" w:cs="Arial" w:eastAsia="Arial" w:hAnsi="Arial"/>
                <w:sz w:val="32"/>
                <w:szCs w:val="32"/>
                <w:color w:val="auto"/>
                <w:vertAlign w:val="subscript"/>
              </w:rPr>
              <w:t>​​​</w:t>
            </w:r>
          </w:p>
        </w:tc>
        <w:tc>
          <w:tcPr>
            <w:tcW w:w="700" w:type="dxa"/>
            <w:vAlign w:val="bottom"/>
            <w:gridSpan w:val="3"/>
          </w:tcPr>
          <w:p>
            <w:pPr>
              <w:ind w:left="10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​66%</w:t>
            </w:r>
            <w:r>
              <w:rPr>
                <w:rFonts w:ascii="Arial" w:cs="Arial" w:eastAsia="Arial" w:hAnsi="Arial"/>
                <w:sz w:val="32"/>
                <w:szCs w:val="32"/>
                <w:color w:val="auto"/>
                <w:vertAlign w:val="subscript"/>
              </w:rPr>
              <w:t>​​​</w:t>
            </w:r>
          </w:p>
        </w:tc>
        <w:tc>
          <w:tcPr>
            <w:tcW w:w="680" w:type="dxa"/>
            <w:vAlign w:val="bottom"/>
            <w:gridSpan w:val="4"/>
          </w:tcPr>
          <w:p>
            <w:pPr>
              <w:ind w:left="10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​65%</w:t>
            </w:r>
            <w:r>
              <w:rPr>
                <w:rFonts w:ascii="Arial" w:cs="Arial" w:eastAsia="Arial" w:hAnsi="Arial"/>
                <w:sz w:val="32"/>
                <w:szCs w:val="32"/>
                <w:color w:val="auto"/>
                <w:vertAlign w:val="subscript"/>
              </w:rPr>
              <w:t>​​​</w:t>
            </w:r>
          </w:p>
        </w:tc>
        <w:tc>
          <w:tcPr>
            <w:tcW w:w="500" w:type="dxa"/>
            <w:vAlign w:val="bottom"/>
            <w:gridSpan w:val="2"/>
          </w:tcPr>
          <w:p>
            <w:pPr>
              <w:jc w:val="right"/>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​65%</w:t>
            </w:r>
            <w:r>
              <w:rPr>
                <w:rFonts w:ascii="Arial" w:cs="Arial" w:eastAsia="Arial" w:hAnsi="Arial"/>
                <w:sz w:val="32"/>
                <w:szCs w:val="32"/>
                <w:color w:val="auto"/>
                <w:vertAlign w:val="subscript"/>
              </w:rPr>
              <w:t>​</w:t>
            </w:r>
          </w:p>
        </w:tc>
      </w:tr>
      <w:tr>
        <w:trPr>
          <w:trHeight w:val="20"/>
        </w:trPr>
        <w:tc>
          <w:tcPr>
            <w:tcW w:w="562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4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4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44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4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4B5088"/>
          </w:tcPr>
          <w:p>
            <w:pPr>
              <w:spacing w:after="0" w:line="20" w:lineRule="exact"/>
              <w:rPr>
                <w:sz w:val="1"/>
                <w:szCs w:val="1"/>
                <w:color w:val="auto"/>
              </w:rPr>
            </w:pPr>
          </w:p>
        </w:tc>
        <w:tc>
          <w:tcPr>
            <w:tcW w:w="440" w:type="dxa"/>
            <w:vAlign w:val="bottom"/>
            <w:shd w:val="clear" w:color="auto" w:fill="4B5088"/>
          </w:tcPr>
          <w:p>
            <w:pPr>
              <w:spacing w:after="0" w:line="20" w:lineRule="exact"/>
              <w:rPr>
                <w:sz w:val="1"/>
                <w:szCs w:val="1"/>
                <w:color w:val="auto"/>
              </w:rPr>
            </w:pPr>
          </w:p>
        </w:tc>
        <w:tc>
          <w:tcPr>
            <w:tcW w:w="60" w:type="dxa"/>
            <w:vAlign w:val="bottom"/>
            <w:tcBorders>
              <w:left w:val="single" w:sz="8" w:color="4B5088"/>
            </w:tcBorders>
          </w:tcPr>
          <w:p>
            <w:pPr>
              <w:spacing w:after="0" w:line="20" w:lineRule="exact"/>
              <w:rPr>
                <w:sz w:val="1"/>
                <w:szCs w:val="1"/>
                <w:color w:val="auto"/>
              </w:rPr>
            </w:pPr>
          </w:p>
        </w:tc>
      </w:tr>
      <w:tr>
        <w:trPr>
          <w:trHeight w:val="277"/>
        </w:trPr>
        <w:tc>
          <w:tcPr>
            <w:tcW w:w="5620" w:type="dxa"/>
            <w:vAlign w:val="bottom"/>
          </w:tcPr>
          <w:p>
            <w:pPr>
              <w:spacing w:after="0"/>
              <w:rPr>
                <w:sz w:val="20"/>
                <w:szCs w:val="20"/>
                <w:color w:val="auto"/>
              </w:rPr>
            </w:pPr>
            <w:r>
              <w:rPr>
                <w:rFonts w:ascii="Arial" w:cs="Arial" w:eastAsia="Arial" w:hAnsi="Arial"/>
                <w:sz w:val="16"/>
                <w:szCs w:val="16"/>
                <w:color w:val="1F2668"/>
              </w:rPr>
              <w:t>Had one-on-one discussions with stockholders representing approx.</w:t>
            </w:r>
          </w:p>
        </w:tc>
        <w:tc>
          <w:tcPr>
            <w:tcW w:w="2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680" w:type="dxa"/>
            <w:vAlign w:val="bottom"/>
            <w:gridSpan w:val="3"/>
          </w:tcPr>
          <w:p>
            <w:pPr>
              <w:ind w:left="10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​44%</w:t>
            </w:r>
            <w:r>
              <w:rPr>
                <w:rFonts w:ascii="Arial" w:cs="Arial" w:eastAsia="Arial" w:hAnsi="Arial"/>
                <w:sz w:val="32"/>
                <w:szCs w:val="32"/>
                <w:color w:val="auto"/>
                <w:vertAlign w:val="subscript"/>
              </w:rPr>
              <w:t>​​​</w:t>
            </w:r>
          </w:p>
        </w:tc>
        <w:tc>
          <w:tcPr>
            <w:tcW w:w="680" w:type="dxa"/>
            <w:vAlign w:val="bottom"/>
            <w:gridSpan w:val="3"/>
          </w:tcPr>
          <w:p>
            <w:pPr>
              <w:ind w:left="10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​69%</w:t>
            </w:r>
            <w:r>
              <w:rPr>
                <w:rFonts w:ascii="Arial" w:cs="Arial" w:eastAsia="Arial" w:hAnsi="Arial"/>
                <w:sz w:val="32"/>
                <w:szCs w:val="32"/>
                <w:color w:val="auto"/>
                <w:vertAlign w:val="subscript"/>
              </w:rPr>
              <w:t>​​​</w:t>
            </w:r>
          </w:p>
        </w:tc>
        <w:tc>
          <w:tcPr>
            <w:tcW w:w="700" w:type="dxa"/>
            <w:vAlign w:val="bottom"/>
            <w:gridSpan w:val="3"/>
          </w:tcPr>
          <w:p>
            <w:pPr>
              <w:ind w:left="10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​30%</w:t>
            </w:r>
            <w:r>
              <w:rPr>
                <w:rFonts w:ascii="Arial" w:cs="Arial" w:eastAsia="Arial" w:hAnsi="Arial"/>
                <w:sz w:val="32"/>
                <w:szCs w:val="32"/>
                <w:color w:val="auto"/>
                <w:vertAlign w:val="subscript"/>
              </w:rPr>
              <w:t>​​​</w:t>
            </w:r>
          </w:p>
        </w:tc>
        <w:tc>
          <w:tcPr>
            <w:tcW w:w="680" w:type="dxa"/>
            <w:vAlign w:val="bottom"/>
            <w:gridSpan w:val="4"/>
          </w:tcPr>
          <w:p>
            <w:pPr>
              <w:ind w:left="10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​50%</w:t>
            </w:r>
            <w:r>
              <w:rPr>
                <w:rFonts w:ascii="Arial" w:cs="Arial" w:eastAsia="Arial" w:hAnsi="Arial"/>
                <w:sz w:val="32"/>
                <w:szCs w:val="32"/>
                <w:color w:val="auto"/>
                <w:vertAlign w:val="subscript"/>
              </w:rPr>
              <w:t>​​​</w:t>
            </w:r>
          </w:p>
        </w:tc>
        <w:tc>
          <w:tcPr>
            <w:tcW w:w="500" w:type="dxa"/>
            <w:vAlign w:val="bottom"/>
            <w:gridSpan w:val="2"/>
          </w:tcPr>
          <w:p>
            <w:pPr>
              <w:jc w:val="right"/>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​41%</w:t>
            </w:r>
            <w:r>
              <w:rPr>
                <w:rFonts w:ascii="Arial" w:cs="Arial" w:eastAsia="Arial" w:hAnsi="Arial"/>
                <w:sz w:val="32"/>
                <w:szCs w:val="32"/>
                <w:color w:val="auto"/>
                <w:vertAlign w:val="subscript"/>
              </w:rPr>
              <w:t>​</w:t>
            </w:r>
          </w:p>
        </w:tc>
      </w:tr>
      <w:tr>
        <w:trPr>
          <w:trHeight w:val="20"/>
        </w:trPr>
        <w:tc>
          <w:tcPr>
            <w:tcW w:w="562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4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4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44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4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4B5088"/>
          </w:tcPr>
          <w:p>
            <w:pPr>
              <w:spacing w:after="0" w:line="20" w:lineRule="exact"/>
              <w:rPr>
                <w:sz w:val="1"/>
                <w:szCs w:val="1"/>
                <w:color w:val="auto"/>
              </w:rPr>
            </w:pPr>
          </w:p>
        </w:tc>
        <w:tc>
          <w:tcPr>
            <w:tcW w:w="440" w:type="dxa"/>
            <w:vAlign w:val="bottom"/>
            <w:shd w:val="clear" w:color="auto" w:fill="4B5088"/>
          </w:tcPr>
          <w:p>
            <w:pPr>
              <w:spacing w:after="0" w:line="20" w:lineRule="exact"/>
              <w:rPr>
                <w:sz w:val="1"/>
                <w:szCs w:val="1"/>
                <w:color w:val="auto"/>
              </w:rPr>
            </w:pPr>
          </w:p>
        </w:tc>
        <w:tc>
          <w:tcPr>
            <w:tcW w:w="60" w:type="dxa"/>
            <w:vAlign w:val="bottom"/>
            <w:tcBorders>
              <w:left w:val="single" w:sz="8" w:color="4B5088"/>
            </w:tcBorders>
          </w:tcPr>
          <w:p>
            <w:pPr>
              <w:spacing w:after="0" w:line="20" w:lineRule="exact"/>
              <w:rPr>
                <w:sz w:val="1"/>
                <w:szCs w:val="1"/>
                <w:color w:val="auto"/>
              </w:rPr>
            </w:pPr>
          </w:p>
        </w:tc>
      </w:tr>
      <w:tr>
        <w:trPr>
          <w:trHeight w:val="277"/>
        </w:trPr>
        <w:tc>
          <w:tcPr>
            <w:tcW w:w="5620" w:type="dxa"/>
            <w:vAlign w:val="bottom"/>
          </w:tcPr>
          <w:p>
            <w:pPr>
              <w:spacing w:after="0"/>
              <w:rPr>
                <w:sz w:val="20"/>
                <w:szCs w:val="20"/>
                <w:color w:val="auto"/>
              </w:rPr>
            </w:pPr>
            <w:r>
              <w:rPr>
                <w:rFonts w:ascii="Arial" w:cs="Arial" w:eastAsia="Arial" w:hAnsi="Arial"/>
                <w:sz w:val="16"/>
                <w:szCs w:val="16"/>
                <w:color w:val="1F2668"/>
              </w:rPr>
              <w:t>Directors participated in calls with stockholders representing approx.</w:t>
            </w:r>
          </w:p>
        </w:tc>
        <w:tc>
          <w:tcPr>
            <w:tcW w:w="2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680" w:type="dxa"/>
            <w:vAlign w:val="bottom"/>
            <w:gridSpan w:val="3"/>
          </w:tcPr>
          <w:p>
            <w:pPr>
              <w:ind w:left="100"/>
              <w:spacing w:after="0" w:line="276"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​39%</w:t>
            </w:r>
            <w:r>
              <w:rPr>
                <w:rFonts w:ascii="Arial" w:cs="Arial" w:eastAsia="Arial" w:hAnsi="Arial"/>
                <w:sz w:val="16"/>
                <w:szCs w:val="16"/>
                <w:color w:val="auto"/>
              </w:rPr>
              <w:t>​​​</w:t>
            </w:r>
          </w:p>
        </w:tc>
        <w:tc>
          <w:tcPr>
            <w:tcW w:w="680" w:type="dxa"/>
            <w:vAlign w:val="bottom"/>
            <w:gridSpan w:val="3"/>
          </w:tcPr>
          <w:p>
            <w:pPr>
              <w:ind w:left="100"/>
              <w:spacing w:after="0" w:line="276"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​38%</w:t>
            </w:r>
            <w:r>
              <w:rPr>
                <w:rFonts w:ascii="Arial" w:cs="Arial" w:eastAsia="Arial" w:hAnsi="Arial"/>
                <w:sz w:val="16"/>
                <w:szCs w:val="16"/>
                <w:color w:val="auto"/>
              </w:rPr>
              <w:t>​​​</w:t>
            </w:r>
          </w:p>
        </w:tc>
        <w:tc>
          <w:tcPr>
            <w:tcW w:w="700" w:type="dxa"/>
            <w:vAlign w:val="bottom"/>
            <w:gridSpan w:val="3"/>
          </w:tcPr>
          <w:p>
            <w:pPr>
              <w:ind w:left="100"/>
              <w:spacing w:after="0" w:line="276"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​29%</w:t>
            </w:r>
            <w:r>
              <w:rPr>
                <w:rFonts w:ascii="Arial" w:cs="Arial" w:eastAsia="Arial" w:hAnsi="Arial"/>
                <w:sz w:val="16"/>
                <w:szCs w:val="16"/>
                <w:color w:val="auto"/>
              </w:rPr>
              <w:t>​​​</w:t>
            </w:r>
          </w:p>
        </w:tc>
        <w:tc>
          <w:tcPr>
            <w:tcW w:w="680" w:type="dxa"/>
            <w:vAlign w:val="bottom"/>
            <w:gridSpan w:val="4"/>
          </w:tcPr>
          <w:p>
            <w:pPr>
              <w:ind w:left="100"/>
              <w:spacing w:after="0" w:line="276"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​36%</w:t>
            </w:r>
            <w:r>
              <w:rPr>
                <w:rFonts w:ascii="Arial" w:cs="Arial" w:eastAsia="Arial" w:hAnsi="Arial"/>
                <w:sz w:val="16"/>
                <w:szCs w:val="16"/>
                <w:color w:val="auto"/>
              </w:rPr>
              <w:t>​​​</w:t>
            </w:r>
          </w:p>
        </w:tc>
        <w:tc>
          <w:tcPr>
            <w:tcW w:w="500" w:type="dxa"/>
            <w:vAlign w:val="bottom"/>
            <w:gridSpan w:val="2"/>
          </w:tcPr>
          <w:p>
            <w:pPr>
              <w:jc w:val="right"/>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​41%</w:t>
            </w:r>
            <w:r>
              <w:rPr>
                <w:rFonts w:ascii="Arial" w:cs="Arial" w:eastAsia="Arial" w:hAnsi="Arial"/>
                <w:sz w:val="32"/>
                <w:szCs w:val="32"/>
                <w:color w:val="auto"/>
                <w:vertAlign w:val="subscript"/>
              </w:rPr>
              <w:t>​</w:t>
            </w:r>
          </w:p>
        </w:tc>
      </w:tr>
      <w:tr>
        <w:trPr>
          <w:trHeight w:val="20"/>
        </w:trPr>
        <w:tc>
          <w:tcPr>
            <w:tcW w:w="5620" w:type="dxa"/>
            <w:vAlign w:val="bottom"/>
            <w:shd w:val="clear" w:color="auto" w:fill="1F266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1F2668"/>
          </w:tcPr>
          <w:p>
            <w:pPr>
              <w:spacing w:after="0" w:line="20" w:lineRule="exact"/>
              <w:rPr>
                <w:sz w:val="1"/>
                <w:szCs w:val="1"/>
                <w:color w:val="auto"/>
              </w:rPr>
            </w:pPr>
          </w:p>
        </w:tc>
        <w:tc>
          <w:tcPr>
            <w:tcW w:w="44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1F2668"/>
          </w:tcPr>
          <w:p>
            <w:pPr>
              <w:spacing w:after="0" w:line="20" w:lineRule="exact"/>
              <w:rPr>
                <w:sz w:val="1"/>
                <w:szCs w:val="1"/>
                <w:color w:val="auto"/>
              </w:rPr>
            </w:pPr>
          </w:p>
        </w:tc>
        <w:tc>
          <w:tcPr>
            <w:tcW w:w="44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1F2668"/>
          </w:tcPr>
          <w:p>
            <w:pPr>
              <w:spacing w:after="0" w:line="20" w:lineRule="exact"/>
              <w:rPr>
                <w:sz w:val="1"/>
                <w:szCs w:val="1"/>
                <w:color w:val="auto"/>
              </w:rPr>
            </w:pPr>
          </w:p>
        </w:tc>
        <w:tc>
          <w:tcPr>
            <w:tcW w:w="440" w:type="dxa"/>
            <w:vAlign w:val="bottom"/>
            <w:shd w:val="clear" w:color="auto" w:fill="1F266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1F2668"/>
          </w:tcPr>
          <w:p>
            <w:pPr>
              <w:spacing w:after="0" w:line="20" w:lineRule="exact"/>
              <w:rPr>
                <w:sz w:val="1"/>
                <w:szCs w:val="1"/>
                <w:color w:val="auto"/>
              </w:rPr>
            </w:pPr>
          </w:p>
        </w:tc>
        <w:tc>
          <w:tcPr>
            <w:tcW w:w="44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1F2668"/>
          </w:tcPr>
          <w:p>
            <w:pPr>
              <w:spacing w:after="0" w:line="20" w:lineRule="exact"/>
              <w:rPr>
                <w:sz w:val="1"/>
                <w:szCs w:val="1"/>
                <w:color w:val="auto"/>
              </w:rPr>
            </w:pPr>
          </w:p>
        </w:tc>
        <w:tc>
          <w:tcPr>
            <w:tcW w:w="440" w:type="dxa"/>
            <w:vAlign w:val="bottom"/>
            <w:shd w:val="clear" w:color="auto" w:fill="1F2668"/>
          </w:tcPr>
          <w:p>
            <w:pPr>
              <w:spacing w:after="0" w:line="20" w:lineRule="exact"/>
              <w:rPr>
                <w:sz w:val="1"/>
                <w:szCs w:val="1"/>
                <w:color w:val="auto"/>
              </w:rPr>
            </w:pPr>
          </w:p>
        </w:tc>
        <w:tc>
          <w:tcPr>
            <w:tcW w:w="60" w:type="dxa"/>
            <w:vAlign w:val="bottom"/>
            <w:tcBorders>
              <w:left w:val="single" w:sz="8" w:color="1F2668"/>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40"/>
          </w:cols>
          <w:pgMar w:left="580" w:top="97" w:right="1379" w:bottom="1440" w:gutter="0" w:footer="0" w:header="0"/>
        </w:sectPr>
      </w:pPr>
    </w:p>
    <w:p>
      <w:pPr>
        <w:ind w:left="820"/>
        <w:spacing w:after="0"/>
        <w:rPr>
          <w:sz w:val="20"/>
          <w:szCs w:val="20"/>
          <w:color w:val="auto"/>
        </w:rPr>
      </w:pPr>
      <w:r>
        <w:rPr>
          <w:rFonts w:ascii="Arial" w:cs="Arial" w:eastAsia="Arial" w:hAnsi="Arial"/>
          <w:sz w:val="28"/>
          <w:szCs w:val="28"/>
          <w:b w:val="1"/>
          <w:bCs w:val="1"/>
          <w:color w:val="1F2668"/>
          <w:vertAlign w:val="subscript"/>
        </w:rPr>
        <w:t>​</w:t>
      </w:r>
      <w:r>
        <w:rPr>
          <w:rFonts w:ascii="Arial" w:cs="Arial" w:eastAsia="Arial" w:hAnsi="Arial"/>
          <w:sz w:val="14"/>
          <w:szCs w:val="14"/>
          <w:b w:val="1"/>
          <w:bCs w:val="1"/>
          <w:color w:val="1F2668"/>
        </w:rPr>
        <w:t xml:space="preserve"> Pay Element</w:t>
      </w:r>
      <w:r>
        <w:rPr>
          <w:rFonts w:ascii="Arial" w:cs="Arial" w:eastAsia="Arial" w:hAnsi="Arial"/>
          <w:sz w:val="28"/>
          <w:szCs w:val="28"/>
          <w:b w:val="1"/>
          <w:bCs w:val="1"/>
          <w:color w:val="1F2668"/>
          <w:vertAlign w:val="subscript"/>
        </w:rPr>
        <w:t>​​</w:t>
      </w:r>
    </w:p>
    <w:p>
      <w:pPr>
        <w:spacing w:after="0" w:line="46" w:lineRule="exact"/>
        <w:rPr>
          <w:sz w:val="20"/>
          <w:szCs w:val="20"/>
          <w:color w:val="auto"/>
        </w:rPr>
      </w:pPr>
    </w:p>
    <w:tbl>
      <w:tblPr>
        <w:tblLayout w:type="fixed"/>
        <w:tblInd w:w="820" w:type="dxa"/>
        <w:tblCellMar>
          <w:top w:w="0" w:type="dxa"/>
          <w:left w:w="0" w:type="dxa"/>
          <w:bottom w:w="0" w:type="dxa"/>
          <w:right w:w="0" w:type="dxa"/>
        </w:tblCellMar>
      </w:tblPr>
      <w:tr>
        <w:trPr>
          <w:trHeight w:val="223"/>
        </w:trPr>
        <w:tc>
          <w:tcPr>
            <w:tcW w:w="80" w:type="dxa"/>
            <w:vAlign w:val="bottom"/>
          </w:tcPr>
          <w:p>
            <w:pPr>
              <w:spacing w:after="0"/>
              <w:rPr>
                <w:sz w:val="20"/>
                <w:szCs w:val="20"/>
                <w:color w:val="auto"/>
              </w:rPr>
            </w:pPr>
            <w:r>
              <w:rPr>
                <w:rFonts w:ascii="Arial" w:cs="Arial" w:eastAsia="Arial" w:hAnsi="Arial"/>
                <w:sz w:val="16"/>
                <w:szCs w:val="16"/>
                <w:b w:val="1"/>
                <w:bCs w:val="1"/>
                <w:color w:val="auto"/>
              </w:rPr>
              <w:t>​</w:t>
            </w:r>
          </w:p>
        </w:tc>
        <w:tc>
          <w:tcPr>
            <w:tcW w:w="400" w:type="dxa"/>
            <w:vAlign w:val="bottom"/>
            <w:vMerge w:val="restart"/>
            <w:textDirection w:val="btLr"/>
          </w:tcPr>
          <w:p>
            <w:pPr>
              <w:ind w:left="262"/>
              <w:spacing w:after="0"/>
              <w:rPr>
                <w:sz w:val="20"/>
                <w:szCs w:val="20"/>
                <w:color w:val="auto"/>
              </w:rPr>
            </w:pPr>
            <w:r>
              <w:rPr>
                <w:rFonts w:ascii="Arial" w:cs="Arial" w:eastAsia="Arial" w:hAnsi="Arial"/>
                <w:sz w:val="12"/>
                <w:szCs w:val="12"/>
                <w:b w:val="1"/>
                <w:bCs w:val="1"/>
                <w:color w:val="1F2668"/>
                <w:w w:val="72"/>
              </w:rPr>
              <w:t>Basesalary</w:t>
            </w:r>
          </w:p>
        </w:tc>
        <w:tc>
          <w:tcPr>
            <w:tcW w:w="22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ind w:left="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80"/>
        </w:trPr>
        <w:tc>
          <w:tcPr>
            <w:tcW w:w="8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3"/>
        <w:spacing w:after="0"/>
        <w:rPr>
          <w:sz w:val="20"/>
          <w:szCs w:val="20"/>
          <w:color w:val="auto"/>
        </w:rPr>
      </w:pPr>
      <w:r>
        <w:rPr>
          <w:rFonts w:ascii="Arial" w:cs="Arial" w:eastAsia="Arial" w:hAnsi="Arial"/>
          <w:sz w:val="14"/>
          <w:szCs w:val="14"/>
          <w:b w:val="1"/>
          <w:bCs w:val="1"/>
          <w:color w:val="1F2668"/>
        </w:rPr>
        <w:t>Actions in line with Stockholder Feedback</w:t>
      </w:r>
    </w:p>
    <w:p>
      <w:pPr>
        <w:spacing w:after="0" w:line="77" w:lineRule="exact"/>
        <w:rPr>
          <w:sz w:val="20"/>
          <w:szCs w:val="20"/>
          <w:color w:val="auto"/>
        </w:rPr>
      </w:pPr>
    </w:p>
    <w:p>
      <w:pPr>
        <w:ind w:left="223" w:hanging="223"/>
        <w:spacing w:after="0"/>
        <w:tabs>
          <w:tab w:leader="none" w:pos="223" w:val="left"/>
        </w:tabs>
        <w:numPr>
          <w:ilvl w:val="0"/>
          <w:numId w:val="10"/>
        </w:numPr>
        <w:rPr>
          <w:rFonts w:ascii="MS PGothic" w:cs="MS PGothic" w:eastAsia="MS PGothic" w:hAnsi="MS PGothic"/>
          <w:sz w:val="16"/>
          <w:szCs w:val="16"/>
          <w:color w:val="83AD40"/>
        </w:rPr>
      </w:pPr>
      <w:r>
        <w:rPr>
          <w:rFonts w:ascii="Arial" w:cs="Arial" w:eastAsia="Arial" w:hAnsi="Arial"/>
          <w:sz w:val="16"/>
          <w:szCs w:val="16"/>
          <w:color w:val="auto"/>
        </w:rPr>
        <w:t>Eliminated Deferred Compensation</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22"/>
        </w:trPr>
        <w:tc>
          <w:tcPr>
            <w:tcW w:w="100" w:type="dxa"/>
            <w:vAlign w:val="bottom"/>
          </w:tcPr>
          <w:p>
            <w:pPr>
              <w:spacing w:after="0"/>
              <w:rPr>
                <w:sz w:val="20"/>
                <w:szCs w:val="20"/>
                <w:color w:val="auto"/>
              </w:rPr>
            </w:pPr>
            <w:r>
              <w:rPr>
                <w:rFonts w:ascii="Arial" w:cs="Arial" w:eastAsia="Arial" w:hAnsi="Arial"/>
                <w:sz w:val="14"/>
                <w:szCs w:val="14"/>
                <w:b w:val="1"/>
                <w:bCs w:val="1"/>
                <w:color w:val="1F2668"/>
              </w:rPr>
              <w:t>​</w:t>
            </w:r>
          </w:p>
        </w:tc>
        <w:tc>
          <w:tcPr>
            <w:tcW w:w="3760" w:type="dxa"/>
            <w:vAlign w:val="bottom"/>
            <w:shd w:val="clear" w:color="auto" w:fill="E2F7CB"/>
          </w:tcPr>
          <w:p>
            <w:pPr>
              <w:spacing w:after="0"/>
              <w:rPr>
                <w:sz w:val="20"/>
                <w:szCs w:val="20"/>
                <w:color w:val="auto"/>
              </w:rPr>
            </w:pPr>
            <w:r>
              <w:rPr>
                <w:rFonts w:ascii="Arial" w:cs="Arial" w:eastAsia="Arial" w:hAnsi="Arial"/>
                <w:sz w:val="28"/>
                <w:szCs w:val="28"/>
                <w:b w:val="1"/>
                <w:bCs w:val="1"/>
                <w:color w:val="1F2668"/>
                <w:vertAlign w:val="subscript"/>
              </w:rPr>
              <w:t>​</w:t>
            </w:r>
            <w:r>
              <w:rPr>
                <w:rFonts w:ascii="Arial" w:cs="Arial" w:eastAsia="Arial" w:hAnsi="Arial"/>
                <w:sz w:val="14"/>
                <w:szCs w:val="14"/>
                <w:b w:val="1"/>
                <w:bCs w:val="1"/>
                <w:color w:val="1F2668"/>
              </w:rPr>
              <w:t xml:space="preserve"> 2025 Features</w:t>
            </w:r>
          </w:p>
        </w:tc>
        <w:tc>
          <w:tcPr>
            <w:tcW w:w="240" w:type="dxa"/>
            <w:vAlign w:val="bottom"/>
            <w:shd w:val="clear" w:color="auto" w:fill="E2F7CB"/>
          </w:tcPr>
          <w:p>
            <w:pPr>
              <w:ind w:left="140"/>
              <w:spacing w:after="0"/>
              <w:rPr>
                <w:sz w:val="20"/>
                <w:szCs w:val="20"/>
                <w:color w:val="auto"/>
              </w:rPr>
            </w:pPr>
            <w:r>
              <w:rPr>
                <w:rFonts w:ascii="Arial" w:cs="Arial" w:eastAsia="Arial" w:hAnsi="Arial"/>
                <w:sz w:val="14"/>
                <w:szCs w:val="14"/>
                <w:b w:val="1"/>
                <w:bCs w:val="1"/>
                <w:color w:val="1F2668"/>
              </w:rPr>
              <w:t>​</w:t>
            </w:r>
          </w:p>
        </w:tc>
      </w:tr>
      <w:tr>
        <w:trPr>
          <w:trHeight w:val="261"/>
        </w:trPr>
        <w:tc>
          <w:tcPr>
            <w:tcW w:w="100" w:type="dxa"/>
            <w:vAlign w:val="bottom"/>
          </w:tcPr>
          <w:p>
            <w:pPr>
              <w:spacing w:after="0"/>
              <w:rPr>
                <w:sz w:val="20"/>
                <w:szCs w:val="20"/>
                <w:color w:val="auto"/>
              </w:rPr>
            </w:pPr>
            <w:r>
              <w:rPr>
                <w:rFonts w:ascii="Arial" w:cs="Arial" w:eastAsia="Arial" w:hAnsi="Arial"/>
                <w:sz w:val="16"/>
                <w:szCs w:val="16"/>
                <w:b w:val="1"/>
                <w:bCs w:val="1"/>
                <w:color w:val="auto"/>
              </w:rPr>
              <w:t>​</w:t>
            </w:r>
          </w:p>
        </w:tc>
        <w:tc>
          <w:tcPr>
            <w:tcW w:w="3760" w:type="dxa"/>
            <w:vAlign w:val="bottom"/>
          </w:tcPr>
          <w:p>
            <w:pPr>
              <w:spacing w:after="0" w:line="261" w:lineRule="exact"/>
              <w:rPr>
                <w:sz w:val="20"/>
                <w:szCs w:val="20"/>
                <w:color w:val="auto"/>
              </w:rPr>
            </w:pPr>
            <w:r>
              <w:rPr>
                <w:rFonts w:ascii="Arial" w:cs="Arial" w:eastAsia="Arial" w:hAnsi="Arial"/>
                <w:sz w:val="30"/>
                <w:szCs w:val="30"/>
                <w:b w:val="1"/>
                <w:bCs w:val="1"/>
                <w:color w:val="auto"/>
                <w:vertAlign w:val="superscript"/>
              </w:rPr>
              <w:t>​</w:t>
            </w:r>
            <w:r>
              <w:rPr>
                <w:rFonts w:ascii="Arial" w:cs="Arial" w:eastAsia="Arial" w:hAnsi="Arial"/>
                <w:sz w:val="16"/>
                <w:szCs w:val="16"/>
                <w:b w:val="1"/>
                <w:bCs w:val="1"/>
                <w:color w:val="auto"/>
              </w:rPr>
              <w:t xml:space="preserve"> </w:t>
            </w:r>
            <w:r>
              <w:rPr>
                <w:rFonts w:ascii="MS PGothic" w:cs="MS PGothic" w:eastAsia="MS PGothic" w:hAnsi="MS PGothic"/>
                <w:sz w:val="16"/>
                <w:szCs w:val="16"/>
                <w:color w:val="83AD40"/>
              </w:rPr>
              <w:t>✓</w:t>
            </w:r>
            <w:r>
              <w:rPr>
                <w:rFonts w:ascii="Arial" w:cs="Arial" w:eastAsia="Arial" w:hAnsi="Arial"/>
                <w:sz w:val="16"/>
                <w:szCs w:val="16"/>
                <w:b w:val="1"/>
                <w:bCs w:val="1"/>
                <w:color w:val="auto"/>
              </w:rPr>
              <w:t xml:space="preserve"> Base salary remains only fixed pay element</w:t>
            </w:r>
          </w:p>
        </w:tc>
        <w:tc>
          <w:tcPr>
            <w:tcW w:w="240" w:type="dxa"/>
            <w:vAlign w:val="bottom"/>
          </w:tcPr>
          <w:p>
            <w:pPr>
              <w:ind w:left="140"/>
              <w:spacing w:after="0"/>
              <w:rPr>
                <w:sz w:val="20"/>
                <w:szCs w:val="20"/>
                <w:color w:val="auto"/>
              </w:rPr>
            </w:pPr>
            <w:r>
              <w:rPr>
                <w:rFonts w:ascii="Arial" w:cs="Arial" w:eastAsia="Arial" w:hAnsi="Arial"/>
                <w:sz w:val="16"/>
                <w:szCs w:val="16"/>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-3152775</wp:posOffset>
            </wp:positionH>
            <wp:positionV relativeFrom="paragraph">
              <wp:posOffset>-165100</wp:posOffset>
            </wp:positionV>
            <wp:extent cx="5760720" cy="31635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60720" cy="3163570"/>
                    </a:xfrm>
                    <a:prstGeom prst="rect">
                      <a:avLst/>
                    </a:prstGeom>
                    <a:noFill/>
                  </pic:spPr>
                </pic:pic>
              </a:graphicData>
            </a:graphic>
          </wp:anchor>
        </w:drawing>
      </w:r>
    </w:p>
    <w:p>
      <w:pPr>
        <w:ind w:left="420" w:hanging="213"/>
        <w:spacing w:after="0"/>
        <w:tabs>
          <w:tab w:leader="none" w:pos="420" w:val="left"/>
        </w:tabs>
        <w:numPr>
          <w:ilvl w:val="0"/>
          <w:numId w:val="11"/>
        </w:numPr>
        <w:rPr>
          <w:rFonts w:ascii="MS PGothic" w:cs="MS PGothic" w:eastAsia="MS PGothic" w:hAnsi="MS PGothic"/>
          <w:sz w:val="16"/>
          <w:szCs w:val="16"/>
          <w:color w:val="83AD40"/>
        </w:rPr>
      </w:pPr>
      <w:r>
        <w:rPr>
          <w:rFonts w:ascii="Arial" w:cs="Arial" w:eastAsia="Arial" w:hAnsi="Arial"/>
          <w:sz w:val="16"/>
          <w:szCs w:val="16"/>
          <w:b w:val="1"/>
          <w:bCs w:val="1"/>
          <w:color w:val="auto"/>
        </w:rPr>
        <w:t>1</w:t>
      </w:r>
      <w:r>
        <w:rPr>
          <w:rFonts w:ascii="Arial" w:cs="Arial" w:eastAsia="Arial" w:hAnsi="Arial"/>
          <w:sz w:val="19"/>
          <w:szCs w:val="19"/>
          <w:b w:val="1"/>
          <w:bCs w:val="1"/>
          <w:color w:val="auto"/>
          <w:vertAlign w:val="superscript"/>
        </w:rPr>
        <w:t>st</w:t>
      </w:r>
      <w:r>
        <w:rPr>
          <w:rFonts w:ascii="Arial" w:cs="Arial" w:eastAsia="Arial" w:hAnsi="Arial"/>
          <w:sz w:val="16"/>
          <w:szCs w:val="16"/>
          <w:b w:val="1"/>
          <w:bCs w:val="1"/>
          <w:color w:val="auto"/>
        </w:rPr>
        <w:t xml:space="preserve"> increase in CEO base salary since 2018</w:t>
      </w:r>
    </w:p>
    <w:p>
      <w:pPr>
        <w:spacing w:after="0" w:line="78" w:lineRule="exact"/>
        <w:rPr>
          <w:sz w:val="20"/>
          <w:szCs w:val="20"/>
          <w:color w:val="auto"/>
        </w:rPr>
      </w:pPr>
    </w:p>
    <w:p>
      <w:pPr>
        <w:sectPr>
          <w:pgSz w:w="11900" w:h="16838" w:orient="portrait"/>
          <w:cols w:equalWidth="0" w:num="3">
            <w:col w:w="1760" w:space="217"/>
            <w:col w:w="3083" w:space="720"/>
            <w:col w:w="4160"/>
          </w:cols>
          <w:pgMar w:left="580" w:top="97" w:right="1379" w:bottom="1440" w:gutter="0" w:footer="0" w:header="0"/>
          <w:type w:val="continuous"/>
        </w:sectPr>
      </w:pPr>
    </w:p>
    <w:p>
      <w:pPr>
        <w:spacing w:after="0" w:line="8" w:lineRule="exact"/>
        <w:rPr>
          <w:sz w:val="20"/>
          <w:szCs w:val="20"/>
          <w:color w:val="auto"/>
        </w:rPr>
      </w:pPr>
    </w:p>
    <w:p>
      <w:pPr>
        <w:ind w:left="820"/>
        <w:spacing w:after="0"/>
        <w:rPr>
          <w:sz w:val="20"/>
          <w:szCs w:val="20"/>
          <w:color w:val="auto"/>
        </w:rPr>
      </w:pPr>
      <w:r>
        <w:rPr>
          <w:rFonts w:ascii="Arial" w:cs="Arial" w:eastAsia="Arial" w:hAnsi="Arial"/>
          <w:sz w:val="16"/>
          <w:szCs w:val="16"/>
          <w:color w:val="auto"/>
        </w:rPr>
        <w:t>​</w:t>
      </w:r>
    </w:p>
    <w:p>
      <w:pPr>
        <w:spacing w:after="0" w:line="96" w:lineRule="exact"/>
        <w:rPr>
          <w:sz w:val="20"/>
          <w:szCs w:val="20"/>
          <w:color w:val="auto"/>
        </w:rPr>
      </w:pPr>
    </w:p>
    <w:tbl>
      <w:tblPr>
        <w:tblLayout w:type="fixed"/>
        <w:tblInd w:w="1173" w:type="dxa"/>
        <w:tblCellMar>
          <w:top w:w="0" w:type="dxa"/>
          <w:left w:w="0" w:type="dxa"/>
          <w:bottom w:w="0" w:type="dxa"/>
          <w:right w:w="0" w:type="dxa"/>
        </w:tblCellMar>
      </w:tblPr>
      <w:tr>
        <w:trPr>
          <w:trHeight w:val="700"/>
        </w:trPr>
        <w:tc>
          <w:tcPr>
            <w:tcW w:w="103" w:type="dxa"/>
            <w:vAlign w:val="bottom"/>
            <w:textDirection w:val="btLr"/>
          </w:tcPr>
          <w:p>
            <w:pPr>
              <w:spacing w:after="0"/>
              <w:rPr>
                <w:sz w:val="20"/>
                <w:szCs w:val="20"/>
                <w:color w:val="auto"/>
              </w:rPr>
            </w:pPr>
            <w:r>
              <w:rPr>
                <w:rFonts w:ascii="Arial" w:cs="Arial" w:eastAsia="Arial" w:hAnsi="Arial"/>
                <w:sz w:val="9"/>
                <w:szCs w:val="9"/>
                <w:b w:val="1"/>
                <w:bCs w:val="1"/>
                <w:color w:val="1F2668"/>
              </w:rPr>
              <w:t>AnnualIncentive</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4440" w:type="dxa"/>
            <w:vAlign w:val="bottom"/>
          </w:tcPr>
          <w:p>
            <w:pPr>
              <w:spacing w:after="0" w:line="184" w:lineRule="exact"/>
              <w:rPr>
                <w:sz w:val="20"/>
                <w:szCs w:val="20"/>
                <w:color w:val="auto"/>
              </w:rPr>
            </w:pPr>
            <w:r>
              <w:rPr>
                <w:rFonts w:ascii="Arial" w:cs="Arial" w:eastAsia="Arial" w:hAnsi="Arial"/>
                <w:sz w:val="16"/>
                <w:szCs w:val="16"/>
                <w:color w:val="auto"/>
              </w:rPr>
              <w:t xml:space="preserve">​   ​   </w:t>
            </w:r>
            <w:r>
              <w:rPr>
                <w:rFonts w:ascii="MS PGothic" w:cs="MS PGothic" w:eastAsia="MS PGothic" w:hAnsi="MS PGothic"/>
                <w:sz w:val="16"/>
                <w:szCs w:val="16"/>
                <w:color w:val="83AD40"/>
              </w:rPr>
              <w:t>✓</w:t>
            </w:r>
            <w:r>
              <w:rPr>
                <w:rFonts w:ascii="Arial" w:cs="Arial" w:eastAsia="Arial" w:hAnsi="Arial"/>
                <w:sz w:val="16"/>
                <w:szCs w:val="16"/>
                <w:color w:val="auto"/>
              </w:rPr>
              <w:t xml:space="preserve"> Replaced TSR with operating metrics</w:t>
            </w:r>
          </w:p>
        </w:tc>
        <w:tc>
          <w:tcPr>
            <w:tcW w:w="400" w:type="dxa"/>
            <w:vAlign w:val="bottom"/>
          </w:tcPr>
          <w:p>
            <w:pPr>
              <w:ind w:left="20"/>
              <w:spacing w:after="0" w:line="184" w:lineRule="exact"/>
              <w:rPr>
                <w:sz w:val="20"/>
                <w:szCs w:val="20"/>
                <w:color w:val="auto"/>
              </w:rPr>
            </w:pPr>
            <w:r>
              <w:rPr>
                <w:rFonts w:ascii="Arial" w:cs="Arial" w:eastAsia="Arial" w:hAnsi="Arial"/>
                <w:sz w:val="16"/>
                <w:szCs w:val="16"/>
                <w:color w:val="auto"/>
              </w:rPr>
              <w:t xml:space="preserve">​ ​ </w:t>
            </w:r>
            <w:r>
              <w:rPr>
                <w:rFonts w:ascii="MS PGothic" w:cs="MS PGothic" w:eastAsia="MS PGothic" w:hAnsi="MS PGothic"/>
                <w:sz w:val="16"/>
                <w:szCs w:val="16"/>
                <w:color w:val="83AD40"/>
              </w:rPr>
              <w:t>✓</w:t>
            </w:r>
          </w:p>
        </w:tc>
        <w:tc>
          <w:tcPr>
            <w:tcW w:w="3660" w:type="dxa"/>
            <w:vAlign w:val="bottom"/>
          </w:tcPr>
          <w:p>
            <w:pPr>
              <w:ind w:left="40"/>
              <w:spacing w:after="0"/>
              <w:rPr>
                <w:sz w:val="20"/>
                <w:szCs w:val="20"/>
                <w:color w:val="auto"/>
              </w:rPr>
            </w:pPr>
            <w:r>
              <w:rPr>
                <w:rFonts w:ascii="Arial" w:cs="Arial" w:eastAsia="Arial" w:hAnsi="Arial"/>
                <w:sz w:val="16"/>
                <w:szCs w:val="16"/>
                <w:b w:val="1"/>
                <w:bCs w:val="1"/>
                <w:color w:val="auto"/>
                <w:w w:val="99"/>
              </w:rPr>
              <w:t xml:space="preserve">100% of CEO and 60% of CFO annual incentive </w:t>
            </w:r>
            <w:r>
              <w:rPr>
                <w:rFonts w:ascii="Arial" w:cs="Arial" w:eastAsia="Arial" w:hAnsi="Arial"/>
                <w:sz w:val="16"/>
                <w:szCs w:val="16"/>
                <w:color w:val="auto"/>
                <w:w w:val="99"/>
              </w:rPr>
              <w:t>​</w:t>
            </w:r>
          </w:p>
        </w:tc>
      </w:tr>
      <w:tr>
        <w:trPr>
          <w:trHeight w:val="221"/>
        </w:trPr>
        <w:tc>
          <w:tcPr>
            <w:tcW w:w="4440" w:type="dxa"/>
            <w:vAlign w:val="bottom"/>
          </w:tcPr>
          <w:p>
            <w:pPr>
              <w:ind w:left="660"/>
              <w:spacing w:after="0" w:line="184" w:lineRule="exact"/>
              <w:rPr>
                <w:sz w:val="20"/>
                <w:szCs w:val="20"/>
                <w:color w:val="auto"/>
              </w:rPr>
            </w:pPr>
            <w:r>
              <w:rPr>
                <w:rFonts w:ascii="MS PGothic" w:cs="MS PGothic" w:eastAsia="MS PGothic" w:hAnsi="MS PGothic"/>
                <w:sz w:val="16"/>
                <w:szCs w:val="16"/>
                <w:color w:val="83AD40"/>
              </w:rPr>
              <w:t>✓</w:t>
            </w:r>
            <w:r>
              <w:rPr>
                <w:rFonts w:ascii="Arial" w:cs="Arial" w:eastAsia="Arial" w:hAnsi="Arial"/>
                <w:sz w:val="16"/>
                <w:szCs w:val="16"/>
                <w:color w:val="auto"/>
              </w:rPr>
              <w:t xml:space="preserve"> Eliminated discretionary annual bonus process</w:t>
            </w:r>
          </w:p>
        </w:tc>
        <w:tc>
          <w:tcPr>
            <w:tcW w:w="400" w:type="dxa"/>
            <w:vAlign w:val="bottom"/>
          </w:tcPr>
          <w:p>
            <w:pPr>
              <w:spacing w:after="0"/>
              <w:rPr>
                <w:sz w:val="19"/>
                <w:szCs w:val="19"/>
                <w:color w:val="auto"/>
              </w:rPr>
            </w:pPr>
          </w:p>
        </w:tc>
        <w:tc>
          <w:tcPr>
            <w:tcW w:w="3660" w:type="dxa"/>
            <w:vAlign w:val="bottom"/>
          </w:tcPr>
          <w:p>
            <w:pPr>
              <w:ind w:left="40"/>
              <w:spacing w:after="0"/>
              <w:rPr>
                <w:sz w:val="20"/>
                <w:szCs w:val="20"/>
                <w:color w:val="auto"/>
              </w:rPr>
            </w:pPr>
            <w:r>
              <w:rPr>
                <w:rFonts w:ascii="Arial" w:cs="Arial" w:eastAsia="Arial" w:hAnsi="Arial"/>
                <w:sz w:val="16"/>
                <w:szCs w:val="16"/>
                <w:b w:val="1"/>
                <w:bCs w:val="1"/>
                <w:color w:val="auto"/>
              </w:rPr>
              <w:t>is formulaic</w:t>
            </w:r>
          </w:p>
        </w:tc>
      </w:tr>
      <w:tr>
        <w:trPr>
          <w:trHeight w:val="212"/>
        </w:trPr>
        <w:tc>
          <w:tcPr>
            <w:tcW w:w="4440" w:type="dxa"/>
            <w:vAlign w:val="bottom"/>
          </w:tcPr>
          <w:p>
            <w:pPr>
              <w:ind w:left="660"/>
              <w:spacing w:after="0" w:line="184" w:lineRule="exact"/>
              <w:rPr>
                <w:sz w:val="20"/>
                <w:szCs w:val="20"/>
                <w:color w:val="auto"/>
              </w:rPr>
            </w:pPr>
            <w:r>
              <w:rPr>
                <w:rFonts w:ascii="MS PGothic" w:cs="MS PGothic" w:eastAsia="MS PGothic" w:hAnsi="MS PGothic"/>
                <w:sz w:val="16"/>
                <w:szCs w:val="16"/>
                <w:color w:val="83AD40"/>
              </w:rPr>
              <w:t>✓</w:t>
            </w:r>
            <w:r>
              <w:rPr>
                <w:rFonts w:ascii="Arial" w:cs="Arial" w:eastAsia="Arial" w:hAnsi="Arial"/>
                <w:sz w:val="16"/>
                <w:szCs w:val="16"/>
                <w:color w:val="auto"/>
              </w:rPr>
              <w:t xml:space="preserve"> Updated CEO annual incentive to be 100%</w:t>
            </w:r>
          </w:p>
        </w:tc>
        <w:tc>
          <w:tcPr>
            <w:tcW w:w="4060" w:type="dxa"/>
            <w:vAlign w:val="bottom"/>
            <w:gridSpan w:val="2"/>
          </w:tcPr>
          <w:p>
            <w:pPr>
              <w:ind w:left="220"/>
              <w:spacing w:after="0" w:line="184" w:lineRule="exact"/>
              <w:rPr>
                <w:sz w:val="20"/>
                <w:szCs w:val="20"/>
                <w:color w:val="auto"/>
              </w:rPr>
            </w:pPr>
            <w:r>
              <w:rPr>
                <w:rFonts w:ascii="MS PGothic" w:cs="MS PGothic" w:eastAsia="MS PGothic" w:hAnsi="MS PGothic"/>
                <w:sz w:val="16"/>
                <w:szCs w:val="16"/>
                <w:color w:val="83AD40"/>
              </w:rPr>
              <w:t>✓</w:t>
            </w:r>
            <w:r>
              <w:rPr>
                <w:rFonts w:ascii="Arial" w:cs="Arial" w:eastAsia="Arial" w:hAnsi="Arial"/>
                <w:sz w:val="16"/>
                <w:szCs w:val="16"/>
                <w:b w:val="1"/>
                <w:bCs w:val="1"/>
                <w:color w:val="auto"/>
              </w:rPr>
              <w:t xml:space="preserve"> Up to 100% of annual incentive may be paid in</w:t>
            </w:r>
          </w:p>
        </w:tc>
      </w:tr>
      <w:tr>
        <w:trPr>
          <w:trHeight w:val="189"/>
        </w:trPr>
        <w:tc>
          <w:tcPr>
            <w:tcW w:w="4440" w:type="dxa"/>
            <w:vAlign w:val="bottom"/>
          </w:tcPr>
          <w:p>
            <w:pPr>
              <w:ind w:left="880"/>
              <w:spacing w:after="0"/>
              <w:rPr>
                <w:sz w:val="20"/>
                <w:szCs w:val="20"/>
                <w:color w:val="auto"/>
              </w:rPr>
            </w:pPr>
            <w:r>
              <w:rPr>
                <w:rFonts w:ascii="Arial" w:cs="Arial" w:eastAsia="Arial" w:hAnsi="Arial"/>
                <w:sz w:val="16"/>
                <w:szCs w:val="16"/>
                <w:color w:val="auto"/>
              </w:rPr>
              <w:t>formulaic and CFO annual incentive to be 60%</w:t>
            </w:r>
          </w:p>
        </w:tc>
        <w:tc>
          <w:tcPr>
            <w:tcW w:w="400" w:type="dxa"/>
            <w:vAlign w:val="bottom"/>
          </w:tcPr>
          <w:p>
            <w:pPr>
              <w:spacing w:after="0"/>
              <w:rPr>
                <w:sz w:val="16"/>
                <w:szCs w:val="16"/>
                <w:color w:val="auto"/>
              </w:rPr>
            </w:pPr>
          </w:p>
        </w:tc>
        <w:tc>
          <w:tcPr>
            <w:tcW w:w="3660" w:type="dxa"/>
            <w:vAlign w:val="bottom"/>
          </w:tcPr>
          <w:p>
            <w:pPr>
              <w:ind w:left="40"/>
              <w:spacing w:after="0"/>
              <w:rPr>
                <w:sz w:val="20"/>
                <w:szCs w:val="20"/>
                <w:color w:val="auto"/>
              </w:rPr>
            </w:pPr>
            <w:r>
              <w:rPr>
                <w:rFonts w:ascii="Arial" w:cs="Arial" w:eastAsia="Arial" w:hAnsi="Arial"/>
                <w:sz w:val="16"/>
                <w:szCs w:val="16"/>
                <w:b w:val="1"/>
                <w:bCs w:val="1"/>
                <w:color w:val="auto"/>
              </w:rPr>
              <w:t>equity that still remains subject to a three-year</w:t>
            </w:r>
          </w:p>
        </w:tc>
      </w:tr>
      <w:tr>
        <w:trPr>
          <w:trHeight w:val="218"/>
        </w:trPr>
        <w:tc>
          <w:tcPr>
            <w:tcW w:w="4440" w:type="dxa"/>
            <w:vAlign w:val="bottom"/>
          </w:tcPr>
          <w:p>
            <w:pPr>
              <w:ind w:left="880"/>
              <w:spacing w:after="0"/>
              <w:rPr>
                <w:sz w:val="20"/>
                <w:szCs w:val="20"/>
                <w:color w:val="auto"/>
              </w:rPr>
            </w:pPr>
            <w:r>
              <w:rPr>
                <w:rFonts w:ascii="Arial" w:cs="Arial" w:eastAsia="Arial" w:hAnsi="Arial"/>
                <w:sz w:val="16"/>
                <w:szCs w:val="16"/>
                <w:color w:val="auto"/>
                <w:w w:val="98"/>
              </w:rPr>
              <w:t>formulaic based on Company performance against</w:t>
            </w:r>
          </w:p>
        </w:tc>
        <w:tc>
          <w:tcPr>
            <w:tcW w:w="400" w:type="dxa"/>
            <w:vAlign w:val="bottom"/>
          </w:tcPr>
          <w:p>
            <w:pPr>
              <w:spacing w:after="0"/>
              <w:rPr>
                <w:sz w:val="18"/>
                <w:szCs w:val="18"/>
                <w:color w:val="auto"/>
              </w:rPr>
            </w:pPr>
          </w:p>
        </w:tc>
        <w:tc>
          <w:tcPr>
            <w:tcW w:w="3660" w:type="dxa"/>
            <w:vAlign w:val="bottom"/>
          </w:tcPr>
          <w:p>
            <w:pPr>
              <w:ind w:left="40"/>
              <w:spacing w:after="0"/>
              <w:rPr>
                <w:sz w:val="20"/>
                <w:szCs w:val="20"/>
                <w:color w:val="auto"/>
              </w:rPr>
            </w:pPr>
            <w:r>
              <w:rPr>
                <w:rFonts w:ascii="Arial" w:cs="Arial" w:eastAsia="Arial" w:hAnsi="Arial"/>
                <w:sz w:val="16"/>
                <w:szCs w:val="16"/>
                <w:b w:val="1"/>
                <w:bCs w:val="1"/>
                <w:color w:val="auto"/>
              </w:rPr>
              <w:t>no-sell restriction</w:t>
            </w:r>
          </w:p>
        </w:tc>
      </w:tr>
    </w:tbl>
    <w:p>
      <w:pPr>
        <w:ind w:left="880"/>
        <w:spacing w:after="0"/>
        <w:rPr>
          <w:sz w:val="20"/>
          <w:szCs w:val="20"/>
          <w:color w:val="auto"/>
        </w:rPr>
      </w:pPr>
      <w:r>
        <w:rPr>
          <w:rFonts w:ascii="Arial" w:cs="Arial" w:eastAsia="Arial" w:hAnsi="Arial"/>
          <w:sz w:val="16"/>
          <w:szCs w:val="16"/>
          <w:color w:val="auto"/>
        </w:rPr>
        <w:t>preset goals</w:t>
      </w:r>
    </w:p>
    <w:p>
      <w:pPr>
        <w:spacing w:after="0" w:line="21" w:lineRule="exact"/>
        <w:rPr>
          <w:sz w:val="20"/>
          <w:szCs w:val="20"/>
          <w:color w:val="auto"/>
        </w:rPr>
      </w:pPr>
    </w:p>
    <w:p>
      <w:pPr>
        <w:sectPr>
          <w:pgSz w:w="11900" w:h="16838" w:orient="portrait"/>
          <w:cols w:equalWidth="0" w:num="2">
            <w:col w:w="1280" w:space="40"/>
            <w:col w:w="8620"/>
          </w:cols>
          <w:pgMar w:left="580" w:top="97" w:right="1379" w:bottom="1440" w:gutter="0" w:footer="0" w:header="0"/>
          <w:type w:val="continuous"/>
        </w:sectPr>
      </w:pPr>
    </w:p>
    <w:p>
      <w:pPr>
        <w:spacing w:after="0" w:line="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w:t>
      </w:r>
    </w:p>
    <w:p>
      <w:pPr>
        <w:spacing w:after="0" w:line="201" w:lineRule="exact"/>
        <w:rPr>
          <w:sz w:val="20"/>
          <w:szCs w:val="20"/>
          <w:color w:val="auto"/>
        </w:rPr>
      </w:pPr>
    </w:p>
    <w:tbl>
      <w:tblPr>
        <w:tblLayout w:type="fixed"/>
        <w:tblInd w:w="1207" w:type="dxa"/>
        <w:tblCellMar>
          <w:top w:w="0" w:type="dxa"/>
          <w:left w:w="0" w:type="dxa"/>
          <w:bottom w:w="0" w:type="dxa"/>
          <w:right w:w="0" w:type="dxa"/>
        </w:tblCellMar>
      </w:tblPr>
      <w:tr>
        <w:trPr>
          <w:trHeight w:val="680"/>
        </w:trPr>
        <w:tc>
          <w:tcPr>
            <w:tcW w:w="69" w:type="dxa"/>
            <w:vAlign w:val="bottom"/>
            <w:textDirection w:val="btLr"/>
          </w:tcPr>
          <w:p>
            <w:pPr>
              <w:spacing w:after="0"/>
              <w:rPr>
                <w:sz w:val="20"/>
                <w:szCs w:val="20"/>
                <w:color w:val="auto"/>
              </w:rPr>
            </w:pPr>
            <w:r>
              <w:rPr>
                <w:rFonts w:ascii="Arial" w:cs="Arial" w:eastAsia="Arial" w:hAnsi="Arial"/>
                <w:sz w:val="6"/>
                <w:szCs w:val="6"/>
                <w:b w:val="1"/>
                <w:bCs w:val="1"/>
                <w:color w:val="1F2668"/>
              </w:rPr>
              <w:t>term-(“LTI”)Incentives</w:t>
            </w:r>
          </w:p>
        </w:tc>
      </w:tr>
    </w:tbl>
    <w:p>
      <w:pPr>
        <w:spacing w:after="0" w:line="1" w:lineRule="exact"/>
        <w:rPr>
          <w:sz w:val="20"/>
          <w:szCs w:val="20"/>
          <w:color w:val="auto"/>
        </w:rPr>
      </w:pPr>
    </w:p>
    <w:tbl>
      <w:tblPr>
        <w:tblLayout w:type="fixed"/>
        <w:tblInd w:w="928" w:type="dxa"/>
        <w:tblCellMar>
          <w:top w:w="0" w:type="dxa"/>
          <w:left w:w="0" w:type="dxa"/>
          <w:bottom w:w="0" w:type="dxa"/>
          <w:right w:w="0" w:type="dxa"/>
        </w:tblCellMar>
      </w:tblPr>
      <w:tr>
        <w:trPr>
          <w:trHeight w:val="380"/>
        </w:trPr>
        <w:tc>
          <w:tcPr>
            <w:tcW w:w="172" w:type="dxa"/>
            <w:vAlign w:val="bottom"/>
            <w:textDirection w:val="btLr"/>
          </w:tcPr>
          <w:p>
            <w:pPr>
              <w:spacing w:after="0"/>
              <w:rPr>
                <w:sz w:val="20"/>
                <w:szCs w:val="20"/>
                <w:color w:val="auto"/>
              </w:rPr>
            </w:pPr>
            <w:r>
              <w:rPr>
                <w:rFonts w:ascii="Arial" w:cs="Arial" w:eastAsia="Arial" w:hAnsi="Arial"/>
                <w:sz w:val="15"/>
                <w:szCs w:val="15"/>
                <w:b w:val="1"/>
                <w:bCs w:val="1"/>
                <w:color w:val="1F2668"/>
              </w:rPr>
              <w:t>Long</w:t>
            </w:r>
          </w:p>
        </w:tc>
      </w:tr>
    </w:tbl>
    <w:p>
      <w:pPr>
        <w:spacing w:after="0" w:line="20" w:lineRule="exact"/>
        <w:rPr>
          <w:sz w:val="20"/>
          <w:szCs w:val="20"/>
          <w:color w:val="auto"/>
        </w:rPr>
      </w:pPr>
      <w:r>
        <w:rPr>
          <w:sz w:val="20"/>
          <w:szCs w:val="20"/>
          <w:color w:val="auto"/>
        </w:rPr>
        <w:br w:type="column"/>
      </w:r>
    </w:p>
    <w:p>
      <w:pPr>
        <w:spacing w:after="0" w:line="164" w:lineRule="exact"/>
        <w:tabs>
          <w:tab w:leader="none" w:pos="320" w:val="left"/>
          <w:tab w:leader="none" w:pos="6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MS PGothic" w:cs="MS PGothic" w:eastAsia="MS PGothic" w:hAnsi="MS PGothic"/>
          <w:sz w:val="15"/>
          <w:szCs w:val="15"/>
          <w:color w:val="83AD40"/>
        </w:rPr>
        <w:t xml:space="preserve">✓ </w:t>
      </w:r>
      <w:r>
        <w:rPr>
          <w:rFonts w:ascii="Arial" w:cs="Arial" w:eastAsia="Arial" w:hAnsi="Arial"/>
          <w:sz w:val="15"/>
          <w:szCs w:val="15"/>
          <w:color w:val="000000"/>
        </w:rPr>
        <w:t>Eliminated retesting and guaranteed equity grants</w:t>
      </w:r>
    </w:p>
    <w:p>
      <w:pPr>
        <w:spacing w:after="0" w:line="95" w:lineRule="exact"/>
        <w:rPr>
          <w:sz w:val="20"/>
          <w:szCs w:val="20"/>
          <w:color w:val="auto"/>
        </w:rPr>
      </w:pPr>
    </w:p>
    <w:p>
      <w:pPr>
        <w:jc w:val="both"/>
        <w:ind w:left="880" w:right="480" w:hanging="223"/>
        <w:spacing w:after="0" w:line="254" w:lineRule="auto"/>
        <w:tabs>
          <w:tab w:leader="none" w:pos="880" w:val="left"/>
        </w:tabs>
        <w:numPr>
          <w:ilvl w:val="0"/>
          <w:numId w:val="12"/>
        </w:numPr>
        <w:rPr>
          <w:rFonts w:ascii="MS PGothic" w:cs="MS PGothic" w:eastAsia="MS PGothic" w:hAnsi="MS PGothic"/>
          <w:sz w:val="16"/>
          <w:szCs w:val="16"/>
          <w:color w:val="83AD40"/>
        </w:rPr>
      </w:pPr>
      <w:r>
        <w:rPr>
          <w:rFonts w:ascii="Arial" w:cs="Arial" w:eastAsia="Arial" w:hAnsi="Arial"/>
          <w:sz w:val="16"/>
          <w:szCs w:val="16"/>
          <w:color w:val="auto"/>
        </w:rPr>
        <w:t>Added 3-year Absolute TSR modifier to LTI performance equity underpinned by annual operating goals</w:t>
      </w:r>
    </w:p>
    <w:p>
      <w:pPr>
        <w:spacing w:after="0" w:line="36" w:lineRule="exact"/>
        <w:rPr>
          <w:rFonts w:ascii="MS PGothic" w:cs="MS PGothic" w:eastAsia="MS PGothic" w:hAnsi="MS PGothic"/>
          <w:sz w:val="16"/>
          <w:szCs w:val="16"/>
          <w:color w:val="83AD40"/>
        </w:rPr>
      </w:pPr>
    </w:p>
    <w:p>
      <w:pPr>
        <w:ind w:left="880" w:hanging="223"/>
        <w:spacing w:after="0"/>
        <w:tabs>
          <w:tab w:leader="none" w:pos="880" w:val="left"/>
        </w:tabs>
        <w:numPr>
          <w:ilvl w:val="0"/>
          <w:numId w:val="12"/>
        </w:numPr>
        <w:rPr>
          <w:rFonts w:ascii="MS PGothic" w:cs="MS PGothic" w:eastAsia="MS PGothic" w:hAnsi="MS PGothic"/>
          <w:sz w:val="16"/>
          <w:szCs w:val="16"/>
          <w:color w:val="83AD40"/>
        </w:rPr>
      </w:pPr>
      <w:r>
        <w:rPr>
          <w:rFonts w:ascii="Arial" w:cs="Arial" w:eastAsia="Arial" w:hAnsi="Arial"/>
          <w:sz w:val="16"/>
          <w:szCs w:val="16"/>
          <w:color w:val="auto"/>
        </w:rPr>
        <w:t>Added 3-year Relative TSR for 50% of LTIP</w:t>
      </w:r>
    </w:p>
    <w:p>
      <w:pPr>
        <w:spacing w:after="0" w:line="52" w:lineRule="exact"/>
        <w:rPr>
          <w:rFonts w:ascii="MS PGothic" w:cs="MS PGothic" w:eastAsia="MS PGothic" w:hAnsi="MS PGothic"/>
          <w:sz w:val="16"/>
          <w:szCs w:val="16"/>
          <w:color w:val="83AD40"/>
        </w:rPr>
      </w:pPr>
    </w:p>
    <w:p>
      <w:pPr>
        <w:ind w:left="880" w:right="40" w:hanging="223"/>
        <w:spacing w:after="0" w:line="253" w:lineRule="auto"/>
        <w:tabs>
          <w:tab w:leader="none" w:pos="880" w:val="left"/>
        </w:tabs>
        <w:numPr>
          <w:ilvl w:val="0"/>
          <w:numId w:val="12"/>
        </w:numPr>
        <w:rPr>
          <w:rFonts w:ascii="MS PGothic" w:cs="MS PGothic" w:eastAsia="MS PGothic" w:hAnsi="MS PGothic"/>
          <w:sz w:val="16"/>
          <w:szCs w:val="16"/>
          <w:color w:val="83AD40"/>
        </w:rPr>
      </w:pPr>
      <w:r>
        <w:rPr>
          <w:rFonts w:ascii="Arial" w:cs="Arial" w:eastAsia="Arial" w:hAnsi="Arial"/>
          <w:sz w:val="16"/>
          <w:szCs w:val="16"/>
          <w:color w:val="auto"/>
        </w:rPr>
        <w:t>Implemented vesting cap for Relative TSR-based LTI performance equity</w:t>
      </w:r>
    </w:p>
    <w:p>
      <w:pPr>
        <w:spacing w:after="0" w:line="36" w:lineRule="exact"/>
        <w:rPr>
          <w:rFonts w:ascii="MS PGothic" w:cs="MS PGothic" w:eastAsia="MS PGothic" w:hAnsi="MS PGothic"/>
          <w:sz w:val="16"/>
          <w:szCs w:val="16"/>
          <w:color w:val="83AD40"/>
        </w:rPr>
      </w:pPr>
    </w:p>
    <w:p>
      <w:pPr>
        <w:ind w:left="880" w:right="140" w:hanging="223"/>
        <w:spacing w:after="0" w:line="279" w:lineRule="auto"/>
        <w:tabs>
          <w:tab w:leader="none" w:pos="880" w:val="left"/>
        </w:tabs>
        <w:numPr>
          <w:ilvl w:val="0"/>
          <w:numId w:val="12"/>
        </w:numPr>
        <w:rPr>
          <w:rFonts w:ascii="MS PGothic" w:cs="MS PGothic" w:eastAsia="MS PGothic" w:hAnsi="MS PGothic"/>
          <w:sz w:val="16"/>
          <w:szCs w:val="16"/>
          <w:color w:val="83AD40"/>
        </w:rPr>
      </w:pPr>
      <w:r>
        <w:rPr>
          <w:rFonts w:ascii="Arial" w:cs="Arial" w:eastAsia="Arial" w:hAnsi="Arial"/>
          <w:sz w:val="16"/>
          <w:szCs w:val="16"/>
          <w:b w:val="1"/>
          <w:bCs w:val="1"/>
          <w:color w:val="auto"/>
        </w:rPr>
        <w:t>Eliminated short-term performance goals for all LTI performance equity (2025)</w:t>
      </w:r>
    </w:p>
    <w:p>
      <w:pPr>
        <w:spacing w:after="0" w:line="20" w:lineRule="exact"/>
        <w:rPr>
          <w:sz w:val="20"/>
          <w:szCs w:val="20"/>
          <w:color w:val="auto"/>
        </w:rPr>
      </w:pPr>
      <w:r>
        <w:rPr>
          <w:sz w:val="20"/>
          <w:szCs w:val="20"/>
          <w:color w:val="auto"/>
        </w:rPr>
        <w:br w:type="column"/>
      </w:r>
    </w:p>
    <w:p>
      <w:pPr>
        <w:ind w:left="109" w:hanging="109"/>
        <w:spacing w:after="0" w:line="184" w:lineRule="exact"/>
        <w:tabs>
          <w:tab w:leader="none" w:pos="109"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 </w:t>
      </w:r>
      <w:r>
        <w:rPr>
          <w:rFonts w:ascii="MS PGothic" w:cs="MS PGothic" w:eastAsia="MS PGothic" w:hAnsi="MS PGothic"/>
          <w:sz w:val="16"/>
          <w:szCs w:val="16"/>
          <w:color w:val="83AD40"/>
        </w:rPr>
        <w:t>✓</w:t>
      </w:r>
    </w:p>
    <w:p>
      <w:pPr>
        <w:spacing w:after="0" w:line="200" w:lineRule="exact"/>
        <w:rPr>
          <w:rFonts w:ascii="Arial" w:cs="Arial" w:eastAsia="Arial" w:hAnsi="Arial"/>
          <w:sz w:val="16"/>
          <w:szCs w:val="16"/>
          <w:color w:val="auto"/>
        </w:rPr>
      </w:pPr>
    </w:p>
    <w:p>
      <w:pPr>
        <w:spacing w:after="0" w:line="223" w:lineRule="exact"/>
        <w:rPr>
          <w:rFonts w:ascii="Arial" w:cs="Arial" w:eastAsia="Arial" w:hAnsi="Arial"/>
          <w:sz w:val="16"/>
          <w:szCs w:val="16"/>
          <w:color w:val="auto"/>
        </w:rPr>
      </w:pPr>
    </w:p>
    <w:p>
      <w:pPr>
        <w:ind w:left="209"/>
        <w:spacing w:after="0" w:line="141" w:lineRule="exact"/>
        <w:rPr>
          <w:rFonts w:ascii="Arial" w:cs="Arial" w:eastAsia="Arial" w:hAnsi="Arial"/>
          <w:sz w:val="16"/>
          <w:szCs w:val="16"/>
          <w:color w:val="auto"/>
        </w:rPr>
      </w:pPr>
      <w:r>
        <w:rPr>
          <w:rFonts w:ascii="MS PGothic" w:cs="MS PGothic" w:eastAsia="MS PGothic" w:hAnsi="MS PGothic"/>
          <w:sz w:val="14"/>
          <w:szCs w:val="14"/>
          <w:color w:val="83AD40"/>
        </w:rPr>
        <w:t>✓</w:t>
      </w:r>
    </w:p>
    <w:p>
      <w:pPr>
        <w:spacing w:after="0" w:line="20" w:lineRule="exact"/>
        <w:rPr>
          <w:sz w:val="20"/>
          <w:szCs w:val="20"/>
          <w:color w:val="auto"/>
        </w:rPr>
      </w:pPr>
      <w:r>
        <w:rPr>
          <w:sz w:val="20"/>
          <w:szCs w:val="20"/>
          <w:color w:val="auto"/>
        </w:rPr>
        <w:br w:type="column"/>
      </w:r>
    </w:p>
    <w:p>
      <w:pPr>
        <w:ind w:right="120"/>
        <w:spacing w:after="0" w:line="275" w:lineRule="auto"/>
        <w:rPr>
          <w:sz w:val="20"/>
          <w:szCs w:val="20"/>
          <w:color w:val="auto"/>
        </w:rPr>
      </w:pPr>
      <w:r>
        <w:rPr>
          <w:rFonts w:ascii="Arial" w:cs="Arial" w:eastAsia="Arial" w:hAnsi="Arial"/>
          <w:sz w:val="16"/>
          <w:szCs w:val="16"/>
          <w:b w:val="1"/>
          <w:bCs w:val="1"/>
          <w:color w:val="auto"/>
        </w:rPr>
        <w:t xml:space="preserve">Greater than 60% of CEO’s target equity </w:t>
      </w:r>
      <w:r>
        <w:rPr>
          <w:rFonts w:ascii="Arial" w:cs="Arial" w:eastAsia="Arial" w:hAnsi="Arial"/>
          <w:sz w:val="16"/>
          <w:szCs w:val="16"/>
          <w:color w:val="auto"/>
        </w:rPr>
        <w:t>​</w:t>
      </w:r>
      <w:r>
        <w:rPr>
          <w:rFonts w:ascii="Arial" w:cs="Arial" w:eastAsia="Arial" w:hAnsi="Arial"/>
          <w:sz w:val="16"/>
          <w:szCs w:val="16"/>
          <w:b w:val="1"/>
          <w:bCs w:val="1"/>
          <w:color w:val="auto"/>
        </w:rPr>
        <w:t xml:space="preserve"> incentives are in the form of performance-based equity incentives</w:t>
      </w:r>
    </w:p>
    <w:p>
      <w:pPr>
        <w:spacing w:after="0" w:line="2" w:lineRule="exact"/>
        <w:rPr>
          <w:sz w:val="20"/>
          <w:szCs w:val="20"/>
          <w:color w:val="auto"/>
        </w:rPr>
      </w:pPr>
    </w:p>
    <w:p>
      <w:pPr>
        <w:jc w:val="both"/>
        <w:ind w:right="260"/>
        <w:spacing w:after="0" w:line="271" w:lineRule="auto"/>
        <w:rPr>
          <w:sz w:val="20"/>
          <w:szCs w:val="20"/>
          <w:color w:val="auto"/>
        </w:rPr>
      </w:pPr>
      <w:r>
        <w:rPr>
          <w:rFonts w:ascii="Arial" w:cs="Arial" w:eastAsia="Arial" w:hAnsi="Arial"/>
          <w:sz w:val="16"/>
          <w:szCs w:val="16"/>
          <w:b w:val="1"/>
          <w:bCs w:val="1"/>
          <w:color w:val="auto"/>
        </w:rPr>
        <w:t>No short-term performance goals in CEO’s LTI performance awards in line with commitment to stockholders</w:t>
      </w:r>
    </w:p>
    <w:p>
      <w:pPr>
        <w:spacing w:after="0" w:line="815" w:lineRule="exact"/>
        <w:rPr>
          <w:sz w:val="20"/>
          <w:szCs w:val="20"/>
          <w:color w:val="auto"/>
        </w:rPr>
      </w:pPr>
    </w:p>
    <w:p>
      <w:pPr>
        <w:sectPr>
          <w:pgSz w:w="11900" w:h="16838" w:orient="portrait"/>
          <w:cols w:equalWidth="0" w:num="4">
            <w:col w:w="1280" w:space="40"/>
            <w:col w:w="4380" w:space="71"/>
            <w:col w:w="349" w:space="80"/>
            <w:col w:w="3740"/>
          </w:cols>
          <w:pgMar w:left="580" w:top="97" w:right="1379" w:bottom="1440" w:gutter="0" w:footer="0" w:header="0"/>
          <w:type w:val="continuous"/>
        </w:sectPr>
      </w:pPr>
    </w:p>
    <w:tbl>
      <w:tblPr>
        <w:tblLayout w:type="fixed"/>
        <w:tblInd w:w="820" w:type="dxa"/>
        <w:tblCellMar>
          <w:top w:w="0" w:type="dxa"/>
          <w:left w:w="0" w:type="dxa"/>
          <w:bottom w:w="0" w:type="dxa"/>
          <w:right w:w="0" w:type="dxa"/>
        </w:tblCellMar>
      </w:tblPr>
      <w:tr>
        <w:trPr>
          <w:trHeight w:val="207"/>
        </w:trPr>
        <w:tc>
          <w:tcPr>
            <w:tcW w:w="120" w:type="dxa"/>
            <w:vAlign w:val="bottom"/>
            <w:tcBorders>
              <w:top w:val="single" w:sz="8" w:color="1F2668"/>
            </w:tcBorders>
          </w:tcPr>
          <w:p>
            <w:pPr>
              <w:spacing w:after="0"/>
              <w:rPr>
                <w:sz w:val="20"/>
                <w:szCs w:val="20"/>
                <w:color w:val="auto"/>
              </w:rPr>
            </w:pPr>
            <w:r>
              <w:rPr>
                <w:rFonts w:ascii="Arial" w:cs="Arial" w:eastAsia="Arial" w:hAnsi="Arial"/>
                <w:sz w:val="16"/>
                <w:szCs w:val="16"/>
                <w:b w:val="1"/>
                <w:bCs w:val="1"/>
                <w:color w:val="auto"/>
              </w:rPr>
              <w:t>​</w:t>
            </w:r>
          </w:p>
        </w:tc>
        <w:tc>
          <w:tcPr>
            <w:tcW w:w="320" w:type="dxa"/>
            <w:vAlign w:val="bottom"/>
            <w:tcBorders>
              <w:top w:val="single" w:sz="8" w:color="1F2668"/>
            </w:tcBorders>
          </w:tcPr>
          <w:p>
            <w:pPr>
              <w:spacing w:after="0"/>
              <w:rPr>
                <w:sz w:val="17"/>
                <w:szCs w:val="17"/>
                <w:color w:val="auto"/>
              </w:rPr>
            </w:pPr>
          </w:p>
        </w:tc>
        <w:tc>
          <w:tcPr>
            <w:tcW w:w="900" w:type="dxa"/>
            <w:vAlign w:val="bottom"/>
            <w:tcBorders>
              <w:top w:val="single" w:sz="8" w:color="1F2668"/>
            </w:tcBorders>
          </w:tcPr>
          <w:p>
            <w:pPr>
              <w:ind w:left="60"/>
              <w:spacing w:after="0" w:line="184" w:lineRule="exact"/>
              <w:rPr>
                <w:sz w:val="20"/>
                <w:szCs w:val="20"/>
                <w:color w:val="auto"/>
              </w:rPr>
            </w:pPr>
            <w:r>
              <w:rPr>
                <w:rFonts w:ascii="Arial" w:cs="Arial" w:eastAsia="Arial" w:hAnsi="Arial"/>
                <w:sz w:val="16"/>
                <w:szCs w:val="16"/>
                <w:b w:val="1"/>
                <w:bCs w:val="1"/>
                <w:color w:val="auto"/>
              </w:rPr>
              <w:t xml:space="preserve">​   ​   </w:t>
            </w:r>
            <w:r>
              <w:rPr>
                <w:rFonts w:ascii="MS PGothic" w:cs="MS PGothic" w:eastAsia="MS PGothic" w:hAnsi="MS PGothic"/>
                <w:sz w:val="16"/>
                <w:szCs w:val="16"/>
                <w:color w:val="83AD40"/>
              </w:rPr>
              <w:t>✓</w:t>
            </w:r>
          </w:p>
        </w:tc>
        <w:tc>
          <w:tcPr>
            <w:tcW w:w="3540" w:type="dxa"/>
            <w:vAlign w:val="bottom"/>
            <w:tcBorders>
              <w:top w:val="single" w:sz="8" w:color="1F2668"/>
            </w:tcBorders>
          </w:tcPr>
          <w:p>
            <w:pPr>
              <w:ind w:left="40"/>
              <w:spacing w:after="0"/>
              <w:rPr>
                <w:sz w:val="20"/>
                <w:szCs w:val="20"/>
                <w:color w:val="auto"/>
              </w:rPr>
            </w:pPr>
            <w:r>
              <w:rPr>
                <w:rFonts w:ascii="Arial" w:cs="Arial" w:eastAsia="Arial" w:hAnsi="Arial"/>
                <w:sz w:val="16"/>
                <w:szCs w:val="16"/>
                <w:color w:val="auto"/>
              </w:rPr>
              <w:t>Eliminated automobile benefits for NEOs</w:t>
            </w:r>
          </w:p>
        </w:tc>
        <w:tc>
          <w:tcPr>
            <w:tcW w:w="3480" w:type="dxa"/>
            <w:vAlign w:val="bottom"/>
            <w:tcBorders>
              <w:top w:val="single" w:sz="8" w:color="1F2668"/>
            </w:tcBorders>
          </w:tcPr>
          <w:p>
            <w:pPr>
              <w:ind w:left="80"/>
              <w:spacing w:after="0" w:line="184" w:lineRule="exact"/>
              <w:rPr>
                <w:sz w:val="20"/>
                <w:szCs w:val="20"/>
                <w:color w:val="auto"/>
              </w:rPr>
            </w:pPr>
            <w:r>
              <w:rPr>
                <w:rFonts w:ascii="Arial" w:cs="Arial" w:eastAsia="Arial" w:hAnsi="Arial"/>
                <w:sz w:val="16"/>
                <w:szCs w:val="16"/>
                <w:b w:val="1"/>
                <w:bCs w:val="1"/>
                <w:color w:val="auto"/>
              </w:rPr>
              <w:t xml:space="preserve">​ ​ </w:t>
            </w:r>
            <w:r>
              <w:rPr>
                <w:rFonts w:ascii="MS PGothic" w:cs="MS PGothic" w:eastAsia="MS PGothic" w:hAnsi="MS PGothic"/>
                <w:sz w:val="16"/>
                <w:szCs w:val="16"/>
                <w:color w:val="83AD40"/>
              </w:rPr>
              <w:t>✓</w:t>
            </w:r>
            <w:r>
              <w:rPr>
                <w:rFonts w:ascii="Arial" w:cs="Arial" w:eastAsia="Arial" w:hAnsi="Arial"/>
                <w:sz w:val="16"/>
                <w:szCs w:val="16"/>
                <w:b w:val="1"/>
                <w:bCs w:val="1"/>
                <w:color w:val="auto"/>
              </w:rPr>
              <w:t xml:space="preserve"> No excessive benefits for NEOs</w:t>
            </w:r>
          </w:p>
        </w:tc>
        <w:tc>
          <w:tcPr>
            <w:tcW w:w="700" w:type="dxa"/>
            <w:vAlign w:val="bottom"/>
            <w:tcBorders>
              <w:top w:val="single" w:sz="8" w:color="1F2668"/>
            </w:tcBorders>
          </w:tcPr>
          <w:p>
            <w:pPr>
              <w:ind w:left="60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1"/>
        </w:trPr>
        <w:tc>
          <w:tcPr>
            <w:tcW w:w="120" w:type="dxa"/>
            <w:vAlign w:val="bottom"/>
          </w:tcPr>
          <w:p>
            <w:pPr>
              <w:spacing w:after="0"/>
              <w:rPr>
                <w:sz w:val="18"/>
                <w:szCs w:val="18"/>
                <w:color w:val="auto"/>
              </w:rPr>
            </w:pPr>
          </w:p>
        </w:tc>
        <w:tc>
          <w:tcPr>
            <w:tcW w:w="320" w:type="dxa"/>
            <w:vAlign w:val="bottom"/>
            <w:vMerge w:val="restart"/>
            <w:textDirection w:val="btLr"/>
          </w:tcPr>
          <w:p>
            <w:pPr>
              <w:ind w:left="115"/>
              <w:spacing w:after="0"/>
              <w:rPr>
                <w:sz w:val="20"/>
                <w:szCs w:val="20"/>
                <w:color w:val="auto"/>
              </w:rPr>
            </w:pPr>
            <w:r>
              <w:rPr>
                <w:rFonts w:ascii="Arial" w:cs="Arial" w:eastAsia="Arial" w:hAnsi="Arial"/>
                <w:sz w:val="16"/>
                <w:szCs w:val="16"/>
                <w:b w:val="1"/>
                <w:bCs w:val="1"/>
                <w:color w:val="1F2668"/>
                <w:w w:val="84"/>
              </w:rPr>
              <w:t>Other</w:t>
            </w:r>
          </w:p>
        </w:tc>
        <w:tc>
          <w:tcPr>
            <w:tcW w:w="4440" w:type="dxa"/>
            <w:vAlign w:val="bottom"/>
            <w:gridSpan w:val="2"/>
          </w:tcPr>
          <w:p>
            <w:pPr>
              <w:ind w:left="720"/>
              <w:spacing w:after="0" w:line="184" w:lineRule="exact"/>
              <w:rPr>
                <w:sz w:val="20"/>
                <w:szCs w:val="20"/>
                <w:color w:val="auto"/>
              </w:rPr>
            </w:pPr>
            <w:r>
              <w:rPr>
                <w:rFonts w:ascii="MS PGothic" w:cs="MS PGothic" w:eastAsia="MS PGothic" w:hAnsi="MS PGothic"/>
                <w:sz w:val="16"/>
                <w:szCs w:val="16"/>
                <w:color w:val="83AD40"/>
              </w:rPr>
              <w:t>✓</w:t>
            </w:r>
            <w:r>
              <w:rPr>
                <w:rFonts w:ascii="Arial" w:cs="Arial" w:eastAsia="Arial" w:hAnsi="Arial"/>
                <w:sz w:val="16"/>
                <w:szCs w:val="16"/>
                <w:b w:val="1"/>
                <w:bCs w:val="1"/>
                <w:color w:val="auto"/>
              </w:rPr>
              <w:t xml:space="preserve"> Modified cash severance to average bonus in</w:t>
            </w:r>
          </w:p>
        </w:tc>
        <w:tc>
          <w:tcPr>
            <w:tcW w:w="3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2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35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prior two years (from maximum bonus) for</w:t>
            </w:r>
          </w:p>
        </w:tc>
        <w:tc>
          <w:tcPr>
            <w:tcW w:w="3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540" w:type="dxa"/>
            <w:vAlign w:val="bottom"/>
            <w:vMerge w:val="continue"/>
          </w:tcPr>
          <w:p>
            <w:pPr>
              <w:spacing w:after="0"/>
              <w:rPr>
                <w:sz w:val="3"/>
                <w:szCs w:val="3"/>
                <w:color w:val="auto"/>
              </w:rPr>
            </w:pPr>
          </w:p>
        </w:tc>
        <w:tc>
          <w:tcPr>
            <w:tcW w:w="3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2200"/>
        <w:spacing w:after="0" w:line="228" w:lineRule="auto"/>
        <w:rPr>
          <w:sz w:val="20"/>
          <w:szCs w:val="20"/>
          <w:color w:val="auto"/>
        </w:rPr>
      </w:pPr>
      <w:r>
        <w:rPr>
          <w:rFonts w:ascii="Arial" w:cs="Arial" w:eastAsia="Arial" w:hAnsi="Arial"/>
          <w:sz w:val="16"/>
          <w:szCs w:val="16"/>
          <w:b w:val="1"/>
          <w:bCs w:val="1"/>
          <w:color w:val="auto"/>
        </w:rPr>
        <w:t>non-CIC Termination without Cause or for</w:t>
      </w:r>
    </w:p>
    <w:p>
      <w:pPr>
        <w:spacing w:after="0" w:line="1" w:lineRule="exact"/>
        <w:rPr>
          <w:sz w:val="20"/>
          <w:szCs w:val="20"/>
          <w:color w:val="auto"/>
        </w:rPr>
      </w:pPr>
    </w:p>
    <w:p>
      <w:pPr>
        <w:ind w:left="2200"/>
        <w:spacing w:after="0"/>
        <w:rPr>
          <w:sz w:val="20"/>
          <w:szCs w:val="20"/>
          <w:color w:val="auto"/>
        </w:rPr>
      </w:pPr>
      <w:r>
        <w:rPr>
          <w:rFonts w:ascii="Arial" w:cs="Arial" w:eastAsia="Arial" w:hAnsi="Arial"/>
          <w:sz w:val="16"/>
          <w:szCs w:val="16"/>
          <w:b w:val="1"/>
          <w:bCs w:val="1"/>
          <w:color w:val="auto"/>
        </w:rPr>
        <w:t>Good Reason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2638425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78" w:lineRule="exact"/>
        <w:rPr>
          <w:sz w:val="20"/>
          <w:szCs w:val="20"/>
          <w:color w:val="auto"/>
        </w:rPr>
      </w:pPr>
    </w:p>
    <w:p>
      <w:pPr>
        <w:ind w:left="820"/>
        <w:spacing w:after="0"/>
        <w:tabs>
          <w:tab w:leader="none" w:pos="1440" w:val="left"/>
          <w:tab w:leader="none" w:pos="9860" w:val="left"/>
        </w:tabs>
        <w:rPr>
          <w:sz w:val="20"/>
          <w:szCs w:val="20"/>
          <w:color w:val="auto"/>
        </w:rPr>
      </w:pPr>
      <w:r>
        <w:rPr>
          <w:rFonts w:ascii="Arial" w:cs="Arial" w:eastAsia="Arial" w:hAnsi="Arial"/>
          <w:sz w:val="22"/>
          <w:szCs w:val="22"/>
          <w:b w:val="1"/>
          <w:bCs w:val="1"/>
          <w:color w:val="1F2668"/>
        </w:rPr>
        <w:t>4​</w:t>
      </w:r>
      <w:r>
        <w:rPr>
          <w:sz w:val="20"/>
          <w:szCs w:val="20"/>
          <w:color w:val="auto"/>
        </w:rPr>
        <w:tab/>
      </w:r>
      <w:r>
        <w:rPr>
          <w:rFonts w:ascii="Arial" w:cs="Arial" w:eastAsia="Arial" w:hAnsi="Arial"/>
          <w:sz w:val="22"/>
          <w:szCs w:val="22"/>
          <w:b w:val="1"/>
          <w:bCs w:val="1"/>
          <w:color w:val="1F2668"/>
        </w:rPr>
        <w:t xml:space="preserve">​ ​ </w:t>
      </w:r>
      <w:r>
        <w:rPr>
          <w:rFonts w:ascii="Arial" w:cs="Arial" w:eastAsia="Arial" w:hAnsi="Arial"/>
          <w:sz w:val="14"/>
          <w:szCs w:val="14"/>
          <w:b w:val="1"/>
          <w:bCs w:val="1"/>
          <w:color w:val="1F2668"/>
        </w:rPr>
        <w:t>SL GREEN REALTY CORP. 2025 PROXY STATEMENT</w:t>
      </w:r>
      <w:r>
        <w:rPr>
          <w:sz w:val="20"/>
          <w:szCs w:val="20"/>
          <w:color w:val="auto"/>
        </w:rPr>
        <w:tab/>
      </w:r>
      <w:r>
        <w:rPr>
          <w:rFonts w:ascii="Arial" w:cs="Arial" w:eastAsia="Arial" w:hAnsi="Arial"/>
          <w:sz w:val="22"/>
          <w:szCs w:val="22"/>
          <w:b w:val="1"/>
          <w:bCs w:val="1"/>
          <w:color w:val="1F2668"/>
        </w:rPr>
        <w:t>​</w:t>
      </w:r>
    </w:p>
    <w:p>
      <w:pPr>
        <w:spacing w:after="0" w:line="200" w:lineRule="exact"/>
        <w:rPr>
          <w:sz w:val="20"/>
          <w:szCs w:val="20"/>
          <w:color w:val="auto"/>
        </w:rPr>
      </w:pPr>
    </w:p>
    <w:p>
      <w:pPr>
        <w:spacing w:after="0" w:line="275" w:lineRule="exact"/>
        <w:rPr>
          <w:sz w:val="20"/>
          <w:szCs w:val="20"/>
          <w:color w:val="auto"/>
        </w:rPr>
      </w:pPr>
    </w:p>
    <w:p>
      <w:pPr>
        <w:ind w:left="820"/>
        <w:spacing w:after="0"/>
        <w:rPr>
          <w:sz w:val="20"/>
          <w:szCs w:val="20"/>
          <w:color w:val="auto"/>
        </w:rPr>
      </w:pPr>
      <w:r>
        <w:rPr>
          <w:rFonts w:ascii="Arial" w:cs="Arial" w:eastAsia="Arial" w:hAnsi="Arial"/>
          <w:sz w:val="38"/>
          <w:szCs w:val="38"/>
          <w:b w:val="1"/>
          <w:bCs w:val="1"/>
          <w:color w:val="1F2668"/>
        </w:rPr>
        <w:t>2025 PROXY STATEMENT HIGHLIGHTS</w:t>
      </w:r>
    </w:p>
    <w:p>
      <w:pPr>
        <w:spacing w:after="0" w:line="233" w:lineRule="exact"/>
        <w:rPr>
          <w:sz w:val="20"/>
          <w:szCs w:val="20"/>
          <w:color w:val="auto"/>
        </w:rPr>
      </w:pPr>
    </w:p>
    <w:p>
      <w:pPr>
        <w:ind w:left="820"/>
        <w:spacing w:after="0"/>
        <w:rPr>
          <w:sz w:val="20"/>
          <w:szCs w:val="20"/>
          <w:color w:val="auto"/>
        </w:rPr>
      </w:pPr>
      <w:r>
        <w:rPr>
          <w:rFonts w:ascii="Arial" w:cs="Arial" w:eastAsia="Arial" w:hAnsi="Arial"/>
          <w:sz w:val="29"/>
          <w:szCs w:val="29"/>
          <w:b w:val="1"/>
          <w:bCs w:val="1"/>
          <w:color w:val="83AD40"/>
        </w:rPr>
        <w:t>ROADMAP OF VOTING MATTERS</w:t>
      </w:r>
    </w:p>
    <w:p>
      <w:pPr>
        <w:sectPr>
          <w:pgSz w:w="11900" w:h="16838" w:orient="portrait"/>
          <w:cols w:equalWidth="0" w:num="1">
            <w:col w:w="9940"/>
          </w:cols>
          <w:pgMar w:left="580" w:top="97" w:right="1379" w:bottom="1440" w:gutter="0" w:footer="0" w:header="0"/>
        </w:sectPr>
      </w:pPr>
    </w:p>
    <w:p>
      <w:pPr>
        <w:spacing w:after="0" w:line="200" w:lineRule="exact"/>
        <w:rPr>
          <w:sz w:val="20"/>
          <w:szCs w:val="20"/>
          <w:color w:val="auto"/>
        </w:rPr>
      </w:pPr>
    </w:p>
    <w:p>
      <w:pPr>
        <w:ind w:left="920" w:hanging="104"/>
        <w:spacing w:after="0"/>
        <w:tabs>
          <w:tab w:leader="none" w:pos="920" w:val="left"/>
        </w:tabs>
        <w:numPr>
          <w:ilvl w:val="0"/>
          <w:numId w:val="14"/>
        </w:numPr>
        <w:rPr>
          <w:rFonts w:ascii="Arial" w:cs="Arial" w:eastAsia="Arial" w:hAnsi="Arial"/>
          <w:sz w:val="32"/>
          <w:szCs w:val="32"/>
          <w:color w:val="auto"/>
          <w:vertAlign w:val="superscript"/>
        </w:rPr>
      </w:pPr>
      <w:r>
        <w:rPr>
          <w:sz w:val="1"/>
          <w:szCs w:val="1"/>
          <w:color w:val="auto"/>
        </w:rPr>
        <w:drawing>
          <wp:inline distT="0" distB="0" distL="0" distR="0">
            <wp:extent cx="205740" cy="21463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5740" cy="214630"/>
                    </a:xfrm>
                    <a:prstGeom prst="rect">
                      <a:avLst/>
                    </a:prstGeom>
                    <a:noFill/>
                    <a:ln>
                      <a:noFill/>
                    </a:ln>
                  </pic:spPr>
                </pic:pic>
              </a:graphicData>
            </a:graphic>
          </wp:inline>
        </w:drawing>
      </w:r>
      <w:r>
        <w:rPr>
          <w:rFonts w:ascii="Arial" w:cs="Arial" w:eastAsia="Arial" w:hAnsi="Arial"/>
          <w:sz w:val="32"/>
          <w:szCs w:val="32"/>
          <w:color w:val="auto"/>
          <w:vertAlign w:val="superscript"/>
        </w:rPr>
        <w:t xml:space="preserve"> ​ ​ </w:t>
      </w:r>
      <w:r>
        <w:rPr>
          <w:rFonts w:ascii="Arial" w:cs="Arial" w:eastAsia="Arial" w:hAnsi="Arial"/>
          <w:sz w:val="23"/>
          <w:szCs w:val="23"/>
          <w:b w:val="1"/>
          <w:bCs w:val="1"/>
          <w:color w:val="1F2668"/>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-256540</wp:posOffset>
            </wp:positionV>
            <wp:extent cx="57607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15" w:lineRule="exact"/>
        <w:rPr>
          <w:sz w:val="20"/>
          <w:szCs w:val="20"/>
          <w:color w:val="auto"/>
        </w:rPr>
      </w:pPr>
    </w:p>
    <w:p>
      <w:pPr>
        <w:ind w:left="1680" w:hanging="162"/>
        <w:spacing w:after="0" w:line="301" w:lineRule="auto"/>
        <w:tabs>
          <w:tab w:leader="none" w:pos="16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Board, upon the recommendation of the Nominating and Corporate Governance Committee, has nominated eight directors for re-election to serve until the 2026 Annual Meeting of stockholders and until their successors are duly elected and qualify.</w:t>
      </w:r>
    </w:p>
    <w:p>
      <w:pPr>
        <w:spacing w:after="0" w:line="101" w:lineRule="exact"/>
        <w:rPr>
          <w:sz w:val="20"/>
          <w:szCs w:val="20"/>
          <w:color w:val="auto"/>
        </w:rPr>
      </w:pPr>
    </w:p>
    <w:p>
      <w:pPr>
        <w:ind w:left="1420"/>
        <w:spacing w:after="0"/>
        <w:tabs>
          <w:tab w:leader="none" w:pos="3660" w:val="left"/>
          <w:tab w:leader="none" w:pos="6040" w:val="left"/>
        </w:tabs>
        <w:rPr>
          <w:sz w:val="20"/>
          <w:szCs w:val="20"/>
          <w:color w:val="auto"/>
        </w:rPr>
      </w:pPr>
      <w:r>
        <w:rPr>
          <w:rFonts w:ascii="Arial" w:cs="Arial" w:eastAsia="Arial" w:hAnsi="Arial"/>
          <w:sz w:val="16"/>
          <w:szCs w:val="16"/>
          <w:b w:val="1"/>
          <w:bCs w:val="1"/>
          <w:color w:val="1F2668"/>
        </w:rPr>
        <w:t>​</w:t>
      </w:r>
      <w:r>
        <w:rPr>
          <w:sz w:val="20"/>
          <w:szCs w:val="20"/>
          <w:color w:val="auto"/>
        </w:rPr>
        <w:tab/>
      </w:r>
      <w:r>
        <w:rPr>
          <w:rFonts w:ascii="Arial" w:cs="Arial" w:eastAsia="Arial" w:hAnsi="Arial"/>
          <w:sz w:val="16"/>
          <w:szCs w:val="16"/>
          <w:b w:val="1"/>
          <w:bCs w:val="1"/>
          <w:color w:val="1F2668"/>
        </w:rPr>
        <w:t>​ ​</w:t>
      </w:r>
      <w:r>
        <w:rPr>
          <w:sz w:val="20"/>
          <w:szCs w:val="20"/>
          <w:color w:val="auto"/>
        </w:rPr>
        <w:tab/>
      </w:r>
      <w:r>
        <w:rPr>
          <w:rFonts w:ascii="Arial" w:cs="Arial" w:eastAsia="Arial" w:hAnsi="Arial"/>
          <w:sz w:val="16"/>
          <w:szCs w:val="16"/>
          <w:b w:val="1"/>
          <w:bCs w:val="1"/>
          <w:color w:val="1F2668"/>
        </w:rPr>
        <w:t>​ ​</w:t>
      </w:r>
    </w:p>
    <w:p>
      <w:pPr>
        <w:ind w:left="1680"/>
        <w:spacing w:after="0"/>
        <w:tabs>
          <w:tab w:leader="none" w:pos="3880" w:val="left"/>
          <w:tab w:leader="none" w:pos="6260" w:val="left"/>
        </w:tabs>
        <w:rPr>
          <w:sz w:val="20"/>
          <w:szCs w:val="20"/>
          <w:color w:val="auto"/>
        </w:rPr>
      </w:pPr>
      <w:r>
        <w:rPr>
          <w:rFonts w:ascii="Arial" w:cs="Arial" w:eastAsia="Arial" w:hAnsi="Arial"/>
          <w:sz w:val="16"/>
          <w:szCs w:val="16"/>
          <w:b w:val="1"/>
          <w:bCs w:val="1"/>
          <w:color w:val="1F2668"/>
        </w:rPr>
        <w:t>John H. Alschuler</w:t>
      </w:r>
      <w:r>
        <w:rPr>
          <w:sz w:val="20"/>
          <w:szCs w:val="20"/>
          <w:color w:val="auto"/>
        </w:rPr>
        <w:tab/>
      </w:r>
      <w:r>
        <w:rPr>
          <w:rFonts w:ascii="Arial" w:cs="Arial" w:eastAsia="Arial" w:hAnsi="Arial"/>
          <w:sz w:val="16"/>
          <w:szCs w:val="16"/>
          <w:b w:val="1"/>
          <w:bCs w:val="1"/>
          <w:color w:val="1F2668"/>
        </w:rPr>
        <w:t>Stephen L. Green</w:t>
      </w:r>
      <w:r>
        <w:rPr>
          <w:sz w:val="20"/>
          <w:szCs w:val="20"/>
          <w:color w:val="auto"/>
        </w:rPr>
        <w:tab/>
      </w:r>
      <w:r>
        <w:rPr>
          <w:rFonts w:ascii="Arial" w:cs="Arial" w:eastAsia="Arial" w:hAnsi="Arial"/>
          <w:sz w:val="15"/>
          <w:szCs w:val="15"/>
          <w:b w:val="1"/>
          <w:bCs w:val="1"/>
          <w:color w:val="1F2668"/>
        </w:rPr>
        <w:t>Peggy Lamb</w:t>
      </w:r>
    </w:p>
    <w:p>
      <w:pPr>
        <w:spacing w:after="0" w:line="57" w:lineRule="exact"/>
        <w:rPr>
          <w:sz w:val="20"/>
          <w:szCs w:val="20"/>
          <w:color w:val="auto"/>
        </w:rPr>
      </w:pPr>
    </w:p>
    <w:p>
      <w:pPr>
        <w:ind w:left="1680"/>
        <w:spacing w:after="0"/>
        <w:tabs>
          <w:tab w:leader="none" w:pos="3880" w:val="left"/>
          <w:tab w:leader="none" w:pos="6260" w:val="left"/>
        </w:tabs>
        <w:rPr>
          <w:sz w:val="20"/>
          <w:szCs w:val="20"/>
          <w:color w:val="auto"/>
        </w:rPr>
      </w:pPr>
      <w:r>
        <w:rPr>
          <w:rFonts w:ascii="Arial" w:cs="Arial" w:eastAsia="Arial" w:hAnsi="Arial"/>
          <w:sz w:val="16"/>
          <w:szCs w:val="16"/>
          <w:b w:val="1"/>
          <w:bCs w:val="1"/>
          <w:color w:val="1F2668"/>
        </w:rPr>
        <w:t>Carol N. Brown</w:t>
      </w:r>
      <w:r>
        <w:rPr>
          <w:sz w:val="20"/>
          <w:szCs w:val="20"/>
          <w:color w:val="auto"/>
        </w:rPr>
        <w:tab/>
      </w:r>
      <w:r>
        <w:rPr>
          <w:rFonts w:ascii="Arial" w:cs="Arial" w:eastAsia="Arial" w:hAnsi="Arial"/>
          <w:sz w:val="16"/>
          <w:szCs w:val="16"/>
          <w:b w:val="1"/>
          <w:bCs w:val="1"/>
          <w:color w:val="1F2668"/>
        </w:rPr>
        <w:t>Craig M. Hatkoff</w:t>
      </w:r>
      <w:r>
        <w:rPr>
          <w:sz w:val="20"/>
          <w:szCs w:val="20"/>
          <w:color w:val="auto"/>
        </w:rPr>
        <w:tab/>
      </w:r>
      <w:r>
        <w:rPr>
          <w:rFonts w:ascii="Arial" w:cs="Arial" w:eastAsia="Arial" w:hAnsi="Arial"/>
          <w:sz w:val="15"/>
          <w:szCs w:val="15"/>
          <w:b w:val="1"/>
          <w:bCs w:val="1"/>
          <w:color w:val="1F2668"/>
        </w:rPr>
        <w:t>Andrew W. Mathias</w:t>
      </w:r>
    </w:p>
    <w:p>
      <w:pPr>
        <w:spacing w:after="0" w:line="59" w:lineRule="exact"/>
        <w:rPr>
          <w:sz w:val="20"/>
          <w:szCs w:val="20"/>
          <w:color w:val="auto"/>
        </w:rPr>
      </w:pPr>
    </w:p>
    <w:p>
      <w:pPr>
        <w:ind w:left="1680"/>
        <w:spacing w:after="0"/>
        <w:tabs>
          <w:tab w:leader="none" w:pos="3880" w:val="left"/>
        </w:tabs>
        <w:rPr>
          <w:sz w:val="20"/>
          <w:szCs w:val="20"/>
          <w:color w:val="auto"/>
        </w:rPr>
      </w:pPr>
      <w:r>
        <w:rPr>
          <w:rFonts w:ascii="Arial" w:cs="Arial" w:eastAsia="Arial" w:hAnsi="Arial"/>
          <w:sz w:val="16"/>
          <w:szCs w:val="16"/>
          <w:b w:val="1"/>
          <w:bCs w:val="1"/>
          <w:color w:val="1F2668"/>
        </w:rPr>
        <w:t>Lauren B. Dillard</w:t>
      </w:r>
      <w:r>
        <w:rPr>
          <w:sz w:val="20"/>
          <w:szCs w:val="20"/>
          <w:color w:val="auto"/>
        </w:rPr>
        <w:tab/>
      </w:r>
      <w:r>
        <w:rPr>
          <w:rFonts w:ascii="Arial" w:cs="Arial" w:eastAsia="Arial" w:hAnsi="Arial"/>
          <w:sz w:val="15"/>
          <w:szCs w:val="15"/>
          <w:b w:val="1"/>
          <w:bCs w:val="1"/>
          <w:color w:val="1F2668"/>
        </w:rPr>
        <w:t>Marc Holliday</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9"/>
        <w:spacing w:after="0"/>
        <w:tabs>
          <w:tab w:leader="none" w:pos="1888" w:val="left"/>
        </w:tabs>
        <w:rPr>
          <w:sz w:val="20"/>
          <w:szCs w:val="20"/>
          <w:color w:val="auto"/>
        </w:rPr>
      </w:pPr>
      <w:r>
        <w:rPr>
          <w:rFonts w:ascii="Arial" w:cs="Arial" w:eastAsia="Arial" w:hAnsi="Arial"/>
          <w:sz w:val="16"/>
          <w:szCs w:val="16"/>
          <w:color w:val="auto"/>
        </w:rPr>
        <w:t>​ ​</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-21590</wp:posOffset>
            </wp:positionV>
            <wp:extent cx="411480" cy="411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9"/>
        <w:spacing w:after="0"/>
        <w:rPr>
          <w:sz w:val="20"/>
          <w:szCs w:val="20"/>
          <w:color w:val="auto"/>
        </w:rPr>
      </w:pPr>
      <w:r>
        <w:rPr>
          <w:rFonts w:ascii="Arial" w:cs="Arial" w:eastAsia="Arial" w:hAnsi="Arial"/>
          <w:sz w:val="16"/>
          <w:szCs w:val="16"/>
          <w:b w:val="1"/>
          <w:bCs w:val="1"/>
          <w:color w:val="auto"/>
        </w:rPr>
        <w:t>The Board</w:t>
      </w:r>
    </w:p>
    <w:p>
      <w:pPr>
        <w:spacing w:after="0" w:line="35" w:lineRule="exact"/>
        <w:rPr>
          <w:sz w:val="20"/>
          <w:szCs w:val="20"/>
          <w:color w:val="auto"/>
        </w:rPr>
      </w:pPr>
    </w:p>
    <w:p>
      <w:pPr>
        <w:ind w:left="209" w:right="120" w:hanging="209"/>
        <w:spacing w:after="0" w:line="195" w:lineRule="auto"/>
        <w:tabs>
          <w:tab w:leader="none" w:pos="209" w:val="left"/>
        </w:tabs>
        <w:numPr>
          <w:ilvl w:val="0"/>
          <w:numId w:val="16"/>
        </w:numPr>
        <w:rPr>
          <w:rFonts w:ascii="Arial" w:cs="Arial" w:eastAsia="Arial" w:hAnsi="Arial"/>
          <w:sz w:val="32"/>
          <w:szCs w:val="32"/>
          <w:b w:val="1"/>
          <w:bCs w:val="1"/>
          <w:color w:val="1F2668"/>
          <w:vertAlign w:val="subscript"/>
        </w:rPr>
      </w:pPr>
      <w:r>
        <w:rPr>
          <w:rFonts w:ascii="Arial" w:cs="Arial" w:eastAsia="Arial" w:hAnsi="Arial"/>
          <w:sz w:val="16"/>
          <w:szCs w:val="16"/>
          <w:b w:val="1"/>
          <w:bCs w:val="1"/>
          <w:color w:val="auto"/>
        </w:rPr>
        <w:t xml:space="preserve">recommends a vote </w:t>
      </w:r>
      <w:r>
        <w:rPr>
          <w:rFonts w:ascii="Arial" w:cs="Arial" w:eastAsia="Arial" w:hAnsi="Arial"/>
          <w:sz w:val="21"/>
          <w:szCs w:val="21"/>
          <w:b w:val="1"/>
          <w:bCs w:val="1"/>
          <w:color w:val="1F2668"/>
        </w:rPr>
        <w:t xml:space="preserve">FOR </w:t>
      </w:r>
      <w:r>
        <w:rPr>
          <w:rFonts w:ascii="Arial" w:cs="Arial" w:eastAsia="Arial" w:hAnsi="Arial"/>
          <w:sz w:val="16"/>
          <w:szCs w:val="16"/>
          <w:b w:val="1"/>
          <w:bCs w:val="1"/>
          <w:color w:val="000000"/>
        </w:rPr>
        <w:t>each Nominee.</w:t>
      </w:r>
    </w:p>
    <w:p>
      <w:pPr>
        <w:spacing w:after="0" w:line="1" w:lineRule="exact"/>
        <w:rPr>
          <w:rFonts w:ascii="Arial" w:cs="Arial" w:eastAsia="Arial" w:hAnsi="Arial"/>
          <w:sz w:val="32"/>
          <w:szCs w:val="32"/>
          <w:b w:val="1"/>
          <w:bCs w:val="1"/>
          <w:color w:val="1F2668"/>
          <w:vertAlign w:val="subscript"/>
        </w:rPr>
      </w:pPr>
    </w:p>
    <w:p>
      <w:pPr>
        <w:ind w:left="209"/>
        <w:spacing w:after="0"/>
        <w:rPr>
          <w:rFonts w:ascii="Arial" w:cs="Arial" w:eastAsia="Arial" w:hAnsi="Arial"/>
          <w:sz w:val="32"/>
          <w:szCs w:val="32"/>
          <w:b w:val="1"/>
          <w:bCs w:val="1"/>
          <w:color w:val="1F2668"/>
          <w:vertAlign w:val="subscript"/>
        </w:rPr>
      </w:pPr>
      <w:r>
        <w:rPr>
          <w:rFonts w:ascii="Arial" w:cs="Arial" w:eastAsia="Arial" w:hAnsi="Arial"/>
          <w:sz w:val="14"/>
          <w:szCs w:val="14"/>
          <w:b w:val="1"/>
          <w:bCs w:val="1"/>
          <w:color w:val="1F2668"/>
        </w:rPr>
        <w:t xml:space="preserve">SEE PAGE 10  </w:t>
      </w:r>
      <w:r>
        <w:rPr>
          <w:rFonts w:ascii="Arial" w:cs="Arial" w:eastAsia="Arial" w:hAnsi="Arial"/>
          <w:sz w:val="1"/>
          <w:szCs w:val="1"/>
          <w:b w:val="1"/>
          <w:bCs w:val="1"/>
          <w:color w:val="1F2668"/>
          <w:vertAlign w:val="subscript"/>
        </w:rPr>
        <w:drawing>
          <wp:inline distT="0" distB="0" distL="0" distR="0">
            <wp:extent cx="60325" cy="6858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68580"/>
                    </a:xfrm>
                    <a:prstGeom prst="rect">
                      <a:avLst/>
                    </a:prstGeom>
                    <a:noFill/>
                    <a:ln>
                      <a:noFill/>
                    </a:ln>
                  </pic:spPr>
                </pic:pic>
              </a:graphicData>
            </a:graphic>
          </wp:inline>
        </w:drawing>
      </w:r>
    </w:p>
    <w:p>
      <w:pPr>
        <w:spacing w:after="0" w:line="352" w:lineRule="exact"/>
        <w:rPr>
          <w:sz w:val="20"/>
          <w:szCs w:val="20"/>
          <w:color w:val="auto"/>
        </w:rPr>
      </w:pPr>
    </w:p>
    <w:p>
      <w:pPr>
        <w:sectPr>
          <w:pgSz w:w="11900" w:h="16838" w:orient="portrait"/>
          <w:cols w:equalWidth="0" w:num="2">
            <w:col w:w="7760" w:space="211"/>
            <w:col w:w="1969"/>
          </w:cols>
          <w:pgMar w:left="580" w:top="97" w:right="1379" w:bottom="1440" w:gutter="0" w:footer="0" w:header="0"/>
          <w:type w:val="continuous"/>
        </w:sectPr>
      </w:pPr>
    </w:p>
    <w:p>
      <w:pPr>
        <w:ind w:left="1420"/>
        <w:spacing w:after="0"/>
        <w:tabs>
          <w:tab w:leader="none" w:pos="79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21" w:lineRule="exact"/>
        <w:rPr>
          <w:sz w:val="20"/>
          <w:szCs w:val="20"/>
          <w:color w:val="auto"/>
        </w:rPr>
      </w:pPr>
    </w:p>
    <w:p>
      <w:pPr>
        <w:ind w:left="1680" w:right="2720" w:hanging="162"/>
        <w:spacing w:after="0" w:line="283" w:lineRule="auto"/>
        <w:tabs>
          <w:tab w:leader="none" w:pos="16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nominees represent a Board that has varied knowledge, skills, experience, perspectives and backgrounds.</w:t>
      </w:r>
    </w:p>
    <w:p>
      <w:pPr>
        <w:spacing w:after="0" w:line="90" w:lineRule="exact"/>
        <w:rPr>
          <w:rFonts w:ascii="Arial" w:cs="Arial" w:eastAsia="Arial" w:hAnsi="Arial"/>
          <w:sz w:val="16"/>
          <w:szCs w:val="16"/>
          <w:color w:val="auto"/>
        </w:rPr>
      </w:pPr>
    </w:p>
    <w:p>
      <w:pPr>
        <w:ind w:left="1680" w:right="2060" w:hanging="162"/>
        <w:spacing w:after="0" w:line="304" w:lineRule="auto"/>
        <w:tabs>
          <w:tab w:leader="none" w:pos="16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Each nominee has key skills that we believe are valuable to the effective oversight of the Company and the execution of our strategy.</w:t>
      </w:r>
    </w:p>
    <w:p>
      <w:pPr>
        <w:spacing w:after="0" w:line="95" w:lineRule="exact"/>
        <w:rPr>
          <w:sz w:val="20"/>
          <w:szCs w:val="20"/>
          <w:color w:val="auto"/>
        </w:rPr>
      </w:pPr>
    </w:p>
    <w:tbl>
      <w:tblPr>
        <w:tblLayout w:type="fixed"/>
        <w:tblInd w:w="820" w:type="dxa"/>
        <w:tblCellMar>
          <w:top w:w="0" w:type="dxa"/>
          <w:left w:w="0" w:type="dxa"/>
          <w:bottom w:w="0" w:type="dxa"/>
          <w:right w:w="0" w:type="dxa"/>
        </w:tblCellMar>
      </w:tblPr>
      <w:tr>
        <w:trPr>
          <w:trHeight w:val="451"/>
        </w:trPr>
        <w:tc>
          <w:tcPr>
            <w:tcW w:w="260" w:type="dxa"/>
            <w:vAlign w:val="bottom"/>
            <w:tcBorders>
              <w:top w:val="single" w:sz="8" w:color="83AD40"/>
            </w:tcBorders>
          </w:tcPr>
          <w:p>
            <w:pPr>
              <w:spacing w:after="0"/>
              <w:rPr>
                <w:sz w:val="20"/>
                <w:szCs w:val="20"/>
                <w:color w:val="auto"/>
              </w:rPr>
            </w:pPr>
            <w:r>
              <w:rPr>
                <w:rFonts w:ascii="Arial" w:cs="Arial" w:eastAsia="Arial" w:hAnsi="Arial"/>
                <w:sz w:val="16"/>
                <w:szCs w:val="16"/>
                <w:color w:val="auto"/>
              </w:rPr>
              <w:t>​</w:t>
            </w:r>
          </w:p>
        </w:tc>
        <w:tc>
          <w:tcPr>
            <w:tcW w:w="6880" w:type="dxa"/>
            <w:vAlign w:val="bottom"/>
            <w:tcBorders>
              <w:top w:val="single" w:sz="8" w:color="83AD40"/>
            </w:tcBorders>
          </w:tcPr>
          <w:p>
            <w:pPr>
              <w:ind w:left="220"/>
              <w:spacing w:after="0"/>
              <w:rPr>
                <w:sz w:val="20"/>
                <w:szCs w:val="20"/>
                <w:color w:val="auto"/>
              </w:rPr>
            </w:pPr>
            <w:r>
              <w:rPr>
                <w:rFonts w:ascii="Arial" w:cs="Arial" w:eastAsia="Arial" w:hAnsi="Arial"/>
                <w:sz w:val="32"/>
                <w:szCs w:val="32"/>
                <w:color w:val="000000"/>
                <w:vertAlign w:val="superscript"/>
              </w:rPr>
              <w:t>​ ​</w:t>
            </w:r>
            <w:r>
              <w:rPr>
                <w:rFonts w:ascii="Arial" w:cs="Arial" w:eastAsia="Arial" w:hAnsi="Arial"/>
                <w:sz w:val="23"/>
                <w:szCs w:val="23"/>
                <w:b w:val="1"/>
                <w:bCs w:val="1"/>
                <w:color w:val="1F2668"/>
              </w:rPr>
              <w:t xml:space="preserve"> Advisory Approval of Executive Compensation</w:t>
            </w:r>
          </w:p>
        </w:tc>
        <w:tc>
          <w:tcPr>
            <w:tcW w:w="200" w:type="dxa"/>
            <w:vAlign w:val="bottom"/>
            <w:tcBorders>
              <w:top w:val="single" w:sz="8" w:color="83AD40"/>
            </w:tcBorders>
          </w:tcPr>
          <w:p>
            <w:pPr>
              <w:ind w:left="20"/>
              <w:spacing w:after="0"/>
              <w:rPr>
                <w:sz w:val="20"/>
                <w:szCs w:val="20"/>
                <w:color w:val="auto"/>
              </w:rPr>
            </w:pPr>
            <w:r>
              <w:rPr>
                <w:rFonts w:ascii="Arial" w:cs="Arial" w:eastAsia="Arial" w:hAnsi="Arial"/>
                <w:sz w:val="16"/>
                <w:szCs w:val="16"/>
                <w:color w:val="auto"/>
              </w:rPr>
              <w:t>​ ​</w:t>
            </w:r>
          </w:p>
        </w:tc>
        <w:tc>
          <w:tcPr>
            <w:tcW w:w="1720" w:type="dxa"/>
            <w:vAlign w:val="bottom"/>
            <w:tcBorders>
              <w:top w:val="single" w:sz="8" w:color="83AD40"/>
            </w:tcBorders>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1"/>
        </w:trPr>
        <w:tc>
          <w:tcPr>
            <w:tcW w:w="260" w:type="dxa"/>
            <w:vAlign w:val="bottom"/>
          </w:tcPr>
          <w:p>
            <w:pPr>
              <w:spacing w:after="0"/>
              <w:rPr>
                <w:sz w:val="24"/>
                <w:szCs w:val="24"/>
                <w:color w:val="auto"/>
              </w:rPr>
            </w:pPr>
          </w:p>
        </w:tc>
        <w:tc>
          <w:tcPr>
            <w:tcW w:w="6880" w:type="dxa"/>
            <w:vAlign w:val="bottom"/>
          </w:tcPr>
          <w:p>
            <w:pPr>
              <w:ind w:left="440"/>
              <w:spacing w:after="0"/>
              <w:rPr>
                <w:sz w:val="20"/>
                <w:szCs w:val="20"/>
                <w:color w:val="auto"/>
              </w:rPr>
            </w:pPr>
            <w:r>
              <w:rPr>
                <w:rFonts w:ascii="Arial" w:cs="Arial" w:eastAsia="Arial" w:hAnsi="Arial"/>
                <w:sz w:val="16"/>
                <w:szCs w:val="16"/>
                <w:color w:val="auto"/>
              </w:rPr>
              <w:t>• At the heart of our executive compensation philosophy is a commitment to variable,</w:t>
            </w: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6880" w:type="dxa"/>
            <w:vAlign w:val="bottom"/>
          </w:tcPr>
          <w:p>
            <w:pPr>
              <w:ind w:left="600"/>
              <w:spacing w:after="0"/>
              <w:rPr>
                <w:sz w:val="20"/>
                <w:szCs w:val="20"/>
                <w:color w:val="auto"/>
              </w:rPr>
            </w:pPr>
            <w:r>
              <w:rPr>
                <w:rFonts w:ascii="Arial" w:cs="Arial" w:eastAsia="Arial" w:hAnsi="Arial"/>
                <w:sz w:val="16"/>
                <w:szCs w:val="16"/>
                <w:color w:val="auto"/>
              </w:rPr>
              <w:t>incentive-based pay that strives to align stockholder value with the economic interests of</w:t>
            </w: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60" w:type="dxa"/>
            <w:vAlign w:val="bottom"/>
          </w:tcPr>
          <w:p>
            <w:pPr>
              <w:spacing w:after="0"/>
              <w:rPr>
                <w:sz w:val="18"/>
                <w:szCs w:val="18"/>
                <w:color w:val="auto"/>
              </w:rPr>
            </w:pPr>
          </w:p>
        </w:tc>
        <w:tc>
          <w:tcPr>
            <w:tcW w:w="6880" w:type="dxa"/>
            <w:vAlign w:val="bottom"/>
          </w:tcPr>
          <w:p>
            <w:pPr>
              <w:ind w:left="600"/>
              <w:spacing w:after="0"/>
              <w:rPr>
                <w:sz w:val="20"/>
                <w:szCs w:val="20"/>
                <w:color w:val="auto"/>
              </w:rPr>
            </w:pPr>
            <w:r>
              <w:rPr>
                <w:rFonts w:ascii="Arial" w:cs="Arial" w:eastAsia="Arial" w:hAnsi="Arial"/>
                <w:sz w:val="16"/>
                <w:szCs w:val="16"/>
                <w:color w:val="auto"/>
              </w:rPr>
              <w:t>our management team.</w:t>
            </w:r>
          </w:p>
        </w:tc>
        <w:tc>
          <w:tcPr>
            <w:tcW w:w="200" w:type="dxa"/>
            <w:vAlign w:val="bottom"/>
          </w:tcPr>
          <w:p>
            <w:pPr>
              <w:spacing w:after="0"/>
              <w:rPr>
                <w:sz w:val="18"/>
                <w:szCs w:val="18"/>
                <w:color w:val="auto"/>
              </w:rPr>
            </w:pPr>
          </w:p>
        </w:tc>
        <w:tc>
          <w:tcPr>
            <w:tcW w:w="17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The Board</w:t>
            </w:r>
          </w:p>
        </w:tc>
        <w:tc>
          <w:tcPr>
            <w:tcW w:w="0" w:type="dxa"/>
            <w:vAlign w:val="bottom"/>
          </w:tcPr>
          <w:p>
            <w:pPr>
              <w:spacing w:after="0"/>
              <w:rPr>
                <w:sz w:val="1"/>
                <w:szCs w:val="1"/>
                <w:color w:val="auto"/>
              </w:rPr>
            </w:pPr>
          </w:p>
        </w:tc>
      </w:tr>
      <w:tr>
        <w:trPr>
          <w:trHeight w:val="69"/>
        </w:trPr>
        <w:tc>
          <w:tcPr>
            <w:tcW w:w="260" w:type="dxa"/>
            <w:vAlign w:val="bottom"/>
          </w:tcPr>
          <w:p>
            <w:pPr>
              <w:spacing w:after="0"/>
              <w:rPr>
                <w:sz w:val="5"/>
                <w:szCs w:val="5"/>
                <w:color w:val="auto"/>
              </w:rPr>
            </w:pPr>
          </w:p>
        </w:tc>
        <w:tc>
          <w:tcPr>
            <w:tcW w:w="6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6880" w:type="dxa"/>
            <w:vAlign w:val="bottom"/>
          </w:tcPr>
          <w:p>
            <w:pPr>
              <w:ind w:left="440"/>
              <w:spacing w:after="0"/>
              <w:rPr>
                <w:sz w:val="20"/>
                <w:szCs w:val="20"/>
                <w:color w:val="auto"/>
              </w:rPr>
            </w:pPr>
            <w:r>
              <w:rPr>
                <w:rFonts w:ascii="Arial" w:cs="Arial" w:eastAsia="Arial" w:hAnsi="Arial"/>
                <w:sz w:val="16"/>
                <w:szCs w:val="16"/>
                <w:color w:val="auto"/>
              </w:rPr>
              <w:t>• We believe that our executive compensation programs provide appropriate performance-</w:t>
            </w:r>
          </w:p>
        </w:tc>
        <w:tc>
          <w:tcPr>
            <w:tcW w:w="200" w:type="dxa"/>
            <w:vAlign w:val="bottom"/>
          </w:tcPr>
          <w:p>
            <w:pPr>
              <w:spacing w:after="0"/>
              <w:rPr>
                <w:sz w:val="20"/>
                <w:szCs w:val="20"/>
                <w:color w:val="auto"/>
              </w:rPr>
            </w:pPr>
          </w:p>
        </w:tc>
        <w:tc>
          <w:tcPr>
            <w:tcW w:w="178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recommends a vote</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6880" w:type="dxa"/>
            <w:vAlign w:val="bottom"/>
          </w:tcPr>
          <w:p>
            <w:pPr>
              <w:ind w:left="600"/>
              <w:spacing w:after="0"/>
              <w:rPr>
                <w:sz w:val="20"/>
                <w:szCs w:val="20"/>
                <w:color w:val="auto"/>
              </w:rPr>
            </w:pPr>
            <w:r>
              <w:rPr>
                <w:rFonts w:ascii="Arial" w:cs="Arial" w:eastAsia="Arial" w:hAnsi="Arial"/>
                <w:sz w:val="16"/>
                <w:szCs w:val="16"/>
                <w:color w:val="auto"/>
                <w:w w:val="98"/>
              </w:rPr>
              <w:t>based incentives to attract and retain leadership talent in the highly competitive New York</w:t>
            </w:r>
          </w:p>
        </w:tc>
        <w:tc>
          <w:tcPr>
            <w:tcW w:w="200" w:type="dxa"/>
            <w:vAlign w:val="bottom"/>
          </w:tcPr>
          <w:p>
            <w:pPr>
              <w:spacing w:after="0"/>
              <w:rPr>
                <w:sz w:val="19"/>
                <w:szCs w:val="19"/>
                <w:color w:val="auto"/>
              </w:rPr>
            </w:pPr>
          </w:p>
        </w:tc>
        <w:tc>
          <w:tcPr>
            <w:tcW w:w="1780" w:type="dxa"/>
            <w:vAlign w:val="bottom"/>
            <w:gridSpan w:val="2"/>
          </w:tcPr>
          <w:p>
            <w:pPr>
              <w:ind w:left="20"/>
              <w:spacing w:after="0" w:line="229" w:lineRule="exact"/>
              <w:rPr>
                <w:sz w:val="20"/>
                <w:szCs w:val="20"/>
                <w:color w:val="auto"/>
              </w:rPr>
            </w:pPr>
            <w:r>
              <w:rPr>
                <w:rFonts w:ascii="Arial" w:cs="Arial" w:eastAsia="Arial" w:hAnsi="Arial"/>
                <w:sz w:val="22"/>
                <w:szCs w:val="22"/>
                <w:b w:val="1"/>
                <w:bCs w:val="1"/>
                <w:color w:val="1F2668"/>
              </w:rPr>
              <w:t xml:space="preserve">FOR </w:t>
            </w:r>
            <w:r>
              <w:rPr>
                <w:rFonts w:ascii="Arial" w:cs="Arial" w:eastAsia="Arial" w:hAnsi="Arial"/>
                <w:sz w:val="16"/>
                <w:szCs w:val="16"/>
                <w:b w:val="1"/>
                <w:bCs w:val="1"/>
                <w:color w:val="000000"/>
              </w:rPr>
              <w:t>this proposal.</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6880" w:type="dxa"/>
            <w:vAlign w:val="bottom"/>
          </w:tcPr>
          <w:p>
            <w:pPr>
              <w:ind w:left="600"/>
              <w:spacing w:after="0"/>
              <w:rPr>
                <w:sz w:val="20"/>
                <w:szCs w:val="20"/>
                <w:color w:val="auto"/>
              </w:rPr>
            </w:pPr>
            <w:r>
              <w:rPr>
                <w:rFonts w:ascii="Arial" w:cs="Arial" w:eastAsia="Arial" w:hAnsi="Arial"/>
                <w:sz w:val="16"/>
                <w:szCs w:val="16"/>
                <w:color w:val="auto"/>
                <w:w w:val="98"/>
              </w:rPr>
              <w:t>City real estate market, to align management and stockholder interests and to continue to</w:t>
            </w:r>
          </w:p>
        </w:tc>
        <w:tc>
          <w:tcPr>
            <w:tcW w:w="200" w:type="dxa"/>
            <w:vAlign w:val="bottom"/>
          </w:tcPr>
          <w:p>
            <w:pPr>
              <w:spacing w:after="0"/>
              <w:rPr>
                <w:sz w:val="17"/>
                <w:szCs w:val="17"/>
                <w:color w:val="auto"/>
              </w:rPr>
            </w:pPr>
          </w:p>
        </w:tc>
        <w:tc>
          <w:tcPr>
            <w:tcW w:w="1780" w:type="dxa"/>
            <w:vAlign w:val="bottom"/>
            <w:gridSpan w:val="2"/>
          </w:tcPr>
          <w:p>
            <w:pPr>
              <w:ind w:left="20"/>
              <w:spacing w:after="0"/>
              <w:rPr>
                <w:sz w:val="20"/>
                <w:szCs w:val="20"/>
                <w:color w:val="auto"/>
              </w:rPr>
            </w:pPr>
            <w:r>
              <w:rPr>
                <w:rFonts w:ascii="Arial" w:cs="Arial" w:eastAsia="Arial" w:hAnsi="Arial"/>
                <w:sz w:val="14"/>
                <w:szCs w:val="14"/>
                <w:b w:val="1"/>
                <w:bCs w:val="1"/>
                <w:color w:val="1F2668"/>
              </w:rPr>
              <w:t>SEE PAGE 40</w:t>
            </w:r>
          </w:p>
        </w:tc>
        <w:tc>
          <w:tcPr>
            <w:tcW w:w="0" w:type="dxa"/>
            <w:vAlign w:val="bottom"/>
          </w:tcPr>
          <w:p>
            <w:pPr>
              <w:spacing w:after="0"/>
              <w:rPr>
                <w:sz w:val="1"/>
                <w:szCs w:val="1"/>
                <w:color w:val="auto"/>
              </w:rPr>
            </w:pPr>
          </w:p>
        </w:tc>
      </w:tr>
      <w:tr>
        <w:trPr>
          <w:trHeight w:val="215"/>
        </w:trPr>
        <w:tc>
          <w:tcPr>
            <w:tcW w:w="260" w:type="dxa"/>
            <w:vAlign w:val="bottom"/>
          </w:tcPr>
          <w:p>
            <w:pPr>
              <w:spacing w:after="0"/>
              <w:rPr>
                <w:sz w:val="18"/>
                <w:szCs w:val="18"/>
                <w:color w:val="auto"/>
              </w:rPr>
            </w:pPr>
          </w:p>
        </w:tc>
        <w:tc>
          <w:tcPr>
            <w:tcW w:w="6880" w:type="dxa"/>
            <w:vAlign w:val="bottom"/>
          </w:tcPr>
          <w:p>
            <w:pPr>
              <w:ind w:left="600"/>
              <w:spacing w:after="0"/>
              <w:rPr>
                <w:sz w:val="20"/>
                <w:szCs w:val="20"/>
                <w:color w:val="auto"/>
              </w:rPr>
            </w:pPr>
            <w:r>
              <w:rPr>
                <w:rFonts w:ascii="Arial" w:cs="Arial" w:eastAsia="Arial" w:hAnsi="Arial"/>
                <w:sz w:val="16"/>
                <w:szCs w:val="16"/>
                <w:color w:val="auto"/>
              </w:rPr>
              <w:t>drive our long-term track record of superior return to stockholders.</w:t>
            </w: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260" w:type="dxa"/>
            <w:vAlign w:val="bottom"/>
            <w:tcBorders>
              <w:bottom w:val="single" w:sz="8" w:color="83AD40"/>
            </w:tcBorders>
          </w:tcPr>
          <w:p>
            <w:pPr>
              <w:spacing w:after="0"/>
              <w:rPr>
                <w:sz w:val="10"/>
                <w:szCs w:val="10"/>
                <w:color w:val="auto"/>
              </w:rPr>
            </w:pPr>
          </w:p>
        </w:tc>
        <w:tc>
          <w:tcPr>
            <w:tcW w:w="6880" w:type="dxa"/>
            <w:vAlign w:val="bottom"/>
            <w:tcBorders>
              <w:bottom w:val="single" w:sz="8" w:color="83AD40"/>
            </w:tcBorders>
          </w:tcPr>
          <w:p>
            <w:pPr>
              <w:spacing w:after="0"/>
              <w:rPr>
                <w:sz w:val="10"/>
                <w:szCs w:val="10"/>
                <w:color w:val="auto"/>
              </w:rPr>
            </w:pPr>
          </w:p>
        </w:tc>
        <w:tc>
          <w:tcPr>
            <w:tcW w:w="200" w:type="dxa"/>
            <w:vAlign w:val="bottom"/>
            <w:tcBorders>
              <w:bottom w:val="single" w:sz="8" w:color="83AD40"/>
            </w:tcBorders>
          </w:tcPr>
          <w:p>
            <w:pPr>
              <w:spacing w:after="0"/>
              <w:rPr>
                <w:sz w:val="10"/>
                <w:szCs w:val="10"/>
                <w:color w:val="auto"/>
              </w:rPr>
            </w:pPr>
          </w:p>
        </w:tc>
        <w:tc>
          <w:tcPr>
            <w:tcW w:w="1720" w:type="dxa"/>
            <w:vAlign w:val="bottom"/>
            <w:tcBorders>
              <w:bottom w:val="single" w:sz="8" w:color="83AD40"/>
            </w:tcBorders>
          </w:tcPr>
          <w:p>
            <w:pPr>
              <w:spacing w:after="0"/>
              <w:rPr>
                <w:sz w:val="10"/>
                <w:szCs w:val="10"/>
                <w:color w:val="auto"/>
              </w:rPr>
            </w:pPr>
          </w:p>
        </w:tc>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260" w:type="dxa"/>
            <w:vAlign w:val="bottom"/>
          </w:tcPr>
          <w:p>
            <w:pPr>
              <w:spacing w:after="0" w:line="163" w:lineRule="exact"/>
              <w:rPr>
                <w:sz w:val="20"/>
                <w:szCs w:val="20"/>
                <w:color w:val="auto"/>
              </w:rPr>
            </w:pPr>
            <w:r>
              <w:rPr>
                <w:rFonts w:ascii="Arial" w:cs="Arial" w:eastAsia="Arial" w:hAnsi="Arial"/>
                <w:sz w:val="16"/>
                <w:szCs w:val="16"/>
                <w:color w:val="auto"/>
              </w:rPr>
              <w:t>​</w:t>
            </w:r>
          </w:p>
        </w:tc>
        <w:tc>
          <w:tcPr>
            <w:tcW w:w="6880" w:type="dxa"/>
            <w:vAlign w:val="bottom"/>
          </w:tcPr>
          <w:p>
            <w:pPr>
              <w:ind w:left="220"/>
              <w:spacing w:after="0" w:line="163" w:lineRule="exact"/>
              <w:rPr>
                <w:sz w:val="20"/>
                <w:szCs w:val="20"/>
                <w:color w:val="auto"/>
              </w:rPr>
            </w:pPr>
            <w:r>
              <w:rPr>
                <w:rFonts w:ascii="Arial" w:cs="Arial" w:eastAsia="Arial" w:hAnsi="Arial"/>
                <w:sz w:val="16"/>
                <w:szCs w:val="16"/>
                <w:color w:val="auto"/>
              </w:rPr>
              <w:t>​ ​</w:t>
            </w:r>
          </w:p>
        </w:tc>
        <w:tc>
          <w:tcPr>
            <w:tcW w:w="200" w:type="dxa"/>
            <w:vAlign w:val="bottom"/>
          </w:tcPr>
          <w:p>
            <w:pPr>
              <w:ind w:left="20"/>
              <w:spacing w:after="0" w:line="163" w:lineRule="exact"/>
              <w:rPr>
                <w:sz w:val="20"/>
                <w:szCs w:val="20"/>
                <w:color w:val="auto"/>
              </w:rPr>
            </w:pPr>
            <w:r>
              <w:rPr>
                <w:rFonts w:ascii="Arial" w:cs="Arial" w:eastAsia="Arial" w:hAnsi="Arial"/>
                <w:sz w:val="16"/>
                <w:szCs w:val="16"/>
                <w:color w:val="auto"/>
              </w:rPr>
              <w:t>​ ​</w:t>
            </w:r>
          </w:p>
        </w:tc>
        <w:tc>
          <w:tcPr>
            <w:tcW w:w="172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6880" w:type="dxa"/>
            <w:vAlign w:val="bottom"/>
          </w:tcPr>
          <w:p>
            <w:pPr>
              <w:ind w:left="440"/>
              <w:spacing w:after="0"/>
              <w:rPr>
                <w:sz w:val="20"/>
                <w:szCs w:val="20"/>
                <w:color w:val="auto"/>
              </w:rPr>
            </w:pPr>
            <w:r>
              <w:rPr>
                <w:rFonts w:ascii="Arial" w:cs="Arial" w:eastAsia="Arial" w:hAnsi="Arial"/>
                <w:sz w:val="23"/>
                <w:szCs w:val="23"/>
                <w:b w:val="1"/>
                <w:bCs w:val="1"/>
                <w:color w:val="1F2668"/>
              </w:rPr>
              <w:t>Ratification of Independent Registered Public Accounting</w:t>
            </w:r>
          </w:p>
        </w:tc>
        <w:tc>
          <w:tcPr>
            <w:tcW w:w="2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2"/>
        </w:trPr>
        <w:tc>
          <w:tcPr>
            <w:tcW w:w="260" w:type="dxa"/>
            <w:vAlign w:val="bottom"/>
          </w:tcPr>
          <w:p>
            <w:pPr>
              <w:spacing w:after="0"/>
              <w:rPr>
                <w:sz w:val="24"/>
                <w:szCs w:val="24"/>
                <w:color w:val="auto"/>
              </w:rPr>
            </w:pPr>
          </w:p>
        </w:tc>
        <w:tc>
          <w:tcPr>
            <w:tcW w:w="6880" w:type="dxa"/>
            <w:vAlign w:val="bottom"/>
          </w:tcPr>
          <w:p>
            <w:pPr>
              <w:ind w:left="440"/>
              <w:spacing w:after="0"/>
              <w:rPr>
                <w:sz w:val="20"/>
                <w:szCs w:val="20"/>
                <w:color w:val="auto"/>
              </w:rPr>
            </w:pPr>
            <w:r>
              <w:rPr>
                <w:rFonts w:ascii="Arial" w:cs="Arial" w:eastAsia="Arial" w:hAnsi="Arial"/>
                <w:sz w:val="23"/>
                <w:szCs w:val="23"/>
                <w:b w:val="1"/>
                <w:bCs w:val="1"/>
                <w:color w:val="1F2668"/>
              </w:rPr>
              <w:t>Firm</w:t>
            </w: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60" w:type="dxa"/>
            <w:vAlign w:val="bottom"/>
          </w:tcPr>
          <w:p>
            <w:pPr>
              <w:spacing w:after="0"/>
              <w:rPr>
                <w:sz w:val="24"/>
                <w:szCs w:val="24"/>
                <w:color w:val="auto"/>
              </w:rPr>
            </w:pPr>
          </w:p>
        </w:tc>
        <w:tc>
          <w:tcPr>
            <w:tcW w:w="6880" w:type="dxa"/>
            <w:vAlign w:val="bottom"/>
          </w:tcPr>
          <w:p>
            <w:pPr>
              <w:ind w:left="440"/>
              <w:spacing w:after="0"/>
              <w:rPr>
                <w:sz w:val="20"/>
                <w:szCs w:val="20"/>
                <w:color w:val="auto"/>
              </w:rPr>
            </w:pPr>
            <w:r>
              <w:rPr>
                <w:rFonts w:ascii="Arial" w:cs="Arial" w:eastAsia="Arial" w:hAnsi="Arial"/>
                <w:sz w:val="16"/>
                <w:szCs w:val="16"/>
                <w:color w:val="auto"/>
                <w:w w:val="99"/>
              </w:rPr>
              <w:t>• The Audit Committee of the Board has appointed the accounting firm of Deloitte &amp; Touche</w:t>
            </w:r>
          </w:p>
        </w:tc>
        <w:tc>
          <w:tcPr>
            <w:tcW w:w="200" w:type="dxa"/>
            <w:vAlign w:val="bottom"/>
          </w:tcPr>
          <w:p>
            <w:pPr>
              <w:spacing w:after="0"/>
              <w:rPr>
                <w:sz w:val="24"/>
                <w:szCs w:val="24"/>
                <w:color w:val="auto"/>
              </w:rPr>
            </w:pPr>
          </w:p>
        </w:tc>
        <w:tc>
          <w:tcPr>
            <w:tcW w:w="17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The Board</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6880" w:type="dxa"/>
            <w:vAlign w:val="bottom"/>
          </w:tcPr>
          <w:p>
            <w:pPr>
              <w:ind w:left="600"/>
              <w:spacing w:after="0" w:line="163" w:lineRule="exact"/>
              <w:rPr>
                <w:sz w:val="20"/>
                <w:szCs w:val="20"/>
                <w:color w:val="auto"/>
              </w:rPr>
            </w:pPr>
            <w:r>
              <w:rPr>
                <w:rFonts w:ascii="Arial" w:cs="Arial" w:eastAsia="Arial" w:hAnsi="Arial"/>
                <w:sz w:val="16"/>
                <w:szCs w:val="16"/>
                <w:color w:val="auto"/>
              </w:rPr>
              <w:t>LLP to serve as our independent registered public accounting firm for the fiscal year</w:t>
            </w:r>
          </w:p>
        </w:tc>
        <w:tc>
          <w:tcPr>
            <w:tcW w:w="20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6880" w:type="dxa"/>
            <w:vAlign w:val="bottom"/>
          </w:tcPr>
          <w:p>
            <w:pPr>
              <w:ind w:left="600"/>
              <w:spacing w:after="0"/>
              <w:rPr>
                <w:sz w:val="20"/>
                <w:szCs w:val="20"/>
                <w:color w:val="auto"/>
              </w:rPr>
            </w:pPr>
            <w:r>
              <w:rPr>
                <w:rFonts w:ascii="Arial" w:cs="Arial" w:eastAsia="Arial" w:hAnsi="Arial"/>
                <w:sz w:val="16"/>
                <w:szCs w:val="16"/>
                <w:color w:val="auto"/>
              </w:rPr>
              <w:t>ending December 31, 2025.</w:t>
            </w:r>
          </w:p>
        </w:tc>
        <w:tc>
          <w:tcPr>
            <w:tcW w:w="200" w:type="dxa"/>
            <w:vAlign w:val="bottom"/>
          </w:tcPr>
          <w:p>
            <w:pPr>
              <w:spacing w:after="0"/>
              <w:rPr>
                <w:sz w:val="17"/>
                <w:szCs w:val="17"/>
                <w:color w:val="auto"/>
              </w:rPr>
            </w:pPr>
          </w:p>
        </w:tc>
        <w:tc>
          <w:tcPr>
            <w:tcW w:w="178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recommends a vote</w:t>
            </w:r>
          </w:p>
        </w:tc>
        <w:tc>
          <w:tcPr>
            <w:tcW w:w="0" w:type="dxa"/>
            <w:vAlign w:val="bottom"/>
          </w:tcPr>
          <w:p>
            <w:pPr>
              <w:spacing w:after="0"/>
              <w:rPr>
                <w:sz w:val="1"/>
                <w:szCs w:val="1"/>
                <w:color w:val="auto"/>
              </w:rPr>
            </w:pPr>
          </w:p>
        </w:tc>
      </w:tr>
      <w:tr>
        <w:trPr>
          <w:trHeight w:val="274"/>
        </w:trPr>
        <w:tc>
          <w:tcPr>
            <w:tcW w:w="260" w:type="dxa"/>
            <w:vAlign w:val="bottom"/>
          </w:tcPr>
          <w:p>
            <w:pPr>
              <w:spacing w:after="0"/>
              <w:rPr>
                <w:sz w:val="23"/>
                <w:szCs w:val="23"/>
                <w:color w:val="auto"/>
              </w:rPr>
            </w:pPr>
          </w:p>
        </w:tc>
        <w:tc>
          <w:tcPr>
            <w:tcW w:w="6880" w:type="dxa"/>
            <w:vAlign w:val="bottom"/>
            <w:vMerge w:val="restart"/>
          </w:tcPr>
          <w:p>
            <w:pPr>
              <w:ind w:left="440"/>
              <w:spacing w:after="0"/>
              <w:rPr>
                <w:sz w:val="20"/>
                <w:szCs w:val="20"/>
                <w:color w:val="auto"/>
              </w:rPr>
            </w:pPr>
            <w:r>
              <w:rPr>
                <w:rFonts w:ascii="Arial" w:cs="Arial" w:eastAsia="Arial" w:hAnsi="Arial"/>
                <w:sz w:val="16"/>
                <w:szCs w:val="16"/>
                <w:color w:val="auto"/>
              </w:rPr>
              <w:t>• The Audit Committee and the Board believe that the appointment of Deloitte &amp; Touche</w:t>
            </w:r>
          </w:p>
        </w:tc>
        <w:tc>
          <w:tcPr>
            <w:tcW w:w="200" w:type="dxa"/>
            <w:vAlign w:val="bottom"/>
          </w:tcPr>
          <w:p>
            <w:pPr>
              <w:spacing w:after="0"/>
              <w:rPr>
                <w:sz w:val="23"/>
                <w:szCs w:val="23"/>
                <w:color w:val="auto"/>
              </w:rPr>
            </w:pPr>
          </w:p>
        </w:tc>
        <w:tc>
          <w:tcPr>
            <w:tcW w:w="1780" w:type="dxa"/>
            <w:vAlign w:val="bottom"/>
            <w:gridSpan w:val="2"/>
          </w:tcPr>
          <w:p>
            <w:pPr>
              <w:ind w:left="20"/>
              <w:spacing w:after="0"/>
              <w:rPr>
                <w:sz w:val="20"/>
                <w:szCs w:val="20"/>
                <w:color w:val="auto"/>
              </w:rPr>
            </w:pPr>
            <w:r>
              <w:rPr>
                <w:rFonts w:ascii="Arial" w:cs="Arial" w:eastAsia="Arial" w:hAnsi="Arial"/>
                <w:sz w:val="22"/>
                <w:szCs w:val="22"/>
                <w:b w:val="1"/>
                <w:bCs w:val="1"/>
                <w:color w:val="1F2668"/>
              </w:rPr>
              <w:t xml:space="preserve">FOR </w:t>
            </w:r>
            <w:r>
              <w:rPr>
                <w:rFonts w:ascii="Arial" w:cs="Arial" w:eastAsia="Arial" w:hAnsi="Arial"/>
                <w:sz w:val="16"/>
                <w:szCs w:val="16"/>
                <w:b w:val="1"/>
                <w:bCs w:val="1"/>
                <w:color w:val="000000"/>
              </w:rPr>
              <w:t>this proposal.</w:t>
            </w:r>
          </w:p>
        </w:tc>
        <w:tc>
          <w:tcPr>
            <w:tcW w:w="0" w:type="dxa"/>
            <w:vAlign w:val="bottom"/>
          </w:tcPr>
          <w:p>
            <w:pPr>
              <w:spacing w:after="0"/>
              <w:rPr>
                <w:sz w:val="1"/>
                <w:szCs w:val="1"/>
                <w:color w:val="auto"/>
              </w:rPr>
            </w:pPr>
          </w:p>
        </w:tc>
      </w:tr>
      <w:tr>
        <w:trPr>
          <w:trHeight w:val="103"/>
        </w:trPr>
        <w:tc>
          <w:tcPr>
            <w:tcW w:w="260" w:type="dxa"/>
            <w:vAlign w:val="bottom"/>
          </w:tcPr>
          <w:p>
            <w:pPr>
              <w:spacing w:after="0"/>
              <w:rPr>
                <w:sz w:val="8"/>
                <w:szCs w:val="8"/>
                <w:color w:val="auto"/>
              </w:rPr>
            </w:pPr>
          </w:p>
        </w:tc>
        <w:tc>
          <w:tcPr>
            <w:tcW w:w="68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1F2668"/>
              </w:rPr>
              <w:t>SEE PAGE 84</w:t>
            </w:r>
          </w:p>
        </w:tc>
        <w:tc>
          <w:tcPr>
            <w:tcW w:w="0" w:type="dxa"/>
            <w:vAlign w:val="bottom"/>
          </w:tcPr>
          <w:p>
            <w:pPr>
              <w:spacing w:after="0"/>
              <w:rPr>
                <w:sz w:val="1"/>
                <w:szCs w:val="1"/>
                <w:color w:val="auto"/>
              </w:rPr>
            </w:pPr>
          </w:p>
        </w:tc>
      </w:tr>
      <w:tr>
        <w:trPr>
          <w:trHeight w:val="93"/>
        </w:trPr>
        <w:tc>
          <w:tcPr>
            <w:tcW w:w="260" w:type="dxa"/>
            <w:vAlign w:val="bottom"/>
          </w:tcPr>
          <w:p>
            <w:pPr>
              <w:spacing w:after="0"/>
              <w:rPr>
                <w:sz w:val="8"/>
                <w:szCs w:val="8"/>
                <w:color w:val="auto"/>
              </w:rPr>
            </w:pPr>
          </w:p>
        </w:tc>
        <w:tc>
          <w:tcPr>
            <w:tcW w:w="6880" w:type="dxa"/>
            <w:vAlign w:val="bottom"/>
            <w:vMerge w:val="restart"/>
          </w:tcPr>
          <w:p>
            <w:pPr>
              <w:ind w:left="600"/>
              <w:spacing w:after="0"/>
              <w:rPr>
                <w:sz w:val="20"/>
                <w:szCs w:val="20"/>
                <w:color w:val="auto"/>
              </w:rPr>
            </w:pPr>
            <w:r>
              <w:rPr>
                <w:rFonts w:ascii="Arial" w:cs="Arial" w:eastAsia="Arial" w:hAnsi="Arial"/>
                <w:sz w:val="16"/>
                <w:szCs w:val="16"/>
                <w:color w:val="auto"/>
              </w:rPr>
              <w:t>LLP is in the best interest of the Company and its stockholders.</w:t>
            </w:r>
          </w:p>
        </w:tc>
        <w:tc>
          <w:tcPr>
            <w:tcW w:w="200" w:type="dxa"/>
            <w:vAlign w:val="bottom"/>
          </w:tcPr>
          <w:p>
            <w:pPr>
              <w:spacing w:after="0"/>
              <w:rPr>
                <w:sz w:val="8"/>
                <w:szCs w:val="8"/>
                <w:color w:val="auto"/>
              </w:rPr>
            </w:pPr>
          </w:p>
        </w:tc>
        <w:tc>
          <w:tcPr>
            <w:tcW w:w="17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68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60" w:type="dxa"/>
            <w:vAlign w:val="bottom"/>
            <w:tcBorders>
              <w:bottom w:val="single" w:sz="8" w:color="83AD40"/>
            </w:tcBorders>
          </w:tcPr>
          <w:p>
            <w:pPr>
              <w:spacing w:after="0"/>
              <w:rPr>
                <w:sz w:val="11"/>
                <w:szCs w:val="11"/>
                <w:color w:val="auto"/>
              </w:rPr>
            </w:pPr>
          </w:p>
        </w:tc>
        <w:tc>
          <w:tcPr>
            <w:tcW w:w="6880" w:type="dxa"/>
            <w:vAlign w:val="bottom"/>
            <w:tcBorders>
              <w:bottom w:val="single" w:sz="8" w:color="83AD40"/>
            </w:tcBorders>
          </w:tcPr>
          <w:p>
            <w:pPr>
              <w:spacing w:after="0"/>
              <w:rPr>
                <w:sz w:val="11"/>
                <w:szCs w:val="11"/>
                <w:color w:val="auto"/>
              </w:rPr>
            </w:pPr>
          </w:p>
        </w:tc>
        <w:tc>
          <w:tcPr>
            <w:tcW w:w="200" w:type="dxa"/>
            <w:vAlign w:val="bottom"/>
            <w:tcBorders>
              <w:bottom w:val="single" w:sz="8" w:color="83AD40"/>
            </w:tcBorders>
          </w:tcPr>
          <w:p>
            <w:pPr>
              <w:spacing w:after="0"/>
              <w:rPr>
                <w:sz w:val="11"/>
                <w:szCs w:val="11"/>
                <w:color w:val="auto"/>
              </w:rPr>
            </w:pPr>
          </w:p>
        </w:tc>
        <w:tc>
          <w:tcPr>
            <w:tcW w:w="1720" w:type="dxa"/>
            <w:vAlign w:val="bottom"/>
            <w:tcBorders>
              <w:bottom w:val="single" w:sz="8" w:color="83AD40"/>
            </w:tcBorders>
          </w:tcPr>
          <w:p>
            <w:pPr>
              <w:spacing w:after="0"/>
              <w:rPr>
                <w:sz w:val="11"/>
                <w:szCs w:val="11"/>
                <w:color w:val="auto"/>
              </w:rPr>
            </w:pPr>
          </w:p>
        </w:tc>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2"/>
        </w:trPr>
        <w:tc>
          <w:tcPr>
            <w:tcW w:w="260" w:type="dxa"/>
            <w:vAlign w:val="bottom"/>
          </w:tcPr>
          <w:p>
            <w:pPr>
              <w:spacing w:after="0" w:line="142" w:lineRule="exact"/>
              <w:rPr>
                <w:sz w:val="20"/>
                <w:szCs w:val="20"/>
                <w:color w:val="auto"/>
              </w:rPr>
            </w:pPr>
            <w:r>
              <w:rPr>
                <w:rFonts w:ascii="Arial" w:cs="Arial" w:eastAsia="Arial" w:hAnsi="Arial"/>
                <w:sz w:val="16"/>
                <w:szCs w:val="16"/>
                <w:color w:val="auto"/>
              </w:rPr>
              <w:t>​</w:t>
            </w:r>
          </w:p>
        </w:tc>
        <w:tc>
          <w:tcPr>
            <w:tcW w:w="6880" w:type="dxa"/>
            <w:vAlign w:val="bottom"/>
          </w:tcPr>
          <w:p>
            <w:pPr>
              <w:ind w:left="220"/>
              <w:spacing w:after="0" w:line="142" w:lineRule="exact"/>
              <w:rPr>
                <w:sz w:val="20"/>
                <w:szCs w:val="20"/>
                <w:color w:val="auto"/>
              </w:rPr>
            </w:pPr>
            <w:r>
              <w:rPr>
                <w:rFonts w:ascii="Arial" w:cs="Arial" w:eastAsia="Arial" w:hAnsi="Arial"/>
                <w:sz w:val="16"/>
                <w:szCs w:val="16"/>
                <w:color w:val="auto"/>
              </w:rPr>
              <w:t>​ ​</w:t>
            </w:r>
          </w:p>
        </w:tc>
        <w:tc>
          <w:tcPr>
            <w:tcW w:w="200" w:type="dxa"/>
            <w:vAlign w:val="bottom"/>
          </w:tcPr>
          <w:p>
            <w:pPr>
              <w:ind w:left="20"/>
              <w:spacing w:after="0" w:line="142" w:lineRule="exact"/>
              <w:rPr>
                <w:sz w:val="20"/>
                <w:szCs w:val="20"/>
                <w:color w:val="auto"/>
              </w:rPr>
            </w:pPr>
            <w:r>
              <w:rPr>
                <w:rFonts w:ascii="Arial" w:cs="Arial" w:eastAsia="Arial" w:hAnsi="Arial"/>
                <w:sz w:val="16"/>
                <w:szCs w:val="16"/>
                <w:color w:val="auto"/>
              </w:rPr>
              <w:t>​ ​</w:t>
            </w:r>
          </w:p>
        </w:tc>
        <w:tc>
          <w:tcPr>
            <w:tcW w:w="172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260" w:type="dxa"/>
            <w:vAlign w:val="bottom"/>
          </w:tcPr>
          <w:p>
            <w:pPr>
              <w:spacing w:after="0"/>
              <w:rPr>
                <w:sz w:val="22"/>
                <w:szCs w:val="22"/>
                <w:color w:val="auto"/>
              </w:rPr>
            </w:pPr>
          </w:p>
        </w:tc>
        <w:tc>
          <w:tcPr>
            <w:tcW w:w="6880" w:type="dxa"/>
            <w:vAlign w:val="bottom"/>
          </w:tcPr>
          <w:p>
            <w:pPr>
              <w:ind w:left="440"/>
              <w:spacing w:after="0"/>
              <w:rPr>
                <w:sz w:val="20"/>
                <w:szCs w:val="20"/>
                <w:color w:val="auto"/>
              </w:rPr>
            </w:pPr>
            <w:r>
              <w:rPr>
                <w:rFonts w:ascii="Arial" w:cs="Arial" w:eastAsia="Arial" w:hAnsi="Arial"/>
                <w:sz w:val="23"/>
                <w:szCs w:val="23"/>
                <w:b w:val="1"/>
                <w:bCs w:val="1"/>
                <w:color w:val="1F2668"/>
              </w:rPr>
              <w:t>Approval of our Sixth Amended and Restated 2005 Stock</w:t>
            </w:r>
          </w:p>
        </w:tc>
        <w:tc>
          <w:tcPr>
            <w:tcW w:w="2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2"/>
        </w:trPr>
        <w:tc>
          <w:tcPr>
            <w:tcW w:w="260" w:type="dxa"/>
            <w:vAlign w:val="bottom"/>
          </w:tcPr>
          <w:p>
            <w:pPr>
              <w:spacing w:after="0"/>
              <w:rPr>
                <w:sz w:val="24"/>
                <w:szCs w:val="24"/>
                <w:color w:val="auto"/>
              </w:rPr>
            </w:pPr>
          </w:p>
        </w:tc>
        <w:tc>
          <w:tcPr>
            <w:tcW w:w="6880" w:type="dxa"/>
            <w:vAlign w:val="bottom"/>
          </w:tcPr>
          <w:p>
            <w:pPr>
              <w:ind w:left="440"/>
              <w:spacing w:after="0"/>
              <w:rPr>
                <w:sz w:val="20"/>
                <w:szCs w:val="20"/>
                <w:color w:val="auto"/>
              </w:rPr>
            </w:pPr>
            <w:r>
              <w:rPr>
                <w:rFonts w:ascii="Arial" w:cs="Arial" w:eastAsia="Arial" w:hAnsi="Arial"/>
                <w:sz w:val="23"/>
                <w:szCs w:val="23"/>
                <w:b w:val="1"/>
                <w:bCs w:val="1"/>
                <w:color w:val="1F2668"/>
              </w:rPr>
              <w:t>Option and Incentive Plan</w:t>
            </w: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5857875</wp:posOffset>
            </wp:positionH>
            <wp:positionV relativeFrom="paragraph">
              <wp:posOffset>-2145665</wp:posOffset>
            </wp:positionV>
            <wp:extent cx="60325"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5857875</wp:posOffset>
            </wp:positionH>
            <wp:positionV relativeFrom="paragraph">
              <wp:posOffset>-739775</wp:posOffset>
            </wp:positionV>
            <wp:extent cx="60325"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602615</wp:posOffset>
            </wp:positionH>
            <wp:positionV relativeFrom="paragraph">
              <wp:posOffset>-3122930</wp:posOffset>
            </wp:positionV>
            <wp:extent cx="205740" cy="213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5740" cy="213995"/>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-3122930</wp:posOffset>
            </wp:positionV>
            <wp:extent cx="411480" cy="411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-1708785</wp:posOffset>
            </wp:positionV>
            <wp:extent cx="205740" cy="2146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5740" cy="214630"/>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-1717040</wp:posOffset>
            </wp:positionV>
            <wp:extent cx="411480" cy="411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602615</wp:posOffset>
            </wp:positionH>
            <wp:positionV relativeFrom="paragraph">
              <wp:posOffset>-337185</wp:posOffset>
            </wp:positionV>
            <wp:extent cx="205740" cy="2146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5740" cy="214630"/>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-345440</wp:posOffset>
            </wp:positionV>
            <wp:extent cx="411480" cy="411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p>
      <w:pPr>
        <w:spacing w:after="0" w:line="102" w:lineRule="exact"/>
        <w:rPr>
          <w:sz w:val="20"/>
          <w:szCs w:val="20"/>
          <w:color w:val="auto"/>
        </w:rPr>
      </w:pPr>
    </w:p>
    <w:p>
      <w:pPr>
        <w:ind w:left="1680" w:right="440" w:hanging="162"/>
        <w:spacing w:after="0" w:line="275" w:lineRule="auto"/>
        <w:tabs>
          <w:tab w:leader="none" w:pos="16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On April 22, 2025, the Board voted to amend and restate our Fifth Amended and Restated 2005 Stock Option and Incentive Plan (the “Fifth Amended 2005 Plan”) to increase the number of shares available for issuance.</w:t>
      </w:r>
    </w:p>
    <w:p>
      <w:pPr>
        <w:spacing w:after="0" w:line="96" w:lineRule="exact"/>
        <w:rPr>
          <w:rFonts w:ascii="Arial" w:cs="Arial" w:eastAsia="Arial" w:hAnsi="Arial"/>
          <w:sz w:val="16"/>
          <w:szCs w:val="16"/>
          <w:color w:val="auto"/>
        </w:rPr>
      </w:pPr>
    </w:p>
    <w:p>
      <w:pPr>
        <w:ind w:left="1680" w:hanging="162"/>
        <w:spacing w:after="0" w:line="284" w:lineRule="auto"/>
        <w:tabs>
          <w:tab w:leader="none" w:pos="16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number of additional shares requested under our Sixth Amended and Restated 2005 Stock Option and Incentive Plan (the “Sixth Amended 2005 Plan”) is reasonable: 7,680,000 fungible units is equal to 2,400,000 full value awards.</w:t>
      </w:r>
    </w:p>
    <w:p>
      <w:pPr>
        <w:spacing w:after="0" w:line="89" w:lineRule="exact"/>
        <w:rPr>
          <w:rFonts w:ascii="Arial" w:cs="Arial" w:eastAsia="Arial" w:hAnsi="Arial"/>
          <w:sz w:val="16"/>
          <w:szCs w:val="16"/>
          <w:color w:val="auto"/>
        </w:rPr>
      </w:pPr>
    </w:p>
    <w:p>
      <w:pPr>
        <w:ind w:left="1680" w:hanging="162"/>
        <w:spacing w:after="0" w:line="271" w:lineRule="auto"/>
        <w:tabs>
          <w:tab w:leader="none" w:pos="16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believe that having an equity plan in place with a sufficient number of shares is critical to our ability to attract, retain and motivate employees in a highly competitive marketplace and ensure that our executive compensation is structured in a manner to align our executives’ interests with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146050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ind w:right="260"/>
        <w:spacing w:after="0" w:line="295" w:lineRule="auto"/>
        <w:rPr>
          <w:sz w:val="20"/>
          <w:szCs w:val="20"/>
          <w:color w:val="auto"/>
        </w:rPr>
      </w:pPr>
      <w:r>
        <w:rPr>
          <w:rFonts w:ascii="Arial" w:cs="Arial" w:eastAsia="Arial" w:hAnsi="Arial"/>
          <w:sz w:val="15"/>
          <w:szCs w:val="15"/>
          <w:b w:val="1"/>
          <w:bCs w:val="1"/>
          <w:color w:val="auto"/>
        </w:rPr>
        <w:t>The Board recommends a vote</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color w:val="1F2668"/>
        </w:rPr>
        <w:t xml:space="preserve">FOR </w:t>
      </w:r>
      <w:r>
        <w:rPr>
          <w:rFonts w:ascii="Arial" w:cs="Arial" w:eastAsia="Arial" w:hAnsi="Arial"/>
          <w:sz w:val="15"/>
          <w:szCs w:val="15"/>
          <w:b w:val="1"/>
          <w:bCs w:val="1"/>
          <w:color w:val="000000"/>
        </w:rPr>
        <w:t>this proposal.</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1F2668"/>
        </w:rPr>
        <w:t>SEE PAGE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663575</wp:posOffset>
            </wp:positionH>
            <wp:positionV relativeFrom="paragraph">
              <wp:posOffset>-83820</wp:posOffset>
            </wp:positionV>
            <wp:extent cx="60325"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68580"/>
                    </a:xfrm>
                    <a:prstGeom prst="rect">
                      <a:avLst/>
                    </a:prstGeom>
                    <a:noFill/>
                  </pic:spPr>
                </pic:pic>
              </a:graphicData>
            </a:graphic>
          </wp:anchor>
        </w:drawing>
      </w:r>
    </w:p>
    <w:p>
      <w:pPr>
        <w:sectPr>
          <w:pgSz w:w="11900" w:h="16838" w:orient="portrait"/>
          <w:cols w:equalWidth="0" w:num="2">
            <w:col w:w="7940" w:space="240"/>
            <w:col w:w="1760"/>
          </w:cols>
          <w:pgMar w:left="580" w:top="97" w:right="1379"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5420" w:type="dxa"/>
            <w:vAlign w:val="bottom"/>
          </w:tcPr>
          <w:p>
            <w:pPr>
              <w:spacing w:after="0"/>
              <w:rPr>
                <w:sz w:val="20"/>
                <w:szCs w:val="20"/>
                <w:color w:val="auto"/>
              </w:rPr>
            </w:pPr>
            <w:r>
              <w:rPr>
                <w:rFonts w:ascii="Arial" w:cs="Arial" w:eastAsia="Arial" w:hAnsi="Arial"/>
                <w:sz w:val="14"/>
                <w:szCs w:val="14"/>
                <w:b w:val="1"/>
                <w:bCs w:val="1"/>
                <w:color w:val="auto"/>
              </w:rPr>
              <w:t>​</w:t>
            </w:r>
          </w:p>
        </w:tc>
        <w:tc>
          <w:tcPr>
            <w:tcW w:w="3220" w:type="dxa"/>
            <w:vAlign w:val="bottom"/>
          </w:tcPr>
          <w:p>
            <w:pPr>
              <w:ind w:left="2780"/>
              <w:spacing w:after="0"/>
              <w:rPr>
                <w:sz w:val="20"/>
                <w:szCs w:val="20"/>
                <w:color w:val="auto"/>
              </w:rPr>
            </w:pPr>
            <w:r>
              <w:rPr>
                <w:rFonts w:ascii="Arial" w:cs="Arial" w:eastAsia="Arial" w:hAnsi="Arial"/>
                <w:sz w:val="14"/>
                <w:szCs w:val="14"/>
                <w:b w:val="1"/>
                <w:bCs w:val="1"/>
                <w:color w:val="auto"/>
              </w:rPr>
              <w:t>​ ​</w:t>
            </w:r>
          </w:p>
        </w:tc>
        <w:tc>
          <w:tcPr>
            <w:tcW w:w="420" w:type="dxa"/>
            <w:vAlign w:val="bottom"/>
            <w:vMerge w:val="restart"/>
          </w:tcPr>
          <w:p>
            <w:pPr>
              <w:jc w:val="right"/>
              <w:spacing w:after="0"/>
              <w:rPr>
                <w:sz w:val="20"/>
                <w:szCs w:val="20"/>
                <w:color w:val="auto"/>
              </w:rPr>
            </w:pPr>
            <w:r>
              <w:rPr>
                <w:rFonts w:ascii="Arial" w:cs="Arial" w:eastAsia="Arial" w:hAnsi="Arial"/>
                <w:sz w:val="22"/>
                <w:szCs w:val="22"/>
                <w:b w:val="1"/>
                <w:bCs w:val="1"/>
                <w:color w:val="1F2668"/>
              </w:rPr>
              <w:t>5</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5420" w:type="dxa"/>
            <w:vAlign w:val="bottom"/>
          </w:tcPr>
          <w:p>
            <w:pPr>
              <w:spacing w:after="0"/>
              <w:rPr>
                <w:sz w:val="20"/>
                <w:szCs w:val="20"/>
                <w:color w:val="auto"/>
              </w:rPr>
            </w:pPr>
            <w:r>
              <w:rPr>
                <w:rFonts w:ascii="Arial" w:cs="Arial" w:eastAsia="Arial" w:hAnsi="Arial"/>
                <w:sz w:val="14"/>
                <w:szCs w:val="14"/>
                <w:b w:val="1"/>
                <w:bCs w:val="1"/>
                <w:color w:val="auto"/>
              </w:rPr>
              <w:t>2025 PROXY STATEMENT HIGHLIGHTS</w:t>
            </w:r>
          </w:p>
        </w:tc>
        <w:tc>
          <w:tcPr>
            <w:tcW w:w="322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820"/>
        <w:spacing w:after="0"/>
        <w:rPr>
          <w:sz w:val="20"/>
          <w:szCs w:val="20"/>
          <w:color w:val="auto"/>
        </w:rPr>
      </w:pPr>
      <w:r>
        <w:rPr>
          <w:rFonts w:ascii="Arial" w:cs="Arial" w:eastAsia="Arial" w:hAnsi="Arial"/>
          <w:sz w:val="29"/>
          <w:szCs w:val="29"/>
          <w:b w:val="1"/>
          <w:bCs w:val="1"/>
          <w:color w:val="83AD40"/>
        </w:rPr>
        <w:t>BUSINESS OVERVIEW AND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2446020</wp:posOffset>
            </wp:positionH>
            <wp:positionV relativeFrom="paragraph">
              <wp:posOffset>153035</wp:posOffset>
            </wp:positionV>
            <wp:extent cx="34290" cy="73037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7303770"/>
                    </a:xfrm>
                    <a:prstGeom prst="rect">
                      <a:avLst/>
                    </a:prstGeom>
                    <a:noFill/>
                  </pic:spPr>
                </pic:pic>
              </a:graphicData>
            </a:graphic>
          </wp:anchor>
        </w:drawing>
      </w:r>
    </w:p>
    <w:p>
      <w:pPr>
        <w:spacing w:after="0" w:line="201" w:lineRule="exact"/>
        <w:rPr>
          <w:sz w:val="20"/>
          <w:szCs w:val="20"/>
          <w:color w:val="auto"/>
        </w:rPr>
      </w:pPr>
    </w:p>
    <w:tbl>
      <w:tblPr>
        <w:tblLayout w:type="fixed"/>
        <w:tblInd w:w="830" w:type="dxa"/>
        <w:tblCellMar>
          <w:top w:w="0" w:type="dxa"/>
          <w:left w:w="0" w:type="dxa"/>
          <w:bottom w:w="0" w:type="dxa"/>
          <w:right w:w="0" w:type="dxa"/>
        </w:tblCellMar>
      </w:tblPr>
      <w:tr>
        <w:trPr>
          <w:trHeight w:val="297"/>
        </w:trPr>
        <w:tc>
          <w:tcPr>
            <w:tcW w:w="1580" w:type="dxa"/>
            <w:vAlign w:val="bottom"/>
            <w:tcBorders>
              <w:top w:val="single" w:sz="8" w:color="83AD40"/>
              <w:left w:val="single" w:sz="8" w:color="83AD40"/>
            </w:tcBorders>
          </w:tcPr>
          <w:p>
            <w:pPr>
              <w:ind w:left="60"/>
              <w:spacing w:after="0"/>
              <w:rPr>
                <w:sz w:val="20"/>
                <w:szCs w:val="20"/>
                <w:color w:val="auto"/>
              </w:rPr>
            </w:pPr>
            <w:r>
              <w:rPr>
                <w:rFonts w:ascii="Arial" w:cs="Arial" w:eastAsia="Arial" w:hAnsi="Arial"/>
                <w:sz w:val="22"/>
                <w:szCs w:val="22"/>
                <w:color w:val="auto"/>
              </w:rPr>
              <w:t>​</w:t>
            </w:r>
          </w:p>
        </w:tc>
        <w:tc>
          <w:tcPr>
            <w:tcW w:w="1520" w:type="dxa"/>
            <w:vAlign w:val="bottom"/>
            <w:tcBorders>
              <w:top w:val="single" w:sz="8" w:color="83AD40"/>
            </w:tcBorders>
          </w:tcPr>
          <w:p>
            <w:pPr>
              <w:ind w:left="1460"/>
              <w:spacing w:after="0"/>
              <w:rPr>
                <w:sz w:val="20"/>
                <w:szCs w:val="20"/>
                <w:color w:val="auto"/>
              </w:rPr>
            </w:pPr>
            <w:r>
              <w:rPr>
                <w:rFonts w:ascii="Arial" w:cs="Arial" w:eastAsia="Arial" w:hAnsi="Arial"/>
                <w:sz w:val="22"/>
                <w:szCs w:val="22"/>
                <w:color w:val="auto"/>
              </w:rPr>
              <w:t>​</w:t>
            </w:r>
          </w:p>
        </w:tc>
        <w:tc>
          <w:tcPr>
            <w:tcW w:w="5740" w:type="dxa"/>
            <w:vAlign w:val="bottom"/>
            <w:vMerge w:val="restart"/>
          </w:tcPr>
          <w:p>
            <w:pPr>
              <w:ind w:left="360"/>
              <w:spacing w:after="0"/>
              <w:rPr>
                <w:sz w:val="20"/>
                <w:szCs w:val="20"/>
                <w:color w:val="auto"/>
              </w:rPr>
            </w:pPr>
            <w:r>
              <w:rPr>
                <w:rFonts w:ascii="Arial" w:cs="Arial" w:eastAsia="Arial" w:hAnsi="Arial"/>
                <w:sz w:val="20"/>
                <w:szCs w:val="20"/>
                <w:b w:val="1"/>
                <w:bCs w:val="1"/>
                <w:color w:val="83AD40"/>
              </w:rPr>
              <w:t>Sector-Leading 2024 Stock Performance</w:t>
            </w: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5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740" w:type="dxa"/>
            <w:vAlign w:val="bottom"/>
          </w:tcPr>
          <w:p>
            <w:pPr>
              <w:ind w:left="360"/>
              <w:spacing w:after="0"/>
              <w:rPr>
                <w:sz w:val="20"/>
                <w:szCs w:val="20"/>
                <w:color w:val="auto"/>
              </w:rPr>
            </w:pPr>
            <w:r>
              <w:rPr>
                <w:rFonts w:ascii="Arial" w:cs="Arial" w:eastAsia="Arial" w:hAnsi="Arial"/>
                <w:sz w:val="16"/>
                <w:szCs w:val="16"/>
                <w:color w:val="auto"/>
                <w:w w:val="99"/>
              </w:rPr>
              <w:t xml:space="preserve">•  </w:t>
            </w:r>
            <w:r>
              <w:rPr>
                <w:rFonts w:ascii="Arial" w:cs="Arial" w:eastAsia="Arial" w:hAnsi="Arial"/>
                <w:sz w:val="16"/>
                <w:szCs w:val="16"/>
                <w:b w:val="1"/>
                <w:bCs w:val="1"/>
                <w:color w:val="auto"/>
                <w:w w:val="99"/>
              </w:rPr>
              <w:t>58% Total Shareholder Return in 2024, approximately 135% over two-</w:t>
            </w:r>
          </w:p>
        </w:tc>
        <w:tc>
          <w:tcPr>
            <w:tcW w:w="0" w:type="dxa"/>
            <w:vAlign w:val="bottom"/>
          </w:tcPr>
          <w:p>
            <w:pPr>
              <w:spacing w:after="0"/>
              <w:rPr>
                <w:sz w:val="1"/>
                <w:szCs w:val="1"/>
                <w:color w:val="auto"/>
              </w:rPr>
            </w:pPr>
          </w:p>
        </w:tc>
      </w:tr>
      <w:tr>
        <w:trPr>
          <w:trHeight w:val="223"/>
        </w:trPr>
        <w:tc>
          <w:tcPr>
            <w:tcW w:w="15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740" w:type="dxa"/>
            <w:vAlign w:val="bottom"/>
          </w:tcPr>
          <w:p>
            <w:pPr>
              <w:ind w:left="540"/>
              <w:spacing w:after="0"/>
              <w:rPr>
                <w:sz w:val="20"/>
                <w:szCs w:val="20"/>
                <w:color w:val="auto"/>
              </w:rPr>
            </w:pPr>
            <w:r>
              <w:rPr>
                <w:rFonts w:ascii="Arial" w:cs="Arial" w:eastAsia="Arial" w:hAnsi="Arial"/>
                <w:sz w:val="16"/>
                <w:szCs w:val="16"/>
                <w:b w:val="1"/>
                <w:bCs w:val="1"/>
                <w:color w:val="auto"/>
              </w:rPr>
              <w:t>year period</w:t>
            </w:r>
          </w:p>
        </w:tc>
        <w:tc>
          <w:tcPr>
            <w:tcW w:w="0" w:type="dxa"/>
            <w:vAlign w:val="bottom"/>
          </w:tcPr>
          <w:p>
            <w:pPr>
              <w:spacing w:after="0"/>
              <w:rPr>
                <w:sz w:val="1"/>
                <w:szCs w:val="1"/>
                <w:color w:val="auto"/>
              </w:rPr>
            </w:pPr>
          </w:p>
        </w:tc>
      </w:tr>
      <w:tr>
        <w:trPr>
          <w:trHeight w:val="262"/>
        </w:trPr>
        <w:tc>
          <w:tcPr>
            <w:tcW w:w="15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5740" w:type="dxa"/>
            <w:vAlign w:val="bottom"/>
          </w:tcPr>
          <w:p>
            <w:pPr>
              <w:ind w:left="360"/>
              <w:spacing w:after="0"/>
              <w:rPr>
                <w:sz w:val="20"/>
                <w:szCs w:val="20"/>
                <w:color w:val="auto"/>
              </w:rPr>
            </w:pPr>
            <w:r>
              <w:rPr>
                <w:rFonts w:ascii="Arial" w:cs="Arial" w:eastAsia="Arial" w:hAnsi="Arial"/>
                <w:sz w:val="16"/>
                <w:szCs w:val="16"/>
                <w:color w:val="auto"/>
              </w:rPr>
              <w:t>•  #1 U.S. REIT &gt;$1B market cap for second, consecutive year</w:t>
            </w:r>
          </w:p>
        </w:tc>
        <w:tc>
          <w:tcPr>
            <w:tcW w:w="0" w:type="dxa"/>
            <w:vAlign w:val="bottom"/>
          </w:tcPr>
          <w:p>
            <w:pPr>
              <w:spacing w:after="0"/>
              <w:rPr>
                <w:sz w:val="1"/>
                <w:szCs w:val="1"/>
                <w:color w:val="auto"/>
              </w:rPr>
            </w:pPr>
          </w:p>
        </w:tc>
      </w:tr>
      <w:tr>
        <w:trPr>
          <w:trHeight w:val="283"/>
        </w:trPr>
        <w:tc>
          <w:tcPr>
            <w:tcW w:w="1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740" w:type="dxa"/>
            <w:vAlign w:val="bottom"/>
          </w:tcPr>
          <w:p>
            <w:pPr>
              <w:ind w:left="360"/>
              <w:spacing w:after="0"/>
              <w:rPr>
                <w:sz w:val="20"/>
                <w:szCs w:val="20"/>
                <w:color w:val="auto"/>
              </w:rPr>
            </w:pPr>
            <w:r>
              <w:rPr>
                <w:rFonts w:ascii="Arial" w:cs="Arial" w:eastAsia="Arial" w:hAnsi="Arial"/>
                <w:sz w:val="16"/>
                <w:szCs w:val="16"/>
                <w:color w:val="auto"/>
              </w:rPr>
              <w:t>•  #1 U.S. Office REIT for second, consecutive year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-761365</wp:posOffset>
            </wp:positionV>
            <wp:extent cx="5854700" cy="6926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54700" cy="6926580"/>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-761365</wp:posOffset>
            </wp:positionV>
            <wp:extent cx="5854700" cy="6926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54700" cy="6926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280"/>
        <w:spacing w:after="0"/>
        <w:rPr>
          <w:sz w:val="20"/>
          <w:szCs w:val="20"/>
          <w:color w:val="auto"/>
        </w:rPr>
      </w:pPr>
      <w:r>
        <w:rPr>
          <w:rFonts w:ascii="Arial" w:cs="Arial" w:eastAsia="Arial" w:hAnsi="Arial"/>
          <w:sz w:val="20"/>
          <w:szCs w:val="20"/>
          <w:b w:val="1"/>
          <w:bCs w:val="1"/>
          <w:color w:val="83AD40"/>
        </w:rPr>
        <w:t>Active, Responsible and Engaged Business Strategy</w:t>
      </w:r>
    </w:p>
    <w:p>
      <w:pPr>
        <w:spacing w:after="0" w:line="77" w:lineRule="exact"/>
        <w:rPr>
          <w:sz w:val="20"/>
          <w:szCs w:val="20"/>
          <w:color w:val="auto"/>
        </w:rPr>
      </w:pPr>
    </w:p>
    <w:p>
      <w:pPr>
        <w:ind w:left="4460" w:right="1200" w:hanging="188"/>
        <w:spacing w:after="0" w:line="304" w:lineRule="auto"/>
        <w:tabs>
          <w:tab w:leader="none" w:pos="4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Focused principally on the Manhattan market, where we have significant experience and valuable insights</w:t>
      </w:r>
    </w:p>
    <w:p>
      <w:pPr>
        <w:spacing w:after="0" w:line="6" w:lineRule="exact"/>
        <w:rPr>
          <w:rFonts w:ascii="Arial" w:cs="Arial" w:eastAsia="Arial" w:hAnsi="Arial"/>
          <w:sz w:val="16"/>
          <w:szCs w:val="16"/>
          <w:color w:val="auto"/>
        </w:rPr>
      </w:pPr>
    </w:p>
    <w:p>
      <w:pPr>
        <w:ind w:left="4460" w:right="840" w:hanging="188"/>
        <w:spacing w:after="0" w:line="304" w:lineRule="auto"/>
        <w:tabs>
          <w:tab w:leader="none" w:pos="4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Transaction-oriented company, executing more transactions than many of our competitors over a much longer, multi-year period</w:t>
      </w:r>
    </w:p>
    <w:p>
      <w:pPr>
        <w:spacing w:after="0" w:line="6" w:lineRule="exact"/>
        <w:rPr>
          <w:rFonts w:ascii="Arial" w:cs="Arial" w:eastAsia="Arial" w:hAnsi="Arial"/>
          <w:sz w:val="16"/>
          <w:szCs w:val="16"/>
          <w:color w:val="auto"/>
        </w:rPr>
      </w:pPr>
    </w:p>
    <w:p>
      <w:pPr>
        <w:ind w:left="4460" w:right="900" w:hanging="188"/>
        <w:spacing w:after="0" w:line="304" w:lineRule="auto"/>
        <w:tabs>
          <w:tab w:leader="none" w:pos="4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Launching adjacent high-margin businesses with recurring revenue streams, to lessen long-term impact of economic cycles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2711450</wp:posOffset>
            </wp:positionH>
            <wp:positionV relativeFrom="paragraph">
              <wp:posOffset>201930</wp:posOffset>
            </wp:positionV>
            <wp:extent cx="3566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280"/>
        <w:spacing w:after="0"/>
        <w:rPr>
          <w:sz w:val="20"/>
          <w:szCs w:val="20"/>
          <w:color w:val="auto"/>
        </w:rPr>
      </w:pPr>
      <w:r>
        <w:rPr>
          <w:rFonts w:ascii="Arial" w:cs="Arial" w:eastAsia="Arial" w:hAnsi="Arial"/>
          <w:sz w:val="20"/>
          <w:szCs w:val="20"/>
          <w:b w:val="1"/>
          <w:bCs w:val="1"/>
          <w:color w:val="83AD40"/>
        </w:rPr>
        <w:t>Delivering Sustained Value for All Our Stakeholders</w:t>
      </w:r>
    </w:p>
    <w:p>
      <w:pPr>
        <w:spacing w:after="0" w:line="90" w:lineRule="exact"/>
        <w:rPr>
          <w:sz w:val="20"/>
          <w:szCs w:val="20"/>
          <w:color w:val="auto"/>
        </w:rPr>
      </w:pPr>
    </w:p>
    <w:p>
      <w:pPr>
        <w:ind w:left="4460" w:right="1100" w:hanging="188"/>
        <w:spacing w:after="0" w:line="321" w:lineRule="auto"/>
        <w:tabs>
          <w:tab w:leader="none" w:pos="4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Consider sustainability as a value driver and are committed to maintaining our industry leadership while reducing our environmental impact</w:t>
      </w:r>
    </w:p>
    <w:p>
      <w:pPr>
        <w:spacing w:after="0" w:line="11" w:lineRule="exact"/>
        <w:rPr>
          <w:rFonts w:ascii="Arial" w:cs="Arial" w:eastAsia="Arial" w:hAnsi="Arial"/>
          <w:sz w:val="15"/>
          <w:szCs w:val="15"/>
          <w:color w:val="auto"/>
        </w:rPr>
      </w:pPr>
    </w:p>
    <w:p>
      <w:pPr>
        <w:ind w:left="4460" w:right="840" w:hanging="188"/>
        <w:spacing w:after="0" w:line="275" w:lineRule="auto"/>
        <w:tabs>
          <w:tab w:leader="none" w:pos="4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Governed by environmental and social policies that are intended to guide sustainable operations, contribute to effective risk management and positively impact our stockholders, employees, tenants, and community</w:t>
      </w:r>
    </w:p>
    <w:p>
      <w:pPr>
        <w:spacing w:after="0" w:line="199" w:lineRule="exact"/>
        <w:rPr>
          <w:sz w:val="20"/>
          <w:szCs w:val="20"/>
          <w:color w:val="auto"/>
        </w:rPr>
      </w:pPr>
    </w:p>
    <w:tbl>
      <w:tblPr>
        <w:tblLayout w:type="fixed"/>
        <w:tblInd w:w="4650" w:type="dxa"/>
        <w:tblCellMar>
          <w:top w:w="0" w:type="dxa"/>
          <w:left w:w="0" w:type="dxa"/>
          <w:bottom w:w="0" w:type="dxa"/>
          <w:right w:w="0" w:type="dxa"/>
        </w:tblCellMar>
      </w:tblPr>
      <w:tr>
        <w:trPr>
          <w:trHeight w:val="335"/>
        </w:trPr>
        <w:tc>
          <w:tcPr>
            <w:tcW w:w="240" w:type="dxa"/>
            <w:vAlign w:val="bottom"/>
            <w:tcBorders>
              <w:top w:val="single" w:sz="8" w:color="83AD40"/>
              <w:left w:val="single" w:sz="8" w:color="83AD40"/>
            </w:tcBorders>
          </w:tcPr>
          <w:p>
            <w:pPr>
              <w:spacing w:after="0"/>
              <w:rPr>
                <w:sz w:val="20"/>
                <w:szCs w:val="20"/>
                <w:color w:val="auto"/>
              </w:rPr>
            </w:pPr>
            <w:r>
              <w:rPr>
                <w:rFonts w:ascii="Arial" w:cs="Arial" w:eastAsia="Arial" w:hAnsi="Arial"/>
                <w:sz w:val="24"/>
                <w:szCs w:val="24"/>
                <w:color w:val="auto"/>
              </w:rPr>
              <w:t>​</w:t>
            </w:r>
          </w:p>
        </w:tc>
        <w:tc>
          <w:tcPr>
            <w:tcW w:w="4060" w:type="dxa"/>
            <w:vAlign w:val="bottom"/>
            <w:tcBorders>
              <w:top w:val="single" w:sz="8" w:color="83AD40"/>
            </w:tcBorders>
            <w:vMerge w:val="restart"/>
          </w:tcPr>
          <w:p>
            <w:pPr>
              <w:ind w:left="180"/>
              <w:spacing w:after="0"/>
              <w:rPr>
                <w:sz w:val="20"/>
                <w:szCs w:val="20"/>
                <w:color w:val="auto"/>
              </w:rPr>
            </w:pPr>
            <w:r>
              <w:rPr>
                <w:rFonts w:ascii="Arial" w:cs="Arial" w:eastAsia="Arial" w:hAnsi="Arial"/>
                <w:sz w:val="27"/>
                <w:szCs w:val="27"/>
                <w:b w:val="1"/>
                <w:bCs w:val="1"/>
                <w:color w:val="83AD40"/>
              </w:rPr>
              <w:t>100%</w:t>
            </w:r>
            <w:r>
              <w:rPr>
                <w:rFonts w:ascii="Arial" w:cs="Arial" w:eastAsia="Arial" w:hAnsi="Arial"/>
                <w:sz w:val="32"/>
                <w:szCs w:val="32"/>
                <w:color w:val="000000"/>
              </w:rPr>
              <w:t>​</w:t>
            </w:r>
            <w:r>
              <w:rPr>
                <w:rFonts w:ascii="Arial" w:cs="Arial" w:eastAsia="Arial" w:hAnsi="Arial"/>
                <w:sz w:val="24"/>
                <w:szCs w:val="24"/>
                <w:color w:val="000000"/>
              </w:rPr>
              <w:t>of our owned and operated</w:t>
            </w:r>
          </w:p>
        </w:tc>
        <w:tc>
          <w:tcPr>
            <w:tcW w:w="580" w:type="dxa"/>
            <w:vAlign w:val="bottom"/>
            <w:tcBorders>
              <w:top w:val="single" w:sz="8" w:color="83AD40"/>
              <w:right w:val="single" w:sz="8" w:color="83AD40"/>
            </w:tcBorders>
          </w:tcPr>
          <w:p>
            <w:pPr>
              <w:ind w:left="340"/>
              <w:spacing w:after="0"/>
              <w:rPr>
                <w:sz w:val="20"/>
                <w:szCs w:val="20"/>
                <w:color w:val="auto"/>
              </w:rPr>
            </w:pPr>
            <w:r>
              <w:rPr>
                <w:rFonts w:ascii="Arial" w:cs="Arial" w:eastAsia="Arial" w:hAnsi="Arial"/>
                <w:sz w:val="24"/>
                <w:szCs w:val="24"/>
                <w:color w:val="auto"/>
              </w:rPr>
              <w:t>​</w:t>
            </w:r>
          </w:p>
        </w:tc>
        <w:tc>
          <w:tcPr>
            <w:tcW w:w="0" w:type="dxa"/>
            <w:vAlign w:val="bottom"/>
          </w:tcPr>
          <w:p>
            <w:pPr>
              <w:spacing w:after="0"/>
              <w:rPr>
                <w:sz w:val="1"/>
                <w:szCs w:val="1"/>
                <w:color w:val="auto"/>
              </w:rPr>
            </w:pPr>
          </w:p>
        </w:tc>
      </w:tr>
      <w:tr>
        <w:trPr>
          <w:trHeight w:val="96"/>
        </w:trPr>
        <w:tc>
          <w:tcPr>
            <w:tcW w:w="240" w:type="dxa"/>
            <w:vAlign w:val="bottom"/>
            <w:tcBorders>
              <w:left w:val="single" w:sz="8" w:color="83AD40"/>
            </w:tcBorders>
          </w:tcPr>
          <w:p>
            <w:pPr>
              <w:spacing w:after="0"/>
              <w:rPr>
                <w:sz w:val="8"/>
                <w:szCs w:val="8"/>
                <w:color w:val="auto"/>
              </w:rPr>
            </w:pPr>
          </w:p>
        </w:tc>
        <w:tc>
          <w:tcPr>
            <w:tcW w:w="4060" w:type="dxa"/>
            <w:vAlign w:val="bottom"/>
            <w:vMerge w:val="continue"/>
          </w:tcPr>
          <w:p>
            <w:pPr>
              <w:spacing w:after="0"/>
              <w:rPr>
                <w:sz w:val="8"/>
                <w:szCs w:val="8"/>
                <w:color w:val="auto"/>
              </w:rPr>
            </w:pPr>
          </w:p>
        </w:tc>
        <w:tc>
          <w:tcPr>
            <w:tcW w:w="580" w:type="dxa"/>
            <w:vAlign w:val="bottom"/>
            <w:tcBorders>
              <w:right w:val="single" w:sz="8" w:color="83AD40"/>
            </w:tcBorders>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240" w:type="dxa"/>
            <w:vAlign w:val="bottom"/>
            <w:tcBorders>
              <w:left w:val="single" w:sz="8" w:color="83AD40"/>
            </w:tcBorders>
          </w:tcPr>
          <w:p>
            <w:pPr>
              <w:spacing w:after="0"/>
              <w:rPr>
                <w:sz w:val="24"/>
                <w:szCs w:val="24"/>
                <w:color w:val="auto"/>
              </w:rPr>
            </w:pPr>
          </w:p>
        </w:tc>
        <w:tc>
          <w:tcPr>
            <w:tcW w:w="4060" w:type="dxa"/>
            <w:vAlign w:val="bottom"/>
          </w:tcPr>
          <w:p>
            <w:pPr>
              <w:ind w:left="180"/>
              <w:spacing w:after="0"/>
              <w:rPr>
                <w:sz w:val="20"/>
                <w:szCs w:val="20"/>
                <w:color w:val="auto"/>
              </w:rPr>
            </w:pPr>
            <w:r>
              <w:rPr>
                <w:rFonts w:ascii="Arial" w:cs="Arial" w:eastAsia="Arial" w:hAnsi="Arial"/>
                <w:sz w:val="24"/>
                <w:szCs w:val="24"/>
                <w:color w:val="auto"/>
              </w:rPr>
              <w:t>portfolio holds one or more</w:t>
            </w:r>
          </w:p>
        </w:tc>
        <w:tc>
          <w:tcPr>
            <w:tcW w:w="580" w:type="dxa"/>
            <w:vAlign w:val="bottom"/>
            <w:tcBorders>
              <w:right w:val="single" w:sz="8" w:color="83AD40"/>
            </w:tcBorders>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0" w:type="dxa"/>
            <w:vAlign w:val="bottom"/>
            <w:tcBorders>
              <w:left w:val="single" w:sz="8" w:color="83AD40"/>
            </w:tcBorders>
          </w:tcPr>
          <w:p>
            <w:pPr>
              <w:spacing w:after="0"/>
              <w:rPr>
                <w:sz w:val="24"/>
                <w:szCs w:val="24"/>
                <w:color w:val="auto"/>
              </w:rPr>
            </w:pPr>
          </w:p>
        </w:tc>
        <w:tc>
          <w:tcPr>
            <w:tcW w:w="4060" w:type="dxa"/>
            <w:vAlign w:val="bottom"/>
          </w:tcPr>
          <w:p>
            <w:pPr>
              <w:ind w:left="180"/>
              <w:spacing w:after="0"/>
              <w:rPr>
                <w:sz w:val="20"/>
                <w:szCs w:val="20"/>
                <w:color w:val="auto"/>
              </w:rPr>
            </w:pPr>
            <w:r>
              <w:rPr>
                <w:rFonts w:ascii="Arial" w:cs="Arial" w:eastAsia="Arial" w:hAnsi="Arial"/>
                <w:sz w:val="24"/>
                <w:szCs w:val="24"/>
                <w:color w:val="auto"/>
              </w:rPr>
              <w:t>Sustainability Certifications</w:t>
            </w:r>
          </w:p>
        </w:tc>
        <w:tc>
          <w:tcPr>
            <w:tcW w:w="580" w:type="dxa"/>
            <w:vAlign w:val="bottom"/>
            <w:tcBorders>
              <w:right w:val="single" w:sz="8" w:color="83AD40"/>
            </w:tcBorders>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40" w:type="dxa"/>
            <w:vAlign w:val="bottom"/>
            <w:tcBorders>
              <w:left w:val="single" w:sz="8" w:color="83AD40"/>
              <w:bottom w:val="single" w:sz="8" w:color="83AD40"/>
            </w:tcBorders>
          </w:tcPr>
          <w:p>
            <w:pPr>
              <w:spacing w:after="0"/>
              <w:rPr>
                <w:sz w:val="8"/>
                <w:szCs w:val="8"/>
                <w:color w:val="auto"/>
              </w:rPr>
            </w:pPr>
          </w:p>
        </w:tc>
        <w:tc>
          <w:tcPr>
            <w:tcW w:w="4060" w:type="dxa"/>
            <w:vAlign w:val="bottom"/>
            <w:tcBorders>
              <w:bottom w:val="single" w:sz="8" w:color="83AD40"/>
            </w:tcBorders>
          </w:tcPr>
          <w:p>
            <w:pPr>
              <w:spacing w:after="0"/>
              <w:rPr>
                <w:sz w:val="8"/>
                <w:szCs w:val="8"/>
                <w:color w:val="auto"/>
              </w:rPr>
            </w:pPr>
          </w:p>
        </w:tc>
        <w:tc>
          <w:tcPr>
            <w:tcW w:w="580" w:type="dxa"/>
            <w:vAlign w:val="bottom"/>
            <w:tcBorders>
              <w:bottom w:val="single" w:sz="8" w:color="83AD40"/>
              <w:right w:val="single" w:sz="8" w:color="83AD40"/>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40" w:type="dxa"/>
            <w:vAlign w:val="bottom"/>
            <w:tcBorders>
              <w:bottom w:val="single" w:sz="8" w:color="83AD40"/>
            </w:tcBorders>
          </w:tcPr>
          <w:p>
            <w:pPr>
              <w:spacing w:after="0"/>
              <w:rPr>
                <w:sz w:val="18"/>
                <w:szCs w:val="18"/>
                <w:color w:val="auto"/>
              </w:rPr>
            </w:pPr>
          </w:p>
        </w:tc>
        <w:tc>
          <w:tcPr>
            <w:tcW w:w="4060" w:type="dxa"/>
            <w:vAlign w:val="bottom"/>
            <w:tcBorders>
              <w:bottom w:val="single" w:sz="8" w:color="83AD40"/>
            </w:tcBorders>
          </w:tcPr>
          <w:p>
            <w:pPr>
              <w:spacing w:after="0"/>
              <w:rPr>
                <w:sz w:val="18"/>
                <w:szCs w:val="18"/>
                <w:color w:val="auto"/>
              </w:rPr>
            </w:pPr>
          </w:p>
        </w:tc>
        <w:tc>
          <w:tcPr>
            <w:tcW w:w="580" w:type="dxa"/>
            <w:vAlign w:val="bottom"/>
            <w:tcBorders>
              <w:bottom w:val="single" w:sz="8" w:color="83AD40"/>
            </w:tcBorders>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40" w:type="dxa"/>
            <w:vAlign w:val="bottom"/>
          </w:tcPr>
          <w:p>
            <w:pPr>
              <w:spacing w:after="0" w:line="133" w:lineRule="exact"/>
              <w:rPr>
                <w:sz w:val="20"/>
                <w:szCs w:val="20"/>
                <w:color w:val="auto"/>
              </w:rPr>
            </w:pPr>
            <w:r>
              <w:rPr>
                <w:rFonts w:ascii="Arial" w:cs="Arial" w:eastAsia="Arial" w:hAnsi="Arial"/>
                <w:sz w:val="15"/>
                <w:szCs w:val="15"/>
                <w:color w:val="auto"/>
              </w:rPr>
              <w:t>​</w:t>
            </w:r>
          </w:p>
        </w:tc>
        <w:tc>
          <w:tcPr>
            <w:tcW w:w="4060" w:type="dxa"/>
            <w:vAlign w:val="bottom"/>
          </w:tcPr>
          <w:p>
            <w:pPr>
              <w:spacing w:after="0"/>
              <w:rPr>
                <w:sz w:val="11"/>
                <w:szCs w:val="11"/>
                <w:color w:val="auto"/>
              </w:rPr>
            </w:pPr>
          </w:p>
        </w:tc>
        <w:tc>
          <w:tcPr>
            <w:tcW w:w="580" w:type="dxa"/>
            <w:vAlign w:val="bottom"/>
          </w:tcPr>
          <w:p>
            <w:pPr>
              <w:ind w:left="340"/>
              <w:spacing w:after="0" w:line="133"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2943225</wp:posOffset>
            </wp:positionH>
            <wp:positionV relativeFrom="paragraph">
              <wp:posOffset>-95885</wp:posOffset>
            </wp:positionV>
            <wp:extent cx="3103245" cy="925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03245" cy="925830"/>
                    </a:xfrm>
                    <a:prstGeom prst="rect">
                      <a:avLst/>
                    </a:prstGeom>
                    <a:noFill/>
                  </pic:spPr>
                </pic:pic>
              </a:graphicData>
            </a:graphic>
          </wp:anchor>
        </w:drawing>
      </w:r>
    </w:p>
    <w:p>
      <w:pPr>
        <w:ind w:left="5060" w:right="1420"/>
        <w:spacing w:after="0" w:line="223" w:lineRule="auto"/>
        <w:rPr>
          <w:sz w:val="20"/>
          <w:szCs w:val="20"/>
          <w:color w:val="auto"/>
        </w:rPr>
      </w:pPr>
      <w:r>
        <w:rPr>
          <w:rFonts w:ascii="Arial" w:cs="Arial" w:eastAsia="Arial" w:hAnsi="Arial"/>
          <w:sz w:val="27"/>
          <w:szCs w:val="27"/>
          <w:b w:val="1"/>
          <w:bCs w:val="1"/>
          <w:color w:val="83AD40"/>
        </w:rPr>
        <w:t>GRESB Sector Leader</w:t>
      </w:r>
      <w:r>
        <w:rPr>
          <w:rFonts w:ascii="Arial" w:cs="Arial" w:eastAsia="Arial" w:hAnsi="Arial"/>
          <w:sz w:val="32"/>
          <w:szCs w:val="32"/>
          <w:color w:val="000000"/>
        </w:rPr>
        <w:t>​</w:t>
      </w:r>
      <w:r>
        <w:rPr>
          <w:rFonts w:ascii="Arial" w:cs="Arial" w:eastAsia="Arial" w:hAnsi="Arial"/>
          <w:sz w:val="27"/>
          <w:szCs w:val="27"/>
          <w:b w:val="1"/>
          <w:bCs w:val="1"/>
          <w:color w:val="83AD40"/>
        </w:rPr>
        <w:t xml:space="preserve"> </w:t>
      </w:r>
      <w:r>
        <w:rPr>
          <w:rFonts w:ascii="Arial" w:cs="Arial" w:eastAsia="Arial" w:hAnsi="Arial"/>
          <w:sz w:val="24"/>
          <w:szCs w:val="24"/>
          <w:color w:val="000000"/>
        </w:rPr>
        <w:t>Recognized for being within one point of the best performer in the</w:t>
      </w:r>
    </w:p>
    <w:p>
      <w:pPr>
        <w:spacing w:after="0" w:line="18" w:lineRule="exact"/>
        <w:rPr>
          <w:sz w:val="20"/>
          <w:szCs w:val="20"/>
          <w:color w:val="auto"/>
        </w:rPr>
      </w:pPr>
    </w:p>
    <w:p>
      <w:pPr>
        <w:ind w:left="5060"/>
        <w:spacing w:after="0"/>
        <w:rPr>
          <w:sz w:val="20"/>
          <w:szCs w:val="20"/>
          <w:color w:val="auto"/>
        </w:rPr>
      </w:pPr>
      <w:r>
        <w:rPr>
          <w:rFonts w:ascii="Arial" w:cs="Arial" w:eastAsia="Arial" w:hAnsi="Arial"/>
          <w:sz w:val="24"/>
          <w:szCs w:val="24"/>
          <w:color w:val="auto"/>
        </w:rPr>
        <w:t>Mixed-Use Real Estate sector</w:t>
      </w:r>
    </w:p>
    <w:p>
      <w:pPr>
        <w:spacing w:after="0" w:line="364" w:lineRule="exact"/>
        <w:rPr>
          <w:sz w:val="20"/>
          <w:szCs w:val="20"/>
          <w:color w:val="auto"/>
        </w:rPr>
      </w:pPr>
    </w:p>
    <w:p>
      <w:pPr>
        <w:ind w:left="4640" w:right="1160"/>
        <w:spacing w:after="0" w:line="283" w:lineRule="auto"/>
        <w:rPr>
          <w:sz w:val="20"/>
          <w:szCs w:val="20"/>
          <w:color w:val="auto"/>
        </w:rPr>
      </w:pPr>
      <w:r>
        <w:rPr>
          <w:rFonts w:ascii="Arial" w:cs="Arial" w:eastAsia="Arial" w:hAnsi="Arial"/>
          <w:sz w:val="14"/>
          <w:szCs w:val="14"/>
          <w:color w:val="auto"/>
        </w:rPr>
        <w:t>As​ of December 31, 2024. More details can be found at SL Green’s 2024 ESG​ Report found under the “Sustainability—Reports and Resources” section of our corporate website at www.slgreen.com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gridSpan w:val="2"/>
          </w:tcPr>
          <w:p>
            <w:pPr>
              <w:ind w:left="680"/>
              <w:spacing w:after="0"/>
              <w:rPr>
                <w:sz w:val="20"/>
                <w:szCs w:val="20"/>
                <w:color w:val="auto"/>
              </w:rPr>
            </w:pPr>
            <w:r>
              <w:rPr>
                <w:rFonts w:ascii="Arial" w:cs="Arial" w:eastAsia="Arial" w:hAnsi="Arial"/>
                <w:sz w:val="18"/>
                <w:szCs w:val="18"/>
                <w:color w:val="FFFFFF"/>
              </w:rPr>
              <w:t>​</w:t>
            </w:r>
          </w:p>
        </w:tc>
        <w:tc>
          <w:tcPr>
            <w:tcW w:w="8360" w:type="dxa"/>
            <w:vAlign w:val="bottom"/>
            <w:gridSpan w:val="2"/>
          </w:tcPr>
          <w:p>
            <w:pPr>
              <w:ind w:left="1440"/>
              <w:spacing w:after="0"/>
              <w:rPr>
                <w:sz w:val="20"/>
                <w:szCs w:val="20"/>
                <w:color w:val="auto"/>
              </w:rPr>
            </w:pPr>
            <w:r>
              <w:rPr>
                <w:rFonts w:ascii="Arial" w:cs="Arial" w:eastAsia="Arial" w:hAnsi="Arial"/>
                <w:sz w:val="18"/>
                <w:szCs w:val="18"/>
                <w:color w:val="FFFFFF"/>
              </w:rPr>
              <w:t>​</w:t>
            </w:r>
          </w:p>
        </w:tc>
        <w:tc>
          <w:tcPr>
            <w:tcW w:w="0" w:type="dxa"/>
            <w:vAlign w:val="bottom"/>
          </w:tcPr>
          <w:p>
            <w:pPr>
              <w:spacing w:after="0"/>
              <w:rPr>
                <w:sz w:val="1"/>
                <w:szCs w:val="1"/>
                <w:color w:val="auto"/>
              </w:rPr>
            </w:pPr>
          </w:p>
        </w:tc>
      </w:tr>
      <w:tr>
        <w:trPr>
          <w:trHeight w:val="26"/>
        </w:trPr>
        <w:tc>
          <w:tcPr>
            <w:tcW w:w="860" w:type="dxa"/>
            <w:vAlign w:val="bottom"/>
          </w:tcPr>
          <w:p>
            <w:pPr>
              <w:spacing w:after="0"/>
              <w:rPr>
                <w:sz w:val="2"/>
                <w:szCs w:val="2"/>
                <w:color w:val="auto"/>
              </w:rPr>
            </w:pPr>
          </w:p>
        </w:tc>
        <w:tc>
          <w:tcPr>
            <w:tcW w:w="1500" w:type="dxa"/>
            <w:vAlign w:val="bottom"/>
            <w:vMerge w:val="restart"/>
          </w:tcPr>
          <w:p>
            <w:pPr>
              <w:ind w:left="20"/>
              <w:spacing w:after="0"/>
              <w:rPr>
                <w:sz w:val="20"/>
                <w:szCs w:val="20"/>
                <w:color w:val="auto"/>
              </w:rPr>
            </w:pPr>
            <w:r>
              <w:rPr>
                <w:rFonts w:ascii="Arial" w:cs="Arial" w:eastAsia="Arial" w:hAnsi="Arial"/>
                <w:sz w:val="22"/>
                <w:szCs w:val="22"/>
                <w:color w:val="auto"/>
              </w:rPr>
              <w:t>​</w:t>
            </w:r>
          </w:p>
        </w:tc>
        <w:tc>
          <w:tcPr>
            <w:tcW w:w="8360" w:type="dxa"/>
            <w:vAlign w:val="bottom"/>
            <w:gridSpan w:val="2"/>
            <w:vMerge w:val="restart"/>
          </w:tcPr>
          <w:p>
            <w:pPr>
              <w:ind w:left="1500"/>
              <w:spacing w:after="0"/>
              <w:rPr>
                <w:sz w:val="20"/>
                <w:szCs w:val="20"/>
                <w:color w:val="auto"/>
              </w:rPr>
            </w:pPr>
            <w:r>
              <w:rPr>
                <w:rFonts w:ascii="Arial" w:cs="Arial" w:eastAsia="Arial" w:hAnsi="Arial"/>
                <w:sz w:val="22"/>
                <w:szCs w:val="22"/>
                <w:color w:val="auto"/>
              </w:rPr>
              <w:t>​</w:t>
            </w:r>
          </w:p>
        </w:tc>
        <w:tc>
          <w:tcPr>
            <w:tcW w:w="0" w:type="dxa"/>
            <w:vAlign w:val="bottom"/>
          </w:tcPr>
          <w:p>
            <w:pPr>
              <w:spacing w:after="0" w:line="20" w:lineRule="exact"/>
              <w:rPr>
                <w:sz w:val="1"/>
                <w:szCs w:val="1"/>
                <w:color w:val="auto"/>
              </w:rPr>
            </w:pPr>
          </w:p>
        </w:tc>
      </w:tr>
      <w:tr>
        <w:trPr>
          <w:trHeight w:val="277"/>
        </w:trPr>
        <w:tc>
          <w:tcPr>
            <w:tcW w:w="860" w:type="dxa"/>
            <w:vAlign w:val="bottom"/>
            <w:tcBorders>
              <w:right w:val="single" w:sz="8" w:color="83AD40"/>
            </w:tcBorders>
          </w:tcPr>
          <w:p>
            <w:pPr>
              <w:spacing w:after="0"/>
              <w:rPr>
                <w:sz w:val="24"/>
                <w:szCs w:val="24"/>
                <w:color w:val="auto"/>
              </w:rPr>
            </w:pPr>
          </w:p>
        </w:tc>
        <w:tc>
          <w:tcPr>
            <w:tcW w:w="1500" w:type="dxa"/>
            <w:vAlign w:val="bottom"/>
            <w:vMerge w:val="continue"/>
          </w:tcPr>
          <w:p>
            <w:pPr>
              <w:spacing w:after="0"/>
              <w:rPr>
                <w:sz w:val="24"/>
                <w:szCs w:val="24"/>
                <w:color w:val="auto"/>
              </w:rPr>
            </w:pPr>
          </w:p>
        </w:tc>
        <w:tc>
          <w:tcPr>
            <w:tcW w:w="83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30"/>
        </w:trPr>
        <w:tc>
          <w:tcPr>
            <w:tcW w:w="860" w:type="dxa"/>
            <w:vAlign w:val="bottom"/>
            <w:tcBorders>
              <w:bottom w:val="single" w:sz="8" w:color="9A9A9A"/>
            </w:tcBorders>
          </w:tcPr>
          <w:p>
            <w:pPr>
              <w:spacing w:after="0"/>
              <w:rPr>
                <w:sz w:val="24"/>
                <w:szCs w:val="24"/>
                <w:color w:val="auto"/>
              </w:rPr>
            </w:pPr>
          </w:p>
        </w:tc>
        <w:tc>
          <w:tcPr>
            <w:tcW w:w="1500" w:type="dxa"/>
            <w:vAlign w:val="bottom"/>
            <w:tcBorders>
              <w:top w:val="single" w:sz="8" w:color="83AD40"/>
              <w:bottom w:val="single" w:sz="8" w:color="9A9A9A"/>
            </w:tcBorders>
          </w:tcPr>
          <w:p>
            <w:pPr>
              <w:spacing w:after="0"/>
              <w:rPr>
                <w:sz w:val="24"/>
                <w:szCs w:val="24"/>
                <w:color w:val="auto"/>
              </w:rPr>
            </w:pPr>
          </w:p>
        </w:tc>
        <w:tc>
          <w:tcPr>
            <w:tcW w:w="1540" w:type="dxa"/>
            <w:vAlign w:val="bottom"/>
            <w:tcBorders>
              <w:top w:val="single" w:sz="8" w:color="83AD40"/>
              <w:bottom w:val="single" w:sz="8" w:color="9A9A9A"/>
            </w:tcBorders>
          </w:tcPr>
          <w:p>
            <w:pPr>
              <w:spacing w:after="0"/>
              <w:rPr>
                <w:sz w:val="24"/>
                <w:szCs w:val="24"/>
                <w:color w:val="auto"/>
              </w:rPr>
            </w:pPr>
          </w:p>
        </w:tc>
        <w:tc>
          <w:tcPr>
            <w:tcW w:w="6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p>
      <w:pPr>
        <w:ind w:left="820"/>
        <w:spacing w:after="0"/>
        <w:tabs>
          <w:tab w:leader="none" w:pos="1440" w:val="left"/>
          <w:tab w:leader="none" w:pos="9860" w:val="left"/>
        </w:tabs>
        <w:rPr>
          <w:sz w:val="20"/>
          <w:szCs w:val="20"/>
          <w:color w:val="auto"/>
        </w:rPr>
      </w:pPr>
      <w:r>
        <w:rPr>
          <w:rFonts w:ascii="Arial" w:cs="Arial" w:eastAsia="Arial" w:hAnsi="Arial"/>
          <w:sz w:val="22"/>
          <w:szCs w:val="22"/>
          <w:b w:val="1"/>
          <w:bCs w:val="1"/>
          <w:color w:val="1F2668"/>
        </w:rPr>
        <w:t>6​</w:t>
      </w:r>
      <w:r>
        <w:rPr>
          <w:sz w:val="20"/>
          <w:szCs w:val="20"/>
          <w:color w:val="auto"/>
        </w:rPr>
        <w:tab/>
      </w:r>
      <w:r>
        <w:rPr>
          <w:rFonts w:ascii="Arial" w:cs="Arial" w:eastAsia="Arial" w:hAnsi="Arial"/>
          <w:sz w:val="22"/>
          <w:szCs w:val="22"/>
          <w:b w:val="1"/>
          <w:bCs w:val="1"/>
          <w:color w:val="1F2668"/>
        </w:rPr>
        <w:t xml:space="preserve">​ ​ </w:t>
      </w:r>
      <w:r>
        <w:rPr>
          <w:rFonts w:ascii="Arial" w:cs="Arial" w:eastAsia="Arial" w:hAnsi="Arial"/>
          <w:sz w:val="14"/>
          <w:szCs w:val="14"/>
          <w:b w:val="1"/>
          <w:bCs w:val="1"/>
          <w:color w:val="1F2668"/>
        </w:rPr>
        <w:t>SL GREEN REALTY CORP. 2025 PROXY STATEMENT</w:t>
      </w:r>
      <w:r>
        <w:rPr>
          <w:sz w:val="20"/>
          <w:szCs w:val="20"/>
          <w:color w:val="auto"/>
        </w:rPr>
        <w:tab/>
      </w:r>
      <w:r>
        <w:rPr>
          <w:rFonts w:ascii="Arial" w:cs="Arial" w:eastAsia="Arial" w:hAnsi="Arial"/>
          <w:sz w:val="22"/>
          <w:szCs w:val="22"/>
          <w:b w:val="1"/>
          <w:bCs w:val="1"/>
          <w:color w:val="1F2668"/>
        </w:rPr>
        <w:t>​</w:t>
      </w:r>
    </w:p>
    <w:p>
      <w:pPr>
        <w:spacing w:after="0" w:line="200" w:lineRule="exact"/>
        <w:rPr>
          <w:sz w:val="20"/>
          <w:szCs w:val="20"/>
          <w:color w:val="auto"/>
        </w:rPr>
      </w:pPr>
    </w:p>
    <w:p>
      <w:pPr>
        <w:spacing w:after="0" w:line="270" w:lineRule="exact"/>
        <w:rPr>
          <w:sz w:val="20"/>
          <w:szCs w:val="20"/>
          <w:color w:val="auto"/>
        </w:rPr>
      </w:pPr>
    </w:p>
    <w:p>
      <w:pPr>
        <w:ind w:left="820" w:right="3720"/>
        <w:spacing w:after="0" w:line="297" w:lineRule="auto"/>
        <w:rPr>
          <w:sz w:val="20"/>
          <w:szCs w:val="20"/>
          <w:color w:val="auto"/>
        </w:rPr>
      </w:pPr>
      <w:r>
        <w:rPr>
          <w:rFonts w:ascii="Arial" w:cs="Arial" w:eastAsia="Arial" w:hAnsi="Arial"/>
          <w:sz w:val="28"/>
          <w:szCs w:val="28"/>
          <w:b w:val="1"/>
          <w:bCs w:val="1"/>
          <w:color w:val="83AD40"/>
        </w:rPr>
        <w:t>STOCKHOLDER-FRIENDLY CORPORATE GOVERNANCE &amp; INDEPENDENT OVERSIGHT</w:t>
      </w:r>
    </w:p>
    <w:p>
      <w:pPr>
        <w:spacing w:after="0" w:line="3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SL Green has a history of strong corporate governance and stockholder-friendly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269240</wp:posOffset>
            </wp:positionV>
            <wp:extent cx="57607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82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2980" w:type="dxa"/>
            <w:vAlign w:val="bottom"/>
            <w:gridSpan w:val="2"/>
          </w:tcPr>
          <w:p>
            <w:pPr>
              <w:ind w:left="300"/>
              <w:spacing w:after="0"/>
              <w:rPr>
                <w:sz w:val="20"/>
                <w:szCs w:val="20"/>
                <w:color w:val="auto"/>
              </w:rPr>
            </w:pPr>
            <w:r>
              <w:rPr>
                <w:rFonts w:ascii="Arial" w:cs="Arial" w:eastAsia="Arial" w:hAnsi="Arial"/>
                <w:sz w:val="32"/>
                <w:szCs w:val="32"/>
                <w:color w:val="000000"/>
                <w:vertAlign w:val="superscript"/>
              </w:rPr>
              <w:t>​ ​</w:t>
            </w:r>
            <w:r>
              <w:rPr>
                <w:rFonts w:ascii="Arial" w:cs="Arial" w:eastAsia="Arial" w:hAnsi="Arial"/>
                <w:sz w:val="23"/>
                <w:szCs w:val="23"/>
                <w:b w:val="1"/>
                <w:bCs w:val="1"/>
                <w:color w:val="1F2668"/>
              </w:rPr>
              <w:t xml:space="preserve"> Board Composition</w:t>
            </w:r>
          </w:p>
        </w:tc>
        <w:tc>
          <w:tcPr>
            <w:tcW w:w="440" w:type="dxa"/>
            <w:vAlign w:val="bottom"/>
            <w:tcBorders>
              <w:right w:val="single" w:sz="8" w:color="83AD40"/>
            </w:tcBorders>
          </w:tcPr>
          <w:p>
            <w:pPr>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r>
              <w:rPr>
                <w:rFonts w:ascii="Arial" w:cs="Arial" w:eastAsia="Arial" w:hAnsi="Arial"/>
                <w:sz w:val="16"/>
                <w:szCs w:val="16"/>
                <w:color w:val="1F2668"/>
              </w:rPr>
              <w:t>​</w:t>
            </w:r>
          </w:p>
        </w:tc>
        <w:tc>
          <w:tcPr>
            <w:tcW w:w="4960" w:type="dxa"/>
            <w:vAlign w:val="bottom"/>
            <w:gridSpan w:val="2"/>
          </w:tcPr>
          <w:p>
            <w:pPr>
              <w:spacing w:after="0"/>
              <w:rPr>
                <w:sz w:val="20"/>
                <w:szCs w:val="20"/>
                <w:color w:val="auto"/>
              </w:rPr>
            </w:pPr>
            <w:r>
              <w:rPr>
                <w:rFonts w:ascii="Arial" w:cs="Arial" w:eastAsia="Arial" w:hAnsi="Arial"/>
                <w:sz w:val="23"/>
                <w:szCs w:val="23"/>
                <w:b w:val="1"/>
                <w:bCs w:val="1"/>
                <w:color w:val="1F2668"/>
              </w:rPr>
              <w:t>Annual Director Elections</w:t>
            </w:r>
          </w:p>
        </w:tc>
        <w:tc>
          <w:tcPr>
            <w:tcW w:w="820" w:type="dxa"/>
            <w:vAlign w:val="bottom"/>
          </w:tcPr>
          <w:p>
            <w:pPr>
              <w:spacing w:after="0"/>
              <w:rPr>
                <w:sz w:val="20"/>
                <w:szCs w:val="20"/>
                <w:color w:val="auto"/>
              </w:rPr>
            </w:pPr>
            <w:r>
              <w:rPr>
                <w:rFonts w:ascii="Arial" w:cs="Arial" w:eastAsia="Arial" w:hAnsi="Arial"/>
                <w:sz w:val="16"/>
                <w:szCs w:val="16"/>
                <w:color w:val="1F2668"/>
              </w:rPr>
              <w:t>​</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Arial" w:cs="Arial" w:eastAsia="Arial" w:hAnsi="Arial"/>
                <w:sz w:val="16"/>
                <w:szCs w:val="16"/>
                <w:color w:val="auto"/>
              </w:rPr>
              <w:t>Our Board nominees have varied</w:t>
            </w:r>
          </w:p>
        </w:tc>
        <w:tc>
          <w:tcPr>
            <w:tcW w:w="440" w:type="dxa"/>
            <w:vAlign w:val="bottom"/>
            <w:tcBorders>
              <w:right w:val="single" w:sz="8" w:color="83AD40"/>
            </w:tcBorders>
          </w:tcPr>
          <w:p>
            <w:pPr>
              <w:spacing w:after="0"/>
              <w:rPr>
                <w:sz w:val="17"/>
                <w:szCs w:val="17"/>
                <w:color w:val="auto"/>
              </w:rPr>
            </w:pPr>
          </w:p>
        </w:tc>
        <w:tc>
          <w:tcPr>
            <w:tcW w:w="360" w:type="dxa"/>
            <w:vAlign w:val="bottom"/>
          </w:tcPr>
          <w:p>
            <w:pPr>
              <w:spacing w:after="0"/>
              <w:rPr>
                <w:sz w:val="17"/>
                <w:szCs w:val="17"/>
                <w:color w:val="auto"/>
              </w:rPr>
            </w:pPr>
          </w:p>
        </w:tc>
        <w:tc>
          <w:tcPr>
            <w:tcW w:w="4960" w:type="dxa"/>
            <w:vAlign w:val="bottom"/>
            <w:gridSpan w:val="2"/>
            <w:vMerge w:val="restart"/>
          </w:tcPr>
          <w:p>
            <w:pPr>
              <w:spacing w:after="0"/>
              <w:rPr>
                <w:sz w:val="20"/>
                <w:szCs w:val="20"/>
                <w:color w:val="auto"/>
              </w:rPr>
            </w:pPr>
            <w:r>
              <w:rPr>
                <w:rFonts w:ascii="Arial" w:cs="Arial" w:eastAsia="Arial" w:hAnsi="Arial"/>
                <w:sz w:val="16"/>
                <w:szCs w:val="16"/>
                <w:color w:val="1F2668"/>
              </w:rPr>
              <w:t>Our directors are elected for one-year terms.</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80" w:type="dxa"/>
            <w:vAlign w:val="bottom"/>
            <w:vMerge w:val="restart"/>
          </w:tcPr>
          <w:p>
            <w:pPr>
              <w:spacing w:after="0"/>
              <w:rPr>
                <w:sz w:val="20"/>
                <w:szCs w:val="20"/>
                <w:color w:val="auto"/>
              </w:rPr>
            </w:pPr>
            <w:r>
              <w:rPr>
                <w:rFonts w:ascii="Arial" w:cs="Arial" w:eastAsia="Arial" w:hAnsi="Arial"/>
                <w:sz w:val="16"/>
                <w:szCs w:val="16"/>
                <w:color w:val="auto"/>
              </w:rPr>
              <w:t>knowledge, skills, experience,</w:t>
            </w:r>
          </w:p>
        </w:tc>
        <w:tc>
          <w:tcPr>
            <w:tcW w:w="440" w:type="dxa"/>
            <w:vAlign w:val="bottom"/>
            <w:tcBorders>
              <w:right w:val="single" w:sz="8" w:color="83AD40"/>
            </w:tcBorders>
          </w:tcPr>
          <w:p>
            <w:pPr>
              <w:spacing w:after="0"/>
              <w:rPr>
                <w:sz w:val="6"/>
                <w:szCs w:val="6"/>
                <w:color w:val="auto"/>
              </w:rPr>
            </w:pPr>
          </w:p>
        </w:tc>
        <w:tc>
          <w:tcPr>
            <w:tcW w:w="360" w:type="dxa"/>
            <w:vAlign w:val="bottom"/>
          </w:tcPr>
          <w:p>
            <w:pPr>
              <w:spacing w:after="0"/>
              <w:rPr>
                <w:sz w:val="6"/>
                <w:szCs w:val="6"/>
                <w:color w:val="auto"/>
              </w:rPr>
            </w:pPr>
          </w:p>
        </w:tc>
        <w:tc>
          <w:tcPr>
            <w:tcW w:w="496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80" w:type="dxa"/>
            <w:vAlign w:val="bottom"/>
            <w:vMerge w:val="continue"/>
          </w:tcPr>
          <w:p>
            <w:pPr>
              <w:spacing w:after="0"/>
              <w:rPr>
                <w:sz w:val="9"/>
                <w:szCs w:val="9"/>
                <w:color w:val="auto"/>
              </w:rPr>
            </w:pPr>
          </w:p>
        </w:tc>
        <w:tc>
          <w:tcPr>
            <w:tcW w:w="440" w:type="dxa"/>
            <w:vAlign w:val="bottom"/>
            <w:tcBorders>
              <w:right w:val="single" w:sz="8" w:color="83AD40"/>
            </w:tcBorders>
          </w:tcPr>
          <w:p>
            <w:pPr>
              <w:spacing w:after="0"/>
              <w:rPr>
                <w:sz w:val="9"/>
                <w:szCs w:val="9"/>
                <w:color w:val="auto"/>
              </w:rPr>
            </w:pPr>
          </w:p>
        </w:tc>
        <w:tc>
          <w:tcPr>
            <w:tcW w:w="360" w:type="dxa"/>
            <w:vAlign w:val="bottom"/>
          </w:tcPr>
          <w:p>
            <w:pPr>
              <w:spacing w:after="0"/>
              <w:rPr>
                <w:sz w:val="9"/>
                <w:szCs w:val="9"/>
                <w:color w:val="auto"/>
              </w:rPr>
            </w:pPr>
          </w:p>
        </w:tc>
        <w:tc>
          <w:tcPr>
            <w:tcW w:w="494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Arial" w:cs="Arial" w:eastAsia="Arial" w:hAnsi="Arial"/>
                <w:sz w:val="16"/>
                <w:szCs w:val="16"/>
                <w:color w:val="auto"/>
              </w:rPr>
              <w:t>perspectives and backgrounds</w:t>
            </w:r>
          </w:p>
        </w:tc>
        <w:tc>
          <w:tcPr>
            <w:tcW w:w="440" w:type="dxa"/>
            <w:vAlign w:val="bottom"/>
            <w:tcBorders>
              <w:right w:val="single" w:sz="8" w:color="83AD40"/>
            </w:tcBorders>
          </w:tcPr>
          <w:p>
            <w:pPr>
              <w:spacing w:after="0"/>
              <w:rPr>
                <w:sz w:val="19"/>
                <w:szCs w:val="19"/>
                <w:color w:val="auto"/>
              </w:rPr>
            </w:pPr>
          </w:p>
        </w:tc>
        <w:tc>
          <w:tcPr>
            <w:tcW w:w="360" w:type="dxa"/>
            <w:vAlign w:val="bottom"/>
          </w:tcPr>
          <w:p>
            <w:pPr>
              <w:spacing w:after="0"/>
              <w:rPr>
                <w:sz w:val="19"/>
                <w:szCs w:val="19"/>
                <w:color w:val="auto"/>
              </w:rPr>
            </w:pPr>
          </w:p>
        </w:tc>
        <w:tc>
          <w:tcPr>
            <w:tcW w:w="4940" w:type="dxa"/>
            <w:vAlign w:val="bottom"/>
            <w:tcBorders>
              <w:bottom w:val="single" w:sz="8" w:color="83AD40"/>
            </w:tcBorders>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vMerge w:val="restart"/>
          </w:tcPr>
          <w:p>
            <w:pPr>
              <w:spacing w:after="0"/>
              <w:rPr>
                <w:sz w:val="20"/>
                <w:szCs w:val="20"/>
                <w:color w:val="auto"/>
              </w:rPr>
            </w:pPr>
            <w:r>
              <w:rPr>
                <w:rFonts w:ascii="Arial" w:cs="Arial" w:eastAsia="Arial" w:hAnsi="Arial"/>
                <w:sz w:val="16"/>
                <w:szCs w:val="16"/>
                <w:color w:val="auto"/>
              </w:rPr>
              <w:t>​</w:t>
            </w:r>
          </w:p>
        </w:tc>
        <w:tc>
          <w:tcPr>
            <w:tcW w:w="500" w:type="dxa"/>
            <w:vAlign w:val="bottom"/>
            <w:vMerge w:val="restart"/>
          </w:tcPr>
          <w:p>
            <w:pPr>
              <w:ind w:left="300"/>
              <w:spacing w:after="0"/>
              <w:rPr>
                <w:sz w:val="20"/>
                <w:szCs w:val="20"/>
                <w:color w:val="auto"/>
              </w:rPr>
            </w:pPr>
            <w:r>
              <w:rPr>
                <w:rFonts w:ascii="Arial" w:cs="Arial" w:eastAsia="Arial" w:hAnsi="Arial"/>
                <w:sz w:val="16"/>
                <w:szCs w:val="16"/>
                <w:color w:val="auto"/>
              </w:rPr>
              <w:t>​ ​</w:t>
            </w:r>
          </w:p>
        </w:tc>
        <w:tc>
          <w:tcPr>
            <w:tcW w:w="2480" w:type="dxa"/>
            <w:vAlign w:val="bottom"/>
            <w:tcBorders>
              <w:bottom w:val="single" w:sz="8" w:color="83AD40"/>
            </w:tcBorders>
          </w:tcPr>
          <w:p>
            <w:pPr>
              <w:spacing w:after="0"/>
              <w:rPr>
                <w:sz w:val="18"/>
                <w:szCs w:val="18"/>
                <w:color w:val="auto"/>
              </w:rPr>
            </w:pPr>
          </w:p>
        </w:tc>
        <w:tc>
          <w:tcPr>
            <w:tcW w:w="440" w:type="dxa"/>
            <w:vAlign w:val="bottom"/>
            <w:tcBorders>
              <w:right w:val="single" w:sz="8" w:color="83AD40"/>
            </w:tcBorders>
            <w:vMerge w:val="restart"/>
          </w:tcPr>
          <w:p>
            <w:pPr>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r>
              <w:rPr>
                <w:rFonts w:ascii="Arial" w:cs="Arial" w:eastAsia="Arial" w:hAnsi="Arial"/>
                <w:sz w:val="16"/>
                <w:szCs w:val="16"/>
                <w:color w:val="1F2668"/>
              </w:rPr>
              <w:t>​</w:t>
            </w:r>
          </w:p>
        </w:tc>
        <w:tc>
          <w:tcPr>
            <w:tcW w:w="4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6"/>
                <w:szCs w:val="16"/>
                <w:color w:val="1F2668"/>
              </w:rPr>
              <w:t>​</w:t>
            </w:r>
          </w:p>
        </w:tc>
        <w:tc>
          <w:tcPr>
            <w:tcW w:w="0" w:type="dxa"/>
            <w:vAlign w:val="bottom"/>
          </w:tcPr>
          <w:p>
            <w:pPr>
              <w:spacing w:after="0"/>
              <w:rPr>
                <w:sz w:val="1"/>
                <w:szCs w:val="1"/>
                <w:color w:val="auto"/>
              </w:rPr>
            </w:pPr>
          </w:p>
        </w:tc>
      </w:tr>
      <w:tr>
        <w:trPr>
          <w:trHeight w:val="194"/>
        </w:trPr>
        <w:tc>
          <w:tcPr>
            <w:tcW w:w="82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2480" w:type="dxa"/>
            <w:vAlign w:val="bottom"/>
            <w:vMerge w:val="restart"/>
          </w:tcPr>
          <w:p>
            <w:pPr>
              <w:spacing w:after="0"/>
              <w:rPr>
                <w:sz w:val="20"/>
                <w:szCs w:val="20"/>
                <w:color w:val="auto"/>
              </w:rPr>
            </w:pPr>
            <w:r>
              <w:rPr>
                <w:rFonts w:ascii="Arial" w:cs="Arial" w:eastAsia="Arial" w:hAnsi="Arial"/>
                <w:sz w:val="23"/>
                <w:szCs w:val="23"/>
                <w:b w:val="1"/>
                <w:bCs w:val="1"/>
                <w:color w:val="1F2668"/>
              </w:rPr>
              <w:t>Experience</w:t>
            </w:r>
          </w:p>
        </w:tc>
        <w:tc>
          <w:tcPr>
            <w:tcW w:w="440" w:type="dxa"/>
            <w:vAlign w:val="bottom"/>
            <w:tcBorders>
              <w:right w:val="single" w:sz="8" w:color="83AD40"/>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4960" w:type="dxa"/>
            <w:vAlign w:val="bottom"/>
            <w:gridSpan w:val="2"/>
            <w:vMerge w:val="restart"/>
          </w:tcPr>
          <w:p>
            <w:pPr>
              <w:spacing w:after="0"/>
              <w:rPr>
                <w:sz w:val="20"/>
                <w:szCs w:val="20"/>
                <w:color w:val="auto"/>
              </w:rPr>
            </w:pPr>
            <w:r>
              <w:rPr>
                <w:rFonts w:ascii="Arial" w:cs="Arial" w:eastAsia="Arial" w:hAnsi="Arial"/>
                <w:sz w:val="23"/>
                <w:szCs w:val="23"/>
                <w:b w:val="1"/>
                <w:bCs w:val="1"/>
                <w:color w:val="1F2668"/>
              </w:rPr>
              <w:t>Majority Vote Standard with Director</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80" w:type="dxa"/>
            <w:vAlign w:val="bottom"/>
            <w:vMerge w:val="continue"/>
          </w:tcPr>
          <w:p>
            <w:pPr>
              <w:spacing w:after="0"/>
              <w:rPr>
                <w:sz w:val="9"/>
                <w:szCs w:val="9"/>
                <w:color w:val="auto"/>
              </w:rPr>
            </w:pPr>
          </w:p>
        </w:tc>
        <w:tc>
          <w:tcPr>
            <w:tcW w:w="440" w:type="dxa"/>
            <w:vAlign w:val="bottom"/>
            <w:tcBorders>
              <w:right w:val="single" w:sz="8" w:color="83AD40"/>
            </w:tcBorders>
          </w:tcPr>
          <w:p>
            <w:pPr>
              <w:spacing w:after="0"/>
              <w:rPr>
                <w:sz w:val="9"/>
                <w:szCs w:val="9"/>
                <w:color w:val="auto"/>
              </w:rPr>
            </w:pPr>
          </w:p>
        </w:tc>
        <w:tc>
          <w:tcPr>
            <w:tcW w:w="360" w:type="dxa"/>
            <w:vAlign w:val="bottom"/>
          </w:tcPr>
          <w:p>
            <w:pPr>
              <w:spacing w:after="0"/>
              <w:rPr>
                <w:sz w:val="9"/>
                <w:szCs w:val="9"/>
                <w:color w:val="auto"/>
              </w:rPr>
            </w:pPr>
          </w:p>
        </w:tc>
        <w:tc>
          <w:tcPr>
            <w:tcW w:w="496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440" w:type="dxa"/>
            <w:vAlign w:val="bottom"/>
            <w:tcBorders>
              <w:right w:val="single" w:sz="8" w:color="83AD40"/>
            </w:tcBorders>
          </w:tcPr>
          <w:p>
            <w:pPr>
              <w:spacing w:after="0"/>
              <w:rPr>
                <w:sz w:val="24"/>
                <w:szCs w:val="24"/>
                <w:color w:val="auto"/>
              </w:rPr>
            </w:pPr>
          </w:p>
        </w:tc>
        <w:tc>
          <w:tcPr>
            <w:tcW w:w="36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Arial" w:cs="Arial" w:eastAsia="Arial" w:hAnsi="Arial"/>
                <w:sz w:val="23"/>
                <w:szCs w:val="23"/>
                <w:b w:val="1"/>
                <w:bCs w:val="1"/>
                <w:color w:val="1F2668"/>
              </w:rPr>
              <w:t>Resignation Policy</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Arial" w:cs="Arial" w:eastAsia="Arial" w:hAnsi="Arial"/>
                <w:sz w:val="16"/>
                <w:szCs w:val="16"/>
                <w:color w:val="auto"/>
              </w:rPr>
              <w:t>Our Board nominees have broad</w:t>
            </w:r>
          </w:p>
        </w:tc>
        <w:tc>
          <w:tcPr>
            <w:tcW w:w="440" w:type="dxa"/>
            <w:vAlign w:val="bottom"/>
            <w:tcBorders>
              <w:right w:val="single" w:sz="8" w:color="83AD40"/>
            </w:tcBorders>
          </w:tcPr>
          <w:p>
            <w:pPr>
              <w:spacing w:after="0"/>
              <w:rPr>
                <w:sz w:val="17"/>
                <w:szCs w:val="17"/>
                <w:color w:val="auto"/>
              </w:rPr>
            </w:pPr>
          </w:p>
        </w:tc>
        <w:tc>
          <w:tcPr>
            <w:tcW w:w="360" w:type="dxa"/>
            <w:vAlign w:val="bottom"/>
          </w:tcPr>
          <w:p>
            <w:pPr>
              <w:spacing w:after="0"/>
              <w:rPr>
                <w:sz w:val="17"/>
                <w:szCs w:val="17"/>
                <w:color w:val="auto"/>
              </w:rPr>
            </w:pPr>
          </w:p>
        </w:tc>
        <w:tc>
          <w:tcPr>
            <w:tcW w:w="4960" w:type="dxa"/>
            <w:vAlign w:val="bottom"/>
            <w:gridSpan w:val="2"/>
            <w:vMerge w:val="restart"/>
          </w:tcPr>
          <w:p>
            <w:pPr>
              <w:spacing w:after="0"/>
              <w:rPr>
                <w:sz w:val="20"/>
                <w:szCs w:val="20"/>
                <w:color w:val="auto"/>
              </w:rPr>
            </w:pPr>
            <w:r>
              <w:rPr>
                <w:rFonts w:ascii="Arial" w:cs="Arial" w:eastAsia="Arial" w:hAnsi="Arial"/>
                <w:sz w:val="16"/>
                <w:szCs w:val="16"/>
                <w:color w:val="1F2668"/>
              </w:rPr>
              <w:t>In an uncontested election (as is the case for this Annual Meeting),</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80" w:type="dxa"/>
            <w:vAlign w:val="bottom"/>
            <w:vMerge w:val="restart"/>
          </w:tcPr>
          <w:p>
            <w:pPr>
              <w:spacing w:after="0"/>
              <w:rPr>
                <w:sz w:val="20"/>
                <w:szCs w:val="20"/>
                <w:color w:val="auto"/>
              </w:rPr>
            </w:pPr>
            <w:r>
              <w:rPr>
                <w:rFonts w:ascii="Arial" w:cs="Arial" w:eastAsia="Arial" w:hAnsi="Arial"/>
                <w:sz w:val="16"/>
                <w:szCs w:val="16"/>
                <w:color w:val="auto"/>
              </w:rPr>
              <w:t>experience serving on public</w:t>
            </w:r>
          </w:p>
        </w:tc>
        <w:tc>
          <w:tcPr>
            <w:tcW w:w="440" w:type="dxa"/>
            <w:vAlign w:val="bottom"/>
            <w:tcBorders>
              <w:right w:val="single" w:sz="8" w:color="83AD40"/>
            </w:tcBorders>
          </w:tcPr>
          <w:p>
            <w:pPr>
              <w:spacing w:after="0"/>
              <w:rPr>
                <w:sz w:val="5"/>
                <w:szCs w:val="5"/>
                <w:color w:val="auto"/>
              </w:rPr>
            </w:pPr>
          </w:p>
        </w:tc>
        <w:tc>
          <w:tcPr>
            <w:tcW w:w="360" w:type="dxa"/>
            <w:vAlign w:val="bottom"/>
          </w:tcPr>
          <w:p>
            <w:pPr>
              <w:spacing w:after="0"/>
              <w:rPr>
                <w:sz w:val="5"/>
                <w:szCs w:val="5"/>
                <w:color w:val="auto"/>
              </w:rPr>
            </w:pPr>
          </w:p>
        </w:tc>
        <w:tc>
          <w:tcPr>
            <w:tcW w:w="496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80" w:type="dxa"/>
            <w:vAlign w:val="bottom"/>
            <w:vMerge w:val="continue"/>
          </w:tcPr>
          <w:p>
            <w:pPr>
              <w:spacing w:after="0"/>
              <w:rPr>
                <w:sz w:val="10"/>
                <w:szCs w:val="10"/>
                <w:color w:val="auto"/>
              </w:rPr>
            </w:pPr>
          </w:p>
        </w:tc>
        <w:tc>
          <w:tcPr>
            <w:tcW w:w="440" w:type="dxa"/>
            <w:vAlign w:val="bottom"/>
            <w:tcBorders>
              <w:right w:val="single" w:sz="8" w:color="83AD40"/>
            </w:tcBorders>
          </w:tcPr>
          <w:p>
            <w:pPr>
              <w:spacing w:after="0"/>
              <w:rPr>
                <w:sz w:val="10"/>
                <w:szCs w:val="10"/>
                <w:color w:val="auto"/>
              </w:rPr>
            </w:pPr>
          </w:p>
        </w:tc>
        <w:tc>
          <w:tcPr>
            <w:tcW w:w="360" w:type="dxa"/>
            <w:vAlign w:val="bottom"/>
          </w:tcPr>
          <w:p>
            <w:pPr>
              <w:spacing w:after="0"/>
              <w:rPr>
                <w:sz w:val="10"/>
                <w:szCs w:val="10"/>
                <w:color w:val="auto"/>
              </w:rPr>
            </w:pPr>
          </w:p>
        </w:tc>
        <w:tc>
          <w:tcPr>
            <w:tcW w:w="4960" w:type="dxa"/>
            <w:vAlign w:val="bottom"/>
            <w:gridSpan w:val="2"/>
            <w:vMerge w:val="restart"/>
          </w:tcPr>
          <w:p>
            <w:pPr>
              <w:spacing w:after="0"/>
              <w:rPr>
                <w:sz w:val="20"/>
                <w:szCs w:val="20"/>
                <w:color w:val="auto"/>
              </w:rPr>
            </w:pPr>
            <w:r>
              <w:rPr>
                <w:rFonts w:ascii="Arial" w:cs="Arial" w:eastAsia="Arial" w:hAnsi="Arial"/>
                <w:sz w:val="16"/>
                <w:szCs w:val="16"/>
                <w:color w:val="1F2668"/>
              </w:rPr>
              <w:t>our bylaws provide that a majority of all the votes cast with respect to</w:t>
            </w: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80" w:type="dxa"/>
            <w:vAlign w:val="bottom"/>
            <w:vMerge w:val="restart"/>
          </w:tcPr>
          <w:p>
            <w:pPr>
              <w:spacing w:after="0"/>
              <w:rPr>
                <w:sz w:val="20"/>
                <w:szCs w:val="20"/>
                <w:color w:val="auto"/>
              </w:rPr>
            </w:pPr>
            <w:r>
              <w:rPr>
                <w:rFonts w:ascii="Arial" w:cs="Arial" w:eastAsia="Arial" w:hAnsi="Arial"/>
                <w:sz w:val="16"/>
                <w:szCs w:val="16"/>
                <w:color w:val="auto"/>
              </w:rPr>
              <w:t>boards in industries relevant to the</w:t>
            </w:r>
          </w:p>
        </w:tc>
        <w:tc>
          <w:tcPr>
            <w:tcW w:w="440" w:type="dxa"/>
            <w:vAlign w:val="bottom"/>
            <w:tcBorders>
              <w:right w:val="single" w:sz="8" w:color="83AD40"/>
            </w:tcBorders>
          </w:tcPr>
          <w:p>
            <w:pPr>
              <w:spacing w:after="0"/>
              <w:rPr>
                <w:sz w:val="5"/>
                <w:szCs w:val="5"/>
                <w:color w:val="auto"/>
              </w:rPr>
            </w:pPr>
          </w:p>
        </w:tc>
        <w:tc>
          <w:tcPr>
            <w:tcW w:w="360" w:type="dxa"/>
            <w:vAlign w:val="bottom"/>
          </w:tcPr>
          <w:p>
            <w:pPr>
              <w:spacing w:after="0"/>
              <w:rPr>
                <w:sz w:val="5"/>
                <w:szCs w:val="5"/>
                <w:color w:val="auto"/>
              </w:rPr>
            </w:pPr>
          </w:p>
        </w:tc>
        <w:tc>
          <w:tcPr>
            <w:tcW w:w="496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80" w:type="dxa"/>
            <w:vAlign w:val="bottom"/>
            <w:vMerge w:val="continue"/>
          </w:tcPr>
          <w:p>
            <w:pPr>
              <w:spacing w:after="0"/>
              <w:rPr>
                <w:sz w:val="11"/>
                <w:szCs w:val="11"/>
                <w:color w:val="auto"/>
              </w:rPr>
            </w:pPr>
          </w:p>
        </w:tc>
        <w:tc>
          <w:tcPr>
            <w:tcW w:w="440" w:type="dxa"/>
            <w:vAlign w:val="bottom"/>
            <w:tcBorders>
              <w:right w:val="single" w:sz="8" w:color="83AD40"/>
            </w:tcBorders>
          </w:tcPr>
          <w:p>
            <w:pPr>
              <w:spacing w:after="0"/>
              <w:rPr>
                <w:sz w:val="11"/>
                <w:szCs w:val="11"/>
                <w:color w:val="auto"/>
              </w:rPr>
            </w:pPr>
          </w:p>
        </w:tc>
        <w:tc>
          <w:tcPr>
            <w:tcW w:w="360" w:type="dxa"/>
            <w:vAlign w:val="bottom"/>
          </w:tcPr>
          <w:p>
            <w:pPr>
              <w:spacing w:after="0"/>
              <w:rPr>
                <w:sz w:val="11"/>
                <w:szCs w:val="11"/>
                <w:color w:val="auto"/>
              </w:rPr>
            </w:pPr>
          </w:p>
        </w:tc>
        <w:tc>
          <w:tcPr>
            <w:tcW w:w="4960" w:type="dxa"/>
            <w:vAlign w:val="bottom"/>
            <w:gridSpan w:val="2"/>
            <w:vMerge w:val="restart"/>
          </w:tcPr>
          <w:p>
            <w:pPr>
              <w:spacing w:after="0"/>
              <w:rPr>
                <w:sz w:val="20"/>
                <w:szCs w:val="20"/>
                <w:color w:val="auto"/>
              </w:rPr>
            </w:pPr>
            <w:r>
              <w:rPr>
                <w:rFonts w:ascii="Arial" w:cs="Arial" w:eastAsia="Arial" w:hAnsi="Arial"/>
                <w:sz w:val="16"/>
                <w:szCs w:val="16"/>
                <w:color w:val="1F2668"/>
              </w:rPr>
              <w:t>a nominee’s election is required for such nominee to be elected to</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80" w:type="dxa"/>
            <w:vAlign w:val="bottom"/>
            <w:vMerge w:val="restart"/>
          </w:tcPr>
          <w:p>
            <w:pPr>
              <w:spacing w:after="0"/>
              <w:rPr>
                <w:sz w:val="20"/>
                <w:szCs w:val="20"/>
                <w:color w:val="auto"/>
              </w:rPr>
            </w:pPr>
            <w:r>
              <w:rPr>
                <w:rFonts w:ascii="Arial" w:cs="Arial" w:eastAsia="Arial" w:hAnsi="Arial"/>
                <w:sz w:val="16"/>
                <w:szCs w:val="16"/>
                <w:color w:val="auto"/>
              </w:rPr>
              <w:t>Company</w:t>
            </w:r>
          </w:p>
        </w:tc>
        <w:tc>
          <w:tcPr>
            <w:tcW w:w="440" w:type="dxa"/>
            <w:vAlign w:val="bottom"/>
            <w:tcBorders>
              <w:right w:val="single" w:sz="8" w:color="83AD40"/>
            </w:tcBorders>
          </w:tcPr>
          <w:p>
            <w:pPr>
              <w:spacing w:after="0"/>
              <w:rPr>
                <w:sz w:val="5"/>
                <w:szCs w:val="5"/>
                <w:color w:val="auto"/>
              </w:rPr>
            </w:pPr>
          </w:p>
        </w:tc>
        <w:tc>
          <w:tcPr>
            <w:tcW w:w="360" w:type="dxa"/>
            <w:vAlign w:val="bottom"/>
          </w:tcPr>
          <w:p>
            <w:pPr>
              <w:spacing w:after="0"/>
              <w:rPr>
                <w:sz w:val="5"/>
                <w:szCs w:val="5"/>
                <w:color w:val="auto"/>
              </w:rPr>
            </w:pPr>
          </w:p>
        </w:tc>
        <w:tc>
          <w:tcPr>
            <w:tcW w:w="496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80" w:type="dxa"/>
            <w:vAlign w:val="bottom"/>
            <w:vMerge w:val="continue"/>
          </w:tcPr>
          <w:p>
            <w:pPr>
              <w:spacing w:after="0"/>
              <w:rPr>
                <w:sz w:val="12"/>
                <w:szCs w:val="12"/>
                <w:color w:val="auto"/>
              </w:rPr>
            </w:pPr>
          </w:p>
        </w:tc>
        <w:tc>
          <w:tcPr>
            <w:tcW w:w="440" w:type="dxa"/>
            <w:vAlign w:val="bottom"/>
            <w:tcBorders>
              <w:right w:val="single" w:sz="8" w:color="83AD40"/>
            </w:tcBorders>
          </w:tcPr>
          <w:p>
            <w:pPr>
              <w:spacing w:after="0"/>
              <w:rPr>
                <w:sz w:val="12"/>
                <w:szCs w:val="12"/>
                <w:color w:val="auto"/>
              </w:rPr>
            </w:pPr>
          </w:p>
        </w:tc>
        <w:tc>
          <w:tcPr>
            <w:tcW w:w="360" w:type="dxa"/>
            <w:vAlign w:val="bottom"/>
          </w:tcPr>
          <w:p>
            <w:pPr>
              <w:spacing w:after="0"/>
              <w:rPr>
                <w:sz w:val="12"/>
                <w:szCs w:val="12"/>
                <w:color w:val="auto"/>
              </w:rPr>
            </w:pPr>
          </w:p>
        </w:tc>
        <w:tc>
          <w:tcPr>
            <w:tcW w:w="4960" w:type="dxa"/>
            <w:vAlign w:val="bottom"/>
            <w:gridSpan w:val="2"/>
            <w:vMerge w:val="restart"/>
          </w:tcPr>
          <w:p>
            <w:pPr>
              <w:spacing w:after="0"/>
              <w:rPr>
                <w:sz w:val="20"/>
                <w:szCs w:val="20"/>
                <w:color w:val="auto"/>
              </w:rPr>
            </w:pPr>
            <w:r>
              <w:rPr>
                <w:rFonts w:ascii="Arial" w:cs="Arial" w:eastAsia="Arial" w:hAnsi="Arial"/>
                <w:sz w:val="16"/>
                <w:szCs w:val="16"/>
                <w:color w:val="1F2668"/>
              </w:rPr>
              <w:t>serve on the Board.</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820" w:type="dxa"/>
            <w:vAlign w:val="bottom"/>
          </w:tcPr>
          <w:p>
            <w:pPr>
              <w:spacing w:after="0"/>
              <w:rPr>
                <w:sz w:val="5"/>
                <w:szCs w:val="5"/>
                <w:color w:val="auto"/>
              </w:rPr>
            </w:pPr>
          </w:p>
        </w:tc>
        <w:tc>
          <w:tcPr>
            <w:tcW w:w="34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298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 ​</w:t>
            </w:r>
          </w:p>
        </w:tc>
        <w:tc>
          <w:tcPr>
            <w:tcW w:w="440" w:type="dxa"/>
            <w:vAlign w:val="bottom"/>
            <w:tcBorders>
              <w:right w:val="single" w:sz="8" w:color="83AD40"/>
            </w:tcBorders>
            <w:vMerge w:val="restart"/>
          </w:tcPr>
          <w:p>
            <w:pPr>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5"/>
                <w:szCs w:val="5"/>
                <w:color w:val="auto"/>
              </w:rPr>
            </w:pPr>
          </w:p>
        </w:tc>
        <w:tc>
          <w:tcPr>
            <w:tcW w:w="496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82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2980" w:type="dxa"/>
            <w:vAlign w:val="bottom"/>
            <w:gridSpan w:val="2"/>
            <w:vMerge w:val="continue"/>
          </w:tcPr>
          <w:p>
            <w:pPr>
              <w:spacing w:after="0"/>
              <w:rPr>
                <w:sz w:val="13"/>
                <w:szCs w:val="13"/>
                <w:color w:val="auto"/>
              </w:rPr>
            </w:pPr>
          </w:p>
        </w:tc>
        <w:tc>
          <w:tcPr>
            <w:tcW w:w="440" w:type="dxa"/>
            <w:vAlign w:val="bottom"/>
            <w:tcBorders>
              <w:right w:val="single" w:sz="8" w:color="83AD40"/>
            </w:tcBorders>
            <w:vMerge w:val="continue"/>
          </w:tcPr>
          <w:p>
            <w:pPr>
              <w:spacing w:after="0"/>
              <w:rPr>
                <w:sz w:val="13"/>
                <w:szCs w:val="13"/>
                <w:color w:val="auto"/>
              </w:rPr>
            </w:pPr>
          </w:p>
        </w:tc>
        <w:tc>
          <w:tcPr>
            <w:tcW w:w="360" w:type="dxa"/>
            <w:vAlign w:val="bottom"/>
          </w:tcPr>
          <w:p>
            <w:pPr>
              <w:spacing w:after="0"/>
              <w:rPr>
                <w:sz w:val="13"/>
                <w:szCs w:val="13"/>
                <w:color w:val="auto"/>
              </w:rPr>
            </w:pPr>
          </w:p>
        </w:tc>
        <w:tc>
          <w:tcPr>
            <w:tcW w:w="4960" w:type="dxa"/>
            <w:vAlign w:val="bottom"/>
            <w:gridSpan w:val="2"/>
            <w:vMerge w:val="restart"/>
          </w:tcPr>
          <w:p>
            <w:pPr>
              <w:spacing w:after="0"/>
              <w:rPr>
                <w:sz w:val="20"/>
                <w:szCs w:val="20"/>
                <w:color w:val="auto"/>
              </w:rPr>
            </w:pPr>
            <w:r>
              <w:rPr>
                <w:rFonts w:ascii="Arial" w:cs="Arial" w:eastAsia="Arial" w:hAnsi="Arial"/>
                <w:sz w:val="16"/>
                <w:szCs w:val="16"/>
                <w:color w:val="1F2668"/>
              </w:rPr>
              <w:t>Further, we have adopted a director resignation policy for directors</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980" w:type="dxa"/>
            <w:vAlign w:val="bottom"/>
            <w:gridSpan w:val="2"/>
            <w:vMerge w:val="restart"/>
          </w:tcPr>
          <w:p>
            <w:pPr>
              <w:ind w:left="500"/>
              <w:spacing w:after="0"/>
              <w:rPr>
                <w:sz w:val="20"/>
                <w:szCs w:val="20"/>
                <w:color w:val="auto"/>
              </w:rPr>
            </w:pPr>
            <w:r>
              <w:rPr>
                <w:rFonts w:ascii="Arial" w:cs="Arial" w:eastAsia="Arial" w:hAnsi="Arial"/>
                <w:sz w:val="32"/>
                <w:szCs w:val="32"/>
                <w:color w:val="1F2668"/>
              </w:rPr>
              <w:t>50%</w:t>
            </w:r>
          </w:p>
        </w:tc>
        <w:tc>
          <w:tcPr>
            <w:tcW w:w="440" w:type="dxa"/>
            <w:vAlign w:val="bottom"/>
            <w:tcBorders>
              <w:right w:val="single" w:sz="8" w:color="83AD40"/>
            </w:tcBorders>
          </w:tcPr>
          <w:p>
            <w:pPr>
              <w:spacing w:after="0"/>
              <w:rPr>
                <w:sz w:val="11"/>
                <w:szCs w:val="11"/>
                <w:color w:val="auto"/>
              </w:rPr>
            </w:pPr>
          </w:p>
        </w:tc>
        <w:tc>
          <w:tcPr>
            <w:tcW w:w="360" w:type="dxa"/>
            <w:vAlign w:val="bottom"/>
          </w:tcPr>
          <w:p>
            <w:pPr>
              <w:spacing w:after="0"/>
              <w:rPr>
                <w:sz w:val="11"/>
                <w:szCs w:val="11"/>
                <w:color w:val="auto"/>
              </w:rPr>
            </w:pPr>
          </w:p>
        </w:tc>
        <w:tc>
          <w:tcPr>
            <w:tcW w:w="4960" w:type="dxa"/>
            <w:vAlign w:val="bottom"/>
            <w:gridSpan w:val="2"/>
            <w:vMerge w:val="continue"/>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80" w:type="dxa"/>
            <w:vAlign w:val="bottom"/>
            <w:gridSpan w:val="2"/>
            <w:vMerge w:val="continue"/>
          </w:tcPr>
          <w:p>
            <w:pPr>
              <w:spacing w:after="0"/>
              <w:rPr>
                <w:sz w:val="18"/>
                <w:szCs w:val="18"/>
                <w:color w:val="auto"/>
              </w:rPr>
            </w:pPr>
          </w:p>
        </w:tc>
        <w:tc>
          <w:tcPr>
            <w:tcW w:w="440" w:type="dxa"/>
            <w:vAlign w:val="bottom"/>
            <w:tcBorders>
              <w:right w:val="single" w:sz="8" w:color="83AD40"/>
            </w:tcBorders>
          </w:tcPr>
          <w:p>
            <w:pPr>
              <w:spacing w:after="0"/>
              <w:rPr>
                <w:sz w:val="18"/>
                <w:szCs w:val="18"/>
                <w:color w:val="auto"/>
              </w:rPr>
            </w:pPr>
          </w:p>
        </w:tc>
        <w:tc>
          <w:tcPr>
            <w:tcW w:w="36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6"/>
                <w:szCs w:val="16"/>
                <w:color w:val="1F2668"/>
              </w:rPr>
              <w:t>who fail to receive majority support.</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980" w:type="dxa"/>
            <w:vAlign w:val="bottom"/>
            <w:gridSpan w:val="2"/>
            <w:vMerge w:val="continue"/>
          </w:tcPr>
          <w:p>
            <w:pPr>
              <w:spacing w:after="0"/>
              <w:rPr>
                <w:sz w:val="9"/>
                <w:szCs w:val="9"/>
                <w:color w:val="auto"/>
              </w:rPr>
            </w:pPr>
          </w:p>
        </w:tc>
        <w:tc>
          <w:tcPr>
            <w:tcW w:w="440" w:type="dxa"/>
            <w:vAlign w:val="bottom"/>
            <w:tcBorders>
              <w:right w:val="single" w:sz="8" w:color="83AD40"/>
            </w:tcBorders>
          </w:tcPr>
          <w:p>
            <w:pPr>
              <w:spacing w:after="0"/>
              <w:rPr>
                <w:sz w:val="9"/>
                <w:szCs w:val="9"/>
                <w:color w:val="auto"/>
              </w:rPr>
            </w:pPr>
          </w:p>
        </w:tc>
        <w:tc>
          <w:tcPr>
            <w:tcW w:w="360" w:type="dxa"/>
            <w:vAlign w:val="bottom"/>
          </w:tcPr>
          <w:p>
            <w:pPr>
              <w:spacing w:after="0"/>
              <w:rPr>
                <w:sz w:val="9"/>
                <w:szCs w:val="9"/>
                <w:color w:val="auto"/>
              </w:rPr>
            </w:pPr>
          </w:p>
        </w:tc>
        <w:tc>
          <w:tcPr>
            <w:tcW w:w="494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80" w:type="dxa"/>
            <w:vAlign w:val="bottom"/>
          </w:tcPr>
          <w:p>
            <w:pPr>
              <w:spacing w:after="0" w:line="176" w:lineRule="exact"/>
              <w:rPr>
                <w:sz w:val="20"/>
                <w:szCs w:val="20"/>
                <w:color w:val="auto"/>
              </w:rPr>
            </w:pPr>
            <w:r>
              <w:rPr>
                <w:rFonts w:ascii="Arial" w:cs="Arial" w:eastAsia="Arial" w:hAnsi="Arial"/>
                <w:sz w:val="16"/>
                <w:szCs w:val="16"/>
                <w:b w:val="1"/>
                <w:bCs w:val="1"/>
                <w:color w:val="auto"/>
                <w:w w:val="99"/>
              </w:rPr>
              <w:t>of our Board nominees currently</w:t>
            </w:r>
          </w:p>
        </w:tc>
        <w:tc>
          <w:tcPr>
            <w:tcW w:w="440" w:type="dxa"/>
            <w:vAlign w:val="bottom"/>
            <w:tcBorders>
              <w:right w:val="single" w:sz="8" w:color="83AD40"/>
            </w:tcBorders>
          </w:tcPr>
          <w:p>
            <w:pPr>
              <w:spacing w:after="0"/>
              <w:rPr>
                <w:sz w:val="15"/>
                <w:szCs w:val="15"/>
                <w:color w:val="auto"/>
              </w:rPr>
            </w:pPr>
          </w:p>
        </w:tc>
        <w:tc>
          <w:tcPr>
            <w:tcW w:w="360" w:type="dxa"/>
            <w:vAlign w:val="bottom"/>
            <w:vMerge w:val="restart"/>
          </w:tcPr>
          <w:p>
            <w:pPr>
              <w:spacing w:after="0"/>
              <w:rPr>
                <w:sz w:val="20"/>
                <w:szCs w:val="20"/>
                <w:color w:val="auto"/>
              </w:rPr>
            </w:pPr>
            <w:r>
              <w:rPr>
                <w:rFonts w:ascii="Arial" w:cs="Arial" w:eastAsia="Arial" w:hAnsi="Arial"/>
                <w:sz w:val="16"/>
                <w:szCs w:val="16"/>
                <w:color w:val="auto"/>
              </w:rPr>
              <w:t>​</w:t>
            </w:r>
          </w:p>
        </w:tc>
        <w:tc>
          <w:tcPr>
            <w:tcW w:w="4940" w:type="dxa"/>
            <w:vAlign w:val="bottom"/>
            <w:tcBorders>
              <w:bottom w:val="single" w:sz="8" w:color="83AD40"/>
            </w:tcBorders>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6"/>
                <w:szCs w:val="16"/>
                <w:b w:val="1"/>
                <w:bCs w:val="1"/>
                <w:color w:val="auto"/>
              </w:rPr>
              <w:t>serve or have served on the</w:t>
            </w:r>
          </w:p>
        </w:tc>
        <w:tc>
          <w:tcPr>
            <w:tcW w:w="440" w:type="dxa"/>
            <w:vAlign w:val="bottom"/>
            <w:tcBorders>
              <w:right w:val="single" w:sz="8" w:color="83AD40"/>
            </w:tcBorders>
          </w:tcPr>
          <w:p>
            <w:pPr>
              <w:spacing w:after="0"/>
              <w:rPr>
                <w:sz w:val="18"/>
                <w:szCs w:val="18"/>
                <w:color w:val="auto"/>
              </w:rPr>
            </w:pPr>
          </w:p>
        </w:tc>
        <w:tc>
          <w:tcPr>
            <w:tcW w:w="360" w:type="dxa"/>
            <w:vAlign w:val="bottom"/>
            <w:vMerge w:val="continue"/>
          </w:tcPr>
          <w:p>
            <w:pPr>
              <w:spacing w:after="0"/>
              <w:rPr>
                <w:sz w:val="18"/>
                <w:szCs w:val="18"/>
                <w:color w:val="auto"/>
              </w:rPr>
            </w:pPr>
          </w:p>
        </w:tc>
        <w:tc>
          <w:tcPr>
            <w:tcW w:w="4940" w:type="dxa"/>
            <w:vAlign w:val="bottom"/>
          </w:tcPr>
          <w:p>
            <w:pPr>
              <w:ind w:left="1200"/>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80" w:type="dxa"/>
            <w:vAlign w:val="bottom"/>
          </w:tcPr>
          <w:p>
            <w:pPr>
              <w:spacing w:after="0"/>
              <w:rPr>
                <w:sz w:val="20"/>
                <w:szCs w:val="20"/>
                <w:color w:val="auto"/>
              </w:rPr>
            </w:pPr>
            <w:r>
              <w:rPr>
                <w:rFonts w:ascii="Arial" w:cs="Arial" w:eastAsia="Arial" w:hAnsi="Arial"/>
                <w:sz w:val="16"/>
                <w:szCs w:val="16"/>
                <w:b w:val="1"/>
                <w:bCs w:val="1"/>
                <w:color w:val="auto"/>
              </w:rPr>
              <w:t>Boards of other publicly traded</w:t>
            </w:r>
          </w:p>
        </w:tc>
        <w:tc>
          <w:tcPr>
            <w:tcW w:w="440" w:type="dxa"/>
            <w:vAlign w:val="bottom"/>
            <w:tcBorders>
              <w:right w:val="single" w:sz="8" w:color="83AD40"/>
            </w:tcBorders>
          </w:tcPr>
          <w:p>
            <w:pPr>
              <w:spacing w:after="0"/>
              <w:rPr>
                <w:sz w:val="16"/>
                <w:szCs w:val="16"/>
                <w:color w:val="auto"/>
              </w:rPr>
            </w:pPr>
          </w:p>
        </w:tc>
        <w:tc>
          <w:tcPr>
            <w:tcW w:w="36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Arial" w:cs="Arial" w:eastAsia="Arial" w:hAnsi="Arial"/>
                <w:sz w:val="16"/>
                <w:szCs w:val="16"/>
                <w:b w:val="1"/>
                <w:bCs w:val="1"/>
                <w:color w:val="auto"/>
              </w:rPr>
              <w:t>companies</w:t>
            </w:r>
          </w:p>
        </w:tc>
        <w:tc>
          <w:tcPr>
            <w:tcW w:w="440" w:type="dxa"/>
            <w:vAlign w:val="bottom"/>
            <w:tcBorders>
              <w:right w:val="single" w:sz="8" w:color="83AD40"/>
            </w:tcBorders>
          </w:tcPr>
          <w:p>
            <w:pPr>
              <w:spacing w:after="0"/>
              <w:rPr>
                <w:sz w:val="19"/>
                <w:szCs w:val="19"/>
                <w:color w:val="auto"/>
              </w:rPr>
            </w:pPr>
          </w:p>
        </w:tc>
        <w:tc>
          <w:tcPr>
            <w:tcW w:w="360" w:type="dxa"/>
            <w:vAlign w:val="bottom"/>
          </w:tcPr>
          <w:p>
            <w:pPr>
              <w:spacing w:after="0"/>
              <w:rPr>
                <w:sz w:val="19"/>
                <w:szCs w:val="19"/>
                <w:color w:val="auto"/>
              </w:rPr>
            </w:pPr>
          </w:p>
        </w:tc>
        <w:tc>
          <w:tcPr>
            <w:tcW w:w="4960" w:type="dxa"/>
            <w:vAlign w:val="bottom"/>
            <w:gridSpan w:val="2"/>
            <w:vMerge w:val="restart"/>
          </w:tcPr>
          <w:p>
            <w:pPr>
              <w:ind w:left="1420"/>
              <w:spacing w:after="0"/>
              <w:rPr>
                <w:sz w:val="20"/>
                <w:szCs w:val="20"/>
                <w:color w:val="auto"/>
              </w:rPr>
            </w:pPr>
            <w:r>
              <w:rPr>
                <w:rFonts w:ascii="Arial" w:cs="Arial" w:eastAsia="Arial" w:hAnsi="Arial"/>
                <w:sz w:val="20"/>
                <w:szCs w:val="20"/>
                <w:b w:val="1"/>
                <w:bCs w:val="1"/>
                <w:color w:val="83AD40"/>
              </w:rPr>
              <w:t>Stockholder Amendments to Bylaws</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820" w:type="dxa"/>
            <w:vAlign w:val="bottom"/>
          </w:tcPr>
          <w:p>
            <w:pPr>
              <w:spacing w:after="0"/>
              <w:rPr>
                <w:sz w:val="17"/>
                <w:szCs w:val="17"/>
                <w:color w:val="auto"/>
              </w:rPr>
            </w:pPr>
          </w:p>
        </w:tc>
        <w:tc>
          <w:tcPr>
            <w:tcW w:w="340" w:type="dxa"/>
            <w:vAlign w:val="bottom"/>
            <w:vMerge w:val="restart"/>
          </w:tcPr>
          <w:p>
            <w:pPr>
              <w:spacing w:after="0"/>
              <w:rPr>
                <w:sz w:val="20"/>
                <w:szCs w:val="20"/>
                <w:color w:val="auto"/>
              </w:rPr>
            </w:pPr>
            <w:r>
              <w:rPr>
                <w:rFonts w:ascii="Arial" w:cs="Arial" w:eastAsia="Arial" w:hAnsi="Arial"/>
                <w:sz w:val="16"/>
                <w:szCs w:val="16"/>
                <w:color w:val="auto"/>
              </w:rPr>
              <w:t>​</w:t>
            </w:r>
          </w:p>
        </w:tc>
        <w:tc>
          <w:tcPr>
            <w:tcW w:w="500" w:type="dxa"/>
            <w:vAlign w:val="bottom"/>
            <w:vMerge w:val="restart"/>
          </w:tcPr>
          <w:p>
            <w:pPr>
              <w:ind w:left="300"/>
              <w:spacing w:after="0"/>
              <w:rPr>
                <w:sz w:val="20"/>
                <w:szCs w:val="20"/>
                <w:color w:val="auto"/>
              </w:rPr>
            </w:pPr>
            <w:r>
              <w:rPr>
                <w:rFonts w:ascii="Arial" w:cs="Arial" w:eastAsia="Arial" w:hAnsi="Arial"/>
                <w:sz w:val="16"/>
                <w:szCs w:val="16"/>
                <w:color w:val="auto"/>
              </w:rPr>
              <w:t>​ ​</w:t>
            </w:r>
          </w:p>
        </w:tc>
        <w:tc>
          <w:tcPr>
            <w:tcW w:w="2480" w:type="dxa"/>
            <w:vAlign w:val="bottom"/>
            <w:tcBorders>
              <w:bottom w:val="single" w:sz="8" w:color="83AD40"/>
            </w:tcBorders>
          </w:tcPr>
          <w:p>
            <w:pPr>
              <w:spacing w:after="0"/>
              <w:rPr>
                <w:sz w:val="17"/>
                <w:szCs w:val="17"/>
                <w:color w:val="auto"/>
              </w:rPr>
            </w:pPr>
          </w:p>
        </w:tc>
        <w:tc>
          <w:tcPr>
            <w:tcW w:w="440" w:type="dxa"/>
            <w:vAlign w:val="bottom"/>
            <w:tcBorders>
              <w:right w:val="single" w:sz="8" w:color="83AD40"/>
            </w:tcBorders>
            <w:vMerge w:val="restart"/>
          </w:tcPr>
          <w:p>
            <w:pPr>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4960" w:type="dxa"/>
            <w:vAlign w:val="bottom"/>
            <w:gridSpan w:val="2"/>
            <w:vMerge w:val="continue"/>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2480" w:type="dxa"/>
            <w:vAlign w:val="bottom"/>
          </w:tcPr>
          <w:p>
            <w:pPr>
              <w:spacing w:after="0"/>
              <w:rPr>
                <w:sz w:val="19"/>
                <w:szCs w:val="19"/>
                <w:color w:val="auto"/>
              </w:rPr>
            </w:pPr>
          </w:p>
        </w:tc>
        <w:tc>
          <w:tcPr>
            <w:tcW w:w="440" w:type="dxa"/>
            <w:vAlign w:val="bottom"/>
            <w:tcBorders>
              <w:right w:val="single" w:sz="8" w:color="83AD40"/>
            </w:tcBorders>
            <w:vMerge w:val="continue"/>
          </w:tcPr>
          <w:p>
            <w:pPr>
              <w:spacing w:after="0"/>
              <w:rPr>
                <w:sz w:val="19"/>
                <w:szCs w:val="19"/>
                <w:color w:val="auto"/>
              </w:rPr>
            </w:pPr>
          </w:p>
        </w:tc>
        <w:tc>
          <w:tcPr>
            <w:tcW w:w="360" w:type="dxa"/>
            <w:vAlign w:val="bottom"/>
          </w:tcPr>
          <w:p>
            <w:pPr>
              <w:spacing w:after="0"/>
              <w:rPr>
                <w:sz w:val="19"/>
                <w:szCs w:val="19"/>
                <w:color w:val="auto"/>
              </w:rPr>
            </w:pPr>
          </w:p>
        </w:tc>
        <w:tc>
          <w:tcPr>
            <w:tcW w:w="4960" w:type="dxa"/>
            <w:vAlign w:val="bottom"/>
            <w:gridSpan w:val="2"/>
          </w:tcPr>
          <w:p>
            <w:pPr>
              <w:ind w:left="1420"/>
              <w:spacing w:after="0"/>
              <w:rPr>
                <w:sz w:val="20"/>
                <w:szCs w:val="20"/>
                <w:color w:val="auto"/>
              </w:rPr>
            </w:pPr>
            <w:r>
              <w:rPr>
                <w:rFonts w:ascii="Arial" w:cs="Arial" w:eastAsia="Arial" w:hAnsi="Arial"/>
                <w:sz w:val="16"/>
                <w:szCs w:val="16"/>
                <w:color w:val="auto"/>
              </w:rPr>
              <w:t>We provide stockholders the right to amend our</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80" w:type="dxa"/>
            <w:vAlign w:val="bottom"/>
            <w:vMerge w:val="restart"/>
          </w:tcPr>
          <w:p>
            <w:pPr>
              <w:spacing w:after="0"/>
              <w:rPr>
                <w:sz w:val="20"/>
                <w:szCs w:val="20"/>
                <w:color w:val="auto"/>
              </w:rPr>
            </w:pPr>
            <w:r>
              <w:rPr>
                <w:rFonts w:ascii="Arial" w:cs="Arial" w:eastAsia="Arial" w:hAnsi="Arial"/>
                <w:sz w:val="23"/>
                <w:szCs w:val="23"/>
                <w:b w:val="1"/>
                <w:bCs w:val="1"/>
                <w:color w:val="1F2668"/>
              </w:rPr>
              <w:t>Leadership</w:t>
            </w:r>
          </w:p>
        </w:tc>
        <w:tc>
          <w:tcPr>
            <w:tcW w:w="440" w:type="dxa"/>
            <w:vAlign w:val="bottom"/>
            <w:tcBorders>
              <w:right w:val="single" w:sz="8" w:color="83AD40"/>
            </w:tcBorders>
          </w:tcPr>
          <w:p>
            <w:pPr>
              <w:spacing w:after="0"/>
              <w:rPr>
                <w:sz w:val="17"/>
                <w:szCs w:val="17"/>
                <w:color w:val="auto"/>
              </w:rPr>
            </w:pPr>
          </w:p>
        </w:tc>
        <w:tc>
          <w:tcPr>
            <w:tcW w:w="360" w:type="dxa"/>
            <w:vAlign w:val="bottom"/>
          </w:tcPr>
          <w:p>
            <w:pPr>
              <w:spacing w:after="0"/>
              <w:rPr>
                <w:sz w:val="17"/>
                <w:szCs w:val="17"/>
                <w:color w:val="auto"/>
              </w:rPr>
            </w:pPr>
          </w:p>
        </w:tc>
        <w:tc>
          <w:tcPr>
            <w:tcW w:w="4960" w:type="dxa"/>
            <w:vAlign w:val="bottom"/>
            <w:gridSpan w:val="2"/>
          </w:tcPr>
          <w:p>
            <w:pPr>
              <w:ind w:left="1420"/>
              <w:spacing w:after="0"/>
              <w:rPr>
                <w:sz w:val="20"/>
                <w:szCs w:val="20"/>
                <w:color w:val="auto"/>
              </w:rPr>
            </w:pPr>
            <w:r>
              <w:rPr>
                <w:rFonts w:ascii="Arial" w:cs="Arial" w:eastAsia="Arial" w:hAnsi="Arial"/>
                <w:sz w:val="16"/>
                <w:szCs w:val="16"/>
                <w:color w:val="auto"/>
              </w:rPr>
              <w:t>bylaws by a majority vote without any ownership</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80" w:type="dxa"/>
            <w:vAlign w:val="bottom"/>
            <w:vMerge w:val="continue"/>
          </w:tcPr>
          <w:p>
            <w:pPr>
              <w:spacing w:after="0"/>
              <w:rPr>
                <w:sz w:val="16"/>
                <w:szCs w:val="16"/>
                <w:color w:val="auto"/>
              </w:rPr>
            </w:pPr>
          </w:p>
        </w:tc>
        <w:tc>
          <w:tcPr>
            <w:tcW w:w="440" w:type="dxa"/>
            <w:vAlign w:val="bottom"/>
            <w:tcBorders>
              <w:right w:val="single" w:sz="8" w:color="83AD40"/>
            </w:tcBorders>
          </w:tcPr>
          <w:p>
            <w:pPr>
              <w:spacing w:after="0"/>
              <w:rPr>
                <w:sz w:val="16"/>
                <w:szCs w:val="16"/>
                <w:color w:val="auto"/>
              </w:rPr>
            </w:pPr>
          </w:p>
        </w:tc>
        <w:tc>
          <w:tcPr>
            <w:tcW w:w="360" w:type="dxa"/>
            <w:vAlign w:val="bottom"/>
          </w:tcPr>
          <w:p>
            <w:pPr>
              <w:spacing w:after="0"/>
              <w:rPr>
                <w:sz w:val="16"/>
                <w:szCs w:val="16"/>
                <w:color w:val="auto"/>
              </w:rPr>
            </w:pPr>
          </w:p>
        </w:tc>
        <w:tc>
          <w:tcPr>
            <w:tcW w:w="4960" w:type="dxa"/>
            <w:vAlign w:val="bottom"/>
            <w:gridSpan w:val="2"/>
          </w:tcPr>
          <w:p>
            <w:pPr>
              <w:ind w:left="1420"/>
              <w:spacing w:after="0"/>
              <w:rPr>
                <w:sz w:val="20"/>
                <w:szCs w:val="20"/>
                <w:color w:val="auto"/>
              </w:rPr>
            </w:pPr>
            <w:r>
              <w:rPr>
                <w:rFonts w:ascii="Arial" w:cs="Arial" w:eastAsia="Arial" w:hAnsi="Arial"/>
                <w:sz w:val="16"/>
                <w:szCs w:val="16"/>
                <w:color w:val="auto"/>
              </w:rPr>
              <w:t>or holding period limitations.</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Arial" w:cs="Arial" w:eastAsia="Arial" w:hAnsi="Arial"/>
                <w:sz w:val="16"/>
                <w:szCs w:val="16"/>
                <w:color w:val="auto"/>
              </w:rPr>
              <w:t>Our Board nominees have strong</w:t>
            </w:r>
          </w:p>
        </w:tc>
        <w:tc>
          <w:tcPr>
            <w:tcW w:w="440" w:type="dxa"/>
            <w:vAlign w:val="bottom"/>
            <w:tcBorders>
              <w:right w:val="single" w:sz="8" w:color="83AD40"/>
            </w:tcBorders>
          </w:tcPr>
          <w:p>
            <w:pPr>
              <w:spacing w:after="0"/>
              <w:rPr>
                <w:sz w:val="17"/>
                <w:szCs w:val="17"/>
                <w:color w:val="auto"/>
              </w:rPr>
            </w:pPr>
          </w:p>
        </w:tc>
        <w:tc>
          <w:tcPr>
            <w:tcW w:w="36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80" w:type="dxa"/>
            <w:vAlign w:val="bottom"/>
          </w:tcPr>
          <w:p>
            <w:pPr>
              <w:spacing w:after="0"/>
              <w:rPr>
                <w:sz w:val="20"/>
                <w:szCs w:val="20"/>
                <w:color w:val="auto"/>
              </w:rPr>
            </w:pPr>
            <w:r>
              <w:rPr>
                <w:rFonts w:ascii="Arial" w:cs="Arial" w:eastAsia="Arial" w:hAnsi="Arial"/>
                <w:sz w:val="16"/>
                <w:szCs w:val="16"/>
                <w:color w:val="auto"/>
              </w:rPr>
              <w:t>corporate leadership backgrounds</w:t>
            </w:r>
          </w:p>
        </w:tc>
        <w:tc>
          <w:tcPr>
            <w:tcW w:w="440" w:type="dxa"/>
            <w:vAlign w:val="bottom"/>
            <w:tcBorders>
              <w:right w:val="single" w:sz="8" w:color="83AD40"/>
            </w:tcBorders>
          </w:tcPr>
          <w:p>
            <w:pPr>
              <w:spacing w:after="0"/>
              <w:rPr>
                <w:sz w:val="16"/>
                <w:szCs w:val="16"/>
                <w:color w:val="auto"/>
              </w:rPr>
            </w:pPr>
          </w:p>
        </w:tc>
        <w:tc>
          <w:tcPr>
            <w:tcW w:w="36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Arial" w:cs="Arial" w:eastAsia="Arial" w:hAnsi="Arial"/>
                <w:sz w:val="16"/>
                <w:szCs w:val="16"/>
                <w:color w:val="auto"/>
              </w:rPr>
              <w:t>such as being CEO, CFO or</w:t>
            </w:r>
          </w:p>
        </w:tc>
        <w:tc>
          <w:tcPr>
            <w:tcW w:w="440" w:type="dxa"/>
            <w:vAlign w:val="bottom"/>
            <w:tcBorders>
              <w:right w:val="single" w:sz="8" w:color="83AD40"/>
            </w:tcBorders>
          </w:tcPr>
          <w:p>
            <w:pPr>
              <w:spacing w:after="0"/>
              <w:rPr>
                <w:sz w:val="17"/>
                <w:szCs w:val="17"/>
                <w:color w:val="auto"/>
              </w:rPr>
            </w:pPr>
          </w:p>
        </w:tc>
        <w:tc>
          <w:tcPr>
            <w:tcW w:w="360" w:type="dxa"/>
            <w:vAlign w:val="bottom"/>
          </w:tcPr>
          <w:p>
            <w:pPr>
              <w:spacing w:after="0"/>
              <w:rPr>
                <w:sz w:val="17"/>
                <w:szCs w:val="17"/>
                <w:color w:val="auto"/>
              </w:rPr>
            </w:pPr>
          </w:p>
        </w:tc>
        <w:tc>
          <w:tcPr>
            <w:tcW w:w="4960" w:type="dxa"/>
            <w:vAlign w:val="bottom"/>
            <w:gridSpan w:val="2"/>
            <w:vMerge w:val="restart"/>
          </w:tcPr>
          <w:p>
            <w:pPr>
              <w:ind w:left="1420"/>
              <w:spacing w:after="0"/>
              <w:rPr>
                <w:sz w:val="20"/>
                <w:szCs w:val="20"/>
                <w:color w:val="auto"/>
              </w:rPr>
            </w:pPr>
            <w:r>
              <w:rPr>
                <w:rFonts w:ascii="Arial" w:cs="Arial" w:eastAsia="Arial" w:hAnsi="Arial"/>
                <w:sz w:val="20"/>
                <w:szCs w:val="20"/>
                <w:b w:val="1"/>
                <w:bCs w:val="1"/>
                <w:color w:val="83AD40"/>
              </w:rPr>
              <w:t>Proxy Access</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6"/>
                <w:szCs w:val="16"/>
                <w:color w:val="auto"/>
              </w:rPr>
              <w:t>holding other executive positions</w:t>
            </w:r>
          </w:p>
        </w:tc>
        <w:tc>
          <w:tcPr>
            <w:tcW w:w="440" w:type="dxa"/>
            <w:vAlign w:val="bottom"/>
            <w:tcBorders>
              <w:right w:val="single" w:sz="8" w:color="83AD40"/>
            </w:tcBorders>
          </w:tcPr>
          <w:p>
            <w:pPr>
              <w:spacing w:after="0"/>
              <w:rPr>
                <w:sz w:val="18"/>
                <w:szCs w:val="18"/>
                <w:color w:val="auto"/>
              </w:rPr>
            </w:pPr>
          </w:p>
        </w:tc>
        <w:tc>
          <w:tcPr>
            <w:tcW w:w="360" w:type="dxa"/>
            <w:vAlign w:val="bottom"/>
          </w:tcPr>
          <w:p>
            <w:pPr>
              <w:spacing w:after="0"/>
              <w:rPr>
                <w:sz w:val="18"/>
                <w:szCs w:val="18"/>
                <w:color w:val="auto"/>
              </w:rPr>
            </w:pPr>
          </w:p>
        </w:tc>
        <w:tc>
          <w:tcPr>
            <w:tcW w:w="496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6"/>
                <w:szCs w:val="16"/>
                <w:b w:val="1"/>
                <w:bCs w:val="1"/>
                <w:color w:val="auto"/>
              </w:rPr>
              <w:t>​</w:t>
            </w:r>
          </w:p>
        </w:tc>
        <w:tc>
          <w:tcPr>
            <w:tcW w:w="2980" w:type="dxa"/>
            <w:vAlign w:val="bottom"/>
            <w:gridSpan w:val="2"/>
          </w:tcPr>
          <w:p>
            <w:pPr>
              <w:ind w:left="300"/>
              <w:spacing w:after="0"/>
              <w:rPr>
                <w:sz w:val="20"/>
                <w:szCs w:val="20"/>
                <w:color w:val="auto"/>
              </w:rPr>
            </w:pPr>
            <w:r>
              <w:rPr>
                <w:rFonts w:ascii="Arial" w:cs="Arial" w:eastAsia="Arial" w:hAnsi="Arial"/>
                <w:sz w:val="16"/>
                <w:szCs w:val="16"/>
                <w:b w:val="1"/>
                <w:bCs w:val="1"/>
                <w:color w:val="auto"/>
              </w:rPr>
              <w:t>​ ​</w:t>
            </w:r>
          </w:p>
        </w:tc>
        <w:tc>
          <w:tcPr>
            <w:tcW w:w="440" w:type="dxa"/>
            <w:vAlign w:val="bottom"/>
            <w:tcBorders>
              <w:right w:val="single" w:sz="8" w:color="83AD40"/>
            </w:tcBorders>
          </w:tcPr>
          <w:p>
            <w:pPr>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9"/>
                <w:szCs w:val="19"/>
                <w:color w:val="auto"/>
              </w:rPr>
            </w:pPr>
          </w:p>
        </w:tc>
        <w:tc>
          <w:tcPr>
            <w:tcW w:w="4960" w:type="dxa"/>
            <w:vAlign w:val="bottom"/>
            <w:gridSpan w:val="2"/>
            <w:vMerge w:val="restart"/>
          </w:tcPr>
          <w:p>
            <w:pPr>
              <w:ind w:left="1420"/>
              <w:spacing w:after="0"/>
              <w:rPr>
                <w:sz w:val="20"/>
                <w:szCs w:val="20"/>
                <w:color w:val="auto"/>
              </w:rPr>
            </w:pPr>
            <w:r>
              <w:rPr>
                <w:rFonts w:ascii="Arial" w:cs="Arial" w:eastAsia="Arial" w:hAnsi="Arial"/>
                <w:sz w:val="16"/>
                <w:szCs w:val="16"/>
                <w:color w:val="auto"/>
              </w:rPr>
              <w:t>A stockholder (or a group of up to 20</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8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980" w:type="dxa"/>
            <w:vAlign w:val="bottom"/>
            <w:gridSpan w:val="2"/>
            <w:vMerge w:val="restart"/>
          </w:tcPr>
          <w:p>
            <w:pPr>
              <w:ind w:left="500"/>
              <w:spacing w:after="0"/>
              <w:rPr>
                <w:sz w:val="20"/>
                <w:szCs w:val="20"/>
                <w:color w:val="auto"/>
              </w:rPr>
            </w:pPr>
            <w:r>
              <w:rPr>
                <w:rFonts w:ascii="Arial" w:cs="Arial" w:eastAsia="Arial" w:hAnsi="Arial"/>
                <w:sz w:val="32"/>
                <w:szCs w:val="32"/>
                <w:color w:val="1F2668"/>
              </w:rPr>
              <w:t>88%</w:t>
            </w:r>
          </w:p>
        </w:tc>
        <w:tc>
          <w:tcPr>
            <w:tcW w:w="440" w:type="dxa"/>
            <w:vAlign w:val="bottom"/>
            <w:tcBorders>
              <w:right w:val="single" w:sz="8" w:color="83AD40"/>
            </w:tcBorders>
          </w:tcPr>
          <w:p>
            <w:pPr>
              <w:spacing w:after="0"/>
              <w:rPr>
                <w:sz w:val="6"/>
                <w:szCs w:val="6"/>
                <w:color w:val="auto"/>
              </w:rPr>
            </w:pPr>
          </w:p>
        </w:tc>
        <w:tc>
          <w:tcPr>
            <w:tcW w:w="360" w:type="dxa"/>
            <w:vAlign w:val="bottom"/>
          </w:tcPr>
          <w:p>
            <w:pPr>
              <w:spacing w:after="0"/>
              <w:rPr>
                <w:sz w:val="6"/>
                <w:szCs w:val="6"/>
                <w:color w:val="auto"/>
              </w:rPr>
            </w:pPr>
          </w:p>
        </w:tc>
        <w:tc>
          <w:tcPr>
            <w:tcW w:w="496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80" w:type="dxa"/>
            <w:vAlign w:val="bottom"/>
            <w:gridSpan w:val="2"/>
            <w:vMerge w:val="continue"/>
          </w:tcPr>
          <w:p>
            <w:pPr>
              <w:spacing w:after="0"/>
              <w:rPr>
                <w:sz w:val="14"/>
                <w:szCs w:val="14"/>
                <w:color w:val="auto"/>
              </w:rPr>
            </w:pPr>
          </w:p>
        </w:tc>
        <w:tc>
          <w:tcPr>
            <w:tcW w:w="440" w:type="dxa"/>
            <w:vAlign w:val="bottom"/>
            <w:tcBorders>
              <w:right w:val="single" w:sz="8" w:color="83AD40"/>
            </w:tcBorders>
          </w:tcPr>
          <w:p>
            <w:pPr>
              <w:spacing w:after="0"/>
              <w:rPr>
                <w:sz w:val="14"/>
                <w:szCs w:val="14"/>
                <w:color w:val="auto"/>
              </w:rPr>
            </w:pPr>
          </w:p>
        </w:tc>
        <w:tc>
          <w:tcPr>
            <w:tcW w:w="360" w:type="dxa"/>
            <w:vAlign w:val="bottom"/>
          </w:tcPr>
          <w:p>
            <w:pPr>
              <w:spacing w:after="0"/>
              <w:rPr>
                <w:sz w:val="14"/>
                <w:szCs w:val="14"/>
                <w:color w:val="auto"/>
              </w:rPr>
            </w:pPr>
          </w:p>
        </w:tc>
        <w:tc>
          <w:tcPr>
            <w:tcW w:w="4960" w:type="dxa"/>
            <w:vAlign w:val="bottom"/>
            <w:gridSpan w:val="2"/>
          </w:tcPr>
          <w:p>
            <w:pPr>
              <w:ind w:left="1420"/>
              <w:spacing w:after="0" w:line="163" w:lineRule="exact"/>
              <w:rPr>
                <w:sz w:val="20"/>
                <w:szCs w:val="20"/>
                <w:color w:val="auto"/>
              </w:rPr>
            </w:pPr>
            <w:r>
              <w:rPr>
                <w:rFonts w:ascii="Arial" w:cs="Arial" w:eastAsia="Arial" w:hAnsi="Arial"/>
                <w:sz w:val="16"/>
                <w:szCs w:val="16"/>
                <w:color w:val="auto"/>
              </w:rPr>
              <w:t>stockholders) owning 3% or more of outstanding</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80" w:type="dxa"/>
            <w:vAlign w:val="bottom"/>
            <w:gridSpan w:val="2"/>
            <w:vMerge w:val="continue"/>
          </w:tcPr>
          <w:p>
            <w:pPr>
              <w:spacing w:after="0"/>
              <w:rPr>
                <w:sz w:val="18"/>
                <w:szCs w:val="18"/>
                <w:color w:val="auto"/>
              </w:rPr>
            </w:pPr>
          </w:p>
        </w:tc>
        <w:tc>
          <w:tcPr>
            <w:tcW w:w="440" w:type="dxa"/>
            <w:vAlign w:val="bottom"/>
            <w:tcBorders>
              <w:right w:val="single" w:sz="8" w:color="83AD40"/>
            </w:tcBorders>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6"/>
                <w:szCs w:val="16"/>
                <w:color w:val="auto"/>
              </w:rPr>
              <w:t>​</w:t>
            </w:r>
          </w:p>
        </w:tc>
        <w:tc>
          <w:tcPr>
            <w:tcW w:w="4960" w:type="dxa"/>
            <w:vAlign w:val="bottom"/>
            <w:gridSpan w:val="2"/>
          </w:tcPr>
          <w:p>
            <w:pPr>
              <w:ind w:left="1200"/>
              <w:spacing w:after="0" w:line="216" w:lineRule="exact"/>
              <w:rPr>
                <w:sz w:val="20"/>
                <w:szCs w:val="20"/>
                <w:color w:val="auto"/>
              </w:rPr>
            </w:pPr>
            <w:r>
              <w:rPr>
                <w:rFonts w:ascii="Arial" w:cs="Arial" w:eastAsia="Arial" w:hAnsi="Arial"/>
                <w:sz w:val="24"/>
                <w:szCs w:val="24"/>
                <w:color w:val="auto"/>
                <w:vertAlign w:val="superscript"/>
              </w:rPr>
              <w:t>​ ​</w:t>
            </w:r>
            <w:r>
              <w:rPr>
                <w:rFonts w:ascii="Arial" w:cs="Arial" w:eastAsia="Arial" w:hAnsi="Arial"/>
                <w:sz w:val="13"/>
                <w:szCs w:val="13"/>
                <w:color w:val="auto"/>
              </w:rPr>
              <w:t xml:space="preserve"> common stock continuously for at least 3 years</w:t>
            </w:r>
          </w:p>
        </w:tc>
        <w:tc>
          <w:tcPr>
            <w:tcW w:w="82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Arial" w:cs="Arial" w:eastAsia="Arial" w:hAnsi="Arial"/>
                <w:sz w:val="16"/>
                <w:szCs w:val="16"/>
                <w:b w:val="1"/>
                <w:bCs w:val="1"/>
                <w:color w:val="auto"/>
                <w:w w:val="99"/>
              </w:rPr>
              <w:t>of our Board nominees currently</w:t>
            </w:r>
          </w:p>
        </w:tc>
        <w:tc>
          <w:tcPr>
            <w:tcW w:w="440" w:type="dxa"/>
            <w:vAlign w:val="bottom"/>
            <w:tcBorders>
              <w:right w:val="single" w:sz="8" w:color="83AD40"/>
            </w:tcBorders>
          </w:tcPr>
          <w:p>
            <w:pPr>
              <w:spacing w:after="0"/>
              <w:rPr>
                <w:sz w:val="17"/>
                <w:szCs w:val="17"/>
                <w:color w:val="auto"/>
              </w:rPr>
            </w:pPr>
          </w:p>
        </w:tc>
        <w:tc>
          <w:tcPr>
            <w:tcW w:w="360" w:type="dxa"/>
            <w:vAlign w:val="bottom"/>
          </w:tcPr>
          <w:p>
            <w:pPr>
              <w:spacing w:after="0"/>
              <w:rPr>
                <w:sz w:val="17"/>
                <w:szCs w:val="17"/>
                <w:color w:val="auto"/>
              </w:rPr>
            </w:pPr>
          </w:p>
        </w:tc>
        <w:tc>
          <w:tcPr>
            <w:tcW w:w="4960" w:type="dxa"/>
            <w:vAlign w:val="bottom"/>
            <w:gridSpan w:val="2"/>
          </w:tcPr>
          <w:p>
            <w:pPr>
              <w:ind w:left="1420"/>
              <w:spacing w:after="0"/>
              <w:rPr>
                <w:sz w:val="20"/>
                <w:szCs w:val="20"/>
                <w:color w:val="auto"/>
              </w:rPr>
            </w:pPr>
            <w:r>
              <w:rPr>
                <w:rFonts w:ascii="Arial" w:cs="Arial" w:eastAsia="Arial" w:hAnsi="Arial"/>
                <w:sz w:val="16"/>
                <w:szCs w:val="16"/>
                <w:color w:val="auto"/>
                <w:w w:val="99"/>
              </w:rPr>
              <w:t>may nominate, and include in our proxy materials,</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Arial" w:cs="Arial" w:eastAsia="Arial" w:hAnsi="Arial"/>
                <w:sz w:val="16"/>
                <w:szCs w:val="16"/>
                <w:b w:val="1"/>
                <w:bCs w:val="1"/>
                <w:color w:val="auto"/>
              </w:rPr>
              <w:t>serve or have served as CEO or</w:t>
            </w:r>
          </w:p>
        </w:tc>
        <w:tc>
          <w:tcPr>
            <w:tcW w:w="440" w:type="dxa"/>
            <w:vAlign w:val="bottom"/>
            <w:tcBorders>
              <w:right w:val="single" w:sz="8" w:color="83AD40"/>
            </w:tcBorders>
          </w:tcPr>
          <w:p>
            <w:pPr>
              <w:spacing w:after="0"/>
              <w:rPr>
                <w:sz w:val="17"/>
                <w:szCs w:val="17"/>
                <w:color w:val="auto"/>
              </w:rPr>
            </w:pPr>
          </w:p>
        </w:tc>
        <w:tc>
          <w:tcPr>
            <w:tcW w:w="360" w:type="dxa"/>
            <w:vAlign w:val="bottom"/>
          </w:tcPr>
          <w:p>
            <w:pPr>
              <w:spacing w:after="0"/>
              <w:rPr>
                <w:sz w:val="17"/>
                <w:szCs w:val="17"/>
                <w:color w:val="auto"/>
              </w:rPr>
            </w:pPr>
          </w:p>
        </w:tc>
        <w:tc>
          <w:tcPr>
            <w:tcW w:w="4960" w:type="dxa"/>
            <w:vAlign w:val="bottom"/>
            <w:gridSpan w:val="2"/>
          </w:tcPr>
          <w:p>
            <w:pPr>
              <w:ind w:left="1420"/>
              <w:spacing w:after="0"/>
              <w:rPr>
                <w:sz w:val="20"/>
                <w:szCs w:val="20"/>
                <w:color w:val="auto"/>
              </w:rPr>
            </w:pPr>
            <w:r>
              <w:rPr>
                <w:rFonts w:ascii="Arial" w:cs="Arial" w:eastAsia="Arial" w:hAnsi="Arial"/>
                <w:sz w:val="16"/>
                <w:szCs w:val="16"/>
                <w:color w:val="auto"/>
              </w:rPr>
              <w:t>director candidates constituting up to the greater</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Arial" w:cs="Arial" w:eastAsia="Arial" w:hAnsi="Arial"/>
                <w:sz w:val="16"/>
                <w:szCs w:val="16"/>
                <w:b w:val="1"/>
                <w:bCs w:val="1"/>
                <w:color w:val="auto"/>
              </w:rPr>
              <w:t>in senior leadership positions</w:t>
            </w:r>
          </w:p>
        </w:tc>
        <w:tc>
          <w:tcPr>
            <w:tcW w:w="440" w:type="dxa"/>
            <w:vAlign w:val="bottom"/>
            <w:tcBorders>
              <w:right w:val="single" w:sz="8" w:color="83AD40"/>
            </w:tcBorders>
          </w:tcPr>
          <w:p>
            <w:pPr>
              <w:spacing w:after="0"/>
              <w:rPr>
                <w:sz w:val="17"/>
                <w:szCs w:val="17"/>
                <w:color w:val="auto"/>
              </w:rPr>
            </w:pPr>
          </w:p>
        </w:tc>
        <w:tc>
          <w:tcPr>
            <w:tcW w:w="360" w:type="dxa"/>
            <w:vAlign w:val="bottom"/>
          </w:tcPr>
          <w:p>
            <w:pPr>
              <w:spacing w:after="0"/>
              <w:rPr>
                <w:sz w:val="17"/>
                <w:szCs w:val="17"/>
                <w:color w:val="auto"/>
              </w:rPr>
            </w:pPr>
          </w:p>
        </w:tc>
        <w:tc>
          <w:tcPr>
            <w:tcW w:w="4960" w:type="dxa"/>
            <w:vAlign w:val="bottom"/>
            <w:gridSpan w:val="2"/>
          </w:tcPr>
          <w:p>
            <w:pPr>
              <w:ind w:left="1420"/>
              <w:spacing w:after="0"/>
              <w:rPr>
                <w:sz w:val="20"/>
                <w:szCs w:val="20"/>
                <w:color w:val="auto"/>
              </w:rPr>
            </w:pPr>
            <w:r>
              <w:rPr>
                <w:rFonts w:ascii="Arial" w:cs="Arial" w:eastAsia="Arial" w:hAnsi="Arial"/>
                <w:sz w:val="16"/>
                <w:szCs w:val="16"/>
                <w:color w:val="auto"/>
              </w:rPr>
              <w:t>of two individuals or 20% of the Board, if the</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440" w:type="dxa"/>
            <w:vAlign w:val="bottom"/>
            <w:tcBorders>
              <w:right w:val="single" w:sz="8" w:color="83AD40"/>
            </w:tcBorders>
          </w:tcPr>
          <w:p>
            <w:pPr>
              <w:spacing w:after="0"/>
              <w:rPr>
                <w:sz w:val="17"/>
                <w:szCs w:val="17"/>
                <w:color w:val="auto"/>
              </w:rPr>
            </w:pPr>
          </w:p>
        </w:tc>
        <w:tc>
          <w:tcPr>
            <w:tcW w:w="360" w:type="dxa"/>
            <w:vAlign w:val="bottom"/>
          </w:tcPr>
          <w:p>
            <w:pPr>
              <w:spacing w:after="0"/>
              <w:rPr>
                <w:sz w:val="17"/>
                <w:szCs w:val="17"/>
                <w:color w:val="auto"/>
              </w:rPr>
            </w:pPr>
          </w:p>
        </w:tc>
        <w:tc>
          <w:tcPr>
            <w:tcW w:w="4960" w:type="dxa"/>
            <w:vAlign w:val="bottom"/>
            <w:gridSpan w:val="2"/>
          </w:tcPr>
          <w:p>
            <w:pPr>
              <w:ind w:left="1420"/>
              <w:spacing w:after="0"/>
              <w:rPr>
                <w:sz w:val="20"/>
                <w:szCs w:val="20"/>
                <w:color w:val="auto"/>
              </w:rPr>
            </w:pPr>
            <w:r>
              <w:rPr>
                <w:rFonts w:ascii="Arial" w:cs="Arial" w:eastAsia="Arial" w:hAnsi="Arial"/>
                <w:sz w:val="16"/>
                <w:szCs w:val="16"/>
                <w:color w:val="auto"/>
              </w:rPr>
              <w:t>nominating stockholder(s) and the nominee(s)</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440" w:type="dxa"/>
            <w:vAlign w:val="bottom"/>
            <w:tcBorders>
              <w:right w:val="single" w:sz="8" w:color="83AD40"/>
            </w:tcBorders>
          </w:tcPr>
          <w:p>
            <w:pPr>
              <w:spacing w:after="0"/>
              <w:rPr>
                <w:sz w:val="18"/>
                <w:szCs w:val="18"/>
                <w:color w:val="auto"/>
              </w:rPr>
            </w:pPr>
          </w:p>
        </w:tc>
        <w:tc>
          <w:tcPr>
            <w:tcW w:w="360" w:type="dxa"/>
            <w:vAlign w:val="bottom"/>
          </w:tcPr>
          <w:p>
            <w:pPr>
              <w:spacing w:after="0"/>
              <w:rPr>
                <w:sz w:val="18"/>
                <w:szCs w:val="18"/>
                <w:color w:val="auto"/>
              </w:rPr>
            </w:pPr>
          </w:p>
        </w:tc>
        <w:tc>
          <w:tcPr>
            <w:tcW w:w="4960" w:type="dxa"/>
            <w:vAlign w:val="bottom"/>
            <w:gridSpan w:val="2"/>
          </w:tcPr>
          <w:p>
            <w:pPr>
              <w:ind w:left="1420"/>
              <w:spacing w:after="0"/>
              <w:rPr>
                <w:sz w:val="20"/>
                <w:szCs w:val="20"/>
                <w:color w:val="auto"/>
              </w:rPr>
            </w:pPr>
            <w:r>
              <w:rPr>
                <w:rFonts w:ascii="Arial" w:cs="Arial" w:eastAsia="Arial" w:hAnsi="Arial"/>
                <w:sz w:val="16"/>
                <w:szCs w:val="16"/>
                <w:color w:val="auto"/>
              </w:rPr>
              <w:t>satisfy the requirements specified in our bylaws.</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4"/>
        </w:trPr>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40" w:type="dxa"/>
            <w:vAlign w:val="bottom"/>
            <w:tcBorders>
              <w:right w:val="single" w:sz="8" w:color="83AD40"/>
            </w:tcBorders>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23"/>
                <w:szCs w:val="23"/>
                <w:b w:val="1"/>
                <w:bCs w:val="1"/>
                <w:color w:val="1F2668"/>
              </w:rPr>
              <w:t>​</w:t>
            </w:r>
          </w:p>
        </w:tc>
        <w:tc>
          <w:tcPr>
            <w:tcW w:w="4960" w:type="dxa"/>
            <w:vAlign w:val="bottom"/>
            <w:gridSpan w:val="2"/>
          </w:tcPr>
          <w:p>
            <w:pPr>
              <w:spacing w:after="0"/>
              <w:rPr>
                <w:sz w:val="20"/>
                <w:szCs w:val="20"/>
                <w:color w:val="auto"/>
              </w:rPr>
            </w:pPr>
            <w:r>
              <w:rPr>
                <w:rFonts w:ascii="Arial" w:cs="Arial" w:eastAsia="Arial" w:hAnsi="Arial"/>
                <w:sz w:val="23"/>
                <w:szCs w:val="23"/>
                <w:b w:val="1"/>
                <w:bCs w:val="1"/>
                <w:color w:val="1F2668"/>
              </w:rPr>
              <w:t>​</w:t>
            </w:r>
          </w:p>
        </w:tc>
        <w:tc>
          <w:tcPr>
            <w:tcW w:w="820" w:type="dxa"/>
            <w:vAlign w:val="bottom"/>
          </w:tcPr>
          <w:p>
            <w:pPr>
              <w:spacing w:after="0"/>
              <w:rPr>
                <w:sz w:val="20"/>
                <w:szCs w:val="20"/>
                <w:color w:val="auto"/>
              </w:rPr>
            </w:pPr>
            <w:r>
              <w:rPr>
                <w:rFonts w:ascii="Arial" w:cs="Arial" w:eastAsia="Arial" w:hAnsi="Arial"/>
                <w:sz w:val="23"/>
                <w:szCs w:val="23"/>
                <w:b w:val="1"/>
                <w:bCs w:val="1"/>
                <w:color w:val="1F2668"/>
              </w:rPr>
              <w:t>​</w:t>
            </w:r>
          </w:p>
        </w:tc>
        <w:tc>
          <w:tcPr>
            <w:tcW w:w="0" w:type="dxa"/>
            <w:vAlign w:val="bottom"/>
          </w:tcPr>
          <w:p>
            <w:pPr>
              <w:spacing w:after="0"/>
              <w:rPr>
                <w:sz w:val="1"/>
                <w:szCs w:val="1"/>
                <w:color w:val="auto"/>
              </w:rPr>
            </w:pPr>
          </w:p>
        </w:tc>
      </w:tr>
      <w:tr>
        <w:trPr>
          <w:trHeight w:val="76"/>
        </w:trPr>
        <w:tc>
          <w:tcPr>
            <w:tcW w:w="8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80" w:type="dxa"/>
            <w:vAlign w:val="bottom"/>
          </w:tcPr>
          <w:p>
            <w:pPr>
              <w:spacing w:after="0"/>
              <w:rPr>
                <w:sz w:val="6"/>
                <w:szCs w:val="6"/>
                <w:color w:val="auto"/>
              </w:rPr>
            </w:pPr>
          </w:p>
        </w:tc>
        <w:tc>
          <w:tcPr>
            <w:tcW w:w="440" w:type="dxa"/>
            <w:vAlign w:val="bottom"/>
            <w:tcBorders>
              <w:right w:val="single" w:sz="8" w:color="83AD40"/>
            </w:tcBorders>
          </w:tcPr>
          <w:p>
            <w:pPr>
              <w:spacing w:after="0"/>
              <w:rPr>
                <w:sz w:val="6"/>
                <w:szCs w:val="6"/>
                <w:color w:val="auto"/>
              </w:rPr>
            </w:pPr>
          </w:p>
        </w:tc>
        <w:tc>
          <w:tcPr>
            <w:tcW w:w="360" w:type="dxa"/>
            <w:vAlign w:val="bottom"/>
          </w:tcPr>
          <w:p>
            <w:pPr>
              <w:spacing w:after="0"/>
              <w:rPr>
                <w:sz w:val="6"/>
                <w:szCs w:val="6"/>
                <w:color w:val="auto"/>
              </w:rPr>
            </w:pPr>
          </w:p>
        </w:tc>
        <w:tc>
          <w:tcPr>
            <w:tcW w:w="49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9"/>
        </w:trPr>
        <w:tc>
          <w:tcPr>
            <w:tcW w:w="820" w:type="dxa"/>
            <w:vAlign w:val="bottom"/>
          </w:tcPr>
          <w:p>
            <w:pPr>
              <w:spacing w:after="0"/>
              <w:rPr>
                <w:sz w:val="24"/>
                <w:szCs w:val="24"/>
                <w:color w:val="auto"/>
              </w:rPr>
            </w:pPr>
          </w:p>
        </w:tc>
        <w:tc>
          <w:tcPr>
            <w:tcW w:w="340" w:type="dxa"/>
            <w:vAlign w:val="bottom"/>
            <w:tcBorders>
              <w:bottom w:val="single" w:sz="8" w:color="83AD40"/>
            </w:tcBorders>
          </w:tcPr>
          <w:p>
            <w:pPr>
              <w:spacing w:after="0"/>
              <w:rPr>
                <w:sz w:val="24"/>
                <w:szCs w:val="24"/>
                <w:color w:val="auto"/>
              </w:rPr>
            </w:pPr>
          </w:p>
        </w:tc>
        <w:tc>
          <w:tcPr>
            <w:tcW w:w="500" w:type="dxa"/>
            <w:vAlign w:val="bottom"/>
            <w:tcBorders>
              <w:bottom w:val="single" w:sz="8" w:color="83AD40"/>
            </w:tcBorders>
          </w:tcPr>
          <w:p>
            <w:pPr>
              <w:spacing w:after="0"/>
              <w:rPr>
                <w:sz w:val="24"/>
                <w:szCs w:val="24"/>
                <w:color w:val="auto"/>
              </w:rPr>
            </w:pPr>
          </w:p>
        </w:tc>
        <w:tc>
          <w:tcPr>
            <w:tcW w:w="2480" w:type="dxa"/>
            <w:vAlign w:val="bottom"/>
            <w:tcBorders>
              <w:bottom w:val="single" w:sz="8" w:color="83AD40"/>
            </w:tcBorders>
          </w:tcPr>
          <w:p>
            <w:pPr>
              <w:spacing w:after="0"/>
              <w:rPr>
                <w:sz w:val="24"/>
                <w:szCs w:val="24"/>
                <w:color w:val="auto"/>
              </w:rPr>
            </w:pPr>
          </w:p>
        </w:tc>
        <w:tc>
          <w:tcPr>
            <w:tcW w:w="440" w:type="dxa"/>
            <w:vAlign w:val="bottom"/>
            <w:tcBorders>
              <w:bottom w:val="single" w:sz="8" w:color="83AD40"/>
            </w:tcBorders>
          </w:tcPr>
          <w:p>
            <w:pPr>
              <w:spacing w:after="0"/>
              <w:rPr>
                <w:sz w:val="24"/>
                <w:szCs w:val="24"/>
                <w:color w:val="auto"/>
              </w:rPr>
            </w:pPr>
          </w:p>
        </w:tc>
        <w:tc>
          <w:tcPr>
            <w:tcW w:w="360" w:type="dxa"/>
            <w:vAlign w:val="bottom"/>
            <w:tcBorders>
              <w:bottom w:val="single" w:sz="8" w:color="83AD40"/>
            </w:tcBorders>
          </w:tcPr>
          <w:p>
            <w:pPr>
              <w:spacing w:after="0"/>
              <w:rPr>
                <w:sz w:val="24"/>
                <w:szCs w:val="24"/>
                <w:color w:val="auto"/>
              </w:rPr>
            </w:pPr>
          </w:p>
        </w:tc>
        <w:tc>
          <w:tcPr>
            <w:tcW w:w="4940" w:type="dxa"/>
            <w:vAlign w:val="bottom"/>
            <w:tcBorders>
              <w:bottom w:val="single" w:sz="8" w:color="83AD40"/>
            </w:tcBorders>
          </w:tcPr>
          <w:p>
            <w:pPr>
              <w:spacing w:after="0"/>
              <w:rPr>
                <w:sz w:val="24"/>
                <w:szCs w:val="24"/>
                <w:color w:val="auto"/>
              </w:rPr>
            </w:pPr>
          </w:p>
        </w:tc>
        <w:tc>
          <w:tcPr>
            <w:tcW w:w="20" w:type="dxa"/>
            <w:vAlign w:val="bottom"/>
            <w:tcBorders>
              <w:bottom w:val="single" w:sz="8" w:color="83AD40"/>
            </w:tcBorders>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0"/>
        </w:trPr>
        <w:tc>
          <w:tcPr>
            <w:tcW w:w="8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-7303135</wp:posOffset>
            </wp:positionV>
            <wp:extent cx="385445" cy="3860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5445" cy="386080"/>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-6360160</wp:posOffset>
            </wp:positionV>
            <wp:extent cx="377190" cy="3771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77190" cy="377190"/>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-5468620</wp:posOffset>
            </wp:positionV>
            <wp:extent cx="377190" cy="3771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77190" cy="377190"/>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-4371340</wp:posOffset>
            </wp:positionV>
            <wp:extent cx="316865" cy="522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6865" cy="522605"/>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-3479800</wp:posOffset>
            </wp:positionV>
            <wp:extent cx="394335" cy="3943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94335" cy="39433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-4902835</wp:posOffset>
            </wp:positionV>
            <wp:extent cx="762635" cy="7200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2635" cy="720090"/>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-3719830</wp:posOffset>
            </wp:positionV>
            <wp:extent cx="711200" cy="8229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200" cy="822960"/>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5420" w:type="dxa"/>
            <w:vAlign w:val="bottom"/>
          </w:tcPr>
          <w:p>
            <w:pPr>
              <w:spacing w:after="0"/>
              <w:rPr>
                <w:sz w:val="20"/>
                <w:szCs w:val="20"/>
                <w:color w:val="auto"/>
              </w:rPr>
            </w:pPr>
            <w:r>
              <w:rPr>
                <w:rFonts w:ascii="Arial" w:cs="Arial" w:eastAsia="Arial" w:hAnsi="Arial"/>
                <w:sz w:val="14"/>
                <w:szCs w:val="14"/>
                <w:b w:val="1"/>
                <w:bCs w:val="1"/>
                <w:color w:val="auto"/>
              </w:rPr>
              <w:t>​</w:t>
            </w:r>
          </w:p>
        </w:tc>
        <w:tc>
          <w:tcPr>
            <w:tcW w:w="3220" w:type="dxa"/>
            <w:vAlign w:val="bottom"/>
          </w:tcPr>
          <w:p>
            <w:pPr>
              <w:ind w:left="2780"/>
              <w:spacing w:after="0"/>
              <w:rPr>
                <w:sz w:val="20"/>
                <w:szCs w:val="20"/>
                <w:color w:val="auto"/>
              </w:rPr>
            </w:pPr>
            <w:r>
              <w:rPr>
                <w:rFonts w:ascii="Arial" w:cs="Arial" w:eastAsia="Arial" w:hAnsi="Arial"/>
                <w:sz w:val="14"/>
                <w:szCs w:val="14"/>
                <w:b w:val="1"/>
                <w:bCs w:val="1"/>
                <w:color w:val="auto"/>
              </w:rPr>
              <w:t>​ ​</w:t>
            </w:r>
          </w:p>
        </w:tc>
        <w:tc>
          <w:tcPr>
            <w:tcW w:w="420" w:type="dxa"/>
            <w:vAlign w:val="bottom"/>
            <w:vMerge w:val="restart"/>
          </w:tcPr>
          <w:p>
            <w:pPr>
              <w:jc w:val="right"/>
              <w:spacing w:after="0"/>
              <w:rPr>
                <w:sz w:val="20"/>
                <w:szCs w:val="20"/>
                <w:color w:val="auto"/>
              </w:rPr>
            </w:pPr>
            <w:r>
              <w:rPr>
                <w:rFonts w:ascii="Arial" w:cs="Arial" w:eastAsia="Arial" w:hAnsi="Arial"/>
                <w:sz w:val="22"/>
                <w:szCs w:val="22"/>
                <w:b w:val="1"/>
                <w:bCs w:val="1"/>
                <w:color w:val="1F2668"/>
              </w:rPr>
              <w:t>7</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5420" w:type="dxa"/>
            <w:vAlign w:val="bottom"/>
          </w:tcPr>
          <w:p>
            <w:pPr>
              <w:spacing w:after="0"/>
              <w:rPr>
                <w:sz w:val="20"/>
                <w:szCs w:val="20"/>
                <w:color w:val="auto"/>
              </w:rPr>
            </w:pPr>
            <w:r>
              <w:rPr>
                <w:rFonts w:ascii="Arial" w:cs="Arial" w:eastAsia="Arial" w:hAnsi="Arial"/>
                <w:sz w:val="14"/>
                <w:szCs w:val="14"/>
                <w:b w:val="1"/>
                <w:bCs w:val="1"/>
                <w:color w:val="auto"/>
              </w:rPr>
              <w:t>2025 PROXY STATEMENT HIGHLIGHTS</w:t>
            </w:r>
          </w:p>
        </w:tc>
        <w:tc>
          <w:tcPr>
            <w:tcW w:w="322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820"/>
        <w:spacing w:after="0"/>
        <w:rPr>
          <w:sz w:val="20"/>
          <w:szCs w:val="20"/>
          <w:color w:val="auto"/>
        </w:rPr>
      </w:pPr>
      <w:r>
        <w:rPr>
          <w:rFonts w:ascii="Arial" w:cs="Arial" w:eastAsia="Arial" w:hAnsi="Arial"/>
          <w:sz w:val="29"/>
          <w:szCs w:val="29"/>
          <w:b w:val="1"/>
          <w:bCs w:val="1"/>
          <w:color w:val="83AD40"/>
        </w:rPr>
        <w:t>ESG HIGHLIGHTS</w:t>
      </w:r>
    </w:p>
    <w:p>
      <w:pPr>
        <w:spacing w:after="0" w:line="88" w:lineRule="exact"/>
        <w:rPr>
          <w:sz w:val="20"/>
          <w:szCs w:val="20"/>
          <w:color w:val="auto"/>
        </w:rPr>
      </w:pPr>
    </w:p>
    <w:p>
      <w:pPr>
        <w:ind w:left="82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0</wp:posOffset>
            </wp:positionV>
            <wp:extent cx="576072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60720" cy="26035"/>
                    </a:xfrm>
                    <a:prstGeom prst="rect">
                      <a:avLst/>
                    </a:prstGeom>
                    <a:noFill/>
                  </pic:spPr>
                </pic:pic>
              </a:graphicData>
            </a:graphic>
          </wp:anchor>
        </w:drawing>
      </w:r>
    </w:p>
    <w:p>
      <w:pPr>
        <w:spacing w:after="0" w:line="350"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ESG Oversight</w:t>
      </w:r>
    </w:p>
    <w:p>
      <w:pPr>
        <w:spacing w:after="0" w:line="133" w:lineRule="exact"/>
        <w:rPr>
          <w:sz w:val="20"/>
          <w:szCs w:val="20"/>
          <w:color w:val="auto"/>
        </w:rPr>
      </w:pPr>
    </w:p>
    <w:p>
      <w:pPr>
        <w:ind w:left="820" w:right="860"/>
        <w:spacing w:after="0" w:line="321" w:lineRule="auto"/>
        <w:rPr>
          <w:sz w:val="20"/>
          <w:szCs w:val="20"/>
          <w:color w:val="auto"/>
        </w:rPr>
      </w:pPr>
      <w:r>
        <w:rPr>
          <w:rFonts w:ascii="Arial" w:cs="Arial" w:eastAsia="Arial" w:hAnsi="Arial"/>
          <w:sz w:val="16"/>
          <w:szCs w:val="16"/>
          <w:color w:val="auto"/>
        </w:rPr>
        <w:t>Given the importance of ESG, the Board has specifically designated the oversight of these matters, including related strategy and risk, to the 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90805</wp:posOffset>
            </wp:positionV>
            <wp:extent cx="5374640" cy="16027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74640" cy="160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83AD40"/>
        </w:rPr>
        <w:t>Key ESG Achievements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20" w:type="dxa"/>
            <w:vAlign w:val="bottom"/>
          </w:tcPr>
          <w:p>
            <w:pPr>
              <w:spacing w:after="0"/>
              <w:rPr>
                <w:sz w:val="21"/>
                <w:szCs w:val="21"/>
                <w:color w:val="auto"/>
              </w:rPr>
            </w:pPr>
          </w:p>
        </w:tc>
        <w:tc>
          <w:tcPr>
            <w:tcW w:w="1920" w:type="dxa"/>
            <w:vAlign w:val="bottom"/>
          </w:tcPr>
          <w:p>
            <w:pPr>
              <w:spacing w:after="0"/>
              <w:rPr>
                <w:sz w:val="20"/>
                <w:szCs w:val="20"/>
                <w:color w:val="auto"/>
              </w:rPr>
            </w:pPr>
            <w:r>
              <w:rPr>
                <w:rFonts w:ascii="Arial" w:cs="Arial" w:eastAsia="Arial" w:hAnsi="Arial"/>
                <w:sz w:val="20"/>
                <w:szCs w:val="20"/>
                <w:b w:val="1"/>
                <w:bCs w:val="1"/>
                <w:color w:val="1F2668"/>
              </w:rPr>
              <w:t>ESG Leadership</w:t>
            </w:r>
            <w:r>
              <w:rPr>
                <w:rFonts w:ascii="Arial" w:cs="Arial" w:eastAsia="Arial" w:hAnsi="Arial"/>
                <w:sz w:val="14"/>
                <w:szCs w:val="14"/>
                <w:color w:val="000000"/>
              </w:rPr>
              <w:t>​</w:t>
            </w:r>
          </w:p>
        </w:tc>
        <w:tc>
          <w:tcPr>
            <w:tcW w:w="1480" w:type="dxa"/>
            <w:vAlign w:val="bottom"/>
            <w:gridSpan w:val="2"/>
          </w:tcPr>
          <w:p>
            <w:pPr>
              <w:spacing w:after="0"/>
              <w:rPr>
                <w:sz w:val="20"/>
                <w:szCs w:val="20"/>
                <w:color w:val="auto"/>
              </w:rPr>
            </w:pPr>
            <w:r>
              <w:rPr>
                <w:rFonts w:ascii="Arial" w:cs="Arial" w:eastAsia="Arial" w:hAnsi="Arial"/>
                <w:sz w:val="20"/>
                <w:szCs w:val="20"/>
                <w:b w:val="1"/>
                <w:bCs w:val="1"/>
                <w:color w:val="1F2668"/>
              </w:rPr>
              <w:t>​ ​ Industry</w:t>
            </w:r>
          </w:p>
        </w:tc>
        <w:tc>
          <w:tcPr>
            <w:tcW w:w="1400" w:type="dxa"/>
            <w:vAlign w:val="bottom"/>
          </w:tcPr>
          <w:p>
            <w:pPr>
              <w:spacing w:after="0"/>
              <w:rPr>
                <w:sz w:val="21"/>
                <w:szCs w:val="21"/>
                <w:color w:val="auto"/>
              </w:rPr>
            </w:pPr>
          </w:p>
        </w:tc>
        <w:tc>
          <w:tcPr>
            <w:tcW w:w="4640" w:type="dxa"/>
            <w:vAlign w:val="bottom"/>
            <w:gridSpan w:val="4"/>
          </w:tcPr>
          <w:p>
            <w:pPr>
              <w:spacing w:after="0"/>
              <w:rPr>
                <w:sz w:val="20"/>
                <w:szCs w:val="20"/>
                <w:color w:val="auto"/>
              </w:rPr>
            </w:pPr>
            <w:r>
              <w:rPr>
                <w:rFonts w:ascii="Arial" w:cs="Arial" w:eastAsia="Arial" w:hAnsi="Arial"/>
                <w:sz w:val="20"/>
                <w:szCs w:val="20"/>
                <w:b w:val="1"/>
                <w:bCs w:val="1"/>
                <w:color w:val="1F2668"/>
              </w:rPr>
              <w:t>​ ​ Building Certifications ​ ​ Awards &amp;</w:t>
            </w:r>
          </w:p>
        </w:tc>
        <w:tc>
          <w:tcPr>
            <w:tcW w:w="460" w:type="dxa"/>
            <w:vAlign w:val="bottom"/>
          </w:tcPr>
          <w:p>
            <w:pPr>
              <w:spacing w:after="0"/>
              <w:rPr>
                <w:sz w:val="20"/>
                <w:szCs w:val="20"/>
                <w:color w:val="auto"/>
              </w:rPr>
            </w:pPr>
            <w:r>
              <w:rPr>
                <w:rFonts w:ascii="Arial" w:cs="Arial" w:eastAsia="Arial" w:hAnsi="Arial"/>
                <w:sz w:val="20"/>
                <w:szCs w:val="20"/>
                <w:b w:val="1"/>
                <w:bCs w:val="1"/>
                <w:color w:val="1F2668"/>
              </w:rPr>
              <w:t>​</w:t>
            </w:r>
          </w:p>
        </w:tc>
        <w:tc>
          <w:tcPr>
            <w:tcW w:w="0" w:type="dxa"/>
            <w:vAlign w:val="bottom"/>
          </w:tcPr>
          <w:p>
            <w:pPr>
              <w:spacing w:after="0"/>
              <w:rPr>
                <w:sz w:val="1"/>
                <w:szCs w:val="1"/>
                <w:color w:val="auto"/>
              </w:rPr>
            </w:pPr>
          </w:p>
        </w:tc>
      </w:tr>
      <w:tr>
        <w:trPr>
          <w:trHeight w:val="273"/>
        </w:trPr>
        <w:tc>
          <w:tcPr>
            <w:tcW w:w="82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0"/>
                <w:szCs w:val="20"/>
                <w:color w:val="auto"/>
              </w:rPr>
            </w:pPr>
            <w:r>
              <w:rPr>
                <w:rFonts w:ascii="Arial" w:cs="Arial" w:eastAsia="Arial" w:hAnsi="Arial"/>
                <w:sz w:val="20"/>
                <w:szCs w:val="20"/>
                <w:b w:val="1"/>
                <w:bCs w:val="1"/>
                <w:color w:val="1F2668"/>
              </w:rPr>
              <w:t>Leadership</w:t>
            </w:r>
            <w:r>
              <w:rPr>
                <w:rFonts w:ascii="Arial" w:cs="Arial" w:eastAsia="Arial" w:hAnsi="Arial"/>
                <w:sz w:val="14"/>
                <w:szCs w:val="14"/>
                <w:color w:val="000000"/>
              </w:rPr>
              <w:t>​</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20" w:type="dxa"/>
            <w:vAlign w:val="bottom"/>
          </w:tcPr>
          <w:p>
            <w:pPr>
              <w:spacing w:after="0"/>
              <w:rPr>
                <w:sz w:val="20"/>
                <w:szCs w:val="20"/>
                <w:color w:val="auto"/>
              </w:rPr>
            </w:pPr>
            <w:r>
              <w:rPr>
                <w:rFonts w:ascii="Arial" w:cs="Arial" w:eastAsia="Arial" w:hAnsi="Arial"/>
                <w:sz w:val="20"/>
                <w:szCs w:val="20"/>
                <w:b w:val="1"/>
                <w:bCs w:val="1"/>
                <w:color w:val="1F2668"/>
              </w:rPr>
              <w:t>Owned and Operated</w:t>
            </w:r>
            <w:r>
              <w:rPr>
                <w:rFonts w:ascii="Arial" w:cs="Arial" w:eastAsia="Arial" w:hAnsi="Arial"/>
                <w:sz w:val="14"/>
                <w:szCs w:val="14"/>
                <w:color w:val="000000"/>
              </w:rPr>
              <w:t>​</w:t>
            </w:r>
          </w:p>
        </w:tc>
        <w:tc>
          <w:tcPr>
            <w:tcW w:w="240" w:type="dxa"/>
            <w:vAlign w:val="bottom"/>
          </w:tcPr>
          <w:p>
            <w:pPr>
              <w:spacing w:after="0"/>
              <w:rPr>
                <w:sz w:val="23"/>
                <w:szCs w:val="23"/>
                <w:color w:val="auto"/>
              </w:rPr>
            </w:pPr>
          </w:p>
        </w:tc>
        <w:tc>
          <w:tcPr>
            <w:tcW w:w="2040" w:type="dxa"/>
            <w:vAlign w:val="bottom"/>
          </w:tcPr>
          <w:p>
            <w:pPr>
              <w:spacing w:after="0"/>
              <w:rPr>
                <w:sz w:val="20"/>
                <w:szCs w:val="20"/>
                <w:color w:val="auto"/>
              </w:rPr>
            </w:pPr>
            <w:r>
              <w:rPr>
                <w:rFonts w:ascii="Arial" w:cs="Arial" w:eastAsia="Arial" w:hAnsi="Arial"/>
                <w:sz w:val="20"/>
                <w:szCs w:val="20"/>
                <w:b w:val="1"/>
                <w:bCs w:val="1"/>
                <w:color w:val="1F2668"/>
              </w:rPr>
              <w:t>Accolades</w:t>
            </w:r>
            <w:r>
              <w:rPr>
                <w:rFonts w:ascii="Arial" w:cs="Arial" w:eastAsia="Arial" w:hAnsi="Arial"/>
                <w:sz w:val="14"/>
                <w:szCs w:val="14"/>
                <w:color w:val="000000"/>
              </w:rPr>
              <w:t>​</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820" w:type="dxa"/>
            <w:vAlign w:val="bottom"/>
          </w:tcPr>
          <w:p>
            <w:pPr>
              <w:spacing w:after="0"/>
              <w:rPr>
                <w:sz w:val="7"/>
                <w:szCs w:val="7"/>
                <w:color w:val="auto"/>
              </w:rPr>
            </w:pPr>
          </w:p>
        </w:tc>
        <w:tc>
          <w:tcPr>
            <w:tcW w:w="1920" w:type="dxa"/>
            <w:vAlign w:val="bottom"/>
            <w:tcBorders>
              <w:bottom w:val="single" w:sz="8" w:color="1F2668"/>
            </w:tcBorders>
          </w:tcPr>
          <w:p>
            <w:pPr>
              <w:spacing w:after="0"/>
              <w:rPr>
                <w:sz w:val="7"/>
                <w:szCs w:val="7"/>
                <w:color w:val="auto"/>
              </w:rPr>
            </w:pPr>
          </w:p>
        </w:tc>
        <w:tc>
          <w:tcPr>
            <w:tcW w:w="240" w:type="dxa"/>
            <w:vAlign w:val="bottom"/>
            <w:vMerge w:val="restart"/>
          </w:tcPr>
          <w:p>
            <w:pPr>
              <w:spacing w:after="0"/>
              <w:rPr>
                <w:sz w:val="20"/>
                <w:szCs w:val="20"/>
                <w:color w:val="auto"/>
              </w:rPr>
            </w:pPr>
            <w:r>
              <w:rPr>
                <w:rFonts w:ascii="Arial" w:cs="Arial" w:eastAsia="Arial" w:hAnsi="Arial"/>
                <w:sz w:val="16"/>
                <w:szCs w:val="16"/>
                <w:color w:val="auto"/>
              </w:rPr>
              <w:t>​ ​</w:t>
            </w:r>
          </w:p>
        </w:tc>
        <w:tc>
          <w:tcPr>
            <w:tcW w:w="1240" w:type="dxa"/>
            <w:vAlign w:val="bottom"/>
            <w:tcBorders>
              <w:bottom w:val="single" w:sz="8" w:color="1F2668"/>
            </w:tcBorders>
          </w:tcPr>
          <w:p>
            <w:pPr>
              <w:spacing w:after="0"/>
              <w:rPr>
                <w:sz w:val="7"/>
                <w:szCs w:val="7"/>
                <w:color w:val="auto"/>
              </w:rPr>
            </w:pPr>
          </w:p>
        </w:tc>
        <w:tc>
          <w:tcPr>
            <w:tcW w:w="1400" w:type="dxa"/>
            <w:vAlign w:val="bottom"/>
            <w:tcBorders>
              <w:bottom w:val="single" w:sz="8" w:color="1F2668"/>
            </w:tcBorders>
          </w:tcPr>
          <w:p>
            <w:pPr>
              <w:spacing w:after="0"/>
              <w:rPr>
                <w:sz w:val="7"/>
                <w:szCs w:val="7"/>
                <w:color w:val="auto"/>
              </w:rPr>
            </w:pPr>
          </w:p>
        </w:tc>
        <w:tc>
          <w:tcPr>
            <w:tcW w:w="240" w:type="dxa"/>
            <w:vAlign w:val="bottom"/>
            <w:vMerge w:val="restart"/>
          </w:tcPr>
          <w:p>
            <w:pPr>
              <w:spacing w:after="0"/>
              <w:rPr>
                <w:sz w:val="20"/>
                <w:szCs w:val="20"/>
                <w:color w:val="auto"/>
              </w:rPr>
            </w:pPr>
            <w:r>
              <w:rPr>
                <w:rFonts w:ascii="Arial" w:cs="Arial" w:eastAsia="Arial" w:hAnsi="Arial"/>
                <w:sz w:val="16"/>
                <w:szCs w:val="16"/>
                <w:color w:val="auto"/>
              </w:rPr>
              <w:t>​ ​</w:t>
            </w:r>
          </w:p>
        </w:tc>
        <w:tc>
          <w:tcPr>
            <w:tcW w:w="2120" w:type="dxa"/>
            <w:vAlign w:val="bottom"/>
            <w:tcBorders>
              <w:bottom w:val="single" w:sz="8" w:color="1F2668"/>
            </w:tcBorders>
          </w:tcPr>
          <w:p>
            <w:pPr>
              <w:spacing w:after="0"/>
              <w:rPr>
                <w:sz w:val="7"/>
                <w:szCs w:val="7"/>
                <w:color w:val="auto"/>
              </w:rPr>
            </w:pPr>
          </w:p>
        </w:tc>
        <w:tc>
          <w:tcPr>
            <w:tcW w:w="240" w:type="dxa"/>
            <w:vAlign w:val="bottom"/>
            <w:vMerge w:val="restart"/>
          </w:tcPr>
          <w:p>
            <w:pPr>
              <w:spacing w:after="0"/>
              <w:rPr>
                <w:sz w:val="20"/>
                <w:szCs w:val="20"/>
                <w:color w:val="auto"/>
              </w:rPr>
            </w:pPr>
            <w:r>
              <w:rPr>
                <w:rFonts w:ascii="Arial" w:cs="Arial" w:eastAsia="Arial" w:hAnsi="Arial"/>
                <w:sz w:val="16"/>
                <w:szCs w:val="16"/>
                <w:color w:val="auto"/>
              </w:rPr>
              <w:t>​ ​</w:t>
            </w:r>
          </w:p>
        </w:tc>
        <w:tc>
          <w:tcPr>
            <w:tcW w:w="2040" w:type="dxa"/>
            <w:vAlign w:val="bottom"/>
            <w:tcBorders>
              <w:bottom w:val="single" w:sz="8" w:color="1F2668"/>
            </w:tcBorders>
          </w:tcPr>
          <w:p>
            <w:pPr>
              <w:spacing w:after="0"/>
              <w:rPr>
                <w:sz w:val="7"/>
                <w:szCs w:val="7"/>
                <w:color w:val="auto"/>
              </w:rPr>
            </w:pPr>
          </w:p>
        </w:tc>
        <w:tc>
          <w:tcPr>
            <w:tcW w:w="4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1920" w:type="dxa"/>
            <w:vAlign w:val="bottom"/>
          </w:tcPr>
          <w:p>
            <w:pPr>
              <w:ind w:left="1240"/>
              <w:spacing w:after="0" w:line="142" w:lineRule="exact"/>
              <w:rPr>
                <w:sz w:val="20"/>
                <w:szCs w:val="20"/>
                <w:color w:val="auto"/>
              </w:rPr>
            </w:pPr>
            <w:r>
              <w:rPr>
                <w:rFonts w:ascii="Arial" w:cs="Arial" w:eastAsia="Arial" w:hAnsi="Arial"/>
                <w:sz w:val="16"/>
                <w:szCs w:val="16"/>
                <w:color w:val="auto"/>
              </w:rPr>
              <w:t>​</w:t>
            </w:r>
          </w:p>
        </w:tc>
        <w:tc>
          <w:tcPr>
            <w:tcW w:w="240" w:type="dxa"/>
            <w:vAlign w:val="bottom"/>
            <w:vMerge w:val="continue"/>
          </w:tcPr>
          <w:p>
            <w:pPr>
              <w:spacing w:after="0"/>
              <w:rPr>
                <w:sz w:val="12"/>
                <w:szCs w:val="12"/>
                <w:color w:val="auto"/>
              </w:rPr>
            </w:pPr>
          </w:p>
        </w:tc>
        <w:tc>
          <w:tcPr>
            <w:tcW w:w="1240" w:type="dxa"/>
            <w:vAlign w:val="bottom"/>
            <w:vMerge w:val="restart"/>
          </w:tcPr>
          <w:p>
            <w:pPr>
              <w:spacing w:after="0"/>
              <w:rPr>
                <w:sz w:val="20"/>
                <w:szCs w:val="20"/>
                <w:color w:val="auto"/>
              </w:rPr>
            </w:pPr>
            <w:r>
              <w:rPr>
                <w:rFonts w:ascii="Arial" w:cs="Arial" w:eastAsia="Arial" w:hAnsi="Arial"/>
                <w:sz w:val="16"/>
                <w:szCs w:val="16"/>
                <w:color w:val="auto"/>
              </w:rPr>
              <w:t>Validated</w:t>
            </w:r>
          </w:p>
        </w:tc>
        <w:tc>
          <w:tcPr>
            <w:tcW w:w="1400" w:type="dxa"/>
            <w:vAlign w:val="bottom"/>
          </w:tcPr>
          <w:p>
            <w:pPr>
              <w:ind w:left="20"/>
              <w:spacing w:after="0" w:line="142" w:lineRule="exact"/>
              <w:rPr>
                <w:sz w:val="20"/>
                <w:szCs w:val="20"/>
                <w:color w:val="auto"/>
              </w:rPr>
            </w:pPr>
            <w:r>
              <w:rPr>
                <w:rFonts w:ascii="Arial" w:cs="Arial" w:eastAsia="Arial" w:hAnsi="Arial"/>
                <w:sz w:val="16"/>
                <w:szCs w:val="16"/>
                <w:color w:val="auto"/>
              </w:rPr>
              <w:t>​</w:t>
            </w:r>
          </w:p>
        </w:tc>
        <w:tc>
          <w:tcPr>
            <w:tcW w:w="240" w:type="dxa"/>
            <w:vAlign w:val="bottom"/>
            <w:vMerge w:val="continue"/>
          </w:tcPr>
          <w:p>
            <w:pPr>
              <w:spacing w:after="0"/>
              <w:rPr>
                <w:sz w:val="12"/>
                <w:szCs w:val="12"/>
                <w:color w:val="auto"/>
              </w:rPr>
            </w:pPr>
          </w:p>
        </w:tc>
        <w:tc>
          <w:tcPr>
            <w:tcW w:w="2120" w:type="dxa"/>
            <w:vAlign w:val="bottom"/>
          </w:tcPr>
          <w:p>
            <w:pPr>
              <w:ind w:left="1260"/>
              <w:spacing w:after="0" w:line="142" w:lineRule="exact"/>
              <w:rPr>
                <w:sz w:val="20"/>
                <w:szCs w:val="20"/>
                <w:color w:val="auto"/>
              </w:rPr>
            </w:pPr>
            <w:r>
              <w:rPr>
                <w:rFonts w:ascii="Arial" w:cs="Arial" w:eastAsia="Arial" w:hAnsi="Arial"/>
                <w:sz w:val="16"/>
                <w:szCs w:val="16"/>
                <w:color w:val="auto"/>
              </w:rPr>
              <w:t>​ ​</w:t>
            </w:r>
          </w:p>
        </w:tc>
        <w:tc>
          <w:tcPr>
            <w:tcW w:w="240" w:type="dxa"/>
            <w:vAlign w:val="bottom"/>
            <w:vMerge w:val="continue"/>
          </w:tcPr>
          <w:p>
            <w:pPr>
              <w:spacing w:after="0"/>
              <w:rPr>
                <w:sz w:val="12"/>
                <w:szCs w:val="12"/>
                <w:color w:val="auto"/>
              </w:rPr>
            </w:pPr>
          </w:p>
        </w:tc>
        <w:tc>
          <w:tcPr>
            <w:tcW w:w="2040" w:type="dxa"/>
            <w:vAlign w:val="bottom"/>
          </w:tcPr>
          <w:p>
            <w:pPr>
              <w:ind w:left="1260"/>
              <w:spacing w:after="0" w:line="142" w:lineRule="exact"/>
              <w:rPr>
                <w:sz w:val="20"/>
                <w:szCs w:val="20"/>
                <w:color w:val="auto"/>
              </w:rPr>
            </w:pPr>
            <w:r>
              <w:rPr>
                <w:rFonts w:ascii="Arial" w:cs="Arial" w:eastAsia="Arial" w:hAnsi="Arial"/>
                <w:sz w:val="16"/>
                <w:szCs w:val="16"/>
                <w:color w:val="auto"/>
              </w:rPr>
              <w:t>​</w:t>
            </w: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1920" w:type="dxa"/>
            <w:vAlign w:val="bottom"/>
          </w:tcPr>
          <w:p>
            <w:pPr>
              <w:spacing w:after="0" w:line="175" w:lineRule="exact"/>
              <w:rPr>
                <w:sz w:val="20"/>
                <w:szCs w:val="20"/>
                <w:color w:val="auto"/>
              </w:rPr>
            </w:pPr>
            <w:r>
              <w:rPr>
                <w:rFonts w:ascii="Arial" w:cs="Arial" w:eastAsia="Arial" w:hAnsi="Arial"/>
                <w:sz w:val="16"/>
                <w:szCs w:val="16"/>
                <w:color w:val="auto"/>
              </w:rPr>
              <w:t>Highest Scoring</w:t>
            </w:r>
          </w:p>
        </w:tc>
        <w:tc>
          <w:tcPr>
            <w:tcW w:w="24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tcPr>
          <w:p>
            <w:pPr>
              <w:spacing w:after="0" w:line="175" w:lineRule="exact"/>
              <w:rPr>
                <w:sz w:val="20"/>
                <w:szCs w:val="20"/>
                <w:color w:val="auto"/>
              </w:rPr>
            </w:pPr>
            <w:r>
              <w:rPr>
                <w:rFonts w:ascii="Arial" w:cs="Arial" w:eastAsia="Arial" w:hAnsi="Arial"/>
                <w:sz w:val="16"/>
                <w:szCs w:val="16"/>
                <w:color w:val="auto"/>
              </w:rPr>
              <w:t>12 Buildings</w:t>
            </w:r>
          </w:p>
        </w:tc>
        <w:tc>
          <w:tcPr>
            <w:tcW w:w="240" w:type="dxa"/>
            <w:vAlign w:val="bottom"/>
          </w:tcPr>
          <w:p>
            <w:pPr>
              <w:spacing w:after="0"/>
              <w:rPr>
                <w:sz w:val="15"/>
                <w:szCs w:val="15"/>
                <w:color w:val="auto"/>
              </w:rPr>
            </w:pPr>
          </w:p>
        </w:tc>
        <w:tc>
          <w:tcPr>
            <w:tcW w:w="2040" w:type="dxa"/>
            <w:vAlign w:val="bottom"/>
          </w:tcPr>
          <w:p>
            <w:pPr>
              <w:spacing w:after="0" w:line="175" w:lineRule="exact"/>
              <w:rPr>
                <w:sz w:val="20"/>
                <w:szCs w:val="20"/>
                <w:color w:val="auto"/>
              </w:rPr>
            </w:pPr>
            <w:r>
              <w:rPr>
                <w:rFonts w:ascii="Arial" w:cs="Arial" w:eastAsia="Arial" w:hAnsi="Arial"/>
                <w:sz w:val="16"/>
                <w:szCs w:val="16"/>
                <w:color w:val="auto"/>
              </w:rPr>
              <w:t>Partner of the</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20" w:type="dxa"/>
            <w:vAlign w:val="bottom"/>
          </w:tcPr>
          <w:p>
            <w:pPr>
              <w:spacing w:after="0"/>
              <w:rPr>
                <w:sz w:val="16"/>
                <w:szCs w:val="16"/>
                <w:color w:val="auto"/>
              </w:rPr>
            </w:pPr>
          </w:p>
        </w:tc>
        <w:tc>
          <w:tcPr>
            <w:tcW w:w="1920" w:type="dxa"/>
            <w:vAlign w:val="bottom"/>
          </w:tcPr>
          <w:p>
            <w:pPr>
              <w:spacing w:after="0"/>
              <w:rPr>
                <w:sz w:val="20"/>
                <w:szCs w:val="20"/>
                <w:color w:val="auto"/>
              </w:rPr>
            </w:pPr>
            <w:r>
              <w:rPr>
                <w:rFonts w:ascii="Arial" w:cs="Arial" w:eastAsia="Arial" w:hAnsi="Arial"/>
                <w:sz w:val="16"/>
                <w:szCs w:val="16"/>
                <w:color w:val="auto"/>
              </w:rPr>
              <w:t>U.S. Office REIT</w:t>
            </w:r>
          </w:p>
        </w:tc>
        <w:tc>
          <w:tcPr>
            <w:tcW w:w="240" w:type="dxa"/>
            <w:vAlign w:val="bottom"/>
          </w:tcPr>
          <w:p>
            <w:pPr>
              <w:spacing w:after="0"/>
              <w:rPr>
                <w:sz w:val="16"/>
                <w:szCs w:val="16"/>
                <w:color w:val="auto"/>
              </w:rPr>
            </w:pPr>
          </w:p>
        </w:tc>
        <w:tc>
          <w:tcPr>
            <w:tcW w:w="1240" w:type="dxa"/>
            <w:vAlign w:val="bottom"/>
          </w:tcPr>
          <w:p>
            <w:pPr>
              <w:spacing w:after="0"/>
              <w:rPr>
                <w:sz w:val="20"/>
                <w:szCs w:val="20"/>
                <w:color w:val="auto"/>
              </w:rPr>
            </w:pPr>
            <w:r>
              <w:rPr>
                <w:rFonts w:ascii="Arial" w:cs="Arial" w:eastAsia="Arial" w:hAnsi="Arial"/>
                <w:sz w:val="16"/>
                <w:szCs w:val="16"/>
                <w:color w:val="auto"/>
              </w:rPr>
              <w:t>Science-Based</w:t>
            </w: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tcPr>
          <w:p>
            <w:pPr>
              <w:spacing w:after="0"/>
              <w:rPr>
                <w:sz w:val="20"/>
                <w:szCs w:val="20"/>
                <w:color w:val="auto"/>
              </w:rPr>
            </w:pPr>
            <w:r>
              <w:rPr>
                <w:rFonts w:ascii="Arial" w:cs="Arial" w:eastAsia="Arial" w:hAnsi="Arial"/>
                <w:sz w:val="16"/>
                <w:szCs w:val="16"/>
                <w:color w:val="auto"/>
              </w:rPr>
              <w:t>Certified —</w:t>
            </w:r>
          </w:p>
        </w:tc>
        <w:tc>
          <w:tcPr>
            <w:tcW w:w="240" w:type="dxa"/>
            <w:vAlign w:val="bottom"/>
          </w:tcPr>
          <w:p>
            <w:pPr>
              <w:spacing w:after="0"/>
              <w:rPr>
                <w:sz w:val="16"/>
                <w:szCs w:val="16"/>
                <w:color w:val="auto"/>
              </w:rPr>
            </w:pPr>
          </w:p>
        </w:tc>
        <w:tc>
          <w:tcPr>
            <w:tcW w:w="2040" w:type="dxa"/>
            <w:vAlign w:val="bottom"/>
          </w:tcPr>
          <w:p>
            <w:pPr>
              <w:spacing w:after="0"/>
              <w:rPr>
                <w:sz w:val="20"/>
                <w:szCs w:val="20"/>
                <w:color w:val="auto"/>
              </w:rPr>
            </w:pPr>
            <w:r>
              <w:rPr>
                <w:rFonts w:ascii="Arial" w:cs="Arial" w:eastAsia="Arial" w:hAnsi="Arial"/>
                <w:sz w:val="16"/>
                <w:szCs w:val="16"/>
                <w:color w:val="auto"/>
              </w:rPr>
              <w:t>Year Sustained</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20"/>
                <w:szCs w:val="20"/>
                <w:color w:val="auto"/>
              </w:rPr>
            </w:pPr>
            <w:r>
              <w:rPr>
                <w:rFonts w:ascii="Arial" w:cs="Arial" w:eastAsia="Arial" w:hAnsi="Arial"/>
                <w:sz w:val="16"/>
                <w:szCs w:val="16"/>
                <w:color w:val="auto"/>
              </w:rPr>
              <w:t>Targets with</w:t>
            </w: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tcPr>
          <w:p>
            <w:pPr>
              <w:spacing w:after="0"/>
              <w:rPr>
                <w:sz w:val="20"/>
                <w:szCs w:val="20"/>
                <w:color w:val="auto"/>
              </w:rPr>
            </w:pPr>
            <w:r>
              <w:rPr>
                <w:rFonts w:ascii="Arial" w:cs="Arial" w:eastAsia="Arial" w:hAnsi="Arial"/>
                <w:sz w:val="16"/>
                <w:szCs w:val="16"/>
                <w:color w:val="auto"/>
              </w:rPr>
              <w:t>11.4M SF</w:t>
            </w:r>
          </w:p>
        </w:tc>
        <w:tc>
          <w:tcPr>
            <w:tcW w:w="240" w:type="dxa"/>
            <w:vAlign w:val="bottom"/>
          </w:tcPr>
          <w:p>
            <w:pPr>
              <w:spacing w:after="0"/>
              <w:rPr>
                <w:sz w:val="16"/>
                <w:szCs w:val="16"/>
                <w:color w:val="auto"/>
              </w:rPr>
            </w:pPr>
          </w:p>
        </w:tc>
        <w:tc>
          <w:tcPr>
            <w:tcW w:w="2040" w:type="dxa"/>
            <w:vAlign w:val="bottom"/>
          </w:tcPr>
          <w:p>
            <w:pPr>
              <w:spacing w:after="0"/>
              <w:rPr>
                <w:sz w:val="20"/>
                <w:szCs w:val="20"/>
                <w:color w:val="auto"/>
              </w:rPr>
            </w:pPr>
            <w:r>
              <w:rPr>
                <w:rFonts w:ascii="Arial" w:cs="Arial" w:eastAsia="Arial" w:hAnsi="Arial"/>
                <w:sz w:val="16"/>
                <w:szCs w:val="16"/>
                <w:color w:val="auto"/>
              </w:rPr>
              <w:t>Excellence</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6"/>
                <w:szCs w:val="16"/>
                <w:color w:val="auto"/>
              </w:rPr>
              <w:t>SBTi</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6"/>
                <w:szCs w:val="16"/>
                <w:color w:val="auto"/>
              </w:rPr>
              <w:t>2018-2024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820" w:type="dxa"/>
            <w:vAlign w:val="bottom"/>
          </w:tcPr>
          <w:p>
            <w:pPr>
              <w:spacing w:after="0"/>
              <w:rPr>
                <w:sz w:val="8"/>
                <w:szCs w:val="8"/>
                <w:color w:val="auto"/>
              </w:rPr>
            </w:pPr>
          </w:p>
        </w:tc>
        <w:tc>
          <w:tcPr>
            <w:tcW w:w="1920" w:type="dxa"/>
            <w:vAlign w:val="bottom"/>
            <w:tcBorders>
              <w:bottom w:val="single" w:sz="8" w:color="83AD40"/>
            </w:tcBorders>
          </w:tcPr>
          <w:p>
            <w:pPr>
              <w:spacing w:after="0"/>
              <w:rPr>
                <w:sz w:val="8"/>
                <w:szCs w:val="8"/>
                <w:color w:val="auto"/>
              </w:rPr>
            </w:pPr>
          </w:p>
        </w:tc>
        <w:tc>
          <w:tcPr>
            <w:tcW w:w="240" w:type="dxa"/>
            <w:vAlign w:val="bottom"/>
            <w:vMerge w:val="restart"/>
          </w:tcPr>
          <w:p>
            <w:pPr>
              <w:spacing w:after="0"/>
              <w:rPr>
                <w:sz w:val="20"/>
                <w:szCs w:val="20"/>
                <w:color w:val="auto"/>
              </w:rPr>
            </w:pPr>
            <w:r>
              <w:rPr>
                <w:rFonts w:ascii="Arial" w:cs="Arial" w:eastAsia="Arial" w:hAnsi="Arial"/>
                <w:sz w:val="16"/>
                <w:szCs w:val="16"/>
                <w:color w:val="auto"/>
              </w:rPr>
              <w:t>​ ​</w:t>
            </w:r>
          </w:p>
        </w:tc>
        <w:tc>
          <w:tcPr>
            <w:tcW w:w="1240" w:type="dxa"/>
            <w:vAlign w:val="bottom"/>
            <w:tcBorders>
              <w:bottom w:val="single" w:sz="8" w:color="83AD40"/>
            </w:tcBorders>
          </w:tcPr>
          <w:p>
            <w:pPr>
              <w:spacing w:after="0"/>
              <w:rPr>
                <w:sz w:val="8"/>
                <w:szCs w:val="8"/>
                <w:color w:val="auto"/>
              </w:rPr>
            </w:pPr>
          </w:p>
        </w:tc>
        <w:tc>
          <w:tcPr>
            <w:tcW w:w="1400" w:type="dxa"/>
            <w:vAlign w:val="bottom"/>
            <w:tcBorders>
              <w:bottom w:val="single" w:sz="8" w:color="83AD40"/>
            </w:tcBorders>
          </w:tcPr>
          <w:p>
            <w:pPr>
              <w:spacing w:after="0"/>
              <w:rPr>
                <w:sz w:val="8"/>
                <w:szCs w:val="8"/>
                <w:color w:val="auto"/>
              </w:rPr>
            </w:pPr>
          </w:p>
        </w:tc>
        <w:tc>
          <w:tcPr>
            <w:tcW w:w="240" w:type="dxa"/>
            <w:vAlign w:val="bottom"/>
            <w:vMerge w:val="restart"/>
          </w:tcPr>
          <w:p>
            <w:pPr>
              <w:spacing w:after="0"/>
              <w:rPr>
                <w:sz w:val="20"/>
                <w:szCs w:val="20"/>
                <w:color w:val="auto"/>
              </w:rPr>
            </w:pPr>
            <w:r>
              <w:rPr>
                <w:rFonts w:ascii="Arial" w:cs="Arial" w:eastAsia="Arial" w:hAnsi="Arial"/>
                <w:sz w:val="16"/>
                <w:szCs w:val="16"/>
                <w:color w:val="auto"/>
              </w:rPr>
              <w:t>​ ​</w:t>
            </w:r>
          </w:p>
        </w:tc>
        <w:tc>
          <w:tcPr>
            <w:tcW w:w="2120" w:type="dxa"/>
            <w:vAlign w:val="bottom"/>
            <w:tcBorders>
              <w:bottom w:val="single" w:sz="8" w:color="83AD40"/>
            </w:tcBorders>
          </w:tcPr>
          <w:p>
            <w:pPr>
              <w:spacing w:after="0"/>
              <w:rPr>
                <w:sz w:val="8"/>
                <w:szCs w:val="8"/>
                <w:color w:val="auto"/>
              </w:rPr>
            </w:pPr>
          </w:p>
        </w:tc>
        <w:tc>
          <w:tcPr>
            <w:tcW w:w="240" w:type="dxa"/>
            <w:vAlign w:val="bottom"/>
            <w:vMerge w:val="restart"/>
          </w:tcPr>
          <w:p>
            <w:pPr>
              <w:spacing w:after="0"/>
              <w:rPr>
                <w:sz w:val="20"/>
                <w:szCs w:val="20"/>
                <w:color w:val="auto"/>
              </w:rPr>
            </w:pPr>
            <w:r>
              <w:rPr>
                <w:rFonts w:ascii="Arial" w:cs="Arial" w:eastAsia="Arial" w:hAnsi="Arial"/>
                <w:sz w:val="16"/>
                <w:szCs w:val="16"/>
                <w:color w:val="auto"/>
              </w:rPr>
              <w:t>​ ​</w:t>
            </w:r>
          </w:p>
        </w:tc>
        <w:tc>
          <w:tcPr>
            <w:tcW w:w="2040" w:type="dxa"/>
            <w:vAlign w:val="bottom"/>
            <w:tcBorders>
              <w:bottom w:val="single" w:sz="8" w:color="83AD40"/>
            </w:tcBorders>
          </w:tcPr>
          <w:p>
            <w:pPr>
              <w:spacing w:after="0"/>
              <w:rPr>
                <w:sz w:val="8"/>
                <w:szCs w:val="8"/>
                <w:color w:val="auto"/>
              </w:rPr>
            </w:pPr>
          </w:p>
        </w:tc>
        <w:tc>
          <w:tcPr>
            <w:tcW w:w="4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1920" w:type="dxa"/>
            <w:vAlign w:val="bottom"/>
          </w:tcPr>
          <w:p>
            <w:pPr>
              <w:ind w:left="1240"/>
              <w:spacing w:after="0" w:line="142" w:lineRule="exact"/>
              <w:rPr>
                <w:sz w:val="20"/>
                <w:szCs w:val="20"/>
                <w:color w:val="auto"/>
              </w:rPr>
            </w:pPr>
            <w:r>
              <w:rPr>
                <w:rFonts w:ascii="Arial" w:cs="Arial" w:eastAsia="Arial" w:hAnsi="Arial"/>
                <w:sz w:val="16"/>
                <w:szCs w:val="16"/>
                <w:color w:val="auto"/>
              </w:rPr>
              <w:t>​</w:t>
            </w:r>
          </w:p>
        </w:tc>
        <w:tc>
          <w:tcPr>
            <w:tcW w:w="240" w:type="dxa"/>
            <w:vAlign w:val="bottom"/>
            <w:vMerge w:val="continue"/>
          </w:tcPr>
          <w:p>
            <w:pPr>
              <w:spacing w:after="0"/>
              <w:rPr>
                <w:sz w:val="12"/>
                <w:szCs w:val="12"/>
                <w:color w:val="auto"/>
              </w:rPr>
            </w:pPr>
          </w:p>
        </w:tc>
        <w:tc>
          <w:tcPr>
            <w:tcW w:w="1240" w:type="dxa"/>
            <w:vAlign w:val="bottom"/>
            <w:vMerge w:val="restart"/>
          </w:tcPr>
          <w:p>
            <w:pPr>
              <w:spacing w:after="0"/>
              <w:rPr>
                <w:sz w:val="20"/>
                <w:szCs w:val="20"/>
                <w:color w:val="auto"/>
              </w:rPr>
            </w:pPr>
            <w:r>
              <w:rPr>
                <w:rFonts w:ascii="Arial" w:cs="Arial" w:eastAsia="Arial" w:hAnsi="Arial"/>
                <w:sz w:val="16"/>
                <w:szCs w:val="16"/>
                <w:color w:val="auto"/>
              </w:rPr>
              <w:t>Early Adopter</w:t>
            </w:r>
          </w:p>
        </w:tc>
        <w:tc>
          <w:tcPr>
            <w:tcW w:w="1400" w:type="dxa"/>
            <w:vAlign w:val="bottom"/>
          </w:tcPr>
          <w:p>
            <w:pPr>
              <w:ind w:left="20"/>
              <w:spacing w:after="0" w:line="142" w:lineRule="exact"/>
              <w:rPr>
                <w:sz w:val="20"/>
                <w:szCs w:val="20"/>
                <w:color w:val="auto"/>
              </w:rPr>
            </w:pPr>
            <w:r>
              <w:rPr>
                <w:rFonts w:ascii="Arial" w:cs="Arial" w:eastAsia="Arial" w:hAnsi="Arial"/>
                <w:sz w:val="16"/>
                <w:szCs w:val="16"/>
                <w:color w:val="auto"/>
              </w:rPr>
              <w:t>​</w:t>
            </w:r>
          </w:p>
        </w:tc>
        <w:tc>
          <w:tcPr>
            <w:tcW w:w="240" w:type="dxa"/>
            <w:vAlign w:val="bottom"/>
            <w:vMerge w:val="continue"/>
          </w:tcPr>
          <w:p>
            <w:pPr>
              <w:spacing w:after="0"/>
              <w:rPr>
                <w:sz w:val="12"/>
                <w:szCs w:val="12"/>
                <w:color w:val="auto"/>
              </w:rPr>
            </w:pPr>
          </w:p>
        </w:tc>
        <w:tc>
          <w:tcPr>
            <w:tcW w:w="2120" w:type="dxa"/>
            <w:vAlign w:val="bottom"/>
          </w:tcPr>
          <w:p>
            <w:pPr>
              <w:ind w:left="1260"/>
              <w:spacing w:after="0" w:line="142" w:lineRule="exact"/>
              <w:rPr>
                <w:sz w:val="20"/>
                <w:szCs w:val="20"/>
                <w:color w:val="auto"/>
              </w:rPr>
            </w:pPr>
            <w:r>
              <w:rPr>
                <w:rFonts w:ascii="Arial" w:cs="Arial" w:eastAsia="Arial" w:hAnsi="Arial"/>
                <w:sz w:val="16"/>
                <w:szCs w:val="16"/>
                <w:color w:val="auto"/>
              </w:rPr>
              <w:t>​ ​</w:t>
            </w:r>
          </w:p>
        </w:tc>
        <w:tc>
          <w:tcPr>
            <w:tcW w:w="240" w:type="dxa"/>
            <w:vAlign w:val="bottom"/>
            <w:vMerge w:val="continue"/>
          </w:tcPr>
          <w:p>
            <w:pPr>
              <w:spacing w:after="0"/>
              <w:rPr>
                <w:sz w:val="12"/>
                <w:szCs w:val="12"/>
                <w:color w:val="auto"/>
              </w:rPr>
            </w:pPr>
          </w:p>
        </w:tc>
        <w:tc>
          <w:tcPr>
            <w:tcW w:w="2040" w:type="dxa"/>
            <w:vAlign w:val="bottom"/>
          </w:tcPr>
          <w:p>
            <w:pPr>
              <w:ind w:left="1260"/>
              <w:spacing w:after="0" w:line="142" w:lineRule="exact"/>
              <w:rPr>
                <w:sz w:val="20"/>
                <w:szCs w:val="20"/>
                <w:color w:val="auto"/>
              </w:rPr>
            </w:pPr>
            <w:r>
              <w:rPr>
                <w:rFonts w:ascii="Arial" w:cs="Arial" w:eastAsia="Arial" w:hAnsi="Arial"/>
                <w:sz w:val="16"/>
                <w:szCs w:val="16"/>
                <w:color w:val="auto"/>
              </w:rPr>
              <w:t>​</w:t>
            </w: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1920" w:type="dxa"/>
            <w:vAlign w:val="bottom"/>
          </w:tcPr>
          <w:p>
            <w:pPr>
              <w:spacing w:after="0" w:line="175" w:lineRule="exact"/>
              <w:rPr>
                <w:sz w:val="20"/>
                <w:szCs w:val="20"/>
                <w:color w:val="auto"/>
              </w:rPr>
            </w:pPr>
            <w:r>
              <w:rPr>
                <w:rFonts w:ascii="Arial" w:cs="Arial" w:eastAsia="Arial" w:hAnsi="Arial"/>
                <w:sz w:val="16"/>
                <w:szCs w:val="16"/>
                <w:color w:val="auto"/>
              </w:rPr>
              <w:t>GRESB Sector</w:t>
            </w:r>
          </w:p>
        </w:tc>
        <w:tc>
          <w:tcPr>
            <w:tcW w:w="24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tcPr>
          <w:p>
            <w:pPr>
              <w:spacing w:after="0" w:line="175" w:lineRule="exact"/>
              <w:rPr>
                <w:sz w:val="20"/>
                <w:szCs w:val="20"/>
                <w:color w:val="auto"/>
              </w:rPr>
            </w:pPr>
            <w:r>
              <w:rPr>
                <w:rFonts w:ascii="Arial" w:cs="Arial" w:eastAsia="Arial" w:hAnsi="Arial"/>
                <w:sz w:val="16"/>
                <w:szCs w:val="16"/>
                <w:color w:val="auto"/>
              </w:rPr>
              <w:t>22 Buildings</w:t>
            </w:r>
          </w:p>
        </w:tc>
        <w:tc>
          <w:tcPr>
            <w:tcW w:w="240" w:type="dxa"/>
            <w:vAlign w:val="bottom"/>
          </w:tcPr>
          <w:p>
            <w:pPr>
              <w:spacing w:after="0"/>
              <w:rPr>
                <w:sz w:val="15"/>
                <w:szCs w:val="15"/>
                <w:color w:val="auto"/>
              </w:rPr>
            </w:pPr>
          </w:p>
        </w:tc>
        <w:tc>
          <w:tcPr>
            <w:tcW w:w="2040" w:type="dxa"/>
            <w:vAlign w:val="bottom"/>
          </w:tcPr>
          <w:p>
            <w:pPr>
              <w:spacing w:after="0" w:line="175" w:lineRule="exact"/>
              <w:rPr>
                <w:sz w:val="20"/>
                <w:szCs w:val="20"/>
                <w:color w:val="auto"/>
              </w:rPr>
            </w:pPr>
            <w:r>
              <w:rPr>
                <w:rFonts w:ascii="Arial" w:cs="Arial" w:eastAsia="Arial" w:hAnsi="Arial"/>
                <w:sz w:val="16"/>
                <w:szCs w:val="16"/>
                <w:color w:val="auto"/>
              </w:rPr>
              <w:t>Green Lease</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20" w:type="dxa"/>
            <w:vAlign w:val="bottom"/>
          </w:tcPr>
          <w:p>
            <w:pPr>
              <w:spacing w:after="0"/>
              <w:rPr>
                <w:sz w:val="16"/>
                <w:szCs w:val="16"/>
                <w:color w:val="auto"/>
              </w:rPr>
            </w:pPr>
          </w:p>
        </w:tc>
        <w:tc>
          <w:tcPr>
            <w:tcW w:w="1920" w:type="dxa"/>
            <w:vAlign w:val="bottom"/>
          </w:tcPr>
          <w:p>
            <w:pPr>
              <w:spacing w:after="0"/>
              <w:rPr>
                <w:sz w:val="20"/>
                <w:szCs w:val="20"/>
                <w:color w:val="auto"/>
              </w:rPr>
            </w:pPr>
            <w:r>
              <w:rPr>
                <w:rFonts w:ascii="Arial" w:cs="Arial" w:eastAsia="Arial" w:hAnsi="Arial"/>
                <w:sz w:val="16"/>
                <w:szCs w:val="16"/>
                <w:color w:val="auto"/>
              </w:rPr>
              <w:t>Leader</w:t>
            </w:r>
          </w:p>
        </w:tc>
        <w:tc>
          <w:tcPr>
            <w:tcW w:w="240" w:type="dxa"/>
            <w:vAlign w:val="bottom"/>
          </w:tcPr>
          <w:p>
            <w:pPr>
              <w:spacing w:after="0"/>
              <w:rPr>
                <w:sz w:val="16"/>
                <w:szCs w:val="16"/>
                <w:color w:val="auto"/>
              </w:rPr>
            </w:pPr>
          </w:p>
        </w:tc>
        <w:tc>
          <w:tcPr>
            <w:tcW w:w="1240" w:type="dxa"/>
            <w:vAlign w:val="bottom"/>
          </w:tcPr>
          <w:p>
            <w:pPr>
              <w:spacing w:after="0"/>
              <w:rPr>
                <w:sz w:val="20"/>
                <w:szCs w:val="20"/>
                <w:color w:val="auto"/>
              </w:rPr>
            </w:pPr>
            <w:r>
              <w:rPr>
                <w:rFonts w:ascii="Arial" w:cs="Arial" w:eastAsia="Arial" w:hAnsi="Arial"/>
                <w:sz w:val="16"/>
                <w:szCs w:val="16"/>
                <w:color w:val="auto"/>
              </w:rPr>
              <w:t>for TCFD</w:t>
            </w: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tcPr>
          <w:p>
            <w:pPr>
              <w:spacing w:after="0"/>
              <w:rPr>
                <w:sz w:val="20"/>
                <w:szCs w:val="20"/>
                <w:color w:val="auto"/>
              </w:rPr>
            </w:pPr>
            <w:r>
              <w:rPr>
                <w:rFonts w:ascii="Arial" w:cs="Arial" w:eastAsia="Arial" w:hAnsi="Arial"/>
                <w:sz w:val="16"/>
                <w:szCs w:val="16"/>
                <w:color w:val="auto"/>
              </w:rPr>
              <w:t>Certified —</w:t>
            </w:r>
          </w:p>
        </w:tc>
        <w:tc>
          <w:tcPr>
            <w:tcW w:w="240" w:type="dxa"/>
            <w:vAlign w:val="bottom"/>
          </w:tcPr>
          <w:p>
            <w:pPr>
              <w:spacing w:after="0"/>
              <w:rPr>
                <w:sz w:val="16"/>
                <w:szCs w:val="16"/>
                <w:color w:val="auto"/>
              </w:rPr>
            </w:pPr>
          </w:p>
        </w:tc>
        <w:tc>
          <w:tcPr>
            <w:tcW w:w="2040" w:type="dxa"/>
            <w:vAlign w:val="bottom"/>
          </w:tcPr>
          <w:p>
            <w:pPr>
              <w:spacing w:after="0"/>
              <w:rPr>
                <w:sz w:val="20"/>
                <w:szCs w:val="20"/>
                <w:color w:val="auto"/>
              </w:rPr>
            </w:pPr>
            <w:r>
              <w:rPr>
                <w:rFonts w:ascii="Arial" w:cs="Arial" w:eastAsia="Arial" w:hAnsi="Arial"/>
                <w:sz w:val="16"/>
                <w:szCs w:val="16"/>
                <w:color w:val="auto"/>
              </w:rPr>
              <w:t>Leader Platinum</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20"/>
                <w:szCs w:val="20"/>
                <w:color w:val="auto"/>
              </w:rPr>
            </w:pPr>
            <w:r>
              <w:rPr>
                <w:rFonts w:ascii="Arial" w:cs="Arial" w:eastAsia="Arial" w:hAnsi="Arial"/>
                <w:sz w:val="16"/>
                <w:szCs w:val="16"/>
                <w:color w:val="auto"/>
              </w:rPr>
              <w:t>Global Risk</w:t>
            </w: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tcPr>
          <w:p>
            <w:pPr>
              <w:spacing w:after="0"/>
              <w:rPr>
                <w:sz w:val="20"/>
                <w:szCs w:val="20"/>
                <w:color w:val="auto"/>
              </w:rPr>
            </w:pPr>
            <w:r>
              <w:rPr>
                <w:rFonts w:ascii="Arial" w:cs="Arial" w:eastAsia="Arial" w:hAnsi="Arial"/>
                <w:sz w:val="16"/>
                <w:szCs w:val="16"/>
                <w:color w:val="auto"/>
              </w:rPr>
              <w:t>20M SF</w:t>
            </w:r>
          </w:p>
        </w:tc>
        <w:tc>
          <w:tcPr>
            <w:tcW w:w="240" w:type="dxa"/>
            <w:vAlign w:val="bottom"/>
          </w:tcPr>
          <w:p>
            <w:pPr>
              <w:spacing w:after="0"/>
              <w:rPr>
                <w:sz w:val="16"/>
                <w:szCs w:val="16"/>
                <w:color w:val="auto"/>
              </w:rPr>
            </w:pPr>
          </w:p>
        </w:tc>
        <w:tc>
          <w:tcPr>
            <w:tcW w:w="2040" w:type="dxa"/>
            <w:vAlign w:val="bottom"/>
          </w:tcPr>
          <w:p>
            <w:pPr>
              <w:spacing w:after="0"/>
              <w:rPr>
                <w:sz w:val="20"/>
                <w:szCs w:val="20"/>
                <w:color w:val="auto"/>
              </w:rPr>
            </w:pPr>
            <w:r>
              <w:rPr>
                <w:rFonts w:ascii="Arial" w:cs="Arial" w:eastAsia="Arial" w:hAnsi="Arial"/>
                <w:sz w:val="16"/>
                <w:szCs w:val="16"/>
                <w:color w:val="auto"/>
              </w:rPr>
              <w:t>2023-2026</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6"/>
                <w:szCs w:val="16"/>
                <w:color w:val="auto"/>
              </w:rPr>
              <w:t>Disclosure</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820" w:type="dxa"/>
            <w:vAlign w:val="bottom"/>
          </w:tcPr>
          <w:p>
            <w:pPr>
              <w:spacing w:after="0"/>
              <w:rPr>
                <w:sz w:val="8"/>
                <w:szCs w:val="8"/>
                <w:color w:val="auto"/>
              </w:rPr>
            </w:pPr>
          </w:p>
        </w:tc>
        <w:tc>
          <w:tcPr>
            <w:tcW w:w="1920" w:type="dxa"/>
            <w:vAlign w:val="bottom"/>
            <w:tcBorders>
              <w:bottom w:val="single" w:sz="8" w:color="83AD40"/>
            </w:tcBorders>
          </w:tcPr>
          <w:p>
            <w:pPr>
              <w:spacing w:after="0"/>
              <w:rPr>
                <w:sz w:val="8"/>
                <w:szCs w:val="8"/>
                <w:color w:val="auto"/>
              </w:rPr>
            </w:pPr>
          </w:p>
        </w:tc>
        <w:tc>
          <w:tcPr>
            <w:tcW w:w="240" w:type="dxa"/>
            <w:vAlign w:val="bottom"/>
            <w:vMerge w:val="restart"/>
          </w:tcPr>
          <w:p>
            <w:pPr>
              <w:spacing w:after="0"/>
              <w:rPr>
                <w:sz w:val="20"/>
                <w:szCs w:val="20"/>
                <w:color w:val="auto"/>
              </w:rPr>
            </w:pPr>
            <w:r>
              <w:rPr>
                <w:rFonts w:ascii="Arial" w:cs="Arial" w:eastAsia="Arial" w:hAnsi="Arial"/>
                <w:sz w:val="16"/>
                <w:szCs w:val="16"/>
                <w:color w:val="auto"/>
              </w:rPr>
              <w:t>​ ​</w:t>
            </w:r>
          </w:p>
        </w:tc>
        <w:tc>
          <w:tcPr>
            <w:tcW w:w="1240" w:type="dxa"/>
            <w:vAlign w:val="bottom"/>
            <w:tcBorders>
              <w:bottom w:val="single" w:sz="8" w:color="83AD40"/>
            </w:tcBorders>
          </w:tcPr>
          <w:p>
            <w:pPr>
              <w:spacing w:after="0"/>
              <w:rPr>
                <w:sz w:val="8"/>
                <w:szCs w:val="8"/>
                <w:color w:val="auto"/>
              </w:rPr>
            </w:pPr>
          </w:p>
        </w:tc>
        <w:tc>
          <w:tcPr>
            <w:tcW w:w="1400" w:type="dxa"/>
            <w:vAlign w:val="bottom"/>
            <w:tcBorders>
              <w:bottom w:val="single" w:sz="8" w:color="83AD40"/>
            </w:tcBorders>
          </w:tcPr>
          <w:p>
            <w:pPr>
              <w:spacing w:after="0"/>
              <w:rPr>
                <w:sz w:val="8"/>
                <w:szCs w:val="8"/>
                <w:color w:val="auto"/>
              </w:rPr>
            </w:pPr>
          </w:p>
        </w:tc>
        <w:tc>
          <w:tcPr>
            <w:tcW w:w="240" w:type="dxa"/>
            <w:vAlign w:val="bottom"/>
            <w:vMerge w:val="restart"/>
          </w:tcPr>
          <w:p>
            <w:pPr>
              <w:spacing w:after="0"/>
              <w:rPr>
                <w:sz w:val="20"/>
                <w:szCs w:val="20"/>
                <w:color w:val="auto"/>
              </w:rPr>
            </w:pPr>
            <w:r>
              <w:rPr>
                <w:rFonts w:ascii="Arial" w:cs="Arial" w:eastAsia="Arial" w:hAnsi="Arial"/>
                <w:sz w:val="16"/>
                <w:szCs w:val="16"/>
                <w:color w:val="auto"/>
              </w:rPr>
              <w:t>​ ​</w:t>
            </w:r>
          </w:p>
        </w:tc>
        <w:tc>
          <w:tcPr>
            <w:tcW w:w="2120" w:type="dxa"/>
            <w:vAlign w:val="bottom"/>
            <w:tcBorders>
              <w:bottom w:val="single" w:sz="8" w:color="83AD40"/>
            </w:tcBorders>
          </w:tcPr>
          <w:p>
            <w:pPr>
              <w:spacing w:after="0"/>
              <w:rPr>
                <w:sz w:val="8"/>
                <w:szCs w:val="8"/>
                <w:color w:val="auto"/>
              </w:rPr>
            </w:pPr>
          </w:p>
        </w:tc>
        <w:tc>
          <w:tcPr>
            <w:tcW w:w="240" w:type="dxa"/>
            <w:vAlign w:val="bottom"/>
            <w:vMerge w:val="restart"/>
          </w:tcPr>
          <w:p>
            <w:pPr>
              <w:spacing w:after="0"/>
              <w:rPr>
                <w:sz w:val="20"/>
                <w:szCs w:val="20"/>
                <w:color w:val="auto"/>
              </w:rPr>
            </w:pPr>
            <w:r>
              <w:rPr>
                <w:rFonts w:ascii="Arial" w:cs="Arial" w:eastAsia="Arial" w:hAnsi="Arial"/>
                <w:sz w:val="16"/>
                <w:szCs w:val="16"/>
                <w:color w:val="auto"/>
              </w:rPr>
              <w:t>​ ​</w:t>
            </w:r>
          </w:p>
        </w:tc>
        <w:tc>
          <w:tcPr>
            <w:tcW w:w="2040" w:type="dxa"/>
            <w:vAlign w:val="bottom"/>
            <w:tcBorders>
              <w:bottom w:val="single" w:sz="8" w:color="83AD40"/>
            </w:tcBorders>
          </w:tcPr>
          <w:p>
            <w:pPr>
              <w:spacing w:after="0"/>
              <w:rPr>
                <w:sz w:val="8"/>
                <w:szCs w:val="8"/>
                <w:color w:val="auto"/>
              </w:rPr>
            </w:pPr>
          </w:p>
        </w:tc>
        <w:tc>
          <w:tcPr>
            <w:tcW w:w="4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1920" w:type="dxa"/>
            <w:vAlign w:val="bottom"/>
          </w:tcPr>
          <w:p>
            <w:pPr>
              <w:ind w:left="1240"/>
              <w:spacing w:after="0" w:line="142" w:lineRule="exact"/>
              <w:rPr>
                <w:sz w:val="20"/>
                <w:szCs w:val="20"/>
                <w:color w:val="auto"/>
              </w:rPr>
            </w:pPr>
            <w:r>
              <w:rPr>
                <w:rFonts w:ascii="Arial" w:cs="Arial" w:eastAsia="Arial" w:hAnsi="Arial"/>
                <w:sz w:val="16"/>
                <w:szCs w:val="16"/>
                <w:color w:val="auto"/>
              </w:rPr>
              <w:t>​</w:t>
            </w:r>
          </w:p>
        </w:tc>
        <w:tc>
          <w:tcPr>
            <w:tcW w:w="240" w:type="dxa"/>
            <w:vAlign w:val="bottom"/>
            <w:vMerge w:val="continue"/>
          </w:tcPr>
          <w:p>
            <w:pPr>
              <w:spacing w:after="0"/>
              <w:rPr>
                <w:sz w:val="12"/>
                <w:szCs w:val="12"/>
                <w:color w:val="auto"/>
              </w:rPr>
            </w:pPr>
          </w:p>
        </w:tc>
        <w:tc>
          <w:tcPr>
            <w:tcW w:w="1240" w:type="dxa"/>
            <w:vAlign w:val="bottom"/>
            <w:vMerge w:val="restart"/>
          </w:tcPr>
          <w:p>
            <w:pPr>
              <w:spacing w:after="0"/>
              <w:rPr>
                <w:sz w:val="20"/>
                <w:szCs w:val="20"/>
                <w:color w:val="auto"/>
              </w:rPr>
            </w:pPr>
            <w:r>
              <w:rPr>
                <w:rFonts w:ascii="Arial" w:cs="Arial" w:eastAsia="Arial" w:hAnsi="Arial"/>
                <w:sz w:val="16"/>
                <w:szCs w:val="16"/>
                <w:color w:val="auto"/>
                <w:w w:val="98"/>
              </w:rPr>
              <w:t>Net Zero by 2050</w:t>
            </w:r>
          </w:p>
        </w:tc>
        <w:tc>
          <w:tcPr>
            <w:tcW w:w="1400" w:type="dxa"/>
            <w:vAlign w:val="bottom"/>
          </w:tcPr>
          <w:p>
            <w:pPr>
              <w:ind w:left="20"/>
              <w:spacing w:after="0" w:line="142" w:lineRule="exact"/>
              <w:rPr>
                <w:sz w:val="20"/>
                <w:szCs w:val="20"/>
                <w:color w:val="auto"/>
              </w:rPr>
            </w:pPr>
            <w:r>
              <w:rPr>
                <w:rFonts w:ascii="Arial" w:cs="Arial" w:eastAsia="Arial" w:hAnsi="Arial"/>
                <w:sz w:val="16"/>
                <w:szCs w:val="16"/>
                <w:color w:val="auto"/>
              </w:rPr>
              <w:t>​</w:t>
            </w:r>
          </w:p>
        </w:tc>
        <w:tc>
          <w:tcPr>
            <w:tcW w:w="240" w:type="dxa"/>
            <w:vAlign w:val="bottom"/>
            <w:vMerge w:val="continue"/>
          </w:tcPr>
          <w:p>
            <w:pPr>
              <w:spacing w:after="0"/>
              <w:rPr>
                <w:sz w:val="12"/>
                <w:szCs w:val="12"/>
                <w:color w:val="auto"/>
              </w:rPr>
            </w:pPr>
          </w:p>
        </w:tc>
        <w:tc>
          <w:tcPr>
            <w:tcW w:w="2120" w:type="dxa"/>
            <w:vAlign w:val="bottom"/>
          </w:tcPr>
          <w:p>
            <w:pPr>
              <w:ind w:left="1260"/>
              <w:spacing w:after="0" w:line="142" w:lineRule="exact"/>
              <w:rPr>
                <w:sz w:val="20"/>
                <w:szCs w:val="20"/>
                <w:color w:val="auto"/>
              </w:rPr>
            </w:pPr>
            <w:r>
              <w:rPr>
                <w:rFonts w:ascii="Arial" w:cs="Arial" w:eastAsia="Arial" w:hAnsi="Arial"/>
                <w:sz w:val="16"/>
                <w:szCs w:val="16"/>
                <w:color w:val="auto"/>
              </w:rPr>
              <w:t>​ ​</w:t>
            </w:r>
          </w:p>
        </w:tc>
        <w:tc>
          <w:tcPr>
            <w:tcW w:w="240" w:type="dxa"/>
            <w:vAlign w:val="bottom"/>
            <w:vMerge w:val="continue"/>
          </w:tcPr>
          <w:p>
            <w:pPr>
              <w:spacing w:after="0"/>
              <w:rPr>
                <w:sz w:val="12"/>
                <w:szCs w:val="12"/>
                <w:color w:val="auto"/>
              </w:rPr>
            </w:pPr>
          </w:p>
        </w:tc>
        <w:tc>
          <w:tcPr>
            <w:tcW w:w="2040" w:type="dxa"/>
            <w:vAlign w:val="bottom"/>
          </w:tcPr>
          <w:p>
            <w:pPr>
              <w:ind w:left="1260"/>
              <w:spacing w:after="0" w:line="142" w:lineRule="exact"/>
              <w:rPr>
                <w:sz w:val="20"/>
                <w:szCs w:val="20"/>
                <w:color w:val="auto"/>
              </w:rPr>
            </w:pPr>
            <w:r>
              <w:rPr>
                <w:rFonts w:ascii="Arial" w:cs="Arial" w:eastAsia="Arial" w:hAnsi="Arial"/>
                <w:sz w:val="16"/>
                <w:szCs w:val="16"/>
                <w:color w:val="auto"/>
              </w:rPr>
              <w:t>​</w:t>
            </w: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1920" w:type="dxa"/>
            <w:vAlign w:val="bottom"/>
          </w:tcPr>
          <w:p>
            <w:pPr>
              <w:spacing w:after="0" w:line="175" w:lineRule="exact"/>
              <w:rPr>
                <w:sz w:val="20"/>
                <w:szCs w:val="20"/>
                <w:color w:val="auto"/>
              </w:rPr>
            </w:pPr>
            <w:r>
              <w:rPr>
                <w:rFonts w:ascii="Arial" w:cs="Arial" w:eastAsia="Arial" w:hAnsi="Arial"/>
                <w:sz w:val="16"/>
                <w:szCs w:val="16"/>
                <w:color w:val="auto"/>
              </w:rPr>
              <w:t>95</w:t>
            </w:r>
            <w:r>
              <w:rPr>
                <w:rFonts w:ascii="Arial" w:cs="Arial" w:eastAsia="Arial" w:hAnsi="Arial"/>
                <w:sz w:val="19"/>
                <w:szCs w:val="19"/>
                <w:color w:val="auto"/>
                <w:vertAlign w:val="superscript"/>
              </w:rPr>
              <w:t>th</w:t>
            </w:r>
            <w:r>
              <w:rPr>
                <w:rFonts w:ascii="Arial" w:cs="Arial" w:eastAsia="Arial" w:hAnsi="Arial"/>
                <w:sz w:val="16"/>
                <w:szCs w:val="16"/>
                <w:color w:val="auto"/>
              </w:rPr>
              <w:t xml:space="preserve"> Percentile</w:t>
            </w:r>
          </w:p>
        </w:tc>
        <w:tc>
          <w:tcPr>
            <w:tcW w:w="24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tcPr>
          <w:p>
            <w:pPr>
              <w:spacing w:after="0" w:line="175" w:lineRule="exact"/>
              <w:rPr>
                <w:sz w:val="20"/>
                <w:szCs w:val="20"/>
                <w:color w:val="auto"/>
              </w:rPr>
            </w:pPr>
            <w:r>
              <w:rPr>
                <w:rFonts w:ascii="Arial" w:cs="Arial" w:eastAsia="Arial" w:hAnsi="Arial"/>
                <w:sz w:val="16"/>
                <w:szCs w:val="16"/>
                <w:color w:val="auto"/>
              </w:rPr>
              <w:t>27 Buildings</w:t>
            </w:r>
          </w:p>
        </w:tc>
        <w:tc>
          <w:tcPr>
            <w:tcW w:w="240" w:type="dxa"/>
            <w:vAlign w:val="bottom"/>
          </w:tcPr>
          <w:p>
            <w:pPr>
              <w:spacing w:after="0"/>
              <w:rPr>
                <w:sz w:val="15"/>
                <w:szCs w:val="15"/>
                <w:color w:val="auto"/>
              </w:rPr>
            </w:pPr>
          </w:p>
        </w:tc>
        <w:tc>
          <w:tcPr>
            <w:tcW w:w="2040" w:type="dxa"/>
            <w:vAlign w:val="bottom"/>
          </w:tcPr>
          <w:p>
            <w:pPr>
              <w:spacing w:after="0" w:line="175" w:lineRule="exact"/>
              <w:rPr>
                <w:sz w:val="20"/>
                <w:szCs w:val="20"/>
                <w:color w:val="auto"/>
              </w:rPr>
            </w:pPr>
            <w:r>
              <w:rPr>
                <w:rFonts w:ascii="Arial" w:cs="Arial" w:eastAsia="Arial" w:hAnsi="Arial"/>
                <w:sz w:val="16"/>
                <w:szCs w:val="16"/>
                <w:color w:val="auto"/>
              </w:rPr>
              <w:t>S&amp;P Global</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20" w:type="dxa"/>
            <w:vAlign w:val="bottom"/>
          </w:tcPr>
          <w:p>
            <w:pPr>
              <w:spacing w:after="0"/>
              <w:rPr>
                <w:sz w:val="16"/>
                <w:szCs w:val="16"/>
                <w:color w:val="auto"/>
              </w:rPr>
            </w:pPr>
          </w:p>
        </w:tc>
        <w:tc>
          <w:tcPr>
            <w:tcW w:w="1920" w:type="dxa"/>
            <w:vAlign w:val="bottom"/>
          </w:tcPr>
          <w:p>
            <w:pPr>
              <w:spacing w:after="0"/>
              <w:rPr>
                <w:sz w:val="20"/>
                <w:szCs w:val="20"/>
                <w:color w:val="auto"/>
              </w:rPr>
            </w:pPr>
            <w:r>
              <w:rPr>
                <w:rFonts w:ascii="Arial" w:cs="Arial" w:eastAsia="Arial" w:hAnsi="Arial"/>
                <w:sz w:val="16"/>
                <w:szCs w:val="16"/>
                <w:color w:val="auto"/>
              </w:rPr>
              <w:t>Ranking of</w:t>
            </w:r>
          </w:p>
        </w:tc>
        <w:tc>
          <w:tcPr>
            <w:tcW w:w="240" w:type="dxa"/>
            <w:vAlign w:val="bottom"/>
          </w:tcPr>
          <w:p>
            <w:pPr>
              <w:spacing w:after="0"/>
              <w:rPr>
                <w:sz w:val="16"/>
                <w:szCs w:val="16"/>
                <w:color w:val="auto"/>
              </w:rPr>
            </w:pPr>
          </w:p>
        </w:tc>
        <w:tc>
          <w:tcPr>
            <w:tcW w:w="1240" w:type="dxa"/>
            <w:vAlign w:val="bottom"/>
          </w:tcPr>
          <w:p>
            <w:pPr>
              <w:spacing w:after="0"/>
              <w:rPr>
                <w:sz w:val="20"/>
                <w:szCs w:val="20"/>
                <w:color w:val="auto"/>
              </w:rPr>
            </w:pPr>
            <w:r>
              <w:rPr>
                <w:rFonts w:ascii="Arial" w:cs="Arial" w:eastAsia="Arial" w:hAnsi="Arial"/>
                <w:sz w:val="16"/>
                <w:szCs w:val="16"/>
                <w:color w:val="auto"/>
              </w:rPr>
              <w:t>Goal − Aligned</w:t>
            </w: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tcPr>
          <w:p>
            <w:pPr>
              <w:spacing w:after="0"/>
              <w:rPr>
                <w:sz w:val="20"/>
                <w:szCs w:val="20"/>
                <w:color w:val="auto"/>
              </w:rPr>
            </w:pPr>
            <w:r>
              <w:rPr>
                <w:rFonts w:ascii="Arial" w:cs="Arial" w:eastAsia="Arial" w:hAnsi="Arial"/>
                <w:sz w:val="16"/>
                <w:szCs w:val="16"/>
                <w:color w:val="auto"/>
              </w:rPr>
              <w:t>Certified —</w:t>
            </w:r>
          </w:p>
        </w:tc>
        <w:tc>
          <w:tcPr>
            <w:tcW w:w="240" w:type="dxa"/>
            <w:vAlign w:val="bottom"/>
          </w:tcPr>
          <w:p>
            <w:pPr>
              <w:spacing w:after="0"/>
              <w:rPr>
                <w:sz w:val="16"/>
                <w:szCs w:val="16"/>
                <w:color w:val="auto"/>
              </w:rPr>
            </w:pPr>
          </w:p>
        </w:tc>
        <w:tc>
          <w:tcPr>
            <w:tcW w:w="2040" w:type="dxa"/>
            <w:vAlign w:val="bottom"/>
          </w:tcPr>
          <w:p>
            <w:pPr>
              <w:spacing w:after="0"/>
              <w:rPr>
                <w:sz w:val="20"/>
                <w:szCs w:val="20"/>
                <w:color w:val="auto"/>
              </w:rPr>
            </w:pPr>
            <w:r>
              <w:rPr>
                <w:rFonts w:ascii="Arial" w:cs="Arial" w:eastAsia="Arial" w:hAnsi="Arial"/>
                <w:sz w:val="16"/>
                <w:szCs w:val="16"/>
                <w:color w:val="auto"/>
              </w:rPr>
              <w:t>Sustainability</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0" w:type="dxa"/>
            <w:vAlign w:val="bottom"/>
          </w:tcPr>
          <w:p>
            <w:pPr>
              <w:spacing w:after="0"/>
              <w:rPr>
                <w:sz w:val="16"/>
                <w:szCs w:val="16"/>
                <w:color w:val="auto"/>
              </w:rPr>
            </w:pPr>
          </w:p>
        </w:tc>
        <w:tc>
          <w:tcPr>
            <w:tcW w:w="1920" w:type="dxa"/>
            <w:vAlign w:val="bottom"/>
          </w:tcPr>
          <w:p>
            <w:pPr>
              <w:spacing w:after="0"/>
              <w:rPr>
                <w:sz w:val="20"/>
                <w:szCs w:val="20"/>
                <w:color w:val="auto"/>
              </w:rPr>
            </w:pPr>
            <w:r>
              <w:rPr>
                <w:rFonts w:ascii="Arial" w:cs="Arial" w:eastAsia="Arial" w:hAnsi="Arial"/>
                <w:sz w:val="16"/>
                <w:szCs w:val="16"/>
                <w:color w:val="auto"/>
              </w:rPr>
              <w:t>Global Peer Set</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tcPr>
          <w:p>
            <w:pPr>
              <w:spacing w:after="0"/>
              <w:rPr>
                <w:sz w:val="20"/>
                <w:szCs w:val="20"/>
                <w:color w:val="auto"/>
              </w:rPr>
            </w:pPr>
            <w:r>
              <w:rPr>
                <w:rFonts w:ascii="Arial" w:cs="Arial" w:eastAsia="Arial" w:hAnsi="Arial"/>
                <w:sz w:val="16"/>
                <w:szCs w:val="16"/>
                <w:color w:val="auto"/>
              </w:rPr>
              <w:t>23M SF</w:t>
            </w:r>
          </w:p>
        </w:tc>
        <w:tc>
          <w:tcPr>
            <w:tcW w:w="240" w:type="dxa"/>
            <w:vAlign w:val="bottom"/>
          </w:tcPr>
          <w:p>
            <w:pPr>
              <w:spacing w:after="0"/>
              <w:rPr>
                <w:sz w:val="16"/>
                <w:szCs w:val="16"/>
                <w:color w:val="auto"/>
              </w:rPr>
            </w:pPr>
          </w:p>
        </w:tc>
        <w:tc>
          <w:tcPr>
            <w:tcW w:w="2040" w:type="dxa"/>
            <w:vAlign w:val="bottom"/>
          </w:tcPr>
          <w:p>
            <w:pPr>
              <w:spacing w:after="0"/>
              <w:rPr>
                <w:sz w:val="20"/>
                <w:szCs w:val="20"/>
                <w:color w:val="auto"/>
              </w:rPr>
            </w:pPr>
            <w:r>
              <w:rPr>
                <w:rFonts w:ascii="Arial" w:cs="Arial" w:eastAsia="Arial" w:hAnsi="Arial"/>
                <w:sz w:val="16"/>
                <w:szCs w:val="16"/>
                <w:color w:val="auto"/>
              </w:rPr>
              <w:t>Yearbook</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tcPr>
          <w:p>
            <w:pPr>
              <w:spacing w:after="0"/>
              <w:rPr>
                <w:sz w:val="20"/>
                <w:szCs w:val="20"/>
                <w:color w:val="auto"/>
              </w:rPr>
            </w:pPr>
            <w:r>
              <w:rPr>
                <w:rFonts w:ascii="Arial" w:cs="Arial" w:eastAsia="Arial" w:hAnsi="Arial"/>
                <w:sz w:val="16"/>
                <w:szCs w:val="16"/>
                <w:color w:val="auto"/>
              </w:rPr>
              <w:t>Member</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6"/>
                <w:szCs w:val="16"/>
                <w:color w:val="auto"/>
              </w:rPr>
              <w:t>2022-2024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820" w:type="dxa"/>
            <w:vAlign w:val="bottom"/>
          </w:tcPr>
          <w:p>
            <w:pPr>
              <w:spacing w:after="0"/>
              <w:rPr>
                <w:sz w:val="8"/>
                <w:szCs w:val="8"/>
                <w:color w:val="auto"/>
              </w:rPr>
            </w:pPr>
          </w:p>
        </w:tc>
        <w:tc>
          <w:tcPr>
            <w:tcW w:w="1920" w:type="dxa"/>
            <w:vAlign w:val="bottom"/>
            <w:tcBorders>
              <w:bottom w:val="single" w:sz="8" w:color="83AD40"/>
            </w:tcBorders>
          </w:tcPr>
          <w:p>
            <w:pPr>
              <w:spacing w:after="0"/>
              <w:rPr>
                <w:sz w:val="8"/>
                <w:szCs w:val="8"/>
                <w:color w:val="auto"/>
              </w:rPr>
            </w:pPr>
          </w:p>
        </w:tc>
        <w:tc>
          <w:tcPr>
            <w:tcW w:w="240" w:type="dxa"/>
            <w:vAlign w:val="bottom"/>
            <w:vMerge w:val="restart"/>
          </w:tcPr>
          <w:p>
            <w:pPr>
              <w:spacing w:after="0"/>
              <w:rPr>
                <w:sz w:val="20"/>
                <w:szCs w:val="20"/>
                <w:color w:val="auto"/>
              </w:rPr>
            </w:pPr>
            <w:r>
              <w:rPr>
                <w:rFonts w:ascii="Arial" w:cs="Arial" w:eastAsia="Arial" w:hAnsi="Arial"/>
                <w:sz w:val="16"/>
                <w:szCs w:val="16"/>
                <w:color w:val="auto"/>
              </w:rPr>
              <w:t>​ ​</w:t>
            </w:r>
          </w:p>
        </w:tc>
        <w:tc>
          <w:tcPr>
            <w:tcW w:w="1240" w:type="dxa"/>
            <w:vAlign w:val="bottom"/>
            <w:tcBorders>
              <w:bottom w:val="single" w:sz="8" w:color="83AD40"/>
            </w:tcBorders>
          </w:tcPr>
          <w:p>
            <w:pPr>
              <w:spacing w:after="0"/>
              <w:rPr>
                <w:sz w:val="8"/>
                <w:szCs w:val="8"/>
                <w:color w:val="auto"/>
              </w:rPr>
            </w:pPr>
          </w:p>
        </w:tc>
        <w:tc>
          <w:tcPr>
            <w:tcW w:w="1400" w:type="dxa"/>
            <w:vAlign w:val="bottom"/>
            <w:tcBorders>
              <w:bottom w:val="single" w:sz="8" w:color="83AD40"/>
            </w:tcBorders>
          </w:tcPr>
          <w:p>
            <w:pPr>
              <w:spacing w:after="0"/>
              <w:rPr>
                <w:sz w:val="8"/>
                <w:szCs w:val="8"/>
                <w:color w:val="auto"/>
              </w:rPr>
            </w:pPr>
          </w:p>
        </w:tc>
        <w:tc>
          <w:tcPr>
            <w:tcW w:w="240" w:type="dxa"/>
            <w:vAlign w:val="bottom"/>
            <w:vMerge w:val="restart"/>
          </w:tcPr>
          <w:p>
            <w:pPr>
              <w:spacing w:after="0"/>
              <w:rPr>
                <w:sz w:val="20"/>
                <w:szCs w:val="20"/>
                <w:color w:val="auto"/>
              </w:rPr>
            </w:pPr>
            <w:r>
              <w:rPr>
                <w:rFonts w:ascii="Arial" w:cs="Arial" w:eastAsia="Arial" w:hAnsi="Arial"/>
                <w:sz w:val="16"/>
                <w:szCs w:val="16"/>
                <w:color w:val="auto"/>
              </w:rPr>
              <w:t>​ ​</w:t>
            </w:r>
          </w:p>
        </w:tc>
        <w:tc>
          <w:tcPr>
            <w:tcW w:w="2120" w:type="dxa"/>
            <w:vAlign w:val="bottom"/>
            <w:tcBorders>
              <w:bottom w:val="single" w:sz="8" w:color="83AD40"/>
            </w:tcBorders>
          </w:tcPr>
          <w:p>
            <w:pPr>
              <w:spacing w:after="0"/>
              <w:rPr>
                <w:sz w:val="8"/>
                <w:szCs w:val="8"/>
                <w:color w:val="auto"/>
              </w:rPr>
            </w:pPr>
          </w:p>
        </w:tc>
        <w:tc>
          <w:tcPr>
            <w:tcW w:w="240" w:type="dxa"/>
            <w:vAlign w:val="bottom"/>
            <w:vMerge w:val="restart"/>
          </w:tcPr>
          <w:p>
            <w:pPr>
              <w:spacing w:after="0"/>
              <w:rPr>
                <w:sz w:val="20"/>
                <w:szCs w:val="20"/>
                <w:color w:val="auto"/>
              </w:rPr>
            </w:pPr>
            <w:r>
              <w:rPr>
                <w:rFonts w:ascii="Arial" w:cs="Arial" w:eastAsia="Arial" w:hAnsi="Arial"/>
                <w:sz w:val="16"/>
                <w:szCs w:val="16"/>
                <w:color w:val="auto"/>
              </w:rPr>
              <w:t>​ ​</w:t>
            </w:r>
          </w:p>
        </w:tc>
        <w:tc>
          <w:tcPr>
            <w:tcW w:w="2040" w:type="dxa"/>
            <w:vAlign w:val="bottom"/>
            <w:tcBorders>
              <w:bottom w:val="single" w:sz="8" w:color="83AD40"/>
            </w:tcBorders>
          </w:tcPr>
          <w:p>
            <w:pPr>
              <w:spacing w:after="0"/>
              <w:rPr>
                <w:sz w:val="8"/>
                <w:szCs w:val="8"/>
                <w:color w:val="auto"/>
              </w:rPr>
            </w:pPr>
          </w:p>
        </w:tc>
        <w:tc>
          <w:tcPr>
            <w:tcW w:w="4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1920" w:type="dxa"/>
            <w:vAlign w:val="bottom"/>
          </w:tcPr>
          <w:p>
            <w:pPr>
              <w:ind w:left="1240"/>
              <w:spacing w:after="0" w:line="142" w:lineRule="exact"/>
              <w:rPr>
                <w:sz w:val="20"/>
                <w:szCs w:val="20"/>
                <w:color w:val="auto"/>
              </w:rPr>
            </w:pPr>
            <w:r>
              <w:rPr>
                <w:rFonts w:ascii="Arial" w:cs="Arial" w:eastAsia="Arial" w:hAnsi="Arial"/>
                <w:sz w:val="16"/>
                <w:szCs w:val="16"/>
                <w:color w:val="auto"/>
              </w:rPr>
              <w:t>​</w:t>
            </w:r>
          </w:p>
        </w:tc>
        <w:tc>
          <w:tcPr>
            <w:tcW w:w="240" w:type="dxa"/>
            <w:vAlign w:val="bottom"/>
            <w:vMerge w:val="continue"/>
          </w:tcPr>
          <w:p>
            <w:pPr>
              <w:spacing w:after="0"/>
              <w:rPr>
                <w:sz w:val="12"/>
                <w:szCs w:val="12"/>
                <w:color w:val="auto"/>
              </w:rPr>
            </w:pPr>
          </w:p>
        </w:tc>
        <w:tc>
          <w:tcPr>
            <w:tcW w:w="1240" w:type="dxa"/>
            <w:vAlign w:val="bottom"/>
            <w:vMerge w:val="restart"/>
          </w:tcPr>
          <w:p>
            <w:pPr>
              <w:spacing w:after="0"/>
              <w:rPr>
                <w:sz w:val="20"/>
                <w:szCs w:val="20"/>
                <w:color w:val="auto"/>
              </w:rPr>
            </w:pPr>
            <w:r>
              <w:rPr>
                <w:rFonts w:ascii="Arial" w:cs="Arial" w:eastAsia="Arial" w:hAnsi="Arial"/>
                <w:sz w:val="16"/>
                <w:szCs w:val="16"/>
                <w:color w:val="auto"/>
              </w:rPr>
              <w:t>NYSERDA</w:t>
            </w:r>
          </w:p>
        </w:tc>
        <w:tc>
          <w:tcPr>
            <w:tcW w:w="1400" w:type="dxa"/>
            <w:vAlign w:val="bottom"/>
          </w:tcPr>
          <w:p>
            <w:pPr>
              <w:ind w:left="20"/>
              <w:spacing w:after="0" w:line="142" w:lineRule="exact"/>
              <w:rPr>
                <w:sz w:val="20"/>
                <w:szCs w:val="20"/>
                <w:color w:val="auto"/>
              </w:rPr>
            </w:pPr>
            <w:r>
              <w:rPr>
                <w:rFonts w:ascii="Arial" w:cs="Arial" w:eastAsia="Arial" w:hAnsi="Arial"/>
                <w:sz w:val="16"/>
                <w:szCs w:val="16"/>
                <w:color w:val="auto"/>
              </w:rPr>
              <w:t>​</w:t>
            </w:r>
          </w:p>
        </w:tc>
        <w:tc>
          <w:tcPr>
            <w:tcW w:w="240" w:type="dxa"/>
            <w:vAlign w:val="bottom"/>
            <w:vMerge w:val="continue"/>
          </w:tcPr>
          <w:p>
            <w:pPr>
              <w:spacing w:after="0"/>
              <w:rPr>
                <w:sz w:val="12"/>
                <w:szCs w:val="12"/>
                <w:color w:val="auto"/>
              </w:rPr>
            </w:pPr>
          </w:p>
        </w:tc>
        <w:tc>
          <w:tcPr>
            <w:tcW w:w="2120" w:type="dxa"/>
            <w:vAlign w:val="bottom"/>
          </w:tcPr>
          <w:p>
            <w:pPr>
              <w:ind w:left="1260"/>
              <w:spacing w:after="0" w:line="142" w:lineRule="exact"/>
              <w:rPr>
                <w:sz w:val="20"/>
                <w:szCs w:val="20"/>
                <w:color w:val="auto"/>
              </w:rPr>
            </w:pPr>
            <w:r>
              <w:rPr>
                <w:rFonts w:ascii="Arial" w:cs="Arial" w:eastAsia="Arial" w:hAnsi="Arial"/>
                <w:sz w:val="16"/>
                <w:szCs w:val="16"/>
                <w:color w:val="auto"/>
              </w:rPr>
              <w:t>​ ​</w:t>
            </w:r>
          </w:p>
        </w:tc>
        <w:tc>
          <w:tcPr>
            <w:tcW w:w="240" w:type="dxa"/>
            <w:vAlign w:val="bottom"/>
            <w:vMerge w:val="continue"/>
          </w:tcPr>
          <w:p>
            <w:pPr>
              <w:spacing w:after="0"/>
              <w:rPr>
                <w:sz w:val="12"/>
                <w:szCs w:val="12"/>
                <w:color w:val="auto"/>
              </w:rPr>
            </w:pPr>
          </w:p>
        </w:tc>
        <w:tc>
          <w:tcPr>
            <w:tcW w:w="2040" w:type="dxa"/>
            <w:vAlign w:val="bottom"/>
          </w:tcPr>
          <w:p>
            <w:pPr>
              <w:ind w:left="1260"/>
              <w:spacing w:after="0" w:line="142" w:lineRule="exact"/>
              <w:rPr>
                <w:sz w:val="20"/>
                <w:szCs w:val="20"/>
                <w:color w:val="auto"/>
              </w:rPr>
            </w:pPr>
            <w:r>
              <w:rPr>
                <w:rFonts w:ascii="Arial" w:cs="Arial" w:eastAsia="Arial" w:hAnsi="Arial"/>
                <w:sz w:val="16"/>
                <w:szCs w:val="16"/>
                <w:color w:val="auto"/>
              </w:rPr>
              <w:t>​</w:t>
            </w: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1920" w:type="dxa"/>
            <w:vAlign w:val="bottom"/>
          </w:tcPr>
          <w:p>
            <w:pPr>
              <w:spacing w:after="0" w:line="175" w:lineRule="exact"/>
              <w:rPr>
                <w:sz w:val="20"/>
                <w:szCs w:val="20"/>
                <w:color w:val="auto"/>
              </w:rPr>
            </w:pPr>
            <w:r>
              <w:rPr>
                <w:rFonts w:ascii="Arial" w:cs="Arial" w:eastAsia="Arial" w:hAnsi="Arial"/>
                <w:sz w:val="16"/>
                <w:szCs w:val="16"/>
                <w:color w:val="auto"/>
              </w:rPr>
              <w:t>Top 10 ESG</w:t>
            </w:r>
          </w:p>
        </w:tc>
        <w:tc>
          <w:tcPr>
            <w:tcW w:w="24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tcPr>
          <w:p>
            <w:pPr>
              <w:spacing w:after="0" w:line="175" w:lineRule="exact"/>
              <w:rPr>
                <w:sz w:val="20"/>
                <w:szCs w:val="20"/>
                <w:color w:val="auto"/>
              </w:rPr>
            </w:pPr>
            <w:r>
              <w:rPr>
                <w:rFonts w:ascii="Arial" w:cs="Arial" w:eastAsia="Arial" w:hAnsi="Arial"/>
                <w:sz w:val="16"/>
                <w:szCs w:val="16"/>
                <w:color w:val="auto"/>
              </w:rPr>
              <w:t>23 LEED</w:t>
            </w:r>
          </w:p>
        </w:tc>
        <w:tc>
          <w:tcPr>
            <w:tcW w:w="240" w:type="dxa"/>
            <w:vAlign w:val="bottom"/>
          </w:tcPr>
          <w:p>
            <w:pPr>
              <w:spacing w:after="0"/>
              <w:rPr>
                <w:sz w:val="15"/>
                <w:szCs w:val="15"/>
                <w:color w:val="auto"/>
              </w:rPr>
            </w:pPr>
          </w:p>
        </w:tc>
        <w:tc>
          <w:tcPr>
            <w:tcW w:w="2040" w:type="dxa"/>
            <w:vAlign w:val="bottom"/>
          </w:tcPr>
          <w:p>
            <w:pPr>
              <w:spacing w:after="0" w:line="175" w:lineRule="exact"/>
              <w:rPr>
                <w:sz w:val="20"/>
                <w:szCs w:val="20"/>
                <w:color w:val="auto"/>
              </w:rPr>
            </w:pPr>
            <w:r>
              <w:rPr>
                <w:rFonts w:ascii="Arial" w:cs="Arial" w:eastAsia="Arial" w:hAnsi="Arial"/>
                <w:sz w:val="16"/>
                <w:szCs w:val="16"/>
                <w:color w:val="auto"/>
              </w:rPr>
              <w:t>Great Place to</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20" w:type="dxa"/>
            <w:vAlign w:val="bottom"/>
          </w:tcPr>
          <w:p>
            <w:pPr>
              <w:spacing w:after="0"/>
              <w:rPr>
                <w:sz w:val="16"/>
                <w:szCs w:val="16"/>
                <w:color w:val="auto"/>
              </w:rPr>
            </w:pPr>
          </w:p>
        </w:tc>
        <w:tc>
          <w:tcPr>
            <w:tcW w:w="1920" w:type="dxa"/>
            <w:vAlign w:val="bottom"/>
          </w:tcPr>
          <w:p>
            <w:pPr>
              <w:spacing w:after="0"/>
              <w:rPr>
                <w:sz w:val="20"/>
                <w:szCs w:val="20"/>
                <w:color w:val="auto"/>
              </w:rPr>
            </w:pPr>
            <w:r>
              <w:rPr>
                <w:rFonts w:ascii="Arial" w:cs="Arial" w:eastAsia="Arial" w:hAnsi="Arial"/>
                <w:sz w:val="16"/>
                <w:szCs w:val="16"/>
                <w:color w:val="auto"/>
              </w:rPr>
              <w:t>Disclosure Score</w:t>
            </w:r>
          </w:p>
        </w:tc>
        <w:tc>
          <w:tcPr>
            <w:tcW w:w="240" w:type="dxa"/>
            <w:vAlign w:val="bottom"/>
          </w:tcPr>
          <w:p>
            <w:pPr>
              <w:spacing w:after="0"/>
              <w:rPr>
                <w:sz w:val="16"/>
                <w:szCs w:val="16"/>
                <w:color w:val="auto"/>
              </w:rPr>
            </w:pPr>
          </w:p>
        </w:tc>
        <w:tc>
          <w:tcPr>
            <w:tcW w:w="1240" w:type="dxa"/>
            <w:vAlign w:val="bottom"/>
          </w:tcPr>
          <w:p>
            <w:pPr>
              <w:spacing w:after="0"/>
              <w:rPr>
                <w:sz w:val="20"/>
                <w:szCs w:val="20"/>
                <w:color w:val="auto"/>
              </w:rPr>
            </w:pPr>
            <w:r>
              <w:rPr>
                <w:rFonts w:ascii="Arial" w:cs="Arial" w:eastAsia="Arial" w:hAnsi="Arial"/>
                <w:sz w:val="16"/>
                <w:szCs w:val="16"/>
                <w:color w:val="auto"/>
              </w:rPr>
              <w:t>Energy</w:t>
            </w: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tcPr>
          <w:p>
            <w:pPr>
              <w:spacing w:after="0"/>
              <w:rPr>
                <w:sz w:val="20"/>
                <w:szCs w:val="20"/>
                <w:color w:val="auto"/>
              </w:rPr>
            </w:pPr>
            <w:r>
              <w:rPr>
                <w:rFonts w:ascii="Arial" w:cs="Arial" w:eastAsia="Arial" w:hAnsi="Arial"/>
                <w:sz w:val="16"/>
                <w:szCs w:val="16"/>
                <w:color w:val="auto"/>
              </w:rPr>
              <w:t>Certified</w:t>
            </w:r>
          </w:p>
        </w:tc>
        <w:tc>
          <w:tcPr>
            <w:tcW w:w="240" w:type="dxa"/>
            <w:vAlign w:val="bottom"/>
          </w:tcPr>
          <w:p>
            <w:pPr>
              <w:spacing w:after="0"/>
              <w:rPr>
                <w:sz w:val="16"/>
                <w:szCs w:val="16"/>
                <w:color w:val="auto"/>
              </w:rPr>
            </w:pPr>
          </w:p>
        </w:tc>
        <w:tc>
          <w:tcPr>
            <w:tcW w:w="2040" w:type="dxa"/>
            <w:vAlign w:val="bottom"/>
          </w:tcPr>
          <w:p>
            <w:pPr>
              <w:spacing w:after="0"/>
              <w:rPr>
                <w:sz w:val="20"/>
                <w:szCs w:val="20"/>
                <w:color w:val="auto"/>
              </w:rPr>
            </w:pPr>
            <w:r>
              <w:rPr>
                <w:rFonts w:ascii="Arial" w:cs="Arial" w:eastAsia="Arial" w:hAnsi="Arial"/>
                <w:sz w:val="16"/>
                <w:szCs w:val="16"/>
                <w:color w:val="auto"/>
              </w:rPr>
              <w:t>Work Certified</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0" w:type="dxa"/>
            <w:vAlign w:val="bottom"/>
          </w:tcPr>
          <w:p>
            <w:pPr>
              <w:spacing w:after="0"/>
              <w:rPr>
                <w:sz w:val="16"/>
                <w:szCs w:val="16"/>
                <w:color w:val="auto"/>
              </w:rPr>
            </w:pPr>
          </w:p>
        </w:tc>
        <w:tc>
          <w:tcPr>
            <w:tcW w:w="1920" w:type="dxa"/>
            <w:vAlign w:val="bottom"/>
          </w:tcPr>
          <w:p>
            <w:pPr>
              <w:spacing w:after="0"/>
              <w:rPr>
                <w:sz w:val="20"/>
                <w:szCs w:val="20"/>
                <w:color w:val="auto"/>
              </w:rPr>
            </w:pPr>
            <w:r>
              <w:rPr>
                <w:rFonts w:ascii="Arial" w:cs="Arial" w:eastAsia="Arial" w:hAnsi="Arial"/>
                <w:sz w:val="16"/>
                <w:szCs w:val="16"/>
                <w:color w:val="auto"/>
              </w:rPr>
              <w:t>Among REITs</w:t>
            </w:r>
          </w:p>
        </w:tc>
        <w:tc>
          <w:tcPr>
            <w:tcW w:w="240" w:type="dxa"/>
            <w:vAlign w:val="bottom"/>
          </w:tcPr>
          <w:p>
            <w:pPr>
              <w:spacing w:after="0"/>
              <w:rPr>
                <w:sz w:val="16"/>
                <w:szCs w:val="16"/>
                <w:color w:val="auto"/>
              </w:rPr>
            </w:pPr>
          </w:p>
        </w:tc>
        <w:tc>
          <w:tcPr>
            <w:tcW w:w="1240" w:type="dxa"/>
            <w:vAlign w:val="bottom"/>
          </w:tcPr>
          <w:p>
            <w:pPr>
              <w:spacing w:after="0"/>
              <w:rPr>
                <w:sz w:val="20"/>
                <w:szCs w:val="20"/>
                <w:color w:val="auto"/>
              </w:rPr>
            </w:pPr>
            <w:r>
              <w:rPr>
                <w:rFonts w:ascii="Arial" w:cs="Arial" w:eastAsia="Arial" w:hAnsi="Arial"/>
                <w:sz w:val="16"/>
                <w:szCs w:val="16"/>
                <w:color w:val="auto"/>
              </w:rPr>
              <w:t>Management</w:t>
            </w: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tcPr>
          <w:p>
            <w:pPr>
              <w:spacing w:after="0"/>
              <w:rPr>
                <w:sz w:val="20"/>
                <w:szCs w:val="20"/>
                <w:color w:val="auto"/>
              </w:rPr>
            </w:pPr>
            <w:r>
              <w:rPr>
                <w:rFonts w:ascii="Arial" w:cs="Arial" w:eastAsia="Arial" w:hAnsi="Arial"/>
                <w:sz w:val="16"/>
                <w:szCs w:val="16"/>
                <w:color w:val="auto"/>
              </w:rPr>
              <w:t>Buildings —</w:t>
            </w:r>
          </w:p>
        </w:tc>
        <w:tc>
          <w:tcPr>
            <w:tcW w:w="240" w:type="dxa"/>
            <w:vAlign w:val="bottom"/>
          </w:tcPr>
          <w:p>
            <w:pPr>
              <w:spacing w:after="0"/>
              <w:rPr>
                <w:sz w:val="16"/>
                <w:szCs w:val="16"/>
                <w:color w:val="auto"/>
              </w:rPr>
            </w:pPr>
          </w:p>
        </w:tc>
        <w:tc>
          <w:tcPr>
            <w:tcW w:w="2040" w:type="dxa"/>
            <w:vAlign w:val="bottom"/>
          </w:tcPr>
          <w:p>
            <w:pPr>
              <w:spacing w:after="0"/>
              <w:rPr>
                <w:sz w:val="20"/>
                <w:szCs w:val="20"/>
                <w:color w:val="auto"/>
              </w:rPr>
            </w:pPr>
            <w:r>
              <w:rPr>
                <w:rFonts w:ascii="Arial" w:cs="Arial" w:eastAsia="Arial" w:hAnsi="Arial"/>
                <w:sz w:val="16"/>
                <w:szCs w:val="16"/>
                <w:color w:val="auto"/>
              </w:rPr>
              <w:t>2019, 2022-2024</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0" w:type="dxa"/>
            <w:vAlign w:val="bottom"/>
          </w:tcPr>
          <w:p>
            <w:pPr>
              <w:spacing w:after="0"/>
              <w:rPr>
                <w:sz w:val="16"/>
                <w:szCs w:val="16"/>
                <w:color w:val="auto"/>
              </w:rPr>
            </w:pPr>
          </w:p>
        </w:tc>
        <w:tc>
          <w:tcPr>
            <w:tcW w:w="1920" w:type="dxa"/>
            <w:vAlign w:val="bottom"/>
          </w:tcPr>
          <w:p>
            <w:pPr>
              <w:spacing w:after="0"/>
              <w:rPr>
                <w:sz w:val="20"/>
                <w:szCs w:val="20"/>
                <w:color w:val="auto"/>
              </w:rPr>
            </w:pPr>
            <w:r>
              <w:rPr>
                <w:rFonts w:ascii="Arial" w:cs="Arial" w:eastAsia="Arial" w:hAnsi="Arial"/>
                <w:sz w:val="16"/>
                <w:szCs w:val="16"/>
                <w:color w:val="auto"/>
              </w:rPr>
              <w:t>Listed on Russell</w:t>
            </w:r>
          </w:p>
        </w:tc>
        <w:tc>
          <w:tcPr>
            <w:tcW w:w="240" w:type="dxa"/>
            <w:vAlign w:val="bottom"/>
          </w:tcPr>
          <w:p>
            <w:pPr>
              <w:spacing w:after="0"/>
              <w:rPr>
                <w:sz w:val="16"/>
                <w:szCs w:val="16"/>
                <w:color w:val="auto"/>
              </w:rPr>
            </w:pPr>
          </w:p>
        </w:tc>
        <w:tc>
          <w:tcPr>
            <w:tcW w:w="1240" w:type="dxa"/>
            <w:vAlign w:val="bottom"/>
          </w:tcPr>
          <w:p>
            <w:pPr>
              <w:spacing w:after="0"/>
              <w:rPr>
                <w:sz w:val="20"/>
                <w:szCs w:val="20"/>
                <w:color w:val="auto"/>
              </w:rPr>
            </w:pPr>
            <w:r>
              <w:rPr>
                <w:rFonts w:ascii="Arial" w:cs="Arial" w:eastAsia="Arial" w:hAnsi="Arial"/>
                <w:sz w:val="16"/>
                <w:szCs w:val="16"/>
                <w:color w:val="auto"/>
              </w:rPr>
              <w:t>Programs</w:t>
            </w: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tcPr>
          <w:p>
            <w:pPr>
              <w:spacing w:after="0"/>
              <w:rPr>
                <w:sz w:val="20"/>
                <w:szCs w:val="20"/>
                <w:color w:val="auto"/>
              </w:rPr>
            </w:pPr>
            <w:r>
              <w:rPr>
                <w:rFonts w:ascii="Arial" w:cs="Arial" w:eastAsia="Arial" w:hAnsi="Arial"/>
                <w:sz w:val="16"/>
                <w:szCs w:val="16"/>
                <w:color w:val="auto"/>
              </w:rPr>
              <w:t>22M SF</w:t>
            </w:r>
          </w:p>
        </w:tc>
        <w:tc>
          <w:tcPr>
            <w:tcW w:w="2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6"/>
                <w:szCs w:val="16"/>
                <w:color w:val="auto"/>
              </w:rPr>
              <w:t>1000 Index</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820" w:type="dxa"/>
            <w:vAlign w:val="bottom"/>
          </w:tcPr>
          <w:p>
            <w:pPr>
              <w:spacing w:after="0"/>
              <w:rPr>
                <w:sz w:val="8"/>
                <w:szCs w:val="8"/>
                <w:color w:val="auto"/>
              </w:rPr>
            </w:pPr>
          </w:p>
        </w:tc>
        <w:tc>
          <w:tcPr>
            <w:tcW w:w="1920" w:type="dxa"/>
            <w:vAlign w:val="bottom"/>
            <w:tcBorders>
              <w:bottom w:val="single" w:sz="8" w:color="83AD40"/>
            </w:tcBorders>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Borders>
              <w:bottom w:val="single" w:sz="8" w:color="83AD40"/>
            </w:tcBorders>
          </w:tcPr>
          <w:p>
            <w:pPr>
              <w:spacing w:after="0"/>
              <w:rPr>
                <w:sz w:val="8"/>
                <w:szCs w:val="8"/>
                <w:color w:val="auto"/>
              </w:rPr>
            </w:pPr>
          </w:p>
        </w:tc>
        <w:tc>
          <w:tcPr>
            <w:tcW w:w="1400" w:type="dxa"/>
            <w:vAlign w:val="bottom"/>
            <w:tcBorders>
              <w:bottom w:val="single" w:sz="8" w:color="83AD40"/>
            </w:tcBorders>
          </w:tcPr>
          <w:p>
            <w:pPr>
              <w:spacing w:after="0"/>
              <w:rPr>
                <w:sz w:val="8"/>
                <w:szCs w:val="8"/>
                <w:color w:val="auto"/>
              </w:rPr>
            </w:pPr>
          </w:p>
        </w:tc>
        <w:tc>
          <w:tcPr>
            <w:tcW w:w="240" w:type="dxa"/>
            <w:vAlign w:val="bottom"/>
          </w:tcPr>
          <w:p>
            <w:pPr>
              <w:spacing w:after="0"/>
              <w:rPr>
                <w:sz w:val="8"/>
                <w:szCs w:val="8"/>
                <w:color w:val="auto"/>
              </w:rPr>
            </w:pPr>
          </w:p>
        </w:tc>
        <w:tc>
          <w:tcPr>
            <w:tcW w:w="2120" w:type="dxa"/>
            <w:vAlign w:val="bottom"/>
            <w:tcBorders>
              <w:bottom w:val="single" w:sz="8" w:color="83AD40"/>
            </w:tcBorders>
          </w:tcPr>
          <w:p>
            <w:pPr>
              <w:spacing w:after="0"/>
              <w:rPr>
                <w:sz w:val="8"/>
                <w:szCs w:val="8"/>
                <w:color w:val="auto"/>
              </w:rPr>
            </w:pPr>
          </w:p>
        </w:tc>
        <w:tc>
          <w:tcPr>
            <w:tcW w:w="240" w:type="dxa"/>
            <w:vAlign w:val="bottom"/>
          </w:tcPr>
          <w:p>
            <w:pPr>
              <w:spacing w:after="0"/>
              <w:rPr>
                <w:sz w:val="8"/>
                <w:szCs w:val="8"/>
                <w:color w:val="auto"/>
              </w:rPr>
            </w:pPr>
          </w:p>
        </w:tc>
        <w:tc>
          <w:tcPr>
            <w:tcW w:w="2040" w:type="dxa"/>
            <w:vAlign w:val="bottom"/>
            <w:tcBorders>
              <w:bottom w:val="single" w:sz="8" w:color="83AD40"/>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3"/>
        </w:trPr>
        <w:tc>
          <w:tcPr>
            <w:tcW w:w="8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1322705</wp:posOffset>
            </wp:positionH>
            <wp:positionV relativeFrom="paragraph">
              <wp:posOffset>-4122420</wp:posOffset>
            </wp:positionV>
            <wp:extent cx="40259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02590" cy="13716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-4122420</wp:posOffset>
            </wp:positionV>
            <wp:extent cx="419735" cy="2317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19735" cy="231775"/>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-4122420</wp:posOffset>
            </wp:positionV>
            <wp:extent cx="411480" cy="4203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11480" cy="420370"/>
                    </a:xfrm>
                    <a:prstGeom prst="rect">
                      <a:avLst/>
                    </a:prstGeom>
                    <a:noFill/>
                  </pic:spPr>
                </pic:pic>
              </a:graphicData>
            </a:graphic>
          </wp:anchor>
        </w:drawing>
        <w:drawing>
          <wp:anchor simplePos="0" relativeHeight="251657728" behindDoc="1" locked="0" layoutInCell="0" allowOverlap="1">
            <wp:simplePos x="0" y="0"/>
            <wp:positionH relativeFrom="column">
              <wp:posOffset>6054725</wp:posOffset>
            </wp:positionH>
            <wp:positionV relativeFrom="paragraph">
              <wp:posOffset>-4122420</wp:posOffset>
            </wp:positionV>
            <wp:extent cx="420370" cy="2057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20370" cy="205740"/>
                    </a:xfrm>
                    <a:prstGeom prst="rect">
                      <a:avLst/>
                    </a:prstGeom>
                    <a:noFill/>
                  </pic:spPr>
                </pic:pic>
              </a:graphicData>
            </a:graphic>
          </wp:anchor>
        </w:drawing>
        <w:drawing>
          <wp:anchor simplePos="0" relativeHeight="251657728" behindDoc="1" locked="0" layoutInCell="0" allowOverlap="1">
            <wp:simplePos x="0" y="0"/>
            <wp:positionH relativeFrom="column">
              <wp:posOffset>1322705</wp:posOffset>
            </wp:positionH>
            <wp:positionV relativeFrom="paragraph">
              <wp:posOffset>-3471545</wp:posOffset>
            </wp:positionV>
            <wp:extent cx="411480" cy="3003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11480" cy="300355"/>
                    </a:xfrm>
                    <a:prstGeom prst="rect">
                      <a:avLst/>
                    </a:prstGeom>
                    <a:noFill/>
                  </pic:spPr>
                </pic:pic>
              </a:graphicData>
            </a:graphic>
          </wp:anchor>
        </w:drawing>
        <w:drawing>
          <wp:anchor simplePos="0" relativeHeight="251657728" behindDoc="1" locked="0" layoutInCell="0" allowOverlap="1">
            <wp:simplePos x="0" y="0"/>
            <wp:positionH relativeFrom="column">
              <wp:posOffset>2686050</wp:posOffset>
            </wp:positionH>
            <wp:positionV relativeFrom="paragraph">
              <wp:posOffset>-3471545</wp:posOffset>
            </wp:positionV>
            <wp:extent cx="882650" cy="3003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2650" cy="300355"/>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-3471545</wp:posOffset>
            </wp:positionV>
            <wp:extent cx="420370" cy="274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20370" cy="274320"/>
                    </a:xfrm>
                    <a:prstGeom prst="rect">
                      <a:avLst/>
                    </a:prstGeom>
                    <a:noFill/>
                  </pic:spPr>
                </pic:pic>
              </a:graphicData>
            </a:graphic>
          </wp:anchor>
        </w:drawing>
        <w:drawing>
          <wp:anchor simplePos="0" relativeHeight="251657728" behindDoc="1" locked="0" layoutInCell="0" allowOverlap="1">
            <wp:simplePos x="0" y="0"/>
            <wp:positionH relativeFrom="column">
              <wp:posOffset>6063615</wp:posOffset>
            </wp:positionH>
            <wp:positionV relativeFrom="paragraph">
              <wp:posOffset>-3471545</wp:posOffset>
            </wp:positionV>
            <wp:extent cx="411480" cy="4114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1305560</wp:posOffset>
            </wp:positionH>
            <wp:positionV relativeFrom="paragraph">
              <wp:posOffset>-2820035</wp:posOffset>
            </wp:positionV>
            <wp:extent cx="437515" cy="2489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37515" cy="248920"/>
                    </a:xfrm>
                    <a:prstGeom prst="rect">
                      <a:avLst/>
                    </a:prstGeom>
                    <a:noFill/>
                  </pic:spPr>
                </pic:pic>
              </a:graphicData>
            </a:graphic>
          </wp:anchor>
        </w:drawing>
        <w:drawing>
          <wp:anchor simplePos="0" relativeHeight="251657728" behindDoc="1" locked="0" layoutInCell="0" allowOverlap="1">
            <wp:simplePos x="0" y="0"/>
            <wp:positionH relativeFrom="column">
              <wp:posOffset>2943225</wp:posOffset>
            </wp:positionH>
            <wp:positionV relativeFrom="paragraph">
              <wp:posOffset>-2820035</wp:posOffset>
            </wp:positionV>
            <wp:extent cx="377190" cy="3771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77190" cy="3771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-2820035</wp:posOffset>
            </wp:positionV>
            <wp:extent cx="445770" cy="3860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45770" cy="386080"/>
                    </a:xfrm>
                    <a:prstGeom prst="rect">
                      <a:avLst/>
                    </a:prstGeom>
                    <a:noFill/>
                  </pic:spPr>
                </pic:pic>
              </a:graphicData>
            </a:graphic>
          </wp:anchor>
        </w:drawing>
        <w:drawing>
          <wp:anchor simplePos="0" relativeHeight="251657728" behindDoc="1" locked="0" layoutInCell="0" allowOverlap="1">
            <wp:simplePos x="0" y="0"/>
            <wp:positionH relativeFrom="column">
              <wp:posOffset>6020435</wp:posOffset>
            </wp:positionH>
            <wp:positionV relativeFrom="paragraph">
              <wp:posOffset>-2820035</wp:posOffset>
            </wp:positionV>
            <wp:extent cx="488315" cy="1200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88315" cy="120015"/>
                    </a:xfrm>
                    <a:prstGeom prst="rect">
                      <a:avLst/>
                    </a:prstGeom>
                    <a:noFill/>
                  </pic:spPr>
                </pic:pic>
              </a:graphicData>
            </a:graphic>
          </wp:anchor>
        </w:drawing>
        <w:drawing>
          <wp:anchor simplePos="0" relativeHeight="251657728" behindDoc="1" locked="0" layoutInCell="0" allowOverlap="1">
            <wp:simplePos x="0" y="0"/>
            <wp:positionH relativeFrom="column">
              <wp:posOffset>1314450</wp:posOffset>
            </wp:positionH>
            <wp:positionV relativeFrom="paragraph">
              <wp:posOffset>-2048510</wp:posOffset>
            </wp:positionV>
            <wp:extent cx="419735" cy="939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19735" cy="93980"/>
                    </a:xfrm>
                    <a:prstGeom prst="rect">
                      <a:avLst/>
                    </a:prstGeom>
                    <a:noFill/>
                  </pic:spPr>
                </pic:pic>
              </a:graphicData>
            </a:graphic>
          </wp:anchor>
        </w:drawing>
        <w:drawing>
          <wp:anchor simplePos="0" relativeHeight="251657728" behindDoc="1" locked="0" layoutInCell="0" allowOverlap="1">
            <wp:simplePos x="0" y="0"/>
            <wp:positionH relativeFrom="column">
              <wp:posOffset>2814320</wp:posOffset>
            </wp:positionH>
            <wp:positionV relativeFrom="paragraph">
              <wp:posOffset>-2048510</wp:posOffset>
            </wp:positionV>
            <wp:extent cx="625475" cy="179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5475" cy="179705"/>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-2048510</wp:posOffset>
            </wp:positionV>
            <wp:extent cx="420370" cy="4800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20370" cy="480060"/>
                    </a:xfrm>
                    <a:prstGeom prst="rect">
                      <a:avLst/>
                    </a:prstGeom>
                    <a:noFill/>
                  </pic:spPr>
                </pic:pic>
              </a:graphicData>
            </a:graphic>
          </wp:anchor>
        </w:drawing>
        <w:drawing>
          <wp:anchor simplePos="0" relativeHeight="251657728" behindDoc="1" locked="0" layoutInCell="0" allowOverlap="1">
            <wp:simplePos x="0" y="0"/>
            <wp:positionH relativeFrom="column">
              <wp:posOffset>6123305</wp:posOffset>
            </wp:positionH>
            <wp:positionV relativeFrom="paragraph">
              <wp:posOffset>-2048510</wp:posOffset>
            </wp:positionV>
            <wp:extent cx="282575" cy="4889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2575" cy="488950"/>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69" w:lineRule="exact"/>
        <w:rPr>
          <w:sz w:val="20"/>
          <w:szCs w:val="20"/>
          <w:color w:val="auto"/>
        </w:rPr>
      </w:pPr>
    </w:p>
    <w:tbl>
      <w:tblPr>
        <w:tblLayout w:type="fixed"/>
        <w:tblInd w:w="820" w:type="dxa"/>
        <w:tblCellMar>
          <w:top w:w="0" w:type="dxa"/>
          <w:left w:w="0" w:type="dxa"/>
          <w:bottom w:w="0" w:type="dxa"/>
          <w:right w:w="0" w:type="dxa"/>
        </w:tblCellMar>
      </w:tblPr>
      <w:tr>
        <w:trPr>
          <w:trHeight w:val="253"/>
        </w:trPr>
        <w:tc>
          <w:tcPr>
            <w:tcW w:w="1040" w:type="dxa"/>
            <w:vAlign w:val="bottom"/>
          </w:tcPr>
          <w:p>
            <w:pPr>
              <w:spacing w:after="0"/>
              <w:rPr>
                <w:sz w:val="21"/>
                <w:szCs w:val="21"/>
                <w:color w:val="auto"/>
              </w:rPr>
            </w:pPr>
          </w:p>
        </w:tc>
        <w:tc>
          <w:tcPr>
            <w:tcW w:w="4040" w:type="dxa"/>
            <w:vAlign w:val="bottom"/>
          </w:tcPr>
          <w:p>
            <w:pPr>
              <w:ind w:left="1220"/>
              <w:spacing w:after="0"/>
              <w:rPr>
                <w:sz w:val="20"/>
                <w:szCs w:val="20"/>
                <w:color w:val="auto"/>
              </w:rPr>
            </w:pPr>
            <w:r>
              <w:rPr>
                <w:rFonts w:ascii="Arial" w:cs="Arial" w:eastAsia="Arial" w:hAnsi="Arial"/>
                <w:sz w:val="16"/>
                <w:szCs w:val="16"/>
                <w:b w:val="1"/>
                <w:bCs w:val="1"/>
                <w:color w:val="auto"/>
              </w:rPr>
              <w:t>SL GREEN REALTY CORP.</w:t>
            </w:r>
          </w:p>
        </w:tc>
        <w:tc>
          <w:tcPr>
            <w:tcW w:w="22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22"/>
                <w:szCs w:val="22"/>
                <w:b w:val="1"/>
                <w:bCs w:val="1"/>
                <w:color w:val="1F2668"/>
              </w:rPr>
              <w:t>8</w:t>
            </w:r>
          </w:p>
        </w:tc>
      </w:tr>
      <w:tr>
        <w:trPr>
          <w:trHeight w:val="202"/>
        </w:trPr>
        <w:tc>
          <w:tcPr>
            <w:tcW w:w="1040" w:type="dxa"/>
            <w:vAlign w:val="bottom"/>
          </w:tcPr>
          <w:p>
            <w:pPr>
              <w:spacing w:after="0"/>
              <w:rPr>
                <w:sz w:val="17"/>
                <w:szCs w:val="17"/>
                <w:color w:val="auto"/>
              </w:rPr>
            </w:pPr>
          </w:p>
        </w:tc>
        <w:tc>
          <w:tcPr>
            <w:tcW w:w="4040" w:type="dxa"/>
            <w:vAlign w:val="bottom"/>
          </w:tcPr>
          <w:p>
            <w:pPr>
              <w:ind w:left="1220"/>
              <w:spacing w:after="0"/>
              <w:rPr>
                <w:sz w:val="20"/>
                <w:szCs w:val="20"/>
                <w:color w:val="auto"/>
              </w:rPr>
            </w:pPr>
            <w:r>
              <w:rPr>
                <w:rFonts w:ascii="Arial" w:cs="Arial" w:eastAsia="Arial" w:hAnsi="Arial"/>
                <w:sz w:val="16"/>
                <w:szCs w:val="16"/>
                <w:color w:val="auto"/>
              </w:rPr>
              <w:t>One Vanderbilt Avenue</w:t>
            </w:r>
          </w:p>
        </w:tc>
        <w:tc>
          <w:tcPr>
            <w:tcW w:w="22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28"/>
        </w:trPr>
        <w:tc>
          <w:tcPr>
            <w:tcW w:w="1040" w:type="dxa"/>
            <w:vAlign w:val="bottom"/>
          </w:tcPr>
          <w:p>
            <w:pPr>
              <w:spacing w:after="0"/>
              <w:rPr>
                <w:sz w:val="20"/>
                <w:szCs w:val="20"/>
                <w:color w:val="auto"/>
              </w:rPr>
            </w:pPr>
            <w:r>
              <w:rPr>
                <w:rFonts w:ascii="Arial" w:cs="Arial" w:eastAsia="Arial" w:hAnsi="Arial"/>
                <w:sz w:val="16"/>
                <w:szCs w:val="16"/>
                <w:color w:val="auto"/>
              </w:rPr>
              <w:t>​</w:t>
            </w:r>
          </w:p>
        </w:tc>
        <w:tc>
          <w:tcPr>
            <w:tcW w:w="4040" w:type="dxa"/>
            <w:vAlign w:val="bottom"/>
          </w:tcPr>
          <w:p>
            <w:pPr>
              <w:ind w:left="1000"/>
              <w:spacing w:after="0"/>
              <w:rPr>
                <w:sz w:val="20"/>
                <w:szCs w:val="20"/>
                <w:color w:val="auto"/>
              </w:rPr>
            </w:pPr>
            <w:r>
              <w:rPr>
                <w:rFonts w:ascii="Arial" w:cs="Arial" w:eastAsia="Arial" w:hAnsi="Arial"/>
                <w:sz w:val="16"/>
                <w:szCs w:val="16"/>
                <w:color w:val="auto"/>
              </w:rPr>
              <w:t>​ ​ New York, New York 10017-3852</w:t>
            </w:r>
          </w:p>
        </w:tc>
        <w:tc>
          <w:tcPr>
            <w:tcW w:w="2240" w:type="dxa"/>
            <w:vAlign w:val="bottom"/>
          </w:tcPr>
          <w:p>
            <w:pPr>
              <w:ind w:left="480"/>
              <w:spacing w:after="0"/>
              <w:rPr>
                <w:sz w:val="20"/>
                <w:szCs w:val="20"/>
                <w:color w:val="auto"/>
              </w:rPr>
            </w:pPr>
            <w:r>
              <w:rPr>
                <w:rFonts w:ascii="Arial" w:cs="Arial" w:eastAsia="Arial" w:hAnsi="Arial"/>
                <w:sz w:val="16"/>
                <w:szCs w:val="16"/>
                <w:color w:val="auto"/>
              </w:rPr>
              <w:t>​ ​</w:t>
            </w: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-375285</wp:posOffset>
            </wp:positionV>
            <wp:extent cx="1268730" cy="3689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68730" cy="36893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820" w:right="3620"/>
        <w:spacing w:after="0" w:line="312" w:lineRule="auto"/>
        <w:rPr>
          <w:sz w:val="20"/>
          <w:szCs w:val="20"/>
          <w:color w:val="auto"/>
        </w:rPr>
      </w:pPr>
      <w:r>
        <w:rPr>
          <w:rFonts w:ascii="Arial" w:cs="Arial" w:eastAsia="Arial" w:hAnsi="Arial"/>
          <w:sz w:val="37"/>
          <w:szCs w:val="37"/>
          <w:b w:val="1"/>
          <w:bCs w:val="1"/>
          <w:color w:val="1F2668"/>
        </w:rPr>
        <w:t>NOTICE OF ANNUAL MEETING OF STOCKHOLDERS</w:t>
      </w:r>
    </w:p>
    <w:p>
      <w:pPr>
        <w:spacing w:after="0" w:line="137" w:lineRule="exact"/>
        <w:rPr>
          <w:sz w:val="20"/>
          <w:szCs w:val="20"/>
          <w:color w:val="auto"/>
        </w:rPr>
      </w:pPr>
    </w:p>
    <w:p>
      <w:pPr>
        <w:ind w:left="820"/>
        <w:spacing w:after="0"/>
        <w:tabs>
          <w:tab w:leader="none" w:pos="1280" w:val="left"/>
          <w:tab w:leader="none" w:pos="3720" w:val="left"/>
          <w:tab w:leader="none" w:pos="4400" w:val="left"/>
          <w:tab w:leader="none" w:pos="7700" w:val="left"/>
          <w:tab w:leader="none" w:pos="8400" w:val="left"/>
          <w:tab w:leader="none" w:pos="98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 xml:space="preserve">​ ​ </w:t>
      </w:r>
      <w:r>
        <w:rPr>
          <w:rFonts w:ascii="Arial" w:cs="Arial" w:eastAsia="Arial" w:hAnsi="Arial"/>
          <w:sz w:val="16"/>
          <w:szCs w:val="16"/>
          <w:b w:val="1"/>
          <w:bCs w:val="1"/>
          <w:color w:val="575C8E"/>
        </w:rPr>
        <w:t>Date &amp; Time</w:t>
      </w:r>
      <w:r>
        <w:rPr>
          <w:sz w:val="20"/>
          <w:szCs w:val="20"/>
          <w:color w:val="auto"/>
        </w:rPr>
        <w:tab/>
      </w:r>
      <w:r>
        <w:rPr>
          <w:rFonts w:ascii="Arial" w:cs="Arial" w:eastAsia="Arial" w:hAnsi="Arial"/>
          <w:sz w:val="16"/>
          <w:szCs w:val="16"/>
          <w:color w:val="auto"/>
        </w:rPr>
        <w:t>​ ​</w:t>
      </w:r>
      <w:r>
        <w:rPr>
          <w:sz w:val="20"/>
          <w:szCs w:val="20"/>
          <w:color w:val="auto"/>
        </w:rPr>
        <w:tab/>
      </w:r>
      <w:r>
        <w:rPr>
          <w:rFonts w:ascii="Arial" w:cs="Arial" w:eastAsia="Arial" w:hAnsi="Arial"/>
          <w:sz w:val="16"/>
          <w:szCs w:val="16"/>
          <w:color w:val="auto"/>
        </w:rPr>
        <w:t xml:space="preserve">​ ​ </w:t>
      </w:r>
      <w:r>
        <w:rPr>
          <w:rFonts w:ascii="Arial" w:cs="Arial" w:eastAsia="Arial" w:hAnsi="Arial"/>
          <w:sz w:val="16"/>
          <w:szCs w:val="16"/>
          <w:b w:val="1"/>
          <w:bCs w:val="1"/>
          <w:color w:val="575C8E"/>
        </w:rPr>
        <w:t>Location</w:t>
      </w:r>
      <w:r>
        <w:rPr>
          <w:sz w:val="20"/>
          <w:szCs w:val="20"/>
          <w:color w:val="auto"/>
        </w:rPr>
        <w:tab/>
      </w:r>
      <w:r>
        <w:rPr>
          <w:rFonts w:ascii="Arial" w:cs="Arial" w:eastAsia="Arial" w:hAnsi="Arial"/>
          <w:sz w:val="16"/>
          <w:szCs w:val="16"/>
          <w:color w:val="auto"/>
        </w:rPr>
        <w:t>​ ​</w:t>
      </w:r>
      <w:r>
        <w:rPr>
          <w:sz w:val="20"/>
          <w:szCs w:val="20"/>
          <w:color w:val="auto"/>
        </w:rPr>
        <w:tab/>
      </w:r>
      <w:r>
        <w:rPr>
          <w:rFonts w:ascii="Arial" w:cs="Arial" w:eastAsia="Arial" w:hAnsi="Arial"/>
          <w:sz w:val="16"/>
          <w:szCs w:val="16"/>
          <w:color w:val="auto"/>
        </w:rPr>
        <w:t xml:space="preserve">​ ​ </w:t>
      </w:r>
      <w:r>
        <w:rPr>
          <w:rFonts w:ascii="Arial" w:cs="Arial" w:eastAsia="Arial" w:hAnsi="Arial"/>
          <w:sz w:val="16"/>
          <w:szCs w:val="16"/>
          <w:b w:val="1"/>
          <w:bCs w:val="1"/>
          <w:color w:val="575C8E"/>
        </w:rPr>
        <w:t>Record Date</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-98425</wp:posOffset>
            </wp:positionV>
            <wp:extent cx="308610" cy="3086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2505710</wp:posOffset>
            </wp:positionH>
            <wp:positionV relativeFrom="paragraph">
              <wp:posOffset>-98425</wp:posOffset>
            </wp:positionV>
            <wp:extent cx="300355" cy="274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00355" cy="274320"/>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-98425</wp:posOffset>
            </wp:positionV>
            <wp:extent cx="308610" cy="3086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08610" cy="308610"/>
                    </a:xfrm>
                    <a:prstGeom prst="rect">
                      <a:avLst/>
                    </a:prstGeom>
                    <a:noFill/>
                  </pic:spPr>
                </pic:pic>
              </a:graphicData>
            </a:graphic>
          </wp:anchor>
        </w:drawing>
      </w:r>
    </w:p>
    <w:p>
      <w:pPr>
        <w:spacing w:after="0" w:line="93" w:lineRule="exact"/>
        <w:rPr>
          <w:sz w:val="20"/>
          <w:szCs w:val="20"/>
          <w:color w:val="auto"/>
        </w:rPr>
      </w:pPr>
    </w:p>
    <w:p>
      <w:pPr>
        <w:ind w:left="1520"/>
        <w:spacing w:after="0"/>
        <w:tabs>
          <w:tab w:leader="none" w:pos="4620" w:val="left"/>
          <w:tab w:leader="none" w:pos="8620" w:val="left"/>
        </w:tabs>
        <w:rPr>
          <w:sz w:val="20"/>
          <w:szCs w:val="20"/>
          <w:color w:val="auto"/>
        </w:rPr>
      </w:pPr>
      <w:r>
        <w:rPr>
          <w:rFonts w:ascii="Arial" w:cs="Arial" w:eastAsia="Arial" w:hAnsi="Arial"/>
          <w:sz w:val="16"/>
          <w:szCs w:val="16"/>
          <w:color w:val="auto"/>
        </w:rPr>
        <w:t>June 3, 2025</w:t>
      </w:r>
      <w:r>
        <w:rPr>
          <w:sz w:val="20"/>
          <w:szCs w:val="20"/>
          <w:color w:val="auto"/>
        </w:rPr>
        <w:tab/>
      </w:r>
      <w:r>
        <w:rPr>
          <w:rFonts w:ascii="Arial" w:cs="Arial" w:eastAsia="Arial" w:hAnsi="Arial"/>
          <w:sz w:val="16"/>
          <w:szCs w:val="16"/>
          <w:color w:val="auto"/>
        </w:rPr>
        <w:t>The auditorium at One Vanderbilt Avenue,</w:t>
      </w:r>
      <w:r>
        <w:rPr>
          <w:sz w:val="20"/>
          <w:szCs w:val="20"/>
          <w:color w:val="auto"/>
        </w:rPr>
        <w:tab/>
      </w:r>
      <w:r>
        <w:rPr>
          <w:rFonts w:ascii="Arial" w:cs="Arial" w:eastAsia="Arial" w:hAnsi="Arial"/>
          <w:sz w:val="15"/>
          <w:szCs w:val="15"/>
          <w:color w:val="auto"/>
        </w:rPr>
        <w:t>March 31, 2025</w:t>
      </w:r>
    </w:p>
    <w:p>
      <w:pPr>
        <w:spacing w:after="0" w:line="31" w:lineRule="exact"/>
        <w:rPr>
          <w:sz w:val="20"/>
          <w:szCs w:val="20"/>
          <w:color w:val="auto"/>
        </w:rPr>
      </w:pPr>
    </w:p>
    <w:p>
      <w:pPr>
        <w:ind w:left="1520"/>
        <w:spacing w:after="0"/>
        <w:tabs>
          <w:tab w:leader="none" w:pos="4620" w:val="left"/>
        </w:tabs>
        <w:rPr>
          <w:sz w:val="20"/>
          <w:szCs w:val="20"/>
          <w:color w:val="auto"/>
        </w:rPr>
      </w:pPr>
      <w:r>
        <w:rPr>
          <w:rFonts w:ascii="Arial" w:cs="Arial" w:eastAsia="Arial" w:hAnsi="Arial"/>
          <w:sz w:val="16"/>
          <w:szCs w:val="16"/>
          <w:color w:val="auto"/>
        </w:rPr>
        <w:t>12:00 PM, Eastern Time</w:t>
      </w:r>
      <w:r>
        <w:rPr>
          <w:sz w:val="20"/>
          <w:szCs w:val="20"/>
          <w:color w:val="auto"/>
        </w:rPr>
        <w:tab/>
      </w:r>
      <w:r>
        <w:rPr>
          <w:rFonts w:ascii="Arial" w:cs="Arial" w:eastAsia="Arial" w:hAnsi="Arial"/>
          <w:sz w:val="15"/>
          <w:szCs w:val="15"/>
          <w:color w:val="auto"/>
        </w:rPr>
        <w:t>New York, New York</w:t>
      </w:r>
    </w:p>
    <w:p>
      <w:pPr>
        <w:spacing w:after="0" w:line="284"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Dear Stockholder:</w:t>
      </w:r>
    </w:p>
    <w:p>
      <w:pPr>
        <w:spacing w:after="0" w:line="119" w:lineRule="exact"/>
        <w:rPr>
          <w:sz w:val="20"/>
          <w:szCs w:val="20"/>
          <w:color w:val="auto"/>
        </w:rPr>
      </w:pPr>
    </w:p>
    <w:p>
      <w:pPr>
        <w:ind w:left="820" w:right="220"/>
        <w:spacing w:after="0" w:line="284" w:lineRule="auto"/>
        <w:rPr>
          <w:sz w:val="20"/>
          <w:szCs w:val="20"/>
          <w:color w:val="auto"/>
        </w:rPr>
      </w:pPr>
      <w:r>
        <w:rPr>
          <w:rFonts w:ascii="Arial" w:cs="Arial" w:eastAsia="Arial" w:hAnsi="Arial"/>
          <w:sz w:val="16"/>
          <w:szCs w:val="16"/>
          <w:color w:val="auto"/>
        </w:rPr>
        <w:t>You are invited to attend the 2025 Annual Meeting of stockholders of SL Green Realty Corp., a Maryland corporation, which will be held on June 3, 2025 at 12:00 p.m., Eastern Time in the auditorium at One Vanderbilt Avenue, New York, New York. We strongly encourage you to vote your shares by proxy prior to the Annual Meeting.</w:t>
      </w:r>
    </w:p>
    <w:p>
      <w:pPr>
        <w:spacing w:after="0" w:line="89"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575C8E"/>
        </w:rPr>
        <w:t>Items of Business</w:t>
      </w:r>
      <w:r>
        <w:rPr>
          <w:rFonts w:ascii="Arial" w:cs="Arial" w:eastAsia="Arial" w:hAnsi="Arial"/>
          <w:sz w:val="16"/>
          <w:szCs w:val="16"/>
          <w:color w:val="000000"/>
        </w:rPr>
        <w:t>—the Annual Meeting will be held for the following purposes:</w:t>
      </w:r>
    </w:p>
    <w:p>
      <w:pPr>
        <w:spacing w:after="0" w:line="202" w:lineRule="exact"/>
        <w:rPr>
          <w:sz w:val="20"/>
          <w:szCs w:val="20"/>
          <w:color w:val="auto"/>
        </w:rPr>
      </w:pPr>
    </w:p>
    <w:tbl>
      <w:tblPr>
        <w:tblLayout w:type="fixed"/>
        <w:tblInd w:w="820" w:type="dxa"/>
        <w:tblCellMar>
          <w:top w:w="0" w:type="dxa"/>
          <w:left w:w="0" w:type="dxa"/>
          <w:bottom w:w="0" w:type="dxa"/>
          <w:right w:w="0" w:type="dxa"/>
        </w:tblCellMar>
      </w:tblPr>
      <w:tr>
        <w:trPr>
          <w:trHeight w:val="228"/>
        </w:trPr>
        <w:tc>
          <w:tcPr>
            <w:tcW w:w="200" w:type="dxa"/>
            <w:vAlign w:val="bottom"/>
            <w:tcBorders>
              <w:top w:val="single" w:sz="8" w:color="83AD40"/>
            </w:tcBorders>
          </w:tcPr>
          <w:p>
            <w:pPr>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83AD40"/>
            </w:tcBorders>
          </w:tcPr>
          <w:p>
            <w:pPr>
              <w:spacing w:after="0"/>
              <w:rPr>
                <w:sz w:val="19"/>
                <w:szCs w:val="19"/>
                <w:color w:val="auto"/>
              </w:rPr>
            </w:pPr>
          </w:p>
        </w:tc>
        <w:tc>
          <w:tcPr>
            <w:tcW w:w="160" w:type="dxa"/>
            <w:vAlign w:val="bottom"/>
            <w:tcBorders>
              <w:top w:val="single" w:sz="8" w:color="83AD40"/>
            </w:tcBorders>
          </w:tcPr>
          <w:p>
            <w:pPr>
              <w:spacing w:after="0"/>
              <w:rPr>
                <w:sz w:val="19"/>
                <w:szCs w:val="19"/>
                <w:color w:val="auto"/>
              </w:rPr>
            </w:pPr>
          </w:p>
        </w:tc>
        <w:tc>
          <w:tcPr>
            <w:tcW w:w="1440" w:type="dxa"/>
            <w:vAlign w:val="bottom"/>
            <w:tcBorders>
              <w:top w:val="single" w:sz="8" w:color="83AD40"/>
            </w:tcBorders>
          </w:tcPr>
          <w:p>
            <w:pPr>
              <w:spacing w:after="0"/>
              <w:rPr>
                <w:sz w:val="19"/>
                <w:szCs w:val="19"/>
                <w:color w:val="auto"/>
              </w:rPr>
            </w:pPr>
          </w:p>
        </w:tc>
        <w:tc>
          <w:tcPr>
            <w:tcW w:w="160" w:type="dxa"/>
            <w:vAlign w:val="bottom"/>
            <w:tcBorders>
              <w:top w:val="single" w:sz="8" w:color="83AD40"/>
              <w:right w:val="single" w:sz="8" w:color="83AD40"/>
            </w:tcBorders>
          </w:tcPr>
          <w:p>
            <w:pPr>
              <w:ind w:left="6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83AD40"/>
            </w:tcBorders>
          </w:tcPr>
          <w:p>
            <w:pPr>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83AD40"/>
            </w:tcBorders>
          </w:tcPr>
          <w:p>
            <w:pPr>
              <w:spacing w:after="0"/>
              <w:rPr>
                <w:sz w:val="19"/>
                <w:szCs w:val="19"/>
                <w:color w:val="auto"/>
              </w:rPr>
            </w:pPr>
          </w:p>
        </w:tc>
        <w:tc>
          <w:tcPr>
            <w:tcW w:w="160" w:type="dxa"/>
            <w:vAlign w:val="bottom"/>
            <w:tcBorders>
              <w:top w:val="single" w:sz="8" w:color="83AD40"/>
            </w:tcBorders>
          </w:tcPr>
          <w:p>
            <w:pPr>
              <w:spacing w:after="0"/>
              <w:rPr>
                <w:sz w:val="19"/>
                <w:szCs w:val="19"/>
                <w:color w:val="auto"/>
              </w:rPr>
            </w:pPr>
          </w:p>
        </w:tc>
        <w:tc>
          <w:tcPr>
            <w:tcW w:w="1420" w:type="dxa"/>
            <w:vAlign w:val="bottom"/>
            <w:tcBorders>
              <w:top w:val="single" w:sz="8" w:color="83AD40"/>
            </w:tcBorders>
          </w:tcPr>
          <w:p>
            <w:pPr>
              <w:spacing w:after="0"/>
              <w:rPr>
                <w:sz w:val="19"/>
                <w:szCs w:val="19"/>
                <w:color w:val="auto"/>
              </w:rPr>
            </w:pPr>
          </w:p>
        </w:tc>
        <w:tc>
          <w:tcPr>
            <w:tcW w:w="180" w:type="dxa"/>
            <w:vAlign w:val="bottom"/>
            <w:tcBorders>
              <w:top w:val="single" w:sz="8" w:color="83AD40"/>
              <w:right w:val="single" w:sz="8" w:color="83AD40"/>
            </w:tcBorders>
          </w:tcPr>
          <w:p>
            <w:pPr>
              <w:ind w:left="8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83AD40"/>
            </w:tcBorders>
          </w:tcPr>
          <w:p>
            <w:pPr>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83AD40"/>
            </w:tcBorders>
          </w:tcPr>
          <w:p>
            <w:pPr>
              <w:spacing w:after="0"/>
              <w:rPr>
                <w:sz w:val="19"/>
                <w:szCs w:val="19"/>
                <w:color w:val="auto"/>
              </w:rPr>
            </w:pPr>
          </w:p>
        </w:tc>
        <w:tc>
          <w:tcPr>
            <w:tcW w:w="160" w:type="dxa"/>
            <w:vAlign w:val="bottom"/>
            <w:tcBorders>
              <w:top w:val="single" w:sz="8" w:color="83AD40"/>
            </w:tcBorders>
          </w:tcPr>
          <w:p>
            <w:pPr>
              <w:spacing w:after="0"/>
              <w:rPr>
                <w:sz w:val="19"/>
                <w:szCs w:val="19"/>
                <w:color w:val="auto"/>
              </w:rPr>
            </w:pPr>
          </w:p>
        </w:tc>
        <w:tc>
          <w:tcPr>
            <w:tcW w:w="1500" w:type="dxa"/>
            <w:vAlign w:val="bottom"/>
            <w:tcBorders>
              <w:top w:val="single" w:sz="8" w:color="83AD40"/>
            </w:tcBorders>
          </w:tcPr>
          <w:p>
            <w:pPr>
              <w:spacing w:after="0"/>
              <w:rPr>
                <w:sz w:val="19"/>
                <w:szCs w:val="19"/>
                <w:color w:val="auto"/>
              </w:rPr>
            </w:pPr>
          </w:p>
        </w:tc>
        <w:tc>
          <w:tcPr>
            <w:tcW w:w="120" w:type="dxa"/>
            <w:vAlign w:val="bottom"/>
            <w:tcBorders>
              <w:top w:val="single" w:sz="8" w:color="83AD40"/>
              <w:right w:val="single" w:sz="8" w:color="83AD40"/>
            </w:tcBorders>
          </w:tcPr>
          <w:p>
            <w:pPr>
              <w:ind w:left="20"/>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83AD40"/>
            </w:tcBorders>
          </w:tcPr>
          <w:p>
            <w:pPr>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83AD40"/>
            </w:tcBorders>
          </w:tcPr>
          <w:p>
            <w:pPr>
              <w:spacing w:after="0"/>
              <w:rPr>
                <w:sz w:val="19"/>
                <w:szCs w:val="19"/>
                <w:color w:val="auto"/>
              </w:rPr>
            </w:pPr>
          </w:p>
        </w:tc>
        <w:tc>
          <w:tcPr>
            <w:tcW w:w="160" w:type="dxa"/>
            <w:vAlign w:val="bottom"/>
            <w:tcBorders>
              <w:top w:val="single" w:sz="8" w:color="83AD40"/>
            </w:tcBorders>
          </w:tcPr>
          <w:p>
            <w:pPr>
              <w:spacing w:after="0"/>
              <w:rPr>
                <w:sz w:val="19"/>
                <w:szCs w:val="19"/>
                <w:color w:val="auto"/>
              </w:rPr>
            </w:pPr>
          </w:p>
        </w:tc>
        <w:tc>
          <w:tcPr>
            <w:tcW w:w="1480" w:type="dxa"/>
            <w:vAlign w:val="bottom"/>
            <w:tcBorders>
              <w:top w:val="single" w:sz="8" w:color="83AD40"/>
            </w:tcBorders>
          </w:tcPr>
          <w:p>
            <w:pPr>
              <w:spacing w:after="0"/>
              <w:rPr>
                <w:sz w:val="19"/>
                <w:szCs w:val="19"/>
                <w:color w:val="auto"/>
              </w:rPr>
            </w:pPr>
          </w:p>
        </w:tc>
        <w:tc>
          <w:tcPr>
            <w:tcW w:w="140" w:type="dxa"/>
            <w:vAlign w:val="bottom"/>
            <w:tcBorders>
              <w:top w:val="single" w:sz="8" w:color="83AD40"/>
            </w:tcBorders>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87"/>
        </w:trPr>
        <w:tc>
          <w:tcPr>
            <w:tcW w:w="200" w:type="dxa"/>
            <w:vAlign w:val="bottom"/>
          </w:tcPr>
          <w:p>
            <w:pPr>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Borders>
              <w:right w:val="single" w:sz="8" w:color="83AD40"/>
            </w:tcBorders>
          </w:tcPr>
          <w:p>
            <w:pPr>
              <w:ind w:lef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2020" w:type="dxa"/>
            <w:vAlign w:val="bottom"/>
            <w:gridSpan w:val="3"/>
            <w:vMerge w:val="restart"/>
          </w:tcPr>
          <w:p>
            <w:pPr>
              <w:ind w:left="20"/>
              <w:spacing w:after="0"/>
              <w:rPr>
                <w:sz w:val="20"/>
                <w:szCs w:val="20"/>
                <w:color w:val="auto"/>
              </w:rPr>
            </w:pPr>
            <w:r>
              <w:rPr>
                <w:rFonts w:ascii="Arial" w:cs="Arial" w:eastAsia="Arial" w:hAnsi="Arial"/>
                <w:sz w:val="16"/>
                <w:szCs w:val="16"/>
                <w:color w:val="auto"/>
              </w:rPr>
              <w:t>To hold an advisory vote on</w:t>
            </w:r>
          </w:p>
        </w:tc>
        <w:tc>
          <w:tcPr>
            <w:tcW w:w="180" w:type="dxa"/>
            <w:vAlign w:val="bottom"/>
            <w:tcBorders>
              <w:right w:val="single" w:sz="8" w:color="83AD40"/>
            </w:tcBorders>
          </w:tcPr>
          <w:p>
            <w:pPr>
              <w:ind w:lef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2100" w:type="dxa"/>
            <w:vAlign w:val="bottom"/>
            <w:gridSpan w:val="3"/>
            <w:vMerge w:val="restart"/>
          </w:tcPr>
          <w:p>
            <w:pPr>
              <w:ind w:left="20"/>
              <w:spacing w:after="0"/>
              <w:rPr>
                <w:sz w:val="20"/>
                <w:szCs w:val="20"/>
                <w:color w:val="auto"/>
              </w:rPr>
            </w:pPr>
            <w:r>
              <w:rPr>
                <w:rFonts w:ascii="Arial" w:cs="Arial" w:eastAsia="Arial" w:hAnsi="Arial"/>
                <w:sz w:val="16"/>
                <w:szCs w:val="16"/>
                <w:color w:val="auto"/>
              </w:rPr>
              <w:t>To ratify the appointment of</w:t>
            </w:r>
          </w:p>
        </w:tc>
        <w:tc>
          <w:tcPr>
            <w:tcW w:w="120" w:type="dxa"/>
            <w:vAlign w:val="bottom"/>
            <w:tcBorders>
              <w:right w:val="single" w:sz="8" w:color="83AD40"/>
            </w:tcBorders>
          </w:tcPr>
          <w:p>
            <w:pPr>
              <w:ind w:left="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r>
              <w:rPr>
                <w:rFonts w:ascii="Arial" w:cs="Arial" w:eastAsia="Arial" w:hAnsi="Arial"/>
                <w:sz w:val="16"/>
                <w:szCs w:val="16"/>
                <w:color w:val="auto"/>
              </w:rPr>
              <w:t>​</w:t>
            </w:r>
          </w:p>
        </w:tc>
        <w:tc>
          <w:tcPr>
            <w:tcW w:w="2100" w:type="dxa"/>
            <w:vAlign w:val="bottom"/>
            <w:gridSpan w:val="3"/>
            <w:vMerge w:val="restart"/>
          </w:tcPr>
          <w:p>
            <w:pPr>
              <w:ind w:left="40"/>
              <w:spacing w:after="0"/>
              <w:rPr>
                <w:sz w:val="20"/>
                <w:szCs w:val="20"/>
                <w:color w:val="auto"/>
              </w:rPr>
            </w:pPr>
            <w:r>
              <w:rPr>
                <w:rFonts w:ascii="Arial" w:cs="Arial" w:eastAsia="Arial" w:hAnsi="Arial"/>
                <w:sz w:val="16"/>
                <w:szCs w:val="16"/>
                <w:color w:val="auto"/>
              </w:rPr>
              <w:t>To approve the Sixth</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3"/>
        </w:trPr>
        <w:tc>
          <w:tcPr>
            <w:tcW w:w="2020" w:type="dxa"/>
            <w:vAlign w:val="bottom"/>
            <w:gridSpan w:val="4"/>
          </w:tcPr>
          <w:p>
            <w:pPr>
              <w:spacing w:after="0" w:line="54" w:lineRule="exact"/>
              <w:rPr>
                <w:sz w:val="20"/>
                <w:szCs w:val="20"/>
                <w:color w:val="auto"/>
              </w:rPr>
            </w:pPr>
            <w:r>
              <w:rPr>
                <w:rFonts w:ascii="Arial" w:cs="Arial" w:eastAsia="Arial" w:hAnsi="Arial"/>
                <w:sz w:val="6"/>
                <w:szCs w:val="6"/>
                <w:color w:val="auto"/>
              </w:rPr>
              <w:t>To elect the eight director</w:t>
            </w:r>
          </w:p>
        </w:tc>
        <w:tc>
          <w:tcPr>
            <w:tcW w:w="160" w:type="dxa"/>
            <w:vAlign w:val="bottom"/>
            <w:tcBorders>
              <w:right w:val="single" w:sz="8" w:color="83AD40"/>
            </w:tcBorders>
          </w:tcPr>
          <w:p>
            <w:pPr>
              <w:spacing w:after="0"/>
              <w:rPr>
                <w:sz w:val="4"/>
                <w:szCs w:val="4"/>
                <w:color w:val="auto"/>
              </w:rPr>
            </w:pPr>
          </w:p>
        </w:tc>
        <w:tc>
          <w:tcPr>
            <w:tcW w:w="80" w:type="dxa"/>
            <w:vAlign w:val="bottom"/>
          </w:tcPr>
          <w:p>
            <w:pPr>
              <w:spacing w:after="0"/>
              <w:rPr>
                <w:sz w:val="4"/>
                <w:szCs w:val="4"/>
                <w:color w:val="auto"/>
              </w:rPr>
            </w:pPr>
          </w:p>
        </w:tc>
        <w:tc>
          <w:tcPr>
            <w:tcW w:w="2020" w:type="dxa"/>
            <w:vAlign w:val="bottom"/>
            <w:gridSpan w:val="3"/>
            <w:vMerge w:val="continue"/>
          </w:tcPr>
          <w:p>
            <w:pPr>
              <w:spacing w:after="0"/>
              <w:rPr>
                <w:sz w:val="4"/>
                <w:szCs w:val="4"/>
                <w:color w:val="auto"/>
              </w:rPr>
            </w:pPr>
          </w:p>
        </w:tc>
        <w:tc>
          <w:tcPr>
            <w:tcW w:w="180" w:type="dxa"/>
            <w:vAlign w:val="bottom"/>
            <w:tcBorders>
              <w:right w:val="single" w:sz="8" w:color="83AD40"/>
            </w:tcBorders>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gridSpan w:val="3"/>
            <w:vMerge w:val="continue"/>
          </w:tcPr>
          <w:p>
            <w:pPr>
              <w:spacing w:after="0"/>
              <w:rPr>
                <w:sz w:val="4"/>
                <w:szCs w:val="4"/>
                <w:color w:val="auto"/>
              </w:rPr>
            </w:pPr>
          </w:p>
        </w:tc>
        <w:tc>
          <w:tcPr>
            <w:tcW w:w="120" w:type="dxa"/>
            <w:vAlign w:val="bottom"/>
            <w:tcBorders>
              <w:right w:val="single" w:sz="8" w:color="83AD40"/>
            </w:tcBorders>
          </w:tcPr>
          <w:p>
            <w:pPr>
              <w:spacing w:after="0"/>
              <w:rPr>
                <w:sz w:val="4"/>
                <w:szCs w:val="4"/>
                <w:color w:val="auto"/>
              </w:rPr>
            </w:pPr>
          </w:p>
        </w:tc>
        <w:tc>
          <w:tcPr>
            <w:tcW w:w="60" w:type="dxa"/>
            <w:vAlign w:val="bottom"/>
          </w:tcPr>
          <w:p>
            <w:pPr>
              <w:spacing w:after="0"/>
              <w:rPr>
                <w:sz w:val="4"/>
                <w:szCs w:val="4"/>
                <w:color w:val="auto"/>
              </w:rPr>
            </w:pPr>
          </w:p>
        </w:tc>
        <w:tc>
          <w:tcPr>
            <w:tcW w:w="210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20" w:type="dxa"/>
            <w:vAlign w:val="bottom"/>
            <w:gridSpan w:val="4"/>
          </w:tcPr>
          <w:p>
            <w:pPr>
              <w:spacing w:after="0"/>
              <w:rPr>
                <w:sz w:val="20"/>
                <w:szCs w:val="20"/>
                <w:color w:val="auto"/>
              </w:rPr>
            </w:pPr>
            <w:r>
              <w:rPr>
                <w:rFonts w:ascii="Arial" w:cs="Arial" w:eastAsia="Arial" w:hAnsi="Arial"/>
                <w:sz w:val="16"/>
                <w:szCs w:val="16"/>
                <w:color w:val="auto"/>
              </w:rPr>
              <w:t>nominees named in the</w:t>
            </w:r>
          </w:p>
        </w:tc>
        <w:tc>
          <w:tcPr>
            <w:tcW w:w="160" w:type="dxa"/>
            <w:vAlign w:val="bottom"/>
            <w:tcBorders>
              <w:right w:val="single" w:sz="8" w:color="83AD40"/>
            </w:tcBorders>
          </w:tcPr>
          <w:p>
            <w:pPr>
              <w:spacing w:after="0"/>
              <w:rPr>
                <w:sz w:val="16"/>
                <w:szCs w:val="16"/>
                <w:color w:val="auto"/>
              </w:rPr>
            </w:pPr>
          </w:p>
        </w:tc>
        <w:tc>
          <w:tcPr>
            <w:tcW w:w="80" w:type="dxa"/>
            <w:vAlign w:val="bottom"/>
          </w:tcPr>
          <w:p>
            <w:pPr>
              <w:spacing w:after="0"/>
              <w:rPr>
                <w:sz w:val="16"/>
                <w:szCs w:val="16"/>
                <w:color w:val="auto"/>
              </w:rPr>
            </w:pPr>
          </w:p>
        </w:tc>
        <w:tc>
          <w:tcPr>
            <w:tcW w:w="2020" w:type="dxa"/>
            <w:vAlign w:val="bottom"/>
            <w:gridSpan w:val="3"/>
          </w:tcPr>
          <w:p>
            <w:pPr>
              <w:ind w:left="20"/>
              <w:spacing w:after="0"/>
              <w:rPr>
                <w:sz w:val="20"/>
                <w:szCs w:val="20"/>
                <w:color w:val="auto"/>
              </w:rPr>
            </w:pPr>
            <w:r>
              <w:rPr>
                <w:rFonts w:ascii="Arial" w:cs="Arial" w:eastAsia="Arial" w:hAnsi="Arial"/>
                <w:sz w:val="16"/>
                <w:szCs w:val="16"/>
                <w:color w:val="auto"/>
              </w:rPr>
              <w:t>executive compensation</w:t>
            </w:r>
          </w:p>
        </w:tc>
        <w:tc>
          <w:tcPr>
            <w:tcW w:w="180" w:type="dxa"/>
            <w:vAlign w:val="bottom"/>
            <w:tcBorders>
              <w:right w:val="single" w:sz="8" w:color="83AD40"/>
            </w:tcBorders>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gridSpan w:val="3"/>
          </w:tcPr>
          <w:p>
            <w:pPr>
              <w:ind w:left="20"/>
              <w:spacing w:after="0"/>
              <w:rPr>
                <w:sz w:val="20"/>
                <w:szCs w:val="20"/>
                <w:color w:val="auto"/>
              </w:rPr>
            </w:pPr>
            <w:r>
              <w:rPr>
                <w:rFonts w:ascii="Arial" w:cs="Arial" w:eastAsia="Arial" w:hAnsi="Arial"/>
                <w:sz w:val="16"/>
                <w:szCs w:val="16"/>
                <w:color w:val="auto"/>
                <w:w w:val="98"/>
              </w:rPr>
              <w:t>Deloitte &amp; Touche LLP as our</w:t>
            </w:r>
          </w:p>
        </w:tc>
        <w:tc>
          <w:tcPr>
            <w:tcW w:w="120" w:type="dxa"/>
            <w:vAlign w:val="bottom"/>
            <w:tcBorders>
              <w:right w:val="single" w:sz="8" w:color="83AD40"/>
            </w:tcBorders>
          </w:tcPr>
          <w:p>
            <w:pPr>
              <w:spacing w:after="0"/>
              <w:rPr>
                <w:sz w:val="16"/>
                <w:szCs w:val="16"/>
                <w:color w:val="auto"/>
              </w:rPr>
            </w:pPr>
          </w:p>
        </w:tc>
        <w:tc>
          <w:tcPr>
            <w:tcW w:w="60" w:type="dxa"/>
            <w:vAlign w:val="bottom"/>
          </w:tcPr>
          <w:p>
            <w:pPr>
              <w:spacing w:after="0"/>
              <w:rPr>
                <w:sz w:val="16"/>
                <w:szCs w:val="16"/>
                <w:color w:val="auto"/>
              </w:rPr>
            </w:pPr>
          </w:p>
        </w:tc>
        <w:tc>
          <w:tcPr>
            <w:tcW w:w="2100" w:type="dxa"/>
            <w:vAlign w:val="bottom"/>
            <w:gridSpan w:val="3"/>
          </w:tcPr>
          <w:p>
            <w:pPr>
              <w:ind w:left="40"/>
              <w:spacing w:after="0"/>
              <w:rPr>
                <w:sz w:val="20"/>
                <w:szCs w:val="20"/>
                <w:color w:val="auto"/>
              </w:rPr>
            </w:pPr>
            <w:r>
              <w:rPr>
                <w:rFonts w:ascii="Arial" w:cs="Arial" w:eastAsia="Arial" w:hAnsi="Arial"/>
                <w:sz w:val="16"/>
                <w:szCs w:val="16"/>
                <w:color w:val="auto"/>
                <w:w w:val="97"/>
              </w:rPr>
              <w:t>Amended and Restated 2005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20" w:type="dxa"/>
            <w:vAlign w:val="bottom"/>
            <w:gridSpan w:val="4"/>
          </w:tcPr>
          <w:p>
            <w:pPr>
              <w:spacing w:after="0" w:line="176" w:lineRule="exact"/>
              <w:rPr>
                <w:sz w:val="20"/>
                <w:szCs w:val="20"/>
                <w:color w:val="auto"/>
              </w:rPr>
            </w:pPr>
            <w:r>
              <w:rPr>
                <w:rFonts w:ascii="Arial" w:cs="Arial" w:eastAsia="Arial" w:hAnsi="Arial"/>
                <w:sz w:val="16"/>
                <w:szCs w:val="16"/>
                <w:color w:val="auto"/>
              </w:rPr>
              <w:t>proxy statement to serve on</w:t>
            </w:r>
          </w:p>
        </w:tc>
        <w:tc>
          <w:tcPr>
            <w:tcW w:w="160" w:type="dxa"/>
            <w:vAlign w:val="bottom"/>
            <w:tcBorders>
              <w:right w:val="single" w:sz="8" w:color="83AD40"/>
            </w:tcBorders>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gridSpan w:val="3"/>
          </w:tcPr>
          <w:p>
            <w:pPr>
              <w:ind w:left="20"/>
              <w:spacing w:after="0" w:line="176" w:lineRule="exact"/>
              <w:rPr>
                <w:sz w:val="20"/>
                <w:szCs w:val="20"/>
                <w:color w:val="auto"/>
              </w:rPr>
            </w:pPr>
            <w:r>
              <w:rPr>
                <w:rFonts w:ascii="Arial" w:cs="Arial" w:eastAsia="Arial" w:hAnsi="Arial"/>
                <w:sz w:val="14"/>
                <w:szCs w:val="14"/>
                <w:b w:val="1"/>
                <w:bCs w:val="1"/>
                <w:color w:val="1F2668"/>
              </w:rPr>
              <w:t>PAGE 40</w:t>
            </w:r>
            <w:r>
              <w:rPr>
                <w:rFonts w:ascii="Arial" w:cs="Arial" w:eastAsia="Arial" w:hAnsi="Arial"/>
                <w:sz w:val="16"/>
                <w:szCs w:val="16"/>
                <w:color w:val="000000"/>
              </w:rPr>
              <w:t xml:space="preserve"> </w:t>
            </w:r>
          </w:p>
        </w:tc>
        <w:tc>
          <w:tcPr>
            <w:tcW w:w="180" w:type="dxa"/>
            <w:vAlign w:val="bottom"/>
            <w:tcBorders>
              <w:right w:val="single" w:sz="8" w:color="83AD40"/>
            </w:tcBorders>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gridSpan w:val="3"/>
          </w:tcPr>
          <w:p>
            <w:pPr>
              <w:ind w:left="20"/>
              <w:spacing w:after="0" w:line="176" w:lineRule="exact"/>
              <w:rPr>
                <w:sz w:val="20"/>
                <w:szCs w:val="20"/>
                <w:color w:val="auto"/>
              </w:rPr>
            </w:pPr>
            <w:r>
              <w:rPr>
                <w:rFonts w:ascii="Arial" w:cs="Arial" w:eastAsia="Arial" w:hAnsi="Arial"/>
                <w:sz w:val="16"/>
                <w:szCs w:val="16"/>
                <w:color w:val="auto"/>
                <w:w w:val="98"/>
              </w:rPr>
              <w:t>independent registered public</w:t>
            </w:r>
          </w:p>
        </w:tc>
        <w:tc>
          <w:tcPr>
            <w:tcW w:w="120" w:type="dxa"/>
            <w:vAlign w:val="bottom"/>
            <w:tcBorders>
              <w:right w:val="single" w:sz="8" w:color="83AD40"/>
            </w:tcBorders>
          </w:tcPr>
          <w:p>
            <w:pPr>
              <w:spacing w:after="0"/>
              <w:rPr>
                <w:sz w:val="15"/>
                <w:szCs w:val="15"/>
                <w:color w:val="auto"/>
              </w:rPr>
            </w:pPr>
          </w:p>
        </w:tc>
        <w:tc>
          <w:tcPr>
            <w:tcW w:w="60" w:type="dxa"/>
            <w:vAlign w:val="bottom"/>
          </w:tcPr>
          <w:p>
            <w:pPr>
              <w:spacing w:after="0"/>
              <w:rPr>
                <w:sz w:val="15"/>
                <w:szCs w:val="15"/>
                <w:color w:val="auto"/>
              </w:rPr>
            </w:pPr>
          </w:p>
        </w:tc>
        <w:tc>
          <w:tcPr>
            <w:tcW w:w="2100" w:type="dxa"/>
            <w:vAlign w:val="bottom"/>
            <w:gridSpan w:val="3"/>
          </w:tcPr>
          <w:p>
            <w:pPr>
              <w:ind w:left="40"/>
              <w:spacing w:after="0" w:line="176" w:lineRule="exact"/>
              <w:rPr>
                <w:sz w:val="20"/>
                <w:szCs w:val="20"/>
                <w:color w:val="auto"/>
              </w:rPr>
            </w:pPr>
            <w:r>
              <w:rPr>
                <w:rFonts w:ascii="Arial" w:cs="Arial" w:eastAsia="Arial" w:hAnsi="Arial"/>
                <w:sz w:val="16"/>
                <w:szCs w:val="16"/>
                <w:color w:val="auto"/>
              </w:rPr>
              <w:t>Stock Option and Incentive</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20" w:type="dxa"/>
            <w:vAlign w:val="bottom"/>
            <w:gridSpan w:val="4"/>
          </w:tcPr>
          <w:p>
            <w:pPr>
              <w:spacing w:after="0" w:line="182" w:lineRule="exact"/>
              <w:rPr>
                <w:sz w:val="20"/>
                <w:szCs w:val="20"/>
                <w:color w:val="auto"/>
              </w:rPr>
            </w:pPr>
            <w:r>
              <w:rPr>
                <w:rFonts w:ascii="Arial" w:cs="Arial" w:eastAsia="Arial" w:hAnsi="Arial"/>
                <w:sz w:val="16"/>
                <w:szCs w:val="16"/>
                <w:color w:val="auto"/>
              </w:rPr>
              <w:t>the Board of Directors for a</w:t>
            </w:r>
          </w:p>
        </w:tc>
        <w:tc>
          <w:tcPr>
            <w:tcW w:w="160" w:type="dxa"/>
            <w:vAlign w:val="bottom"/>
            <w:tcBorders>
              <w:right w:val="single" w:sz="8" w:color="83AD40"/>
            </w:tcBorders>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Borders>
              <w:top w:val="single" w:sz="8" w:color="1F2668"/>
            </w:tcBorders>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Borders>
              <w:right w:val="single" w:sz="8" w:color="83AD40"/>
            </w:tcBorders>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gridSpan w:val="3"/>
          </w:tcPr>
          <w:p>
            <w:pPr>
              <w:ind w:left="20"/>
              <w:spacing w:after="0" w:line="182" w:lineRule="exact"/>
              <w:rPr>
                <w:sz w:val="20"/>
                <w:szCs w:val="20"/>
                <w:color w:val="auto"/>
              </w:rPr>
            </w:pPr>
            <w:r>
              <w:rPr>
                <w:rFonts w:ascii="Arial" w:cs="Arial" w:eastAsia="Arial" w:hAnsi="Arial"/>
                <w:sz w:val="16"/>
                <w:szCs w:val="16"/>
                <w:color w:val="auto"/>
              </w:rPr>
              <w:t>accounting firm for the fiscal</w:t>
            </w:r>
          </w:p>
        </w:tc>
        <w:tc>
          <w:tcPr>
            <w:tcW w:w="120" w:type="dxa"/>
            <w:vAlign w:val="bottom"/>
            <w:tcBorders>
              <w:right w:val="single" w:sz="8" w:color="83AD40"/>
            </w:tcBorders>
          </w:tcPr>
          <w:p>
            <w:pPr>
              <w:spacing w:after="0"/>
              <w:rPr>
                <w:sz w:val="15"/>
                <w:szCs w:val="15"/>
                <w:color w:val="auto"/>
              </w:rPr>
            </w:pPr>
          </w:p>
        </w:tc>
        <w:tc>
          <w:tcPr>
            <w:tcW w:w="60" w:type="dxa"/>
            <w:vAlign w:val="bottom"/>
          </w:tcPr>
          <w:p>
            <w:pPr>
              <w:spacing w:after="0"/>
              <w:rPr>
                <w:sz w:val="15"/>
                <w:szCs w:val="15"/>
                <w:color w:val="auto"/>
              </w:rPr>
            </w:pPr>
          </w:p>
        </w:tc>
        <w:tc>
          <w:tcPr>
            <w:tcW w:w="2100" w:type="dxa"/>
            <w:vAlign w:val="bottom"/>
            <w:gridSpan w:val="3"/>
          </w:tcPr>
          <w:p>
            <w:pPr>
              <w:ind w:left="40"/>
              <w:spacing w:after="0" w:line="182" w:lineRule="exact"/>
              <w:rPr>
                <w:sz w:val="20"/>
                <w:szCs w:val="20"/>
                <w:color w:val="auto"/>
              </w:rPr>
            </w:pPr>
            <w:r>
              <w:rPr>
                <w:rFonts w:ascii="Arial" w:cs="Arial" w:eastAsia="Arial" w:hAnsi="Arial"/>
                <w:sz w:val="16"/>
                <w:szCs w:val="16"/>
                <w:color w:val="auto"/>
              </w:rPr>
              <w:t>Plan</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20" w:type="dxa"/>
            <w:vAlign w:val="bottom"/>
            <w:gridSpan w:val="4"/>
          </w:tcPr>
          <w:p>
            <w:pPr>
              <w:spacing w:after="0" w:line="176" w:lineRule="exact"/>
              <w:rPr>
                <w:sz w:val="20"/>
                <w:szCs w:val="20"/>
                <w:color w:val="auto"/>
              </w:rPr>
            </w:pPr>
            <w:r>
              <w:rPr>
                <w:rFonts w:ascii="Arial" w:cs="Arial" w:eastAsia="Arial" w:hAnsi="Arial"/>
                <w:sz w:val="16"/>
                <w:szCs w:val="16"/>
                <w:color w:val="auto"/>
                <w:w w:val="99"/>
              </w:rPr>
              <w:t>one-year term and until their</w:t>
            </w:r>
          </w:p>
        </w:tc>
        <w:tc>
          <w:tcPr>
            <w:tcW w:w="160" w:type="dxa"/>
            <w:vAlign w:val="bottom"/>
            <w:tcBorders>
              <w:right w:val="single" w:sz="8" w:color="83AD40"/>
            </w:tcBorders>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Borders>
              <w:right w:val="single" w:sz="8" w:color="83AD40"/>
            </w:tcBorders>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gridSpan w:val="3"/>
          </w:tcPr>
          <w:p>
            <w:pPr>
              <w:ind w:left="20"/>
              <w:spacing w:after="0" w:line="176" w:lineRule="exact"/>
              <w:rPr>
                <w:sz w:val="20"/>
                <w:szCs w:val="20"/>
                <w:color w:val="auto"/>
              </w:rPr>
            </w:pPr>
            <w:r>
              <w:rPr>
                <w:rFonts w:ascii="Arial" w:cs="Arial" w:eastAsia="Arial" w:hAnsi="Arial"/>
                <w:sz w:val="16"/>
                <w:szCs w:val="16"/>
                <w:color w:val="auto"/>
              </w:rPr>
              <w:t>year ending December 31,</w:t>
            </w:r>
          </w:p>
        </w:tc>
        <w:tc>
          <w:tcPr>
            <w:tcW w:w="120" w:type="dxa"/>
            <w:vAlign w:val="bottom"/>
            <w:tcBorders>
              <w:right w:val="single" w:sz="8" w:color="83AD40"/>
            </w:tcBorders>
          </w:tcPr>
          <w:p>
            <w:pPr>
              <w:spacing w:after="0"/>
              <w:rPr>
                <w:sz w:val="15"/>
                <w:szCs w:val="15"/>
                <w:color w:val="auto"/>
              </w:rPr>
            </w:pPr>
          </w:p>
        </w:tc>
        <w:tc>
          <w:tcPr>
            <w:tcW w:w="60" w:type="dxa"/>
            <w:vAlign w:val="bottom"/>
          </w:tcPr>
          <w:p>
            <w:pPr>
              <w:spacing w:after="0"/>
              <w:rPr>
                <w:sz w:val="15"/>
                <w:szCs w:val="15"/>
                <w:color w:val="auto"/>
              </w:rPr>
            </w:pPr>
          </w:p>
        </w:tc>
        <w:tc>
          <w:tcPr>
            <w:tcW w:w="2100" w:type="dxa"/>
            <w:vAlign w:val="bottom"/>
            <w:gridSpan w:val="3"/>
          </w:tcPr>
          <w:p>
            <w:pPr>
              <w:ind w:left="40"/>
              <w:spacing w:after="0" w:line="176" w:lineRule="exact"/>
              <w:rPr>
                <w:sz w:val="20"/>
                <w:szCs w:val="20"/>
                <w:color w:val="auto"/>
              </w:rPr>
            </w:pPr>
            <w:r>
              <w:rPr>
                <w:rFonts w:ascii="Arial" w:cs="Arial" w:eastAsia="Arial" w:hAnsi="Arial"/>
                <w:sz w:val="14"/>
                <w:szCs w:val="14"/>
                <w:b w:val="1"/>
                <w:bCs w:val="1"/>
                <w:color w:val="1F2668"/>
              </w:rPr>
              <w:t>PAGE 86</w:t>
            </w:r>
            <w:r>
              <w:rPr>
                <w:rFonts w:ascii="Arial" w:cs="Arial" w:eastAsia="Arial" w:hAnsi="Arial"/>
                <w:sz w:val="16"/>
                <w:szCs w:val="16"/>
                <w:color w:val="000000"/>
              </w:rPr>
              <w:t xml:space="preserve"> </w:t>
            </w:r>
            <w:r>
              <w:rPr>
                <w:rFonts w:ascii="Arial" w:cs="Arial" w:eastAsia="Arial" w:hAnsi="Arial"/>
                <w:sz w:val="14"/>
                <w:szCs w:val="14"/>
                <w:b w:val="1"/>
                <w:bCs w:val="1"/>
                <w:color w:val="1F2668"/>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20" w:type="dxa"/>
            <w:vAlign w:val="bottom"/>
            <w:gridSpan w:val="4"/>
          </w:tcPr>
          <w:p>
            <w:pPr>
              <w:spacing w:after="0" w:line="182" w:lineRule="exact"/>
              <w:rPr>
                <w:sz w:val="20"/>
                <w:szCs w:val="20"/>
                <w:color w:val="auto"/>
              </w:rPr>
            </w:pPr>
            <w:r>
              <w:rPr>
                <w:rFonts w:ascii="Arial" w:cs="Arial" w:eastAsia="Arial" w:hAnsi="Arial"/>
                <w:sz w:val="16"/>
                <w:szCs w:val="16"/>
                <w:color w:val="auto"/>
              </w:rPr>
              <w:t>successors are duly elected</w:t>
            </w:r>
          </w:p>
        </w:tc>
        <w:tc>
          <w:tcPr>
            <w:tcW w:w="160" w:type="dxa"/>
            <w:vAlign w:val="bottom"/>
            <w:tcBorders>
              <w:right w:val="single" w:sz="8" w:color="83AD40"/>
            </w:tcBorders>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Borders>
              <w:right w:val="single" w:sz="8" w:color="83AD40"/>
            </w:tcBorders>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ind w:left="20"/>
              <w:spacing w:after="0" w:line="182" w:lineRule="exact"/>
              <w:rPr>
                <w:sz w:val="20"/>
                <w:szCs w:val="20"/>
                <w:color w:val="auto"/>
              </w:rPr>
            </w:pPr>
            <w:r>
              <w:rPr>
                <w:rFonts w:ascii="Arial" w:cs="Arial" w:eastAsia="Arial" w:hAnsi="Arial"/>
                <w:sz w:val="16"/>
                <w:szCs w:val="16"/>
                <w:color w:val="auto"/>
              </w:rPr>
              <w:t>2025</w:t>
            </w: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Borders>
              <w:right w:val="single" w:sz="8" w:color="83AD40"/>
            </w:tcBorders>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Borders>
              <w:top w:val="single" w:sz="8" w:color="1F2668"/>
            </w:tcBorders>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20" w:type="dxa"/>
            <w:vAlign w:val="bottom"/>
            <w:gridSpan w:val="4"/>
          </w:tcPr>
          <w:p>
            <w:pPr>
              <w:spacing w:after="0" w:line="176" w:lineRule="exact"/>
              <w:rPr>
                <w:sz w:val="20"/>
                <w:szCs w:val="20"/>
                <w:color w:val="auto"/>
              </w:rPr>
            </w:pPr>
            <w:r>
              <w:rPr>
                <w:rFonts w:ascii="Arial" w:cs="Arial" w:eastAsia="Arial" w:hAnsi="Arial"/>
                <w:sz w:val="16"/>
                <w:szCs w:val="16"/>
                <w:color w:val="auto"/>
              </w:rPr>
              <w:t>and qualify</w:t>
            </w:r>
          </w:p>
        </w:tc>
        <w:tc>
          <w:tcPr>
            <w:tcW w:w="160" w:type="dxa"/>
            <w:vAlign w:val="bottom"/>
            <w:tcBorders>
              <w:right w:val="single" w:sz="8" w:color="83AD40"/>
            </w:tcBorders>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Borders>
              <w:right w:val="single" w:sz="8" w:color="83AD40"/>
            </w:tcBorders>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gridSpan w:val="3"/>
          </w:tcPr>
          <w:p>
            <w:pPr>
              <w:ind w:left="20"/>
              <w:spacing w:after="0" w:line="176" w:lineRule="exact"/>
              <w:rPr>
                <w:sz w:val="20"/>
                <w:szCs w:val="20"/>
                <w:color w:val="auto"/>
              </w:rPr>
            </w:pPr>
            <w:r>
              <w:rPr>
                <w:rFonts w:ascii="Arial" w:cs="Arial" w:eastAsia="Arial" w:hAnsi="Arial"/>
                <w:sz w:val="14"/>
                <w:szCs w:val="14"/>
                <w:b w:val="1"/>
                <w:bCs w:val="1"/>
                <w:color w:val="1F2668"/>
              </w:rPr>
              <w:t>PAGE 84</w:t>
            </w:r>
            <w:r>
              <w:rPr>
                <w:rFonts w:ascii="Arial" w:cs="Arial" w:eastAsia="Arial" w:hAnsi="Arial"/>
                <w:sz w:val="16"/>
                <w:szCs w:val="16"/>
                <w:color w:val="000000"/>
              </w:rPr>
              <w:t xml:space="preserve"> </w:t>
            </w:r>
            <w:r>
              <w:rPr>
                <w:rFonts w:ascii="Arial" w:cs="Arial" w:eastAsia="Arial" w:hAnsi="Arial"/>
                <w:sz w:val="14"/>
                <w:szCs w:val="14"/>
                <w:b w:val="1"/>
                <w:bCs w:val="1"/>
                <w:color w:val="1F2668"/>
              </w:rPr>
              <w:t>​</w:t>
            </w:r>
          </w:p>
        </w:tc>
        <w:tc>
          <w:tcPr>
            <w:tcW w:w="120" w:type="dxa"/>
            <w:vAlign w:val="bottom"/>
            <w:tcBorders>
              <w:right w:val="single" w:sz="8" w:color="83AD40"/>
            </w:tcBorders>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20" w:type="dxa"/>
            <w:vAlign w:val="bottom"/>
            <w:gridSpan w:val="4"/>
          </w:tcPr>
          <w:p>
            <w:pPr>
              <w:spacing w:after="0" w:line="169" w:lineRule="exact"/>
              <w:rPr>
                <w:sz w:val="20"/>
                <w:szCs w:val="20"/>
                <w:color w:val="auto"/>
              </w:rPr>
            </w:pPr>
            <w:r>
              <w:rPr>
                <w:rFonts w:ascii="Arial" w:cs="Arial" w:eastAsia="Arial" w:hAnsi="Arial"/>
                <w:sz w:val="14"/>
                <w:szCs w:val="14"/>
                <w:b w:val="1"/>
                <w:bCs w:val="1"/>
                <w:color w:val="1F2668"/>
              </w:rPr>
              <w:t>PAGE 10</w:t>
            </w:r>
            <w:r>
              <w:rPr>
                <w:rFonts w:ascii="Arial" w:cs="Arial" w:eastAsia="Arial" w:hAnsi="Arial"/>
                <w:sz w:val="16"/>
                <w:szCs w:val="16"/>
                <w:color w:val="000000"/>
              </w:rPr>
              <w:t xml:space="preserve"> </w:t>
            </w:r>
            <w:r>
              <w:rPr>
                <w:rFonts w:ascii="Arial" w:cs="Arial" w:eastAsia="Arial" w:hAnsi="Arial"/>
                <w:sz w:val="14"/>
                <w:szCs w:val="14"/>
                <w:b w:val="1"/>
                <w:bCs w:val="1"/>
                <w:color w:val="1F2668"/>
              </w:rPr>
              <w:t>​</w:t>
            </w:r>
          </w:p>
        </w:tc>
        <w:tc>
          <w:tcPr>
            <w:tcW w:w="160" w:type="dxa"/>
            <w:vAlign w:val="bottom"/>
            <w:tcBorders>
              <w:right w:val="single" w:sz="8" w:color="83AD40"/>
            </w:tcBorders>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Borders>
              <w:right w:val="single" w:sz="8" w:color="83AD40"/>
            </w:tcBorders>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Borders>
              <w:top w:val="single" w:sz="8" w:color="1F2668"/>
            </w:tcBorders>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Borders>
              <w:right w:val="single" w:sz="8" w:color="83AD40"/>
            </w:tcBorders>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1F2668"/>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right w:val="single" w:sz="8" w:color="83AD4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Borders>
              <w:right w:val="single" w:sz="8" w:color="83AD4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Borders>
              <w:right w:val="single" w:sz="8" w:color="83AD4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200" w:type="dxa"/>
            <w:vAlign w:val="bottom"/>
          </w:tcPr>
          <w:p>
            <w:pPr>
              <w:spacing w:after="0"/>
              <w:rPr>
                <w:sz w:val="20"/>
                <w:szCs w:val="20"/>
                <w:color w:val="auto"/>
              </w:rPr>
            </w:pPr>
            <w:r>
              <w:rPr>
                <w:rFonts w:ascii="Arial" w:cs="Arial" w:eastAsia="Arial" w:hAnsi="Arial"/>
                <w:sz w:val="16"/>
                <w:szCs w:val="16"/>
                <w:color w:val="auto"/>
              </w:rPr>
              <w:t>​</w:t>
            </w:r>
          </w:p>
        </w:tc>
        <w:tc>
          <w:tcPr>
            <w:tcW w:w="1820" w:type="dxa"/>
            <w:vAlign w:val="bottom"/>
            <w:gridSpan w:val="3"/>
          </w:tcPr>
          <w:p>
            <w:pPr>
              <w:ind w:left="180"/>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auto"/>
              </w:rPr>
              <w:t>Vote</w:t>
            </w:r>
            <w:r>
              <w:rPr>
                <w:rFonts w:ascii="Arial" w:cs="Arial" w:eastAsia="Arial" w:hAnsi="Arial"/>
                <w:sz w:val="16"/>
                <w:szCs w:val="16"/>
                <w:color w:val="auto"/>
              </w:rPr>
              <w:t xml:space="preserve"> </w:t>
            </w:r>
            <w:r>
              <w:rPr>
                <w:rFonts w:ascii="Arial" w:cs="Arial" w:eastAsia="Arial" w:hAnsi="Arial"/>
                <w:sz w:val="21"/>
                <w:szCs w:val="21"/>
                <w:b w:val="1"/>
                <w:bCs w:val="1"/>
                <w:color w:val="1F2668"/>
              </w:rPr>
              <w:t>FOR</w:t>
            </w:r>
          </w:p>
        </w:tc>
        <w:tc>
          <w:tcPr>
            <w:tcW w:w="160" w:type="dxa"/>
            <w:vAlign w:val="bottom"/>
            <w:tcBorders>
              <w:right w:val="single" w:sz="8" w:color="83AD40"/>
            </w:tcBorders>
          </w:tcPr>
          <w:p>
            <w:pPr>
              <w:ind w:lef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2020" w:type="dxa"/>
            <w:vAlign w:val="bottom"/>
            <w:gridSpan w:val="3"/>
          </w:tcPr>
          <w:p>
            <w:pPr>
              <w:ind w:left="400"/>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auto"/>
              </w:rPr>
              <w:t>Vote</w:t>
            </w:r>
            <w:r>
              <w:rPr>
                <w:rFonts w:ascii="Arial" w:cs="Arial" w:eastAsia="Arial" w:hAnsi="Arial"/>
                <w:sz w:val="16"/>
                <w:szCs w:val="16"/>
                <w:color w:val="auto"/>
              </w:rPr>
              <w:t xml:space="preserve"> </w:t>
            </w:r>
            <w:r>
              <w:rPr>
                <w:rFonts w:ascii="Arial" w:cs="Arial" w:eastAsia="Arial" w:hAnsi="Arial"/>
                <w:sz w:val="21"/>
                <w:szCs w:val="21"/>
                <w:b w:val="1"/>
                <w:bCs w:val="1"/>
                <w:color w:val="1F2668"/>
              </w:rPr>
              <w:t>FOR</w:t>
            </w:r>
          </w:p>
        </w:tc>
        <w:tc>
          <w:tcPr>
            <w:tcW w:w="180" w:type="dxa"/>
            <w:vAlign w:val="bottom"/>
            <w:tcBorders>
              <w:right w:val="single" w:sz="8" w:color="83AD40"/>
            </w:tcBorders>
          </w:tcPr>
          <w:p>
            <w:pPr>
              <w:ind w:lef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2100" w:type="dxa"/>
            <w:vAlign w:val="bottom"/>
            <w:gridSpan w:val="3"/>
          </w:tcPr>
          <w:p>
            <w:pPr>
              <w:ind w:left="400"/>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auto"/>
              </w:rPr>
              <w:t>Vote</w:t>
            </w:r>
            <w:r>
              <w:rPr>
                <w:rFonts w:ascii="Arial" w:cs="Arial" w:eastAsia="Arial" w:hAnsi="Arial"/>
                <w:sz w:val="16"/>
                <w:szCs w:val="16"/>
                <w:color w:val="auto"/>
              </w:rPr>
              <w:t xml:space="preserve"> </w:t>
            </w:r>
            <w:r>
              <w:rPr>
                <w:rFonts w:ascii="Arial" w:cs="Arial" w:eastAsia="Arial" w:hAnsi="Arial"/>
                <w:sz w:val="21"/>
                <w:szCs w:val="21"/>
                <w:b w:val="1"/>
                <w:bCs w:val="1"/>
                <w:color w:val="1F2668"/>
              </w:rPr>
              <w:t>FOR</w:t>
            </w:r>
          </w:p>
        </w:tc>
        <w:tc>
          <w:tcPr>
            <w:tcW w:w="120" w:type="dxa"/>
            <w:vAlign w:val="bottom"/>
            <w:tcBorders>
              <w:right w:val="single" w:sz="8" w:color="83AD40"/>
            </w:tcBorders>
          </w:tcPr>
          <w:p>
            <w:pPr>
              <w:ind w:left="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r>
              <w:rPr>
                <w:rFonts w:ascii="Arial" w:cs="Arial" w:eastAsia="Arial" w:hAnsi="Arial"/>
                <w:sz w:val="16"/>
                <w:szCs w:val="16"/>
                <w:color w:val="auto"/>
              </w:rPr>
              <w:t>​</w:t>
            </w:r>
          </w:p>
        </w:tc>
        <w:tc>
          <w:tcPr>
            <w:tcW w:w="2100" w:type="dxa"/>
            <w:vAlign w:val="bottom"/>
            <w:gridSpan w:val="3"/>
          </w:tcPr>
          <w:p>
            <w:pPr>
              <w:ind w:left="420"/>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auto"/>
              </w:rPr>
              <w:t>Vote</w:t>
            </w:r>
            <w:r>
              <w:rPr>
                <w:rFonts w:ascii="Arial" w:cs="Arial" w:eastAsia="Arial" w:hAnsi="Arial"/>
                <w:sz w:val="16"/>
                <w:szCs w:val="16"/>
                <w:color w:val="auto"/>
              </w:rPr>
              <w:t xml:space="preserve"> </w:t>
            </w:r>
            <w:r>
              <w:rPr>
                <w:rFonts w:ascii="Arial" w:cs="Arial" w:eastAsia="Arial" w:hAnsi="Arial"/>
                <w:sz w:val="21"/>
                <w:szCs w:val="21"/>
                <w:b w:val="1"/>
                <w:bCs w:val="1"/>
                <w:color w:val="1F2668"/>
              </w:rPr>
              <w:t>FOR</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9"/>
        </w:trPr>
        <w:tc>
          <w:tcPr>
            <w:tcW w:w="200" w:type="dxa"/>
            <w:vAlign w:val="bottom"/>
            <w:tcBorders>
              <w:bottom w:val="single" w:sz="8" w:color="83AD40"/>
            </w:tcBorders>
          </w:tcPr>
          <w:p>
            <w:pPr>
              <w:spacing w:after="0"/>
              <w:rPr>
                <w:sz w:val="13"/>
                <w:szCs w:val="13"/>
                <w:color w:val="auto"/>
              </w:rPr>
            </w:pPr>
          </w:p>
        </w:tc>
        <w:tc>
          <w:tcPr>
            <w:tcW w:w="220" w:type="dxa"/>
            <w:vAlign w:val="bottom"/>
            <w:tcBorders>
              <w:bottom w:val="single" w:sz="8" w:color="83AD40"/>
            </w:tcBorders>
          </w:tcPr>
          <w:p>
            <w:pPr>
              <w:spacing w:after="0"/>
              <w:rPr>
                <w:sz w:val="13"/>
                <w:szCs w:val="13"/>
                <w:color w:val="auto"/>
              </w:rPr>
            </w:pPr>
          </w:p>
        </w:tc>
        <w:tc>
          <w:tcPr>
            <w:tcW w:w="160" w:type="dxa"/>
            <w:vAlign w:val="bottom"/>
            <w:tcBorders>
              <w:bottom w:val="single" w:sz="8" w:color="83AD40"/>
            </w:tcBorders>
          </w:tcPr>
          <w:p>
            <w:pPr>
              <w:spacing w:after="0"/>
              <w:rPr>
                <w:sz w:val="13"/>
                <w:szCs w:val="13"/>
                <w:color w:val="auto"/>
              </w:rPr>
            </w:pPr>
          </w:p>
        </w:tc>
        <w:tc>
          <w:tcPr>
            <w:tcW w:w="1440" w:type="dxa"/>
            <w:vAlign w:val="bottom"/>
            <w:tcBorders>
              <w:bottom w:val="single" w:sz="8" w:color="83AD40"/>
            </w:tcBorders>
          </w:tcPr>
          <w:p>
            <w:pPr>
              <w:spacing w:after="0"/>
              <w:rPr>
                <w:sz w:val="13"/>
                <w:szCs w:val="13"/>
                <w:color w:val="auto"/>
              </w:rPr>
            </w:pPr>
          </w:p>
        </w:tc>
        <w:tc>
          <w:tcPr>
            <w:tcW w:w="160" w:type="dxa"/>
            <w:vAlign w:val="bottom"/>
            <w:tcBorders>
              <w:bottom w:val="single" w:sz="8" w:color="83AD40"/>
              <w:right w:val="single" w:sz="8" w:color="83AD40"/>
            </w:tcBorders>
          </w:tcPr>
          <w:p>
            <w:pPr>
              <w:spacing w:after="0"/>
              <w:rPr>
                <w:sz w:val="13"/>
                <w:szCs w:val="13"/>
                <w:color w:val="auto"/>
              </w:rPr>
            </w:pPr>
          </w:p>
        </w:tc>
        <w:tc>
          <w:tcPr>
            <w:tcW w:w="80" w:type="dxa"/>
            <w:vAlign w:val="bottom"/>
            <w:tcBorders>
              <w:bottom w:val="single" w:sz="8" w:color="83AD40"/>
            </w:tcBorders>
          </w:tcPr>
          <w:p>
            <w:pPr>
              <w:spacing w:after="0"/>
              <w:rPr>
                <w:sz w:val="13"/>
                <w:szCs w:val="13"/>
                <w:color w:val="auto"/>
              </w:rPr>
            </w:pPr>
          </w:p>
        </w:tc>
        <w:tc>
          <w:tcPr>
            <w:tcW w:w="440" w:type="dxa"/>
            <w:vAlign w:val="bottom"/>
            <w:tcBorders>
              <w:bottom w:val="single" w:sz="8" w:color="83AD40"/>
            </w:tcBorders>
          </w:tcPr>
          <w:p>
            <w:pPr>
              <w:spacing w:after="0"/>
              <w:rPr>
                <w:sz w:val="13"/>
                <w:szCs w:val="13"/>
                <w:color w:val="auto"/>
              </w:rPr>
            </w:pPr>
          </w:p>
        </w:tc>
        <w:tc>
          <w:tcPr>
            <w:tcW w:w="160" w:type="dxa"/>
            <w:vAlign w:val="bottom"/>
            <w:tcBorders>
              <w:bottom w:val="single" w:sz="8" w:color="83AD40"/>
            </w:tcBorders>
          </w:tcPr>
          <w:p>
            <w:pPr>
              <w:spacing w:after="0"/>
              <w:rPr>
                <w:sz w:val="13"/>
                <w:szCs w:val="13"/>
                <w:color w:val="auto"/>
              </w:rPr>
            </w:pPr>
          </w:p>
        </w:tc>
        <w:tc>
          <w:tcPr>
            <w:tcW w:w="1420" w:type="dxa"/>
            <w:vAlign w:val="bottom"/>
            <w:tcBorders>
              <w:bottom w:val="single" w:sz="8" w:color="83AD40"/>
            </w:tcBorders>
          </w:tcPr>
          <w:p>
            <w:pPr>
              <w:spacing w:after="0"/>
              <w:rPr>
                <w:sz w:val="13"/>
                <w:szCs w:val="13"/>
                <w:color w:val="auto"/>
              </w:rPr>
            </w:pPr>
          </w:p>
        </w:tc>
        <w:tc>
          <w:tcPr>
            <w:tcW w:w="180" w:type="dxa"/>
            <w:vAlign w:val="bottom"/>
            <w:tcBorders>
              <w:bottom w:val="single" w:sz="8" w:color="83AD40"/>
              <w:right w:val="single" w:sz="8" w:color="83AD40"/>
            </w:tcBorders>
          </w:tcPr>
          <w:p>
            <w:pPr>
              <w:spacing w:after="0"/>
              <w:rPr>
                <w:sz w:val="13"/>
                <w:szCs w:val="13"/>
                <w:color w:val="auto"/>
              </w:rPr>
            </w:pPr>
          </w:p>
        </w:tc>
        <w:tc>
          <w:tcPr>
            <w:tcW w:w="80" w:type="dxa"/>
            <w:vAlign w:val="bottom"/>
            <w:tcBorders>
              <w:bottom w:val="single" w:sz="8" w:color="83AD40"/>
            </w:tcBorders>
          </w:tcPr>
          <w:p>
            <w:pPr>
              <w:spacing w:after="0"/>
              <w:rPr>
                <w:sz w:val="13"/>
                <w:szCs w:val="13"/>
                <w:color w:val="auto"/>
              </w:rPr>
            </w:pPr>
          </w:p>
        </w:tc>
        <w:tc>
          <w:tcPr>
            <w:tcW w:w="440" w:type="dxa"/>
            <w:vAlign w:val="bottom"/>
            <w:tcBorders>
              <w:bottom w:val="single" w:sz="8" w:color="83AD40"/>
            </w:tcBorders>
          </w:tcPr>
          <w:p>
            <w:pPr>
              <w:spacing w:after="0"/>
              <w:rPr>
                <w:sz w:val="13"/>
                <w:szCs w:val="13"/>
                <w:color w:val="auto"/>
              </w:rPr>
            </w:pPr>
          </w:p>
        </w:tc>
        <w:tc>
          <w:tcPr>
            <w:tcW w:w="160" w:type="dxa"/>
            <w:vAlign w:val="bottom"/>
            <w:tcBorders>
              <w:bottom w:val="single" w:sz="8" w:color="83AD40"/>
            </w:tcBorders>
          </w:tcPr>
          <w:p>
            <w:pPr>
              <w:spacing w:after="0"/>
              <w:rPr>
                <w:sz w:val="13"/>
                <w:szCs w:val="13"/>
                <w:color w:val="auto"/>
              </w:rPr>
            </w:pPr>
          </w:p>
        </w:tc>
        <w:tc>
          <w:tcPr>
            <w:tcW w:w="1500" w:type="dxa"/>
            <w:vAlign w:val="bottom"/>
            <w:tcBorders>
              <w:bottom w:val="single" w:sz="8" w:color="83AD40"/>
            </w:tcBorders>
          </w:tcPr>
          <w:p>
            <w:pPr>
              <w:spacing w:after="0"/>
              <w:rPr>
                <w:sz w:val="13"/>
                <w:szCs w:val="13"/>
                <w:color w:val="auto"/>
              </w:rPr>
            </w:pPr>
          </w:p>
        </w:tc>
        <w:tc>
          <w:tcPr>
            <w:tcW w:w="120" w:type="dxa"/>
            <w:vAlign w:val="bottom"/>
            <w:tcBorders>
              <w:bottom w:val="single" w:sz="8" w:color="83AD40"/>
              <w:right w:val="single" w:sz="8" w:color="83AD40"/>
            </w:tcBorders>
          </w:tcPr>
          <w:p>
            <w:pPr>
              <w:spacing w:after="0"/>
              <w:rPr>
                <w:sz w:val="13"/>
                <w:szCs w:val="13"/>
                <w:color w:val="auto"/>
              </w:rPr>
            </w:pPr>
          </w:p>
        </w:tc>
        <w:tc>
          <w:tcPr>
            <w:tcW w:w="60" w:type="dxa"/>
            <w:vAlign w:val="bottom"/>
            <w:tcBorders>
              <w:bottom w:val="single" w:sz="8" w:color="83AD40"/>
            </w:tcBorders>
          </w:tcPr>
          <w:p>
            <w:pPr>
              <w:spacing w:after="0"/>
              <w:rPr>
                <w:sz w:val="13"/>
                <w:szCs w:val="13"/>
                <w:color w:val="auto"/>
              </w:rPr>
            </w:pPr>
          </w:p>
        </w:tc>
        <w:tc>
          <w:tcPr>
            <w:tcW w:w="460" w:type="dxa"/>
            <w:vAlign w:val="bottom"/>
            <w:tcBorders>
              <w:bottom w:val="single" w:sz="8" w:color="83AD40"/>
            </w:tcBorders>
          </w:tcPr>
          <w:p>
            <w:pPr>
              <w:spacing w:after="0"/>
              <w:rPr>
                <w:sz w:val="13"/>
                <w:szCs w:val="13"/>
                <w:color w:val="auto"/>
              </w:rPr>
            </w:pPr>
          </w:p>
        </w:tc>
        <w:tc>
          <w:tcPr>
            <w:tcW w:w="160" w:type="dxa"/>
            <w:vAlign w:val="bottom"/>
            <w:tcBorders>
              <w:bottom w:val="single" w:sz="8" w:color="83AD40"/>
            </w:tcBorders>
          </w:tcPr>
          <w:p>
            <w:pPr>
              <w:spacing w:after="0"/>
              <w:rPr>
                <w:sz w:val="13"/>
                <w:szCs w:val="13"/>
                <w:color w:val="auto"/>
              </w:rPr>
            </w:pPr>
          </w:p>
        </w:tc>
        <w:tc>
          <w:tcPr>
            <w:tcW w:w="1480" w:type="dxa"/>
            <w:vAlign w:val="bottom"/>
            <w:tcBorders>
              <w:bottom w:val="single" w:sz="8" w:color="83AD40"/>
            </w:tcBorders>
          </w:tcPr>
          <w:p>
            <w:pPr>
              <w:spacing w:after="0"/>
              <w:rPr>
                <w:sz w:val="13"/>
                <w:szCs w:val="13"/>
                <w:color w:val="auto"/>
              </w:rPr>
            </w:pPr>
          </w:p>
        </w:tc>
        <w:tc>
          <w:tcPr>
            <w:tcW w:w="140" w:type="dxa"/>
            <w:vAlign w:val="bottom"/>
            <w:tcBorders>
              <w:bottom w:val="single" w:sz="8" w:color="83AD4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-505460</wp:posOffset>
            </wp:positionV>
            <wp:extent cx="59690" cy="685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90" cy="68580"/>
                    </a:xfrm>
                    <a:prstGeom prst="rect">
                      <a:avLst/>
                    </a:prstGeom>
                    <a:noFill/>
                  </pic:spPr>
                </pic:pic>
              </a:graphicData>
            </a:graphic>
          </wp:anchor>
        </w:drawing>
        <w:drawing>
          <wp:anchor simplePos="0" relativeHeight="251657728" behindDoc="1" locked="0" layoutInCell="0" allowOverlap="1">
            <wp:simplePos x="0" y="0"/>
            <wp:positionH relativeFrom="column">
              <wp:posOffset>2385695</wp:posOffset>
            </wp:positionH>
            <wp:positionV relativeFrom="paragraph">
              <wp:posOffset>-1105535</wp:posOffset>
            </wp:positionV>
            <wp:extent cx="60325" cy="685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3834765</wp:posOffset>
            </wp:positionH>
            <wp:positionV relativeFrom="paragraph">
              <wp:posOffset>-625475</wp:posOffset>
            </wp:positionV>
            <wp:extent cx="60325" cy="685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-865505</wp:posOffset>
            </wp:positionV>
            <wp:extent cx="60325" cy="685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-1654175</wp:posOffset>
            </wp:positionV>
            <wp:extent cx="205740" cy="2146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05740" cy="214630"/>
                    </a:xfrm>
                    <a:prstGeom prst="rect">
                      <a:avLst/>
                    </a:prstGeom>
                    <a:noFill/>
                  </pic:spPr>
                </pic:pic>
              </a:graphicData>
            </a:graphic>
          </wp:anchor>
        </w:drawing>
        <w:drawing>
          <wp:anchor simplePos="0" relativeHeight="251657728" behindDoc="1" locked="0" layoutInCell="0" allowOverlap="1">
            <wp:simplePos x="0" y="0"/>
            <wp:positionH relativeFrom="column">
              <wp:posOffset>1965960</wp:posOffset>
            </wp:positionH>
            <wp:positionV relativeFrom="paragraph">
              <wp:posOffset>-1654175</wp:posOffset>
            </wp:positionV>
            <wp:extent cx="205740" cy="2146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05740" cy="214630"/>
                    </a:xfrm>
                    <a:prstGeom prst="rect">
                      <a:avLst/>
                    </a:prstGeom>
                    <a:noFill/>
                  </pic:spPr>
                </pic:pic>
              </a:graphicData>
            </a:graphic>
          </wp:anchor>
        </w:drawing>
        <w:drawing>
          <wp:anchor simplePos="0" relativeHeight="251657728" behindDoc="1" locked="0" layoutInCell="0" allowOverlap="1">
            <wp:simplePos x="0" y="0"/>
            <wp:positionH relativeFrom="column">
              <wp:posOffset>3414395</wp:posOffset>
            </wp:positionH>
            <wp:positionV relativeFrom="paragraph">
              <wp:posOffset>-1654175</wp:posOffset>
            </wp:positionV>
            <wp:extent cx="205740" cy="2146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05740" cy="214630"/>
                    </a:xfrm>
                    <a:prstGeom prst="rect">
                      <a:avLst/>
                    </a:prstGeom>
                    <a:noFill/>
                  </pic:spPr>
                </pic:pic>
              </a:graphicData>
            </a:graphic>
          </wp:anchor>
        </w:drawing>
        <w:drawing>
          <wp:anchor simplePos="0" relativeHeight="251657728" behindDoc="1" locked="0" layoutInCell="0" allowOverlap="1">
            <wp:simplePos x="0" y="0"/>
            <wp:positionH relativeFrom="column">
              <wp:posOffset>4871720</wp:posOffset>
            </wp:positionH>
            <wp:positionV relativeFrom="paragraph">
              <wp:posOffset>-1654175</wp:posOffset>
            </wp:positionV>
            <wp:extent cx="205740" cy="2146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05740" cy="21463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-307975</wp:posOffset>
            </wp:positionV>
            <wp:extent cx="231140" cy="2317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31140" cy="231775"/>
                    </a:xfrm>
                    <a:prstGeom prst="rect">
                      <a:avLst/>
                    </a:prstGeom>
                    <a:noFill/>
                  </pic:spPr>
                </pic:pic>
              </a:graphicData>
            </a:graphic>
          </wp:anchor>
        </w:drawing>
        <w:drawing>
          <wp:anchor simplePos="0" relativeHeight="251657728" behindDoc="1" locked="0" layoutInCell="0" allowOverlap="1">
            <wp:simplePos x="0" y="0"/>
            <wp:positionH relativeFrom="column">
              <wp:posOffset>1965960</wp:posOffset>
            </wp:positionH>
            <wp:positionV relativeFrom="paragraph">
              <wp:posOffset>-307975</wp:posOffset>
            </wp:positionV>
            <wp:extent cx="231140" cy="2317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31140" cy="231775"/>
                    </a:xfrm>
                    <a:prstGeom prst="rect">
                      <a:avLst/>
                    </a:prstGeom>
                    <a:noFill/>
                  </pic:spPr>
                </pic:pic>
              </a:graphicData>
            </a:graphic>
          </wp:anchor>
        </w:drawing>
        <w:drawing>
          <wp:anchor simplePos="0" relativeHeight="251657728" behindDoc="1" locked="0" layoutInCell="0" allowOverlap="1">
            <wp:simplePos x="0" y="0"/>
            <wp:positionH relativeFrom="column">
              <wp:posOffset>3414395</wp:posOffset>
            </wp:positionH>
            <wp:positionV relativeFrom="paragraph">
              <wp:posOffset>-307975</wp:posOffset>
            </wp:positionV>
            <wp:extent cx="231775" cy="2317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31775" cy="231775"/>
                    </a:xfrm>
                    <a:prstGeom prst="rect">
                      <a:avLst/>
                    </a:prstGeom>
                    <a:noFill/>
                  </pic:spPr>
                </pic:pic>
              </a:graphicData>
            </a:graphic>
          </wp:anchor>
        </w:drawing>
        <w:drawing>
          <wp:anchor simplePos="0" relativeHeight="251657728" behindDoc="1" locked="0" layoutInCell="0" allowOverlap="1">
            <wp:simplePos x="0" y="0"/>
            <wp:positionH relativeFrom="column">
              <wp:posOffset>4871720</wp:posOffset>
            </wp:positionH>
            <wp:positionV relativeFrom="paragraph">
              <wp:posOffset>-307975</wp:posOffset>
            </wp:positionV>
            <wp:extent cx="231775" cy="2317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31775" cy="23177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p>
      <w:pPr>
        <w:spacing w:after="0" w:line="202" w:lineRule="exact"/>
        <w:rPr>
          <w:sz w:val="20"/>
          <w:szCs w:val="20"/>
          <w:color w:val="auto"/>
        </w:rPr>
      </w:pPr>
    </w:p>
    <w:p>
      <w:pPr>
        <w:ind w:left="820" w:right="100"/>
        <w:spacing w:after="0" w:line="259" w:lineRule="auto"/>
        <w:rPr>
          <w:sz w:val="20"/>
          <w:szCs w:val="20"/>
          <w:color w:val="auto"/>
        </w:rPr>
      </w:pPr>
      <w:r>
        <w:rPr>
          <w:rFonts w:ascii="Arial" w:cs="Arial" w:eastAsia="Arial" w:hAnsi="Arial"/>
          <w:sz w:val="16"/>
          <w:szCs w:val="16"/>
          <w:color w:val="auto"/>
        </w:rPr>
        <w:t>In​ addition, stockholders may be asked to consider and vote upon any other matters that may properly be brought before the Annual Meeting and at any adjournments or postponements thereof.</w:t>
      </w:r>
    </w:p>
    <w:p>
      <w:pPr>
        <w:spacing w:after="0" w:line="83" w:lineRule="exact"/>
        <w:rPr>
          <w:sz w:val="20"/>
          <w:szCs w:val="20"/>
          <w:color w:val="auto"/>
        </w:rPr>
      </w:pPr>
    </w:p>
    <w:p>
      <w:pPr>
        <w:ind w:left="820" w:right="200"/>
        <w:spacing w:after="0" w:line="256" w:lineRule="auto"/>
        <w:rPr>
          <w:sz w:val="20"/>
          <w:szCs w:val="20"/>
          <w:color w:val="auto"/>
        </w:rPr>
      </w:pPr>
      <w:r>
        <w:rPr>
          <w:rFonts w:ascii="Arial" w:cs="Arial" w:eastAsia="Arial" w:hAnsi="Arial"/>
          <w:sz w:val="16"/>
          <w:szCs w:val="16"/>
          <w:color w:val="auto"/>
        </w:rPr>
        <w:t>Any action may be taken on the foregoing matters at the Annual Meeting on the date specified above, or on any date or dates to which the Annual Meeting may be adjourned, or to which the Annual Meeting may be postponed.</w:t>
      </w:r>
    </w:p>
    <w:p>
      <w:pPr>
        <w:spacing w:after="0" w:line="72" w:lineRule="exact"/>
        <w:rPr>
          <w:sz w:val="20"/>
          <w:szCs w:val="20"/>
          <w:color w:val="auto"/>
        </w:rPr>
      </w:pPr>
    </w:p>
    <w:p>
      <w:pPr>
        <w:ind w:left="820"/>
        <w:spacing w:after="0" w:line="256" w:lineRule="auto"/>
        <w:rPr>
          <w:sz w:val="20"/>
          <w:szCs w:val="20"/>
          <w:color w:val="auto"/>
        </w:rPr>
      </w:pPr>
      <w:r>
        <w:rPr>
          <w:rFonts w:ascii="Arial" w:cs="Arial" w:eastAsia="Arial" w:hAnsi="Arial"/>
          <w:sz w:val="16"/>
          <w:szCs w:val="16"/>
          <w:color w:val="auto"/>
        </w:rPr>
        <w:t>The Board of Directors has fixed the close of business on March 31, 2025 as the record date for determining the stockholders entitled to notice of, and to vote at, the Annual Meeting and at any adjournments or postponements thereof.</w:t>
      </w:r>
    </w:p>
    <w:p>
      <w:pPr>
        <w:spacing w:after="0" w:line="8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By Order of the Board of Directors,</w:t>
      </w:r>
    </w:p>
    <w:p>
      <w:pPr>
        <w:spacing w:after="0" w:line="13" w:lineRule="exact"/>
        <w:rPr>
          <w:sz w:val="20"/>
          <w:szCs w:val="20"/>
          <w:color w:val="auto"/>
        </w:rPr>
      </w:pPr>
    </w:p>
    <w:p>
      <w:pPr>
        <w:ind w:left="820"/>
        <w:spacing w:after="0"/>
        <w:tabs>
          <w:tab w:leader="none" w:pos="23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-635</wp:posOffset>
            </wp:positionV>
            <wp:extent cx="831215" cy="2482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31215" cy="248285"/>
                    </a:xfrm>
                    <a:prstGeom prst="rect">
                      <a:avLst/>
                    </a:prstGeom>
                    <a:noFill/>
                  </pic:spPr>
                </pic:pic>
              </a:graphicData>
            </a:graphic>
          </wp:anchor>
        </w:drawing>
      </w:r>
    </w:p>
    <w:p>
      <w:pPr>
        <w:ind w:left="2560" w:right="20"/>
        <w:spacing w:after="0" w:line="262" w:lineRule="auto"/>
        <w:rPr>
          <w:sz w:val="20"/>
          <w:szCs w:val="20"/>
          <w:color w:val="auto"/>
        </w:rPr>
      </w:pPr>
      <w:r>
        <w:rPr>
          <w:rFonts w:ascii="Arial" w:cs="Arial" w:eastAsia="Arial" w:hAnsi="Arial"/>
          <w:sz w:val="15"/>
          <w:szCs w:val="15"/>
          <w:b w:val="1"/>
          <w:bCs w:val="1"/>
          <w:color w:val="auto"/>
        </w:rPr>
        <w:t>Important Notice Regarding the Availability of Proxy Materials for the Annual Stockholder</w:t>
      </w:r>
    </w:p>
    <w:p>
      <w:pPr>
        <w:spacing w:after="0" w:line="2" w:lineRule="exact"/>
        <w:rPr>
          <w:sz w:val="20"/>
          <w:szCs w:val="20"/>
          <w:color w:val="auto"/>
        </w:rPr>
      </w:pPr>
    </w:p>
    <w:p>
      <w:pPr>
        <w:ind w:left="820"/>
        <w:spacing w:after="0"/>
        <w:tabs>
          <w:tab w:leader="none" w:pos="2540" w:val="left"/>
        </w:tabs>
        <w:rPr>
          <w:sz w:val="20"/>
          <w:szCs w:val="20"/>
          <w:color w:val="auto"/>
        </w:rPr>
      </w:pPr>
      <w:r>
        <w:rPr>
          <w:rFonts w:ascii="Arial" w:cs="Arial" w:eastAsia="Arial" w:hAnsi="Arial"/>
          <w:sz w:val="16"/>
          <w:szCs w:val="16"/>
          <w:b w:val="1"/>
          <w:bCs w:val="1"/>
          <w:color w:val="auto"/>
        </w:rPr>
        <w:t>Andrew S. Levine</w:t>
      </w:r>
      <w:r>
        <w:rPr>
          <w:sz w:val="20"/>
          <w:szCs w:val="20"/>
          <w:color w:val="auto"/>
        </w:rPr>
        <w:tab/>
      </w:r>
      <w:r>
        <w:rPr>
          <w:rFonts w:ascii="Arial" w:cs="Arial" w:eastAsia="Arial" w:hAnsi="Arial"/>
          <w:sz w:val="15"/>
          <w:szCs w:val="15"/>
          <w:b w:val="1"/>
          <w:bCs w:val="1"/>
          <w:color w:val="auto"/>
        </w:rPr>
        <w:t>Meeting to be Held on June 3,</w:t>
      </w:r>
    </w:p>
    <w:p>
      <w:pPr>
        <w:spacing w:after="0" w:line="5" w:lineRule="exact"/>
        <w:rPr>
          <w:sz w:val="20"/>
          <w:szCs w:val="20"/>
          <w:color w:val="auto"/>
        </w:rPr>
      </w:pPr>
    </w:p>
    <w:p>
      <w:pPr>
        <w:ind w:left="820"/>
        <w:spacing w:after="0"/>
        <w:tabs>
          <w:tab w:leader="none" w:pos="2540" w:val="left"/>
        </w:tabs>
        <w:rPr>
          <w:sz w:val="20"/>
          <w:szCs w:val="20"/>
          <w:color w:val="auto"/>
        </w:rPr>
      </w:pPr>
      <w:r>
        <w:rPr>
          <w:rFonts w:ascii="Arial" w:cs="Arial" w:eastAsia="Arial" w:hAnsi="Arial"/>
          <w:sz w:val="16"/>
          <w:szCs w:val="16"/>
          <w:color w:val="auto"/>
        </w:rPr>
        <w:t>Secretary</w:t>
      </w:r>
      <w:r>
        <w:rPr>
          <w:sz w:val="20"/>
          <w:szCs w:val="20"/>
          <w:color w:val="auto"/>
        </w:rPr>
        <w:tab/>
      </w:r>
      <w:r>
        <w:rPr>
          <w:rFonts w:ascii="Arial" w:cs="Arial" w:eastAsia="Arial" w:hAnsi="Arial"/>
          <w:sz w:val="16"/>
          <w:szCs w:val="16"/>
          <w:b w:val="1"/>
          <w:bCs w:val="1"/>
          <w:color w:val="auto"/>
        </w:rPr>
        <w:t>2025</w:t>
      </w:r>
      <w:r>
        <w:rPr>
          <w:rFonts w:ascii="Arial" w:cs="Arial" w:eastAsia="Arial" w:hAnsi="Arial"/>
          <w:sz w:val="16"/>
          <w:szCs w:val="16"/>
          <w:color w:val="auto"/>
        </w:rPr>
        <w:t>. This proxy statement and</w:t>
      </w:r>
    </w:p>
    <w:p>
      <w:pPr>
        <w:spacing w:after="0" w:line="5" w:lineRule="exact"/>
        <w:rPr>
          <w:sz w:val="20"/>
          <w:szCs w:val="20"/>
          <w:color w:val="auto"/>
        </w:rPr>
      </w:pPr>
    </w:p>
    <w:p>
      <w:pPr>
        <w:ind w:left="820"/>
        <w:spacing w:after="0"/>
        <w:tabs>
          <w:tab w:leader="none" w:pos="2540" w:val="left"/>
        </w:tabs>
        <w:rPr>
          <w:sz w:val="20"/>
          <w:szCs w:val="20"/>
          <w:color w:val="auto"/>
        </w:rPr>
      </w:pPr>
      <w:r>
        <w:rPr>
          <w:rFonts w:ascii="Arial" w:cs="Arial" w:eastAsia="Arial" w:hAnsi="Arial"/>
          <w:sz w:val="16"/>
          <w:szCs w:val="16"/>
          <w:color w:val="auto"/>
        </w:rPr>
        <w:t>New York, New York</w:t>
      </w:r>
      <w:r>
        <w:rPr>
          <w:sz w:val="20"/>
          <w:szCs w:val="20"/>
          <w:color w:val="auto"/>
        </w:rPr>
        <w:tab/>
      </w:r>
      <w:r>
        <w:rPr>
          <w:rFonts w:ascii="Arial" w:cs="Arial" w:eastAsia="Arial" w:hAnsi="Arial"/>
          <w:sz w:val="15"/>
          <w:szCs w:val="15"/>
          <w:color w:val="auto"/>
        </w:rPr>
        <w:t>our 2024 Annual Report to</w:t>
      </w:r>
    </w:p>
    <w:p>
      <w:pPr>
        <w:spacing w:after="0" w:line="5" w:lineRule="exact"/>
        <w:rPr>
          <w:sz w:val="20"/>
          <w:szCs w:val="20"/>
          <w:color w:val="auto"/>
        </w:rPr>
      </w:pPr>
    </w:p>
    <w:p>
      <w:pPr>
        <w:ind w:left="820"/>
        <w:spacing w:after="0"/>
        <w:tabs>
          <w:tab w:leader="none" w:pos="2540" w:val="left"/>
        </w:tabs>
        <w:rPr>
          <w:sz w:val="20"/>
          <w:szCs w:val="20"/>
          <w:color w:val="auto"/>
        </w:rPr>
      </w:pPr>
      <w:r>
        <w:rPr>
          <w:rFonts w:ascii="Arial" w:cs="Arial" w:eastAsia="Arial" w:hAnsi="Arial"/>
          <w:sz w:val="16"/>
          <w:szCs w:val="16"/>
          <w:color w:val="auto"/>
        </w:rPr>
        <w:t>April 22, 2025</w:t>
      </w:r>
      <w:r>
        <w:rPr>
          <w:sz w:val="20"/>
          <w:szCs w:val="20"/>
          <w:color w:val="auto"/>
        </w:rPr>
        <w:tab/>
      </w:r>
      <w:r>
        <w:rPr>
          <w:rFonts w:ascii="Arial" w:cs="Arial" w:eastAsia="Arial" w:hAnsi="Arial"/>
          <w:sz w:val="15"/>
          <w:szCs w:val="15"/>
          <w:color w:val="auto"/>
        </w:rPr>
        <w:t>Stockholders are available at</w:t>
      </w:r>
    </w:p>
    <w:p>
      <w:pPr>
        <w:spacing w:after="0" w:line="5"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http://www.proxyvote.com</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left="106" w:hanging="106"/>
        <w:spacing w:after="0"/>
        <w:tabs>
          <w:tab w:leader="none" w:pos="106"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9"/>
          <w:szCs w:val="19"/>
          <w:b w:val="1"/>
          <w:bCs w:val="1"/>
          <w:color w:val="83AD40"/>
        </w:rPr>
        <w:t>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-123190</wp:posOffset>
            </wp:positionV>
            <wp:extent cx="8255" cy="32575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3257550"/>
                    </a:xfrm>
                    <a:prstGeom prst="rect">
                      <a:avLst/>
                    </a:prstGeom>
                    <a:noFill/>
                  </pic:spPr>
                </pic:pic>
              </a:graphicData>
            </a:graphic>
          </wp:anchor>
        </w:drawing>
      </w:r>
    </w:p>
    <w:p>
      <w:pPr>
        <w:spacing w:after="0" w:line="55" w:lineRule="exact"/>
        <w:rPr>
          <w:sz w:val="20"/>
          <w:szCs w:val="20"/>
          <w:color w:val="auto"/>
        </w:rPr>
      </w:pPr>
    </w:p>
    <w:p>
      <w:pPr>
        <w:ind w:left="206" w:right="80"/>
        <w:spacing w:after="0" w:line="264" w:lineRule="auto"/>
        <w:rPr>
          <w:sz w:val="20"/>
          <w:szCs w:val="20"/>
          <w:color w:val="auto"/>
        </w:rPr>
      </w:pPr>
      <w:r>
        <w:rPr>
          <w:rFonts w:ascii="Arial" w:cs="Arial" w:eastAsia="Arial" w:hAnsi="Arial"/>
          <w:sz w:val="16"/>
          <w:szCs w:val="16"/>
          <w:color w:val="auto"/>
        </w:rPr>
        <w:t>Your vote is very important to us. Please vote as soon as possible by one of the methods shown below:</w:t>
      </w:r>
    </w:p>
    <w:p>
      <w:pPr>
        <w:ind w:left="106"/>
        <w:spacing w:after="0" w:line="232" w:lineRule="auto"/>
        <w:tabs>
          <w:tab w:leader="none" w:pos="725" w:val="left"/>
          <w:tab w:leader="none" w:pos="2525" w:val="left"/>
          <w:tab w:leader="none" w:pos="3105"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 ​</w:t>
      </w:r>
      <w:r>
        <w:rPr>
          <w:rFonts w:ascii="Arial" w:cs="Arial" w:eastAsia="Arial" w:hAnsi="Arial"/>
          <w:sz w:val="16"/>
          <w:szCs w:val="16"/>
          <w:b w:val="1"/>
          <w:bCs w:val="1"/>
          <w:color w:val="1F2668"/>
        </w:rPr>
        <w:t>By Internet</w:t>
      </w:r>
      <w:r>
        <w:rPr>
          <w:sz w:val="20"/>
          <w:szCs w:val="20"/>
          <w:color w:val="auto"/>
        </w:rPr>
        <w:tab/>
      </w:r>
      <w:r>
        <w:rPr>
          <w:rFonts w:ascii="Arial" w:cs="Arial" w:eastAsia="Arial" w:hAnsi="Arial"/>
          <w:sz w:val="16"/>
          <w:szCs w:val="16"/>
          <w:color w:val="auto"/>
        </w:rPr>
        <w:t>​ ​</w:t>
      </w:r>
      <w:r>
        <w:rPr>
          <w:sz w:val="20"/>
          <w:szCs w:val="20"/>
          <w:color w:val="auto"/>
        </w:rPr>
        <w:tab/>
      </w: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-60325</wp:posOffset>
            </wp:positionV>
            <wp:extent cx="334010" cy="2832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4010" cy="283210"/>
                    </a:xfrm>
                    <a:prstGeom prst="rect">
                      <a:avLst/>
                    </a:prstGeom>
                    <a:noFill/>
                  </pic:spPr>
                </pic:pic>
              </a:graphicData>
            </a:graphic>
          </wp:anchor>
        </w:drawing>
        <w:drawing>
          <wp:anchor simplePos="0" relativeHeight="251657728" behindDoc="1" locked="0" layoutInCell="0" allowOverlap="1">
            <wp:simplePos x="0" y="0"/>
            <wp:positionH relativeFrom="column">
              <wp:posOffset>1704975</wp:posOffset>
            </wp:positionH>
            <wp:positionV relativeFrom="paragraph">
              <wp:posOffset>-60325</wp:posOffset>
            </wp:positionV>
            <wp:extent cx="274320" cy="274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74320" cy="274320"/>
                    </a:xfrm>
                    <a:prstGeom prst="rect">
                      <a:avLst/>
                    </a:prstGeom>
                    <a:noFill/>
                  </pic:spPr>
                </pic:pic>
              </a:graphicData>
            </a:graphic>
          </wp:anchor>
        </w:drawing>
      </w:r>
    </w:p>
    <w:p>
      <w:pPr>
        <w:ind w:left="886"/>
        <w:spacing w:after="0"/>
        <w:tabs>
          <w:tab w:leader="none" w:pos="3225" w:val="left"/>
        </w:tabs>
        <w:rPr>
          <w:sz w:val="20"/>
          <w:szCs w:val="20"/>
          <w:color w:val="auto"/>
        </w:rPr>
      </w:pPr>
      <w:r>
        <w:rPr>
          <w:rFonts w:ascii="Arial" w:cs="Arial" w:eastAsia="Arial" w:hAnsi="Arial"/>
          <w:sz w:val="16"/>
          <w:szCs w:val="16"/>
          <w:color w:val="auto"/>
        </w:rPr>
        <w:t>Visit</w:t>
      </w:r>
      <w:r>
        <w:rPr>
          <w:sz w:val="20"/>
          <w:szCs w:val="20"/>
          <w:color w:val="auto"/>
        </w:rPr>
        <w:tab/>
      </w:r>
      <w:r>
        <w:rPr>
          <w:rFonts w:ascii="Arial" w:cs="Arial" w:eastAsia="Arial" w:hAnsi="Arial"/>
          <w:sz w:val="16"/>
          <w:szCs w:val="16"/>
          <w:b w:val="1"/>
          <w:bCs w:val="1"/>
          <w:color w:val="1F2668"/>
        </w:rPr>
        <w:t>By Telephone</w:t>
      </w:r>
    </w:p>
    <w:p>
      <w:pPr>
        <w:spacing w:after="0" w:line="5" w:lineRule="exact"/>
        <w:rPr>
          <w:sz w:val="20"/>
          <w:szCs w:val="20"/>
          <w:color w:val="auto"/>
        </w:rPr>
      </w:pPr>
    </w:p>
    <w:p>
      <w:pPr>
        <w:ind w:left="886"/>
        <w:spacing w:after="0"/>
        <w:tabs>
          <w:tab w:leader="none" w:pos="3225" w:val="left"/>
        </w:tabs>
        <w:rPr>
          <w:sz w:val="20"/>
          <w:szCs w:val="20"/>
          <w:color w:val="auto"/>
        </w:rPr>
      </w:pPr>
      <w:r>
        <w:rPr>
          <w:rFonts w:ascii="Arial" w:cs="Arial" w:eastAsia="Arial" w:hAnsi="Arial"/>
          <w:sz w:val="16"/>
          <w:szCs w:val="16"/>
          <w:b w:val="1"/>
          <w:bCs w:val="1"/>
          <w:color w:val="575C8E"/>
        </w:rPr>
        <w:t>www.proxyvote.com</w:t>
      </w:r>
      <w:r>
        <w:rPr>
          <w:sz w:val="20"/>
          <w:szCs w:val="20"/>
          <w:color w:val="auto"/>
        </w:rPr>
        <w:tab/>
      </w:r>
      <w:r>
        <w:rPr>
          <w:rFonts w:ascii="Arial" w:cs="Arial" w:eastAsia="Arial" w:hAnsi="Arial"/>
          <w:sz w:val="16"/>
          <w:szCs w:val="16"/>
          <w:b w:val="1"/>
          <w:bCs w:val="1"/>
          <w:color w:val="575C8E"/>
        </w:rPr>
        <w:t>Call 1-800-454-8683</w:t>
      </w:r>
    </w:p>
    <w:p>
      <w:pPr>
        <w:spacing w:after="0" w:line="29" w:lineRule="exact"/>
        <w:rPr>
          <w:sz w:val="20"/>
          <w:szCs w:val="20"/>
          <w:color w:val="auto"/>
        </w:rPr>
      </w:pPr>
    </w:p>
    <w:p>
      <w:pPr>
        <w:ind w:left="746" w:hanging="638"/>
        <w:spacing w:after="0"/>
        <w:tabs>
          <w:tab w:leader="none" w:pos="746" w:val="left"/>
        </w:tabs>
        <w:numPr>
          <w:ilvl w:val="0"/>
          <w:numId w:val="22"/>
        </w:numPr>
        <w:rPr>
          <w:rFonts w:ascii="Arial" w:cs="Arial" w:eastAsia="Arial" w:hAnsi="Arial"/>
          <w:sz w:val="32"/>
          <w:szCs w:val="32"/>
          <w:b w:val="1"/>
          <w:bCs w:val="1"/>
          <w:color w:val="auto"/>
          <w:vertAlign w:val="superscript"/>
        </w:rPr>
      </w:pPr>
      <w:r>
        <w:rPr>
          <w:rFonts w:ascii="Arial" w:cs="Arial" w:eastAsia="Arial" w:hAnsi="Arial"/>
          <w:sz w:val="32"/>
          <w:szCs w:val="32"/>
          <w:b w:val="1"/>
          <w:bCs w:val="1"/>
          <w:color w:val="000000"/>
          <w:vertAlign w:val="superscript"/>
        </w:rPr>
        <w:t>​ ​</w:t>
      </w:r>
      <w:r>
        <w:rPr>
          <w:rFonts w:ascii="Arial" w:cs="Arial" w:eastAsia="Arial" w:hAnsi="Arial"/>
          <w:sz w:val="16"/>
          <w:szCs w:val="16"/>
          <w:b w:val="1"/>
          <w:bCs w:val="1"/>
          <w:color w:val="1F2668"/>
        </w:rPr>
        <w:t>By Tablet or Smartphone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-146050</wp:posOffset>
            </wp:positionV>
            <wp:extent cx="308610" cy="3086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08610" cy="308610"/>
                    </a:xfrm>
                    <a:prstGeom prst="rect">
                      <a:avLst/>
                    </a:prstGeom>
                    <a:noFill/>
                  </pic:spPr>
                </pic:pic>
              </a:graphicData>
            </a:graphic>
          </wp:anchor>
        </w:drawing>
      </w:r>
    </w:p>
    <w:p>
      <w:pPr>
        <w:ind w:left="886"/>
        <w:spacing w:after="0"/>
        <w:rPr>
          <w:sz w:val="20"/>
          <w:szCs w:val="20"/>
          <w:color w:val="auto"/>
        </w:rPr>
      </w:pPr>
      <w:r>
        <w:rPr>
          <w:rFonts w:ascii="Arial" w:cs="Arial" w:eastAsia="Arial" w:hAnsi="Arial"/>
          <w:sz w:val="16"/>
          <w:szCs w:val="16"/>
          <w:color w:val="auto"/>
        </w:rPr>
        <w:t>Scan this QR code to vote with your mobile device</w:t>
      </w:r>
    </w:p>
    <w:p>
      <w:pPr>
        <w:spacing w:after="0" w:line="169" w:lineRule="exact"/>
        <w:rPr>
          <w:sz w:val="20"/>
          <w:szCs w:val="20"/>
          <w:color w:val="auto"/>
        </w:rPr>
      </w:pPr>
    </w:p>
    <w:p>
      <w:pPr>
        <w:ind w:left="206" w:right="20" w:hanging="98"/>
        <w:spacing w:after="0" w:line="234" w:lineRule="auto"/>
        <w:tabs>
          <w:tab w:leader="none" w:pos="206" w:val="left"/>
        </w:tabs>
        <w:numPr>
          <w:ilvl w:val="1"/>
          <w:numId w:val="23"/>
        </w:numPr>
        <w:rPr>
          <w:rFonts w:ascii="Arial" w:cs="Arial" w:eastAsia="Arial" w:hAnsi="Arial"/>
          <w:sz w:val="29"/>
          <w:szCs w:val="29"/>
          <w:color w:val="auto"/>
          <w:vertAlign w:val="superscript"/>
        </w:rPr>
      </w:pPr>
      <w:r>
        <w:rPr>
          <w:rFonts w:ascii="Arial" w:cs="Arial" w:eastAsia="Arial" w:hAnsi="Arial"/>
          <w:sz w:val="14"/>
          <w:szCs w:val="14"/>
          <w:color w:val="auto"/>
        </w:rPr>
        <w:t>Whether or not you plan to attend the Annual Meeting, please carefully read the proxy statement and other proxy materials and complete a proxy for your shares as soon as possible. You may authorize your proxy via the Internet or by telephone by following the instructions on the website indicated in the Notice of Internet Availability of Proxy Materials that you received in the mail. You also may request a paper or an e-mail copy of our proxy materials and a paper proxy card at any time. If you attend the</w:t>
      </w:r>
    </w:p>
    <w:p>
      <w:pPr>
        <w:spacing w:after="0" w:line="3" w:lineRule="exact"/>
        <w:rPr>
          <w:rFonts w:ascii="Arial" w:cs="Arial" w:eastAsia="Arial" w:hAnsi="Arial"/>
          <w:sz w:val="29"/>
          <w:szCs w:val="29"/>
          <w:color w:val="auto"/>
          <w:vertAlign w:val="superscript"/>
        </w:rPr>
      </w:pPr>
    </w:p>
    <w:p>
      <w:pPr>
        <w:ind w:left="206" w:hanging="206"/>
        <w:spacing w:after="0" w:line="237" w:lineRule="auto"/>
        <w:tabs>
          <w:tab w:leader="none" w:pos="206" w:val="left"/>
        </w:tabs>
        <w:numPr>
          <w:ilvl w:val="0"/>
          <w:numId w:val="23"/>
        </w:numPr>
        <w:rPr>
          <w:rFonts w:ascii="Arial" w:cs="Arial" w:eastAsia="Arial" w:hAnsi="Arial"/>
          <w:sz w:val="32"/>
          <w:szCs w:val="32"/>
          <w:color w:val="auto"/>
          <w:vertAlign w:val="superscript"/>
        </w:rPr>
      </w:pPr>
      <w:r>
        <w:rPr>
          <w:rFonts w:ascii="Arial" w:cs="Arial" w:eastAsia="Arial" w:hAnsi="Arial"/>
          <w:sz w:val="14"/>
          <w:szCs w:val="14"/>
          <w:color w:val="auto"/>
        </w:rPr>
        <w:t>Annual Meeting, you may vote during the Annual Meeting if you wish, even if you previously have signed and returned your proxy card. You may be asked to present valid picture identification, such as a driver’s license or passport, before being admitted to the Annual Meeting. To be admitted to the Annual Meeting, you will be required to present a recent brokerage statement or other evidence of your ownership of our stock as of the record date of the Annual Meeting. Please note that if your shares are held of record by a bank, broker or other nominee, please follow the instructions you receive from your bank, broker or other nominee to have your shares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130175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3">
            <w:col w:w="4960" w:space="14"/>
            <w:col w:w="4886" w:space="20"/>
            <w:col w:w="60"/>
          </w:cols>
          <w:pgMar w:left="580" w:top="97" w:right="1379"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1F2668"/>
        </w:rPr>
        <w:t>​</w:t>
      </w:r>
    </w:p>
    <w:p>
      <w:pPr>
        <w:spacing w:after="0" w:line="200" w:lineRule="exact"/>
        <w:rPr>
          <w:sz w:val="20"/>
          <w:szCs w:val="20"/>
          <w:color w:val="auto"/>
        </w:rPr>
      </w:pPr>
    </w:p>
    <w:p>
      <w:pPr>
        <w:spacing w:after="0" w:line="291" w:lineRule="exact"/>
        <w:rPr>
          <w:sz w:val="20"/>
          <w:szCs w:val="20"/>
          <w:color w:val="auto"/>
        </w:rPr>
      </w:pPr>
    </w:p>
    <w:p>
      <w:pPr>
        <w:ind w:left="9760"/>
        <w:spacing w:after="0"/>
        <w:rPr>
          <w:sz w:val="20"/>
          <w:szCs w:val="20"/>
          <w:color w:val="auto"/>
        </w:rPr>
      </w:pPr>
      <w:r>
        <w:rPr>
          <w:rFonts w:ascii="Arial" w:cs="Arial" w:eastAsia="Arial" w:hAnsi="Arial"/>
          <w:sz w:val="22"/>
          <w:szCs w:val="22"/>
          <w:b w:val="1"/>
          <w:bCs w:val="1"/>
          <w:color w:val="1F2668"/>
        </w:rPr>
        <w:t>9</w:t>
      </w:r>
    </w:p>
    <w:p>
      <w:pPr>
        <w:spacing w:after="0" w:line="12" w:lineRule="exact"/>
        <w:rPr>
          <w:sz w:val="20"/>
          <w:szCs w:val="20"/>
          <w:color w:val="auto"/>
        </w:rPr>
      </w:pPr>
    </w:p>
    <w:p>
      <w:pPr>
        <w:ind w:left="820"/>
        <w:spacing w:after="0"/>
        <w:tabs>
          <w:tab w:leader="none" w:pos="9000" w:val="left"/>
          <w:tab w:leader="none" w:pos="9860" w:val="left"/>
        </w:tabs>
        <w:rPr>
          <w:sz w:val="20"/>
          <w:szCs w:val="20"/>
          <w:color w:val="auto"/>
        </w:rPr>
      </w:pPr>
      <w:r>
        <w:rPr>
          <w:rFonts w:ascii="Arial" w:cs="Arial" w:eastAsia="Arial" w:hAnsi="Arial"/>
          <w:sz w:val="22"/>
          <w:szCs w:val="22"/>
          <w:b w:val="1"/>
          <w:bCs w:val="1"/>
          <w:color w:val="1F2668"/>
        </w:rPr>
        <w:t>​</w:t>
      </w:r>
      <w:r>
        <w:rPr>
          <w:sz w:val="20"/>
          <w:szCs w:val="20"/>
          <w:color w:val="auto"/>
        </w:rPr>
        <w:tab/>
      </w:r>
      <w:r>
        <w:rPr>
          <w:rFonts w:ascii="Arial" w:cs="Arial" w:eastAsia="Arial" w:hAnsi="Arial"/>
          <w:sz w:val="22"/>
          <w:szCs w:val="22"/>
          <w:b w:val="1"/>
          <w:bCs w:val="1"/>
          <w:color w:val="1F2668"/>
        </w:rPr>
        <w:t>​ ​</w:t>
      </w:r>
      <w:r>
        <w:rPr>
          <w:sz w:val="20"/>
          <w:szCs w:val="20"/>
          <w:color w:val="auto"/>
        </w:rPr>
        <w:tab/>
      </w:r>
      <w:r>
        <w:rPr>
          <w:rFonts w:ascii="Arial" w:cs="Arial" w:eastAsia="Arial" w:hAnsi="Arial"/>
          <w:sz w:val="22"/>
          <w:szCs w:val="22"/>
          <w:b w:val="1"/>
          <w:bCs w:val="1"/>
          <w:color w:val="1F2668"/>
        </w:rPr>
        <w:t>​</w:t>
      </w:r>
    </w:p>
    <w:p>
      <w:pPr>
        <w:spacing w:after="0" w:line="200" w:lineRule="exact"/>
        <w:rPr>
          <w:sz w:val="20"/>
          <w:szCs w:val="20"/>
          <w:color w:val="auto"/>
        </w:rPr>
      </w:pPr>
    </w:p>
    <w:p>
      <w:pPr>
        <w:spacing w:after="0" w:line="280" w:lineRule="exact"/>
        <w:rPr>
          <w:sz w:val="20"/>
          <w:szCs w:val="20"/>
          <w:color w:val="auto"/>
        </w:rPr>
      </w:pPr>
    </w:p>
    <w:p>
      <w:pPr>
        <w:ind w:left="820"/>
        <w:spacing w:after="0"/>
        <w:rPr>
          <w:sz w:val="20"/>
          <w:szCs w:val="20"/>
          <w:color w:val="auto"/>
        </w:rPr>
      </w:pPr>
      <w:r>
        <w:rPr>
          <w:rFonts w:ascii="Arial" w:cs="Arial" w:eastAsia="Arial" w:hAnsi="Arial"/>
          <w:sz w:val="38"/>
          <w:szCs w:val="38"/>
          <w:b w:val="1"/>
          <w:bCs w:val="1"/>
          <w:color w:val="1F2668"/>
        </w:rPr>
        <w:t>TABLE OF CONTENTS</w:t>
      </w:r>
    </w:p>
    <w:p>
      <w:pPr>
        <w:sectPr>
          <w:pgSz w:w="11900" w:h="16838" w:orient="portrait"/>
          <w:cols w:equalWidth="0" w:num="1">
            <w:col w:w="9940"/>
          </w:cols>
          <w:pgMar w:left="580" w:top="9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820" w:type="dxa"/>
        <w:tblCellMar>
          <w:top w:w="0" w:type="dxa"/>
          <w:left w:w="0" w:type="dxa"/>
          <w:bottom w:w="0" w:type="dxa"/>
          <w:right w:w="0" w:type="dxa"/>
        </w:tblCellMar>
      </w:tblPr>
      <w:tr>
        <w:trPr>
          <w:trHeight w:val="253"/>
        </w:trPr>
        <w:tc>
          <w:tcPr>
            <w:tcW w:w="3280" w:type="dxa"/>
            <w:vAlign w:val="bottom"/>
            <w:gridSpan w:val="17"/>
          </w:tcPr>
          <w:p>
            <w:pPr>
              <w:spacing w:after="0"/>
              <w:rPr>
                <w:sz w:val="20"/>
                <w:szCs w:val="20"/>
                <w:color w:val="auto"/>
              </w:rPr>
            </w:pPr>
            <w:r>
              <w:rPr>
                <w:rFonts w:ascii="Arial" w:cs="Arial" w:eastAsia="Arial" w:hAnsi="Arial"/>
                <w:sz w:val="22"/>
                <w:szCs w:val="22"/>
                <w:b w:val="1"/>
                <w:bCs w:val="1"/>
                <w:color w:val="83AD40"/>
              </w:rPr>
              <w:t>LETTER TO STOCKHOLDERS</w:t>
            </w:r>
            <w:r>
              <w:rPr>
                <w:rFonts w:ascii="Arial" w:cs="Arial" w:eastAsia="Arial" w:hAnsi="Arial"/>
                <w:sz w:val="16"/>
                <w:szCs w:val="16"/>
                <w:color w:val="1F2668"/>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gridSpan w:val="2"/>
            <w:vMerge w:val="restart"/>
          </w:tcPr>
          <w:p>
            <w:pPr>
              <w:ind w:left="180"/>
              <w:spacing w:after="0"/>
              <w:rPr>
                <w:sz w:val="20"/>
                <w:szCs w:val="20"/>
                <w:color w:val="auto"/>
              </w:rPr>
            </w:pPr>
            <w:r>
              <w:rPr>
                <w:rFonts w:ascii="Arial" w:cs="Arial" w:eastAsia="Arial" w:hAnsi="Arial"/>
                <w:sz w:val="22"/>
                <w:szCs w:val="22"/>
                <w:b w:val="1"/>
                <w:bCs w:val="1"/>
                <w:color w:val="83AD40"/>
              </w:rPr>
              <w:t>​ ​​</w:t>
            </w:r>
          </w:p>
        </w:tc>
        <w:tc>
          <w:tcPr>
            <w:tcW w:w="120" w:type="dxa"/>
            <w:vAlign w:val="bottom"/>
          </w:tcPr>
          <w:p>
            <w:pPr>
              <w:spacing w:after="0"/>
              <w:rPr>
                <w:sz w:val="21"/>
                <w:szCs w:val="21"/>
                <w:color w:val="auto"/>
              </w:rPr>
            </w:pPr>
          </w:p>
        </w:tc>
        <w:tc>
          <w:tcPr>
            <w:tcW w:w="60" w:type="dxa"/>
            <w:vAlign w:val="bottom"/>
            <w:vMerge w:val="restart"/>
          </w:tcPr>
          <w:p>
            <w:pPr>
              <w:spacing w:after="0"/>
              <w:rPr>
                <w:sz w:val="20"/>
                <w:szCs w:val="20"/>
                <w:color w:val="auto"/>
              </w:rPr>
            </w:pPr>
            <w:r>
              <w:rPr>
                <w:rFonts w:ascii="Arial" w:cs="Arial" w:eastAsia="Arial" w:hAnsi="Arial"/>
                <w:sz w:val="22"/>
                <w:szCs w:val="22"/>
                <w:b w:val="1"/>
                <w:bCs w:val="1"/>
                <w:color w:val="83AD40"/>
              </w:rPr>
              <w:t>​</w:t>
            </w:r>
          </w:p>
        </w:tc>
        <w:tc>
          <w:tcPr>
            <w:tcW w:w="0" w:type="dxa"/>
            <w:vAlign w:val="bottom"/>
          </w:tcPr>
          <w:p>
            <w:pPr>
              <w:spacing w:after="0"/>
              <w:rPr>
                <w:sz w:val="1"/>
                <w:szCs w:val="1"/>
                <w:color w:val="auto"/>
              </w:rPr>
            </w:pPr>
          </w:p>
        </w:tc>
      </w:tr>
      <w:tr>
        <w:trPr>
          <w:trHeight w:val="122"/>
        </w:trPr>
        <w:tc>
          <w:tcPr>
            <w:tcW w:w="700" w:type="dxa"/>
            <w:vAlign w:val="bottom"/>
            <w:tcBorders>
              <w:bottom w:val="single" w:sz="8" w:color="83AD40"/>
            </w:tcBorders>
            <w:gridSpan w:val="3"/>
          </w:tcPr>
          <w:p>
            <w:pPr>
              <w:spacing w:after="0" w:line="122" w:lineRule="exact"/>
              <w:rPr>
                <w:sz w:val="20"/>
                <w:szCs w:val="20"/>
                <w:color w:val="auto"/>
              </w:rPr>
            </w:pPr>
            <w:r>
              <w:rPr>
                <w:rFonts w:ascii="Arial" w:cs="Arial" w:eastAsia="Arial" w:hAnsi="Arial"/>
                <w:sz w:val="14"/>
                <w:szCs w:val="14"/>
                <w:b w:val="1"/>
                <w:bCs w:val="1"/>
                <w:color w:val="83AD40"/>
              </w:rPr>
              <w:t>​</w:t>
            </w:r>
          </w:p>
        </w:tc>
        <w:tc>
          <w:tcPr>
            <w:tcW w:w="420" w:type="dxa"/>
            <w:vAlign w:val="bottom"/>
            <w:tcBorders>
              <w:bottom w:val="single" w:sz="8" w:color="83AD40"/>
            </w:tcBorders>
          </w:tcPr>
          <w:p>
            <w:pPr>
              <w:spacing w:after="0"/>
              <w:rPr>
                <w:sz w:val="10"/>
                <w:szCs w:val="10"/>
                <w:color w:val="auto"/>
              </w:rPr>
            </w:pPr>
          </w:p>
        </w:tc>
        <w:tc>
          <w:tcPr>
            <w:tcW w:w="140" w:type="dxa"/>
            <w:vAlign w:val="bottom"/>
            <w:tcBorders>
              <w:bottom w:val="single" w:sz="8" w:color="83AD40"/>
            </w:tcBorders>
          </w:tcPr>
          <w:p>
            <w:pPr>
              <w:spacing w:after="0"/>
              <w:rPr>
                <w:sz w:val="10"/>
                <w:szCs w:val="10"/>
                <w:color w:val="auto"/>
              </w:rPr>
            </w:pPr>
          </w:p>
        </w:tc>
        <w:tc>
          <w:tcPr>
            <w:tcW w:w="160" w:type="dxa"/>
            <w:vAlign w:val="bottom"/>
            <w:tcBorders>
              <w:bottom w:val="single" w:sz="8" w:color="83AD40"/>
            </w:tcBorders>
          </w:tcPr>
          <w:p>
            <w:pPr>
              <w:spacing w:after="0"/>
              <w:rPr>
                <w:sz w:val="10"/>
                <w:szCs w:val="10"/>
                <w:color w:val="auto"/>
              </w:rPr>
            </w:pPr>
          </w:p>
        </w:tc>
        <w:tc>
          <w:tcPr>
            <w:tcW w:w="300" w:type="dxa"/>
            <w:vAlign w:val="bottom"/>
            <w:tcBorders>
              <w:bottom w:val="single" w:sz="8" w:color="83AD40"/>
            </w:tcBorders>
          </w:tcPr>
          <w:p>
            <w:pPr>
              <w:spacing w:after="0"/>
              <w:rPr>
                <w:sz w:val="10"/>
                <w:szCs w:val="10"/>
                <w:color w:val="auto"/>
              </w:rPr>
            </w:pPr>
          </w:p>
        </w:tc>
        <w:tc>
          <w:tcPr>
            <w:tcW w:w="40" w:type="dxa"/>
            <w:vAlign w:val="bottom"/>
            <w:tcBorders>
              <w:bottom w:val="single" w:sz="8" w:color="83AD40"/>
            </w:tcBorders>
          </w:tcPr>
          <w:p>
            <w:pPr>
              <w:spacing w:after="0"/>
              <w:rPr>
                <w:sz w:val="10"/>
                <w:szCs w:val="10"/>
                <w:color w:val="auto"/>
              </w:rPr>
            </w:pPr>
          </w:p>
        </w:tc>
        <w:tc>
          <w:tcPr>
            <w:tcW w:w="60" w:type="dxa"/>
            <w:vAlign w:val="bottom"/>
            <w:tcBorders>
              <w:bottom w:val="single" w:sz="8" w:color="83AD40"/>
            </w:tcBorders>
          </w:tcPr>
          <w:p>
            <w:pPr>
              <w:spacing w:after="0"/>
              <w:rPr>
                <w:sz w:val="10"/>
                <w:szCs w:val="10"/>
                <w:color w:val="auto"/>
              </w:rPr>
            </w:pPr>
          </w:p>
        </w:tc>
        <w:tc>
          <w:tcPr>
            <w:tcW w:w="600" w:type="dxa"/>
            <w:vAlign w:val="bottom"/>
            <w:tcBorders>
              <w:bottom w:val="single" w:sz="8" w:color="83AD40"/>
            </w:tcBorders>
          </w:tcPr>
          <w:p>
            <w:pPr>
              <w:spacing w:after="0"/>
              <w:rPr>
                <w:sz w:val="10"/>
                <w:szCs w:val="10"/>
                <w:color w:val="auto"/>
              </w:rPr>
            </w:pPr>
          </w:p>
        </w:tc>
        <w:tc>
          <w:tcPr>
            <w:tcW w:w="40" w:type="dxa"/>
            <w:vAlign w:val="bottom"/>
            <w:tcBorders>
              <w:bottom w:val="single" w:sz="8" w:color="83AD40"/>
            </w:tcBorders>
          </w:tcPr>
          <w:p>
            <w:pPr>
              <w:spacing w:after="0"/>
              <w:rPr>
                <w:sz w:val="10"/>
                <w:szCs w:val="10"/>
                <w:color w:val="auto"/>
              </w:rPr>
            </w:pPr>
          </w:p>
        </w:tc>
        <w:tc>
          <w:tcPr>
            <w:tcW w:w="60" w:type="dxa"/>
            <w:vAlign w:val="bottom"/>
            <w:tcBorders>
              <w:bottom w:val="single" w:sz="8" w:color="83AD40"/>
            </w:tcBorders>
          </w:tcPr>
          <w:p>
            <w:pPr>
              <w:spacing w:after="0"/>
              <w:rPr>
                <w:sz w:val="10"/>
                <w:szCs w:val="10"/>
                <w:color w:val="auto"/>
              </w:rPr>
            </w:pPr>
          </w:p>
        </w:tc>
        <w:tc>
          <w:tcPr>
            <w:tcW w:w="140" w:type="dxa"/>
            <w:vAlign w:val="bottom"/>
            <w:tcBorders>
              <w:bottom w:val="single" w:sz="8" w:color="83AD40"/>
            </w:tcBorders>
          </w:tcPr>
          <w:p>
            <w:pPr>
              <w:spacing w:after="0"/>
              <w:rPr>
                <w:sz w:val="10"/>
                <w:szCs w:val="10"/>
                <w:color w:val="auto"/>
              </w:rPr>
            </w:pPr>
          </w:p>
        </w:tc>
        <w:tc>
          <w:tcPr>
            <w:tcW w:w="20" w:type="dxa"/>
            <w:vAlign w:val="bottom"/>
            <w:tcBorders>
              <w:bottom w:val="single" w:sz="8" w:color="83AD40"/>
            </w:tcBorders>
          </w:tcPr>
          <w:p>
            <w:pPr>
              <w:spacing w:after="0"/>
              <w:rPr>
                <w:sz w:val="10"/>
                <w:szCs w:val="10"/>
                <w:color w:val="auto"/>
              </w:rPr>
            </w:pPr>
          </w:p>
        </w:tc>
        <w:tc>
          <w:tcPr>
            <w:tcW w:w="280" w:type="dxa"/>
            <w:vAlign w:val="bottom"/>
            <w:tcBorders>
              <w:bottom w:val="single" w:sz="8" w:color="83AD40"/>
            </w:tcBorders>
          </w:tcPr>
          <w:p>
            <w:pPr>
              <w:spacing w:after="0"/>
              <w:rPr>
                <w:sz w:val="10"/>
                <w:szCs w:val="10"/>
                <w:color w:val="auto"/>
              </w:rPr>
            </w:pPr>
          </w:p>
        </w:tc>
        <w:tc>
          <w:tcPr>
            <w:tcW w:w="80" w:type="dxa"/>
            <w:vAlign w:val="bottom"/>
            <w:tcBorders>
              <w:bottom w:val="single" w:sz="8" w:color="83AD40"/>
            </w:tcBorders>
          </w:tcPr>
          <w:p>
            <w:pPr>
              <w:spacing w:after="0"/>
              <w:rPr>
                <w:sz w:val="10"/>
                <w:szCs w:val="10"/>
                <w:color w:val="auto"/>
              </w:rPr>
            </w:pPr>
          </w:p>
        </w:tc>
        <w:tc>
          <w:tcPr>
            <w:tcW w:w="240" w:type="dxa"/>
            <w:vAlign w:val="bottom"/>
            <w:tcBorders>
              <w:bottom w:val="single" w:sz="8" w:color="83AD40"/>
            </w:tcBorders>
          </w:tcPr>
          <w:p>
            <w:pPr>
              <w:spacing w:after="0"/>
              <w:rPr>
                <w:sz w:val="10"/>
                <w:szCs w:val="10"/>
                <w:color w:val="auto"/>
              </w:rPr>
            </w:pPr>
          </w:p>
        </w:tc>
        <w:tc>
          <w:tcPr>
            <w:tcW w:w="120" w:type="dxa"/>
            <w:vAlign w:val="bottom"/>
            <w:tcBorders>
              <w:bottom w:val="single" w:sz="8" w:color="83AD40"/>
            </w:tcBorders>
          </w:tcPr>
          <w:p>
            <w:pPr>
              <w:spacing w:after="0"/>
              <w:rPr>
                <w:sz w:val="10"/>
                <w:szCs w:val="10"/>
                <w:color w:val="auto"/>
              </w:rPr>
            </w:pPr>
          </w:p>
        </w:tc>
        <w:tc>
          <w:tcPr>
            <w:tcW w:w="20" w:type="dxa"/>
            <w:vAlign w:val="bottom"/>
            <w:tcBorders>
              <w:bottom w:val="single" w:sz="8" w:color="83AD40"/>
            </w:tcBorders>
          </w:tcPr>
          <w:p>
            <w:pPr>
              <w:spacing w:after="0"/>
              <w:rPr>
                <w:sz w:val="10"/>
                <w:szCs w:val="10"/>
                <w:color w:val="auto"/>
              </w:rPr>
            </w:pPr>
          </w:p>
        </w:tc>
        <w:tc>
          <w:tcPr>
            <w:tcW w:w="60" w:type="dxa"/>
            <w:vAlign w:val="bottom"/>
            <w:tcBorders>
              <w:bottom w:val="single" w:sz="8" w:color="83AD40"/>
            </w:tcBorders>
          </w:tcPr>
          <w:p>
            <w:pPr>
              <w:spacing w:after="0"/>
              <w:rPr>
                <w:sz w:val="10"/>
                <w:szCs w:val="10"/>
                <w:color w:val="auto"/>
              </w:rPr>
            </w:pPr>
          </w:p>
        </w:tc>
        <w:tc>
          <w:tcPr>
            <w:tcW w:w="20" w:type="dxa"/>
            <w:vAlign w:val="bottom"/>
            <w:tcBorders>
              <w:bottom w:val="single" w:sz="8" w:color="83AD40"/>
            </w:tcBorders>
          </w:tcPr>
          <w:p>
            <w:pPr>
              <w:spacing w:after="0"/>
              <w:rPr>
                <w:sz w:val="10"/>
                <w:szCs w:val="10"/>
                <w:color w:val="auto"/>
              </w:rPr>
            </w:pPr>
          </w:p>
        </w:tc>
        <w:tc>
          <w:tcPr>
            <w:tcW w:w="200" w:type="dxa"/>
            <w:vAlign w:val="bottom"/>
            <w:tcBorders>
              <w:bottom w:val="single" w:sz="8" w:color="83AD40"/>
            </w:tcBorders>
          </w:tcPr>
          <w:p>
            <w:pPr>
              <w:spacing w:after="0"/>
              <w:rPr>
                <w:sz w:val="10"/>
                <w:szCs w:val="10"/>
                <w:color w:val="auto"/>
              </w:rPr>
            </w:pPr>
          </w:p>
        </w:tc>
        <w:tc>
          <w:tcPr>
            <w:tcW w:w="500" w:type="dxa"/>
            <w:vAlign w:val="bottom"/>
            <w:tcBorders>
              <w:bottom w:val="single" w:sz="8" w:color="83AD40"/>
            </w:tcBorders>
            <w:gridSpan w:val="2"/>
            <w:vMerge w:val="continue"/>
          </w:tcPr>
          <w:p>
            <w:pPr>
              <w:spacing w:after="0"/>
              <w:rPr>
                <w:sz w:val="10"/>
                <w:szCs w:val="10"/>
                <w:color w:val="auto"/>
              </w:rPr>
            </w:pPr>
          </w:p>
        </w:tc>
        <w:tc>
          <w:tcPr>
            <w:tcW w:w="120" w:type="dxa"/>
            <w:vAlign w:val="bottom"/>
            <w:tcBorders>
              <w:bottom w:val="single" w:sz="8" w:color="83AD40"/>
            </w:tcBorders>
          </w:tcPr>
          <w:p>
            <w:pPr>
              <w:spacing w:after="0"/>
              <w:rPr>
                <w:sz w:val="10"/>
                <w:szCs w:val="10"/>
                <w:color w:val="auto"/>
              </w:rPr>
            </w:pPr>
          </w:p>
        </w:tc>
        <w:tc>
          <w:tcPr>
            <w:tcW w:w="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33"/>
        </w:trPr>
        <w:tc>
          <w:tcPr>
            <w:tcW w:w="2660" w:type="dxa"/>
            <w:vAlign w:val="bottom"/>
            <w:tcBorders>
              <w:bottom w:val="single" w:sz="8" w:color="83AD40"/>
            </w:tcBorders>
            <w:gridSpan w:val="13"/>
          </w:tcPr>
          <w:p>
            <w:pPr>
              <w:spacing w:after="0"/>
              <w:rPr>
                <w:sz w:val="20"/>
                <w:szCs w:val="20"/>
                <w:color w:val="auto"/>
              </w:rPr>
            </w:pPr>
            <w:r>
              <w:rPr>
                <w:rFonts w:ascii="Arial" w:cs="Arial" w:eastAsia="Arial" w:hAnsi="Arial"/>
                <w:sz w:val="22"/>
                <w:szCs w:val="22"/>
                <w:b w:val="1"/>
                <w:bCs w:val="1"/>
                <w:color w:val="83AD40"/>
                <w:w w:val="96"/>
              </w:rPr>
              <w:t>2025 PROXY STATEMENT</w:t>
            </w:r>
          </w:p>
        </w:tc>
        <w:tc>
          <w:tcPr>
            <w:tcW w:w="62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gridSpan w:val="2"/>
            <w:vMerge w:val="restart"/>
          </w:tcPr>
          <w:p>
            <w:pPr>
              <w:jc w:val="right"/>
              <w:ind w:right="100"/>
              <w:spacing w:after="0"/>
              <w:rPr>
                <w:sz w:val="20"/>
                <w:szCs w:val="20"/>
                <w:color w:val="auto"/>
              </w:rPr>
            </w:pPr>
            <w:r>
              <w:rPr>
                <w:rFonts w:ascii="Arial" w:cs="Arial" w:eastAsia="Arial" w:hAnsi="Arial"/>
                <w:sz w:val="22"/>
                <w:szCs w:val="22"/>
                <w:b w:val="1"/>
                <w:bCs w:val="1"/>
                <w:color w:val="83AD40"/>
              </w:rPr>
              <w:t>​</w:t>
            </w:r>
          </w:p>
        </w:tc>
        <w:tc>
          <w:tcPr>
            <w:tcW w:w="180" w:type="dxa"/>
            <w:vAlign w:val="bottom"/>
            <w:gridSpan w:val="2"/>
            <w:vMerge w:val="restart"/>
          </w:tcPr>
          <w:p>
            <w:pPr>
              <w:jc w:val="right"/>
              <w:spacing w:after="0"/>
              <w:rPr>
                <w:sz w:val="20"/>
                <w:szCs w:val="20"/>
                <w:color w:val="auto"/>
              </w:rPr>
            </w:pPr>
            <w:r>
              <w:rPr>
                <w:rFonts w:ascii="Arial" w:cs="Arial" w:eastAsia="Arial" w:hAnsi="Arial"/>
                <w:sz w:val="22"/>
                <w:szCs w:val="22"/>
                <w:b w:val="1"/>
                <w:bCs w:val="1"/>
                <w:color w:val="83AD40"/>
                <w:w w:val="81"/>
              </w:rPr>
              <w:t>4</w:t>
            </w:r>
          </w:p>
        </w:tc>
        <w:tc>
          <w:tcPr>
            <w:tcW w:w="0" w:type="dxa"/>
            <w:vAlign w:val="bottom"/>
          </w:tcPr>
          <w:p>
            <w:pPr>
              <w:spacing w:after="0"/>
              <w:rPr>
                <w:sz w:val="1"/>
                <w:szCs w:val="1"/>
                <w:color w:val="auto"/>
              </w:rPr>
            </w:pPr>
          </w:p>
        </w:tc>
      </w:tr>
      <w:tr>
        <w:trPr>
          <w:trHeight w:val="230"/>
        </w:trPr>
        <w:tc>
          <w:tcPr>
            <w:tcW w:w="3280" w:type="dxa"/>
            <w:vAlign w:val="bottom"/>
            <w:gridSpan w:val="17"/>
          </w:tcPr>
          <w:p>
            <w:pPr>
              <w:spacing w:after="0" w:line="223" w:lineRule="exact"/>
              <w:rPr>
                <w:sz w:val="20"/>
                <w:szCs w:val="20"/>
                <w:color w:val="auto"/>
              </w:rPr>
            </w:pPr>
            <w:r>
              <w:rPr>
                <w:rFonts w:ascii="Arial" w:cs="Arial" w:eastAsia="Arial" w:hAnsi="Arial"/>
                <w:sz w:val="22"/>
                <w:szCs w:val="22"/>
                <w:b w:val="1"/>
                <w:bCs w:val="1"/>
                <w:u w:val="single" w:color="auto"/>
                <w:color w:val="83AD40"/>
              </w:rPr>
              <w:t>HIGHLIGHTS</w:t>
            </w:r>
            <w:r>
              <w:rPr>
                <w:rFonts w:ascii="Arial" w:cs="Arial" w:eastAsia="Arial" w:hAnsi="Arial"/>
                <w:sz w:val="16"/>
                <w:szCs w:val="16"/>
                <w:color w:val="1F2668"/>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gridSpan w:val="2"/>
            <w:vMerge w:val="continue"/>
          </w:tcPr>
          <w:p>
            <w:pPr>
              <w:spacing w:after="0"/>
              <w:rPr>
                <w:sz w:val="20"/>
                <w:szCs w:val="20"/>
                <w:color w:val="auto"/>
              </w:rPr>
            </w:pPr>
          </w:p>
        </w:tc>
        <w:tc>
          <w:tcPr>
            <w:tcW w:w="1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700" w:type="dxa"/>
            <w:vAlign w:val="bottom"/>
            <w:tcBorders>
              <w:bottom w:val="single" w:sz="8" w:color="83AD40"/>
            </w:tcBorders>
            <w:gridSpan w:val="3"/>
          </w:tcPr>
          <w:p>
            <w:pPr>
              <w:spacing w:after="0" w:line="95" w:lineRule="exact"/>
              <w:rPr>
                <w:sz w:val="20"/>
                <w:szCs w:val="20"/>
                <w:color w:val="auto"/>
              </w:rPr>
            </w:pPr>
            <w:r>
              <w:rPr>
                <w:rFonts w:ascii="Arial" w:cs="Arial" w:eastAsia="Arial" w:hAnsi="Arial"/>
                <w:sz w:val="10"/>
                <w:szCs w:val="10"/>
                <w:b w:val="1"/>
                <w:bCs w:val="1"/>
                <w:color w:val="83AD40"/>
              </w:rPr>
              <w:t>​</w:t>
            </w:r>
          </w:p>
        </w:tc>
        <w:tc>
          <w:tcPr>
            <w:tcW w:w="420" w:type="dxa"/>
            <w:vAlign w:val="bottom"/>
            <w:tcBorders>
              <w:bottom w:val="single" w:sz="8" w:color="83AD40"/>
            </w:tcBorders>
          </w:tcPr>
          <w:p>
            <w:pPr>
              <w:spacing w:after="0"/>
              <w:rPr>
                <w:sz w:val="8"/>
                <w:szCs w:val="8"/>
                <w:color w:val="auto"/>
              </w:rPr>
            </w:pPr>
          </w:p>
        </w:tc>
        <w:tc>
          <w:tcPr>
            <w:tcW w:w="140" w:type="dxa"/>
            <w:vAlign w:val="bottom"/>
            <w:tcBorders>
              <w:bottom w:val="single" w:sz="8" w:color="83AD40"/>
            </w:tcBorders>
          </w:tcPr>
          <w:p>
            <w:pPr>
              <w:spacing w:after="0"/>
              <w:rPr>
                <w:sz w:val="8"/>
                <w:szCs w:val="8"/>
                <w:color w:val="auto"/>
              </w:rPr>
            </w:pPr>
          </w:p>
        </w:tc>
        <w:tc>
          <w:tcPr>
            <w:tcW w:w="160" w:type="dxa"/>
            <w:vAlign w:val="bottom"/>
            <w:tcBorders>
              <w:bottom w:val="single" w:sz="8" w:color="83AD40"/>
            </w:tcBorders>
          </w:tcPr>
          <w:p>
            <w:pPr>
              <w:spacing w:after="0"/>
              <w:rPr>
                <w:sz w:val="8"/>
                <w:szCs w:val="8"/>
                <w:color w:val="auto"/>
              </w:rPr>
            </w:pPr>
          </w:p>
        </w:tc>
        <w:tc>
          <w:tcPr>
            <w:tcW w:w="300" w:type="dxa"/>
            <w:vAlign w:val="bottom"/>
            <w:tcBorders>
              <w:bottom w:val="single" w:sz="8" w:color="83AD40"/>
            </w:tcBorders>
          </w:tcPr>
          <w:p>
            <w:pPr>
              <w:spacing w:after="0"/>
              <w:rPr>
                <w:sz w:val="8"/>
                <w:szCs w:val="8"/>
                <w:color w:val="auto"/>
              </w:rPr>
            </w:pPr>
          </w:p>
        </w:tc>
        <w:tc>
          <w:tcPr>
            <w:tcW w:w="40" w:type="dxa"/>
            <w:vAlign w:val="bottom"/>
            <w:tcBorders>
              <w:bottom w:val="single" w:sz="8" w:color="83AD40"/>
            </w:tcBorders>
          </w:tcPr>
          <w:p>
            <w:pPr>
              <w:spacing w:after="0"/>
              <w:rPr>
                <w:sz w:val="8"/>
                <w:szCs w:val="8"/>
                <w:color w:val="auto"/>
              </w:rPr>
            </w:pPr>
          </w:p>
        </w:tc>
        <w:tc>
          <w:tcPr>
            <w:tcW w:w="60" w:type="dxa"/>
            <w:vAlign w:val="bottom"/>
            <w:tcBorders>
              <w:bottom w:val="single" w:sz="8" w:color="83AD40"/>
            </w:tcBorders>
          </w:tcPr>
          <w:p>
            <w:pPr>
              <w:spacing w:after="0"/>
              <w:rPr>
                <w:sz w:val="8"/>
                <w:szCs w:val="8"/>
                <w:color w:val="auto"/>
              </w:rPr>
            </w:pPr>
          </w:p>
        </w:tc>
        <w:tc>
          <w:tcPr>
            <w:tcW w:w="600" w:type="dxa"/>
            <w:vAlign w:val="bottom"/>
            <w:tcBorders>
              <w:bottom w:val="single" w:sz="8" w:color="83AD40"/>
            </w:tcBorders>
          </w:tcPr>
          <w:p>
            <w:pPr>
              <w:spacing w:after="0"/>
              <w:rPr>
                <w:sz w:val="8"/>
                <w:szCs w:val="8"/>
                <w:color w:val="auto"/>
              </w:rPr>
            </w:pPr>
          </w:p>
        </w:tc>
        <w:tc>
          <w:tcPr>
            <w:tcW w:w="40" w:type="dxa"/>
            <w:vAlign w:val="bottom"/>
            <w:tcBorders>
              <w:bottom w:val="single" w:sz="8" w:color="83AD40"/>
            </w:tcBorders>
          </w:tcPr>
          <w:p>
            <w:pPr>
              <w:spacing w:after="0"/>
              <w:rPr>
                <w:sz w:val="8"/>
                <w:szCs w:val="8"/>
                <w:color w:val="auto"/>
              </w:rPr>
            </w:pPr>
          </w:p>
        </w:tc>
        <w:tc>
          <w:tcPr>
            <w:tcW w:w="60" w:type="dxa"/>
            <w:vAlign w:val="bottom"/>
            <w:tcBorders>
              <w:bottom w:val="single" w:sz="8" w:color="83AD40"/>
            </w:tcBorders>
          </w:tcPr>
          <w:p>
            <w:pPr>
              <w:spacing w:after="0"/>
              <w:rPr>
                <w:sz w:val="8"/>
                <w:szCs w:val="8"/>
                <w:color w:val="auto"/>
              </w:rPr>
            </w:pPr>
          </w:p>
        </w:tc>
        <w:tc>
          <w:tcPr>
            <w:tcW w:w="140" w:type="dxa"/>
            <w:vAlign w:val="bottom"/>
            <w:tcBorders>
              <w:bottom w:val="single" w:sz="8" w:color="83AD40"/>
            </w:tcBorders>
          </w:tcPr>
          <w:p>
            <w:pPr>
              <w:spacing w:after="0"/>
              <w:rPr>
                <w:sz w:val="8"/>
                <w:szCs w:val="8"/>
                <w:color w:val="auto"/>
              </w:rPr>
            </w:pPr>
          </w:p>
        </w:tc>
        <w:tc>
          <w:tcPr>
            <w:tcW w:w="20" w:type="dxa"/>
            <w:vAlign w:val="bottom"/>
            <w:tcBorders>
              <w:bottom w:val="single" w:sz="8" w:color="83AD40"/>
            </w:tcBorders>
          </w:tcPr>
          <w:p>
            <w:pPr>
              <w:spacing w:after="0"/>
              <w:rPr>
                <w:sz w:val="8"/>
                <w:szCs w:val="8"/>
                <w:color w:val="auto"/>
              </w:rPr>
            </w:pPr>
          </w:p>
        </w:tc>
        <w:tc>
          <w:tcPr>
            <w:tcW w:w="280" w:type="dxa"/>
            <w:vAlign w:val="bottom"/>
            <w:tcBorders>
              <w:bottom w:val="single" w:sz="8" w:color="83AD40"/>
            </w:tcBorders>
          </w:tcPr>
          <w:p>
            <w:pPr>
              <w:spacing w:after="0"/>
              <w:rPr>
                <w:sz w:val="8"/>
                <w:szCs w:val="8"/>
                <w:color w:val="auto"/>
              </w:rPr>
            </w:pPr>
          </w:p>
        </w:tc>
        <w:tc>
          <w:tcPr>
            <w:tcW w:w="80" w:type="dxa"/>
            <w:vAlign w:val="bottom"/>
            <w:tcBorders>
              <w:bottom w:val="single" w:sz="8" w:color="83AD40"/>
            </w:tcBorders>
          </w:tcPr>
          <w:p>
            <w:pPr>
              <w:spacing w:after="0"/>
              <w:rPr>
                <w:sz w:val="8"/>
                <w:szCs w:val="8"/>
                <w:color w:val="auto"/>
              </w:rPr>
            </w:pPr>
          </w:p>
        </w:tc>
        <w:tc>
          <w:tcPr>
            <w:tcW w:w="240" w:type="dxa"/>
            <w:vAlign w:val="bottom"/>
            <w:tcBorders>
              <w:bottom w:val="single" w:sz="8" w:color="83AD40"/>
            </w:tcBorders>
          </w:tcPr>
          <w:p>
            <w:pPr>
              <w:spacing w:after="0"/>
              <w:rPr>
                <w:sz w:val="8"/>
                <w:szCs w:val="8"/>
                <w:color w:val="auto"/>
              </w:rPr>
            </w:pPr>
          </w:p>
        </w:tc>
        <w:tc>
          <w:tcPr>
            <w:tcW w:w="120" w:type="dxa"/>
            <w:vAlign w:val="bottom"/>
            <w:tcBorders>
              <w:bottom w:val="single" w:sz="8" w:color="83AD40"/>
            </w:tcBorders>
          </w:tcPr>
          <w:p>
            <w:pPr>
              <w:spacing w:after="0"/>
              <w:rPr>
                <w:sz w:val="8"/>
                <w:szCs w:val="8"/>
                <w:color w:val="auto"/>
              </w:rPr>
            </w:pPr>
          </w:p>
        </w:tc>
        <w:tc>
          <w:tcPr>
            <w:tcW w:w="20" w:type="dxa"/>
            <w:vAlign w:val="bottom"/>
            <w:tcBorders>
              <w:bottom w:val="single" w:sz="8" w:color="83AD40"/>
            </w:tcBorders>
          </w:tcPr>
          <w:p>
            <w:pPr>
              <w:spacing w:after="0"/>
              <w:rPr>
                <w:sz w:val="8"/>
                <w:szCs w:val="8"/>
                <w:color w:val="auto"/>
              </w:rPr>
            </w:pPr>
          </w:p>
        </w:tc>
        <w:tc>
          <w:tcPr>
            <w:tcW w:w="60" w:type="dxa"/>
            <w:vAlign w:val="bottom"/>
            <w:tcBorders>
              <w:bottom w:val="single" w:sz="8" w:color="83AD40"/>
            </w:tcBorders>
          </w:tcPr>
          <w:p>
            <w:pPr>
              <w:spacing w:after="0"/>
              <w:rPr>
                <w:sz w:val="8"/>
                <w:szCs w:val="8"/>
                <w:color w:val="auto"/>
              </w:rPr>
            </w:pPr>
          </w:p>
        </w:tc>
        <w:tc>
          <w:tcPr>
            <w:tcW w:w="20" w:type="dxa"/>
            <w:vAlign w:val="bottom"/>
            <w:tcBorders>
              <w:bottom w:val="single" w:sz="8" w:color="83AD40"/>
            </w:tcBorders>
          </w:tcPr>
          <w:p>
            <w:pPr>
              <w:spacing w:after="0"/>
              <w:rPr>
                <w:sz w:val="8"/>
                <w:szCs w:val="8"/>
                <w:color w:val="auto"/>
              </w:rPr>
            </w:pPr>
          </w:p>
        </w:tc>
        <w:tc>
          <w:tcPr>
            <w:tcW w:w="200" w:type="dxa"/>
            <w:vAlign w:val="bottom"/>
            <w:tcBorders>
              <w:bottom w:val="single" w:sz="8" w:color="83AD40"/>
            </w:tcBorders>
          </w:tcPr>
          <w:p>
            <w:pPr>
              <w:spacing w:after="0"/>
              <w:rPr>
                <w:sz w:val="8"/>
                <w:szCs w:val="8"/>
                <w:color w:val="auto"/>
              </w:rPr>
            </w:pPr>
          </w:p>
        </w:tc>
        <w:tc>
          <w:tcPr>
            <w:tcW w:w="500" w:type="dxa"/>
            <w:vAlign w:val="bottom"/>
            <w:tcBorders>
              <w:bottom w:val="single" w:sz="8" w:color="83AD40"/>
            </w:tcBorders>
            <w:gridSpan w:val="2"/>
          </w:tcPr>
          <w:p>
            <w:pPr>
              <w:ind w:left="180"/>
              <w:spacing w:after="0" w:line="95" w:lineRule="exact"/>
              <w:rPr>
                <w:sz w:val="20"/>
                <w:szCs w:val="20"/>
                <w:color w:val="auto"/>
              </w:rPr>
            </w:pPr>
            <w:r>
              <w:rPr>
                <w:rFonts w:ascii="Arial" w:cs="Arial" w:eastAsia="Arial" w:hAnsi="Arial"/>
                <w:sz w:val="10"/>
                <w:szCs w:val="10"/>
                <w:b w:val="1"/>
                <w:bCs w:val="1"/>
                <w:color w:val="83AD40"/>
              </w:rPr>
              <w:t>​ ​</w:t>
            </w:r>
          </w:p>
        </w:tc>
        <w:tc>
          <w:tcPr>
            <w:tcW w:w="120" w:type="dxa"/>
            <w:vAlign w:val="bottom"/>
            <w:tcBorders>
              <w:top w:val="single" w:sz="8" w:color="83AD40"/>
              <w:bottom w:val="single" w:sz="8" w:color="83AD40"/>
            </w:tcBorders>
          </w:tcPr>
          <w:p>
            <w:pPr>
              <w:spacing w:after="0"/>
              <w:rPr>
                <w:sz w:val="8"/>
                <w:szCs w:val="8"/>
                <w:color w:val="auto"/>
              </w:rPr>
            </w:pPr>
          </w:p>
        </w:tc>
        <w:tc>
          <w:tcPr>
            <w:tcW w:w="60" w:type="dxa"/>
            <w:vAlign w:val="bottom"/>
          </w:tcPr>
          <w:p>
            <w:pPr>
              <w:spacing w:after="0" w:line="95" w:lineRule="exact"/>
              <w:rPr>
                <w:sz w:val="20"/>
                <w:szCs w:val="20"/>
                <w:color w:val="auto"/>
              </w:rPr>
            </w:pPr>
            <w:r>
              <w:rPr>
                <w:rFonts w:ascii="Arial" w:cs="Arial" w:eastAsia="Arial" w:hAnsi="Arial"/>
                <w:sz w:val="10"/>
                <w:szCs w:val="10"/>
                <w:b w:val="1"/>
                <w:bCs w:val="1"/>
                <w:color w:val="83AD40"/>
              </w:rPr>
              <w:t>​</w:t>
            </w:r>
          </w:p>
        </w:tc>
        <w:tc>
          <w:tcPr>
            <w:tcW w:w="0" w:type="dxa"/>
            <w:vAlign w:val="bottom"/>
          </w:tcPr>
          <w:p>
            <w:pPr>
              <w:spacing w:after="0"/>
              <w:rPr>
                <w:sz w:val="1"/>
                <w:szCs w:val="1"/>
                <w:color w:val="auto"/>
              </w:rPr>
            </w:pPr>
          </w:p>
        </w:tc>
      </w:tr>
      <w:tr>
        <w:trPr>
          <w:trHeight w:val="533"/>
        </w:trPr>
        <w:tc>
          <w:tcPr>
            <w:tcW w:w="3700" w:type="dxa"/>
            <w:vAlign w:val="bottom"/>
            <w:gridSpan w:val="22"/>
          </w:tcPr>
          <w:p>
            <w:pPr>
              <w:spacing w:after="0"/>
              <w:rPr>
                <w:sz w:val="20"/>
                <w:szCs w:val="20"/>
                <w:color w:val="auto"/>
              </w:rPr>
            </w:pPr>
            <w:r>
              <w:rPr>
                <w:rFonts w:ascii="Arial" w:cs="Arial" w:eastAsia="Arial" w:hAnsi="Arial"/>
                <w:sz w:val="22"/>
                <w:szCs w:val="22"/>
                <w:b w:val="1"/>
                <w:bCs w:val="1"/>
                <w:color w:val="83AD40"/>
              </w:rPr>
              <w:t>NOTICE OF ANNUAL MEETING OF</w:t>
            </w:r>
          </w:p>
        </w:tc>
        <w:tc>
          <w:tcPr>
            <w:tcW w:w="500" w:type="dxa"/>
            <w:vAlign w:val="bottom"/>
            <w:gridSpan w:val="2"/>
            <w:vMerge w:val="restart"/>
          </w:tcPr>
          <w:p>
            <w:pPr>
              <w:jc w:val="right"/>
              <w:ind w:right="100"/>
              <w:spacing w:after="0"/>
              <w:rPr>
                <w:sz w:val="20"/>
                <w:szCs w:val="20"/>
                <w:color w:val="auto"/>
              </w:rPr>
            </w:pPr>
            <w:r>
              <w:rPr>
                <w:rFonts w:ascii="Arial" w:cs="Arial" w:eastAsia="Arial" w:hAnsi="Arial"/>
                <w:sz w:val="22"/>
                <w:szCs w:val="22"/>
                <w:b w:val="1"/>
                <w:bCs w:val="1"/>
                <w:color w:val="83AD40"/>
              </w:rPr>
              <w:t>​</w:t>
            </w:r>
          </w:p>
        </w:tc>
        <w:tc>
          <w:tcPr>
            <w:tcW w:w="180" w:type="dxa"/>
            <w:vAlign w:val="bottom"/>
            <w:gridSpan w:val="2"/>
            <w:vMerge w:val="restart"/>
          </w:tcPr>
          <w:p>
            <w:pPr>
              <w:jc w:val="right"/>
              <w:spacing w:after="0"/>
              <w:rPr>
                <w:sz w:val="20"/>
                <w:szCs w:val="20"/>
                <w:color w:val="auto"/>
              </w:rPr>
            </w:pPr>
            <w:r>
              <w:rPr>
                <w:rFonts w:ascii="Arial" w:cs="Arial" w:eastAsia="Arial" w:hAnsi="Arial"/>
                <w:sz w:val="22"/>
                <w:szCs w:val="22"/>
                <w:b w:val="1"/>
                <w:bCs w:val="1"/>
                <w:color w:val="83AD40"/>
                <w:w w:val="81"/>
              </w:rPr>
              <w:t>8</w:t>
            </w:r>
          </w:p>
        </w:tc>
        <w:tc>
          <w:tcPr>
            <w:tcW w:w="0" w:type="dxa"/>
            <w:vAlign w:val="bottom"/>
          </w:tcPr>
          <w:p>
            <w:pPr>
              <w:spacing w:after="0"/>
              <w:rPr>
                <w:sz w:val="1"/>
                <w:szCs w:val="1"/>
                <w:color w:val="auto"/>
              </w:rPr>
            </w:pPr>
          </w:p>
        </w:tc>
      </w:tr>
      <w:tr>
        <w:trPr>
          <w:trHeight w:val="230"/>
        </w:trPr>
        <w:tc>
          <w:tcPr>
            <w:tcW w:w="3280" w:type="dxa"/>
            <w:vAlign w:val="bottom"/>
            <w:tcBorders>
              <w:top w:val="single" w:sz="8" w:color="83AD40"/>
            </w:tcBorders>
            <w:gridSpan w:val="17"/>
          </w:tcPr>
          <w:p>
            <w:pPr>
              <w:spacing w:after="0" w:line="223" w:lineRule="exact"/>
              <w:rPr>
                <w:sz w:val="20"/>
                <w:szCs w:val="20"/>
                <w:color w:val="auto"/>
              </w:rPr>
            </w:pPr>
            <w:r>
              <w:rPr>
                <w:rFonts w:ascii="Arial" w:cs="Arial" w:eastAsia="Arial" w:hAnsi="Arial"/>
                <w:sz w:val="22"/>
                <w:szCs w:val="22"/>
                <w:b w:val="1"/>
                <w:bCs w:val="1"/>
                <w:u w:val="single" w:color="auto"/>
                <w:color w:val="83AD40"/>
              </w:rPr>
              <w:t>STOCKHOLDERS</w:t>
            </w:r>
            <w:r>
              <w:rPr>
                <w:rFonts w:ascii="Arial" w:cs="Arial" w:eastAsia="Arial" w:hAnsi="Arial"/>
                <w:sz w:val="16"/>
                <w:szCs w:val="16"/>
                <w:color w:val="1F2668"/>
              </w:rPr>
              <w:t>​</w:t>
            </w:r>
          </w:p>
        </w:tc>
        <w:tc>
          <w:tcPr>
            <w:tcW w:w="120" w:type="dxa"/>
            <w:vAlign w:val="bottom"/>
            <w:tcBorders>
              <w:top w:val="single" w:sz="8" w:color="83AD40"/>
            </w:tcBorders>
          </w:tcPr>
          <w:p>
            <w:pPr>
              <w:spacing w:after="0"/>
              <w:rPr>
                <w:sz w:val="20"/>
                <w:szCs w:val="20"/>
                <w:color w:val="auto"/>
              </w:rPr>
            </w:pPr>
          </w:p>
        </w:tc>
        <w:tc>
          <w:tcPr>
            <w:tcW w:w="20" w:type="dxa"/>
            <w:vAlign w:val="bottom"/>
            <w:tcBorders>
              <w:top w:val="single" w:sz="8" w:color="83AD40"/>
            </w:tcBorders>
          </w:tcPr>
          <w:p>
            <w:pPr>
              <w:spacing w:after="0"/>
              <w:rPr>
                <w:sz w:val="20"/>
                <w:szCs w:val="20"/>
                <w:color w:val="auto"/>
              </w:rPr>
            </w:pPr>
          </w:p>
        </w:tc>
        <w:tc>
          <w:tcPr>
            <w:tcW w:w="60" w:type="dxa"/>
            <w:vAlign w:val="bottom"/>
            <w:tcBorders>
              <w:top w:val="single" w:sz="8" w:color="83AD40"/>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gridSpan w:val="2"/>
            <w:vMerge w:val="continue"/>
          </w:tcPr>
          <w:p>
            <w:pPr>
              <w:spacing w:after="0"/>
              <w:rPr>
                <w:sz w:val="20"/>
                <w:szCs w:val="20"/>
                <w:color w:val="auto"/>
              </w:rPr>
            </w:pPr>
          </w:p>
        </w:tc>
        <w:tc>
          <w:tcPr>
            <w:tcW w:w="1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700" w:type="dxa"/>
            <w:vAlign w:val="bottom"/>
            <w:tcBorders>
              <w:bottom w:val="single" w:sz="8" w:color="83AD40"/>
            </w:tcBorders>
            <w:gridSpan w:val="3"/>
          </w:tcPr>
          <w:p>
            <w:pPr>
              <w:spacing w:after="0" w:line="95" w:lineRule="exact"/>
              <w:rPr>
                <w:sz w:val="20"/>
                <w:szCs w:val="20"/>
                <w:color w:val="auto"/>
              </w:rPr>
            </w:pPr>
            <w:r>
              <w:rPr>
                <w:rFonts w:ascii="Arial" w:cs="Arial" w:eastAsia="Arial" w:hAnsi="Arial"/>
                <w:sz w:val="10"/>
                <w:szCs w:val="10"/>
                <w:b w:val="1"/>
                <w:bCs w:val="1"/>
                <w:color w:val="83AD40"/>
              </w:rPr>
              <w:t>​</w:t>
            </w:r>
          </w:p>
        </w:tc>
        <w:tc>
          <w:tcPr>
            <w:tcW w:w="420" w:type="dxa"/>
            <w:vAlign w:val="bottom"/>
            <w:tcBorders>
              <w:bottom w:val="single" w:sz="8" w:color="83AD40"/>
            </w:tcBorders>
          </w:tcPr>
          <w:p>
            <w:pPr>
              <w:spacing w:after="0"/>
              <w:rPr>
                <w:sz w:val="8"/>
                <w:szCs w:val="8"/>
                <w:color w:val="auto"/>
              </w:rPr>
            </w:pPr>
          </w:p>
        </w:tc>
        <w:tc>
          <w:tcPr>
            <w:tcW w:w="140" w:type="dxa"/>
            <w:vAlign w:val="bottom"/>
            <w:tcBorders>
              <w:bottom w:val="single" w:sz="8" w:color="83AD40"/>
            </w:tcBorders>
          </w:tcPr>
          <w:p>
            <w:pPr>
              <w:spacing w:after="0"/>
              <w:rPr>
                <w:sz w:val="8"/>
                <w:szCs w:val="8"/>
                <w:color w:val="auto"/>
              </w:rPr>
            </w:pPr>
          </w:p>
        </w:tc>
        <w:tc>
          <w:tcPr>
            <w:tcW w:w="160" w:type="dxa"/>
            <w:vAlign w:val="bottom"/>
            <w:tcBorders>
              <w:bottom w:val="single" w:sz="8" w:color="83AD40"/>
            </w:tcBorders>
          </w:tcPr>
          <w:p>
            <w:pPr>
              <w:spacing w:after="0"/>
              <w:rPr>
                <w:sz w:val="8"/>
                <w:szCs w:val="8"/>
                <w:color w:val="auto"/>
              </w:rPr>
            </w:pPr>
          </w:p>
        </w:tc>
        <w:tc>
          <w:tcPr>
            <w:tcW w:w="300" w:type="dxa"/>
            <w:vAlign w:val="bottom"/>
            <w:tcBorders>
              <w:bottom w:val="single" w:sz="8" w:color="83AD40"/>
            </w:tcBorders>
          </w:tcPr>
          <w:p>
            <w:pPr>
              <w:spacing w:after="0"/>
              <w:rPr>
                <w:sz w:val="8"/>
                <w:szCs w:val="8"/>
                <w:color w:val="auto"/>
              </w:rPr>
            </w:pPr>
          </w:p>
        </w:tc>
        <w:tc>
          <w:tcPr>
            <w:tcW w:w="40" w:type="dxa"/>
            <w:vAlign w:val="bottom"/>
            <w:tcBorders>
              <w:bottom w:val="single" w:sz="8" w:color="83AD40"/>
            </w:tcBorders>
          </w:tcPr>
          <w:p>
            <w:pPr>
              <w:spacing w:after="0"/>
              <w:rPr>
                <w:sz w:val="8"/>
                <w:szCs w:val="8"/>
                <w:color w:val="auto"/>
              </w:rPr>
            </w:pPr>
          </w:p>
        </w:tc>
        <w:tc>
          <w:tcPr>
            <w:tcW w:w="60" w:type="dxa"/>
            <w:vAlign w:val="bottom"/>
            <w:tcBorders>
              <w:bottom w:val="single" w:sz="8" w:color="83AD40"/>
            </w:tcBorders>
          </w:tcPr>
          <w:p>
            <w:pPr>
              <w:spacing w:after="0"/>
              <w:rPr>
                <w:sz w:val="8"/>
                <w:szCs w:val="8"/>
                <w:color w:val="auto"/>
              </w:rPr>
            </w:pPr>
          </w:p>
        </w:tc>
        <w:tc>
          <w:tcPr>
            <w:tcW w:w="600" w:type="dxa"/>
            <w:vAlign w:val="bottom"/>
            <w:tcBorders>
              <w:bottom w:val="single" w:sz="8" w:color="83AD40"/>
            </w:tcBorders>
          </w:tcPr>
          <w:p>
            <w:pPr>
              <w:spacing w:after="0"/>
              <w:rPr>
                <w:sz w:val="8"/>
                <w:szCs w:val="8"/>
                <w:color w:val="auto"/>
              </w:rPr>
            </w:pPr>
          </w:p>
        </w:tc>
        <w:tc>
          <w:tcPr>
            <w:tcW w:w="40" w:type="dxa"/>
            <w:vAlign w:val="bottom"/>
            <w:tcBorders>
              <w:bottom w:val="single" w:sz="8" w:color="83AD40"/>
            </w:tcBorders>
          </w:tcPr>
          <w:p>
            <w:pPr>
              <w:spacing w:after="0"/>
              <w:rPr>
                <w:sz w:val="8"/>
                <w:szCs w:val="8"/>
                <w:color w:val="auto"/>
              </w:rPr>
            </w:pPr>
          </w:p>
        </w:tc>
        <w:tc>
          <w:tcPr>
            <w:tcW w:w="60" w:type="dxa"/>
            <w:vAlign w:val="bottom"/>
            <w:tcBorders>
              <w:bottom w:val="single" w:sz="8" w:color="83AD40"/>
            </w:tcBorders>
          </w:tcPr>
          <w:p>
            <w:pPr>
              <w:spacing w:after="0"/>
              <w:rPr>
                <w:sz w:val="8"/>
                <w:szCs w:val="8"/>
                <w:color w:val="auto"/>
              </w:rPr>
            </w:pPr>
          </w:p>
        </w:tc>
        <w:tc>
          <w:tcPr>
            <w:tcW w:w="140" w:type="dxa"/>
            <w:vAlign w:val="bottom"/>
            <w:tcBorders>
              <w:bottom w:val="single" w:sz="8" w:color="83AD40"/>
            </w:tcBorders>
          </w:tcPr>
          <w:p>
            <w:pPr>
              <w:spacing w:after="0"/>
              <w:rPr>
                <w:sz w:val="8"/>
                <w:szCs w:val="8"/>
                <w:color w:val="auto"/>
              </w:rPr>
            </w:pPr>
          </w:p>
        </w:tc>
        <w:tc>
          <w:tcPr>
            <w:tcW w:w="20" w:type="dxa"/>
            <w:vAlign w:val="bottom"/>
            <w:tcBorders>
              <w:bottom w:val="single" w:sz="8" w:color="83AD40"/>
            </w:tcBorders>
          </w:tcPr>
          <w:p>
            <w:pPr>
              <w:spacing w:after="0"/>
              <w:rPr>
                <w:sz w:val="8"/>
                <w:szCs w:val="8"/>
                <w:color w:val="auto"/>
              </w:rPr>
            </w:pPr>
          </w:p>
        </w:tc>
        <w:tc>
          <w:tcPr>
            <w:tcW w:w="280" w:type="dxa"/>
            <w:vAlign w:val="bottom"/>
            <w:tcBorders>
              <w:bottom w:val="single" w:sz="8" w:color="83AD40"/>
            </w:tcBorders>
          </w:tcPr>
          <w:p>
            <w:pPr>
              <w:spacing w:after="0"/>
              <w:rPr>
                <w:sz w:val="8"/>
                <w:szCs w:val="8"/>
                <w:color w:val="auto"/>
              </w:rPr>
            </w:pPr>
          </w:p>
        </w:tc>
        <w:tc>
          <w:tcPr>
            <w:tcW w:w="80" w:type="dxa"/>
            <w:vAlign w:val="bottom"/>
            <w:tcBorders>
              <w:bottom w:val="single" w:sz="8" w:color="83AD40"/>
            </w:tcBorders>
          </w:tcPr>
          <w:p>
            <w:pPr>
              <w:spacing w:after="0"/>
              <w:rPr>
                <w:sz w:val="8"/>
                <w:szCs w:val="8"/>
                <w:color w:val="auto"/>
              </w:rPr>
            </w:pPr>
          </w:p>
        </w:tc>
        <w:tc>
          <w:tcPr>
            <w:tcW w:w="240" w:type="dxa"/>
            <w:vAlign w:val="bottom"/>
            <w:tcBorders>
              <w:bottom w:val="single" w:sz="8" w:color="83AD40"/>
            </w:tcBorders>
          </w:tcPr>
          <w:p>
            <w:pPr>
              <w:spacing w:after="0"/>
              <w:rPr>
                <w:sz w:val="8"/>
                <w:szCs w:val="8"/>
                <w:color w:val="auto"/>
              </w:rPr>
            </w:pPr>
          </w:p>
        </w:tc>
        <w:tc>
          <w:tcPr>
            <w:tcW w:w="120" w:type="dxa"/>
            <w:vAlign w:val="bottom"/>
            <w:tcBorders>
              <w:bottom w:val="single" w:sz="8" w:color="83AD40"/>
            </w:tcBorders>
          </w:tcPr>
          <w:p>
            <w:pPr>
              <w:spacing w:after="0"/>
              <w:rPr>
                <w:sz w:val="8"/>
                <w:szCs w:val="8"/>
                <w:color w:val="auto"/>
              </w:rPr>
            </w:pPr>
          </w:p>
        </w:tc>
        <w:tc>
          <w:tcPr>
            <w:tcW w:w="20" w:type="dxa"/>
            <w:vAlign w:val="bottom"/>
            <w:tcBorders>
              <w:bottom w:val="single" w:sz="8" w:color="83AD40"/>
            </w:tcBorders>
          </w:tcPr>
          <w:p>
            <w:pPr>
              <w:spacing w:after="0"/>
              <w:rPr>
                <w:sz w:val="8"/>
                <w:szCs w:val="8"/>
                <w:color w:val="auto"/>
              </w:rPr>
            </w:pPr>
          </w:p>
        </w:tc>
        <w:tc>
          <w:tcPr>
            <w:tcW w:w="60" w:type="dxa"/>
            <w:vAlign w:val="bottom"/>
            <w:tcBorders>
              <w:bottom w:val="single" w:sz="8" w:color="83AD40"/>
            </w:tcBorders>
          </w:tcPr>
          <w:p>
            <w:pPr>
              <w:spacing w:after="0"/>
              <w:rPr>
                <w:sz w:val="8"/>
                <w:szCs w:val="8"/>
                <w:color w:val="auto"/>
              </w:rPr>
            </w:pPr>
          </w:p>
        </w:tc>
        <w:tc>
          <w:tcPr>
            <w:tcW w:w="20" w:type="dxa"/>
            <w:vAlign w:val="bottom"/>
            <w:tcBorders>
              <w:bottom w:val="single" w:sz="8" w:color="83AD40"/>
            </w:tcBorders>
          </w:tcPr>
          <w:p>
            <w:pPr>
              <w:spacing w:after="0"/>
              <w:rPr>
                <w:sz w:val="8"/>
                <w:szCs w:val="8"/>
                <w:color w:val="auto"/>
              </w:rPr>
            </w:pPr>
          </w:p>
        </w:tc>
        <w:tc>
          <w:tcPr>
            <w:tcW w:w="200" w:type="dxa"/>
            <w:vAlign w:val="bottom"/>
            <w:tcBorders>
              <w:bottom w:val="single" w:sz="8" w:color="83AD40"/>
            </w:tcBorders>
          </w:tcPr>
          <w:p>
            <w:pPr>
              <w:spacing w:after="0"/>
              <w:rPr>
                <w:sz w:val="8"/>
                <w:szCs w:val="8"/>
                <w:color w:val="auto"/>
              </w:rPr>
            </w:pPr>
          </w:p>
        </w:tc>
        <w:tc>
          <w:tcPr>
            <w:tcW w:w="500" w:type="dxa"/>
            <w:vAlign w:val="bottom"/>
            <w:tcBorders>
              <w:bottom w:val="single" w:sz="8" w:color="83AD40"/>
            </w:tcBorders>
            <w:gridSpan w:val="2"/>
          </w:tcPr>
          <w:p>
            <w:pPr>
              <w:ind w:left="180"/>
              <w:spacing w:after="0" w:line="95" w:lineRule="exact"/>
              <w:rPr>
                <w:sz w:val="20"/>
                <w:szCs w:val="20"/>
                <w:color w:val="auto"/>
              </w:rPr>
            </w:pPr>
            <w:r>
              <w:rPr>
                <w:rFonts w:ascii="Arial" w:cs="Arial" w:eastAsia="Arial" w:hAnsi="Arial"/>
                <w:sz w:val="10"/>
                <w:szCs w:val="10"/>
                <w:b w:val="1"/>
                <w:bCs w:val="1"/>
                <w:color w:val="83AD40"/>
              </w:rPr>
              <w:t>​ ​</w:t>
            </w:r>
          </w:p>
        </w:tc>
        <w:tc>
          <w:tcPr>
            <w:tcW w:w="120" w:type="dxa"/>
            <w:vAlign w:val="bottom"/>
            <w:tcBorders>
              <w:top w:val="single" w:sz="8" w:color="83AD40"/>
              <w:bottom w:val="single" w:sz="8" w:color="83AD40"/>
            </w:tcBorders>
          </w:tcPr>
          <w:p>
            <w:pPr>
              <w:spacing w:after="0"/>
              <w:rPr>
                <w:sz w:val="8"/>
                <w:szCs w:val="8"/>
                <w:color w:val="auto"/>
              </w:rPr>
            </w:pPr>
          </w:p>
        </w:tc>
        <w:tc>
          <w:tcPr>
            <w:tcW w:w="60" w:type="dxa"/>
            <w:vAlign w:val="bottom"/>
          </w:tcPr>
          <w:p>
            <w:pPr>
              <w:spacing w:after="0" w:line="95" w:lineRule="exact"/>
              <w:rPr>
                <w:sz w:val="20"/>
                <w:szCs w:val="20"/>
                <w:color w:val="auto"/>
              </w:rPr>
            </w:pPr>
            <w:r>
              <w:rPr>
                <w:rFonts w:ascii="Arial" w:cs="Arial" w:eastAsia="Arial" w:hAnsi="Arial"/>
                <w:sz w:val="10"/>
                <w:szCs w:val="10"/>
                <w:b w:val="1"/>
                <w:bCs w:val="1"/>
                <w:color w:val="83AD40"/>
              </w:rPr>
              <w:t>​</w:t>
            </w:r>
          </w:p>
        </w:tc>
        <w:tc>
          <w:tcPr>
            <w:tcW w:w="0" w:type="dxa"/>
            <w:vAlign w:val="bottom"/>
          </w:tcPr>
          <w:p>
            <w:pPr>
              <w:spacing w:after="0"/>
              <w:rPr>
                <w:sz w:val="1"/>
                <w:szCs w:val="1"/>
                <w:color w:val="auto"/>
              </w:rPr>
            </w:pPr>
          </w:p>
        </w:tc>
      </w:tr>
      <w:tr>
        <w:trPr>
          <w:trHeight w:val="520"/>
        </w:trPr>
        <w:tc>
          <w:tcPr>
            <w:tcW w:w="3700" w:type="dxa"/>
            <w:vAlign w:val="bottom"/>
            <w:gridSpan w:val="22"/>
          </w:tcPr>
          <w:p>
            <w:pPr>
              <w:spacing w:after="0"/>
              <w:rPr>
                <w:sz w:val="20"/>
                <w:szCs w:val="20"/>
                <w:color w:val="auto"/>
              </w:rPr>
            </w:pPr>
            <w:r>
              <w:rPr>
                <w:rFonts w:ascii="Arial" w:cs="Arial" w:eastAsia="Arial" w:hAnsi="Arial"/>
                <w:sz w:val="22"/>
                <w:szCs w:val="22"/>
                <w:b w:val="1"/>
                <w:bCs w:val="1"/>
                <w:color w:val="83AD40"/>
              </w:rPr>
              <w:t>OUR BOARD OF DIRECTORS AND</w:t>
            </w:r>
          </w:p>
        </w:tc>
        <w:tc>
          <w:tcPr>
            <w:tcW w:w="680" w:type="dxa"/>
            <w:vAlign w:val="bottom"/>
            <w:gridSpan w:val="4"/>
            <w:vMerge w:val="restart"/>
          </w:tcPr>
          <w:p>
            <w:pPr>
              <w:jc w:val="right"/>
              <w:spacing w:after="0"/>
              <w:rPr>
                <w:sz w:val="20"/>
                <w:szCs w:val="20"/>
                <w:color w:val="auto"/>
              </w:rPr>
            </w:pPr>
            <w:r>
              <w:rPr>
                <w:rFonts w:ascii="Arial" w:cs="Arial" w:eastAsia="Arial" w:hAnsi="Arial"/>
                <w:sz w:val="43"/>
                <w:szCs w:val="43"/>
                <w:b w:val="1"/>
                <w:bCs w:val="1"/>
                <w:color w:val="83AD40"/>
                <w:vertAlign w:val="subscript"/>
              </w:rPr>
              <w:t>​</w:t>
            </w:r>
            <w:r>
              <w:rPr>
                <w:rFonts w:ascii="Arial" w:cs="Arial" w:eastAsia="Arial" w:hAnsi="Arial"/>
                <w:sz w:val="22"/>
                <w:szCs w:val="22"/>
                <w:b w:val="1"/>
                <w:bCs w:val="1"/>
                <w:color w:val="83AD40"/>
              </w:rPr>
              <w:t>10</w:t>
            </w:r>
          </w:p>
        </w:tc>
        <w:tc>
          <w:tcPr>
            <w:tcW w:w="0" w:type="dxa"/>
            <w:vAlign w:val="bottom"/>
          </w:tcPr>
          <w:p>
            <w:pPr>
              <w:spacing w:after="0"/>
              <w:rPr>
                <w:sz w:val="1"/>
                <w:szCs w:val="1"/>
                <w:color w:val="auto"/>
              </w:rPr>
            </w:pPr>
          </w:p>
        </w:tc>
      </w:tr>
      <w:tr>
        <w:trPr>
          <w:trHeight w:val="230"/>
        </w:trPr>
        <w:tc>
          <w:tcPr>
            <w:tcW w:w="3280" w:type="dxa"/>
            <w:vAlign w:val="bottom"/>
            <w:tcBorders>
              <w:top w:val="single" w:sz="8" w:color="83AD40"/>
            </w:tcBorders>
            <w:gridSpan w:val="17"/>
          </w:tcPr>
          <w:p>
            <w:pPr>
              <w:spacing w:after="0" w:line="223" w:lineRule="exact"/>
              <w:rPr>
                <w:sz w:val="20"/>
                <w:szCs w:val="20"/>
                <w:color w:val="auto"/>
              </w:rPr>
            </w:pPr>
            <w:r>
              <w:rPr>
                <w:rFonts w:ascii="Arial" w:cs="Arial" w:eastAsia="Arial" w:hAnsi="Arial"/>
                <w:sz w:val="22"/>
                <w:szCs w:val="22"/>
                <w:b w:val="1"/>
                <w:bCs w:val="1"/>
                <w:color w:val="83AD40"/>
              </w:rPr>
              <w:t>CORPORATE GOVERNANCE</w:t>
            </w:r>
            <w:r>
              <w:rPr>
                <w:rFonts w:ascii="Arial" w:cs="Arial" w:eastAsia="Arial" w:hAnsi="Arial"/>
                <w:sz w:val="16"/>
                <w:szCs w:val="16"/>
                <w:color w:val="1F2668"/>
              </w:rPr>
              <w:t>​</w:t>
            </w:r>
          </w:p>
        </w:tc>
        <w:tc>
          <w:tcPr>
            <w:tcW w:w="120" w:type="dxa"/>
            <w:vAlign w:val="bottom"/>
            <w:tcBorders>
              <w:top w:val="single" w:sz="8" w:color="83AD40"/>
            </w:tcBorders>
          </w:tcPr>
          <w:p>
            <w:pPr>
              <w:spacing w:after="0"/>
              <w:rPr>
                <w:sz w:val="20"/>
                <w:szCs w:val="20"/>
                <w:color w:val="auto"/>
              </w:rPr>
            </w:pPr>
          </w:p>
        </w:tc>
        <w:tc>
          <w:tcPr>
            <w:tcW w:w="20" w:type="dxa"/>
            <w:vAlign w:val="bottom"/>
            <w:tcBorders>
              <w:top w:val="single" w:sz="8" w:color="83AD40"/>
            </w:tcBorders>
          </w:tcPr>
          <w:p>
            <w:pPr>
              <w:spacing w:after="0"/>
              <w:rPr>
                <w:sz w:val="20"/>
                <w:szCs w:val="20"/>
                <w:color w:val="auto"/>
              </w:rPr>
            </w:pPr>
          </w:p>
        </w:tc>
        <w:tc>
          <w:tcPr>
            <w:tcW w:w="60" w:type="dxa"/>
            <w:vAlign w:val="bottom"/>
            <w:tcBorders>
              <w:top w:val="single" w:sz="8" w:color="83AD40"/>
            </w:tcBorders>
          </w:tcPr>
          <w:p>
            <w:pPr>
              <w:spacing w:after="0"/>
              <w:rPr>
                <w:sz w:val="20"/>
                <w:szCs w:val="20"/>
                <w:color w:val="auto"/>
              </w:rPr>
            </w:pPr>
          </w:p>
        </w:tc>
        <w:tc>
          <w:tcPr>
            <w:tcW w:w="20" w:type="dxa"/>
            <w:vAlign w:val="bottom"/>
            <w:tcBorders>
              <w:top w:val="single" w:sz="8" w:color="83AD40"/>
            </w:tcBorders>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700" w:type="dxa"/>
            <w:vAlign w:val="bottom"/>
            <w:tcBorders>
              <w:bottom w:val="single" w:sz="8" w:color="83AD40"/>
            </w:tcBorders>
            <w:gridSpan w:val="3"/>
          </w:tcPr>
          <w:p>
            <w:pPr>
              <w:spacing w:after="0" w:line="95" w:lineRule="exact"/>
              <w:rPr>
                <w:sz w:val="20"/>
                <w:szCs w:val="20"/>
                <w:color w:val="auto"/>
              </w:rPr>
            </w:pPr>
            <w:r>
              <w:rPr>
                <w:rFonts w:ascii="Arial" w:cs="Arial" w:eastAsia="Arial" w:hAnsi="Arial"/>
                <w:sz w:val="10"/>
                <w:szCs w:val="10"/>
                <w:b w:val="1"/>
                <w:bCs w:val="1"/>
                <w:color w:val="83AD40"/>
              </w:rPr>
              <w:t>​</w:t>
            </w:r>
          </w:p>
        </w:tc>
        <w:tc>
          <w:tcPr>
            <w:tcW w:w="420" w:type="dxa"/>
            <w:vAlign w:val="bottom"/>
            <w:tcBorders>
              <w:bottom w:val="single" w:sz="8" w:color="83AD40"/>
            </w:tcBorders>
          </w:tcPr>
          <w:p>
            <w:pPr>
              <w:spacing w:after="0"/>
              <w:rPr>
                <w:sz w:val="8"/>
                <w:szCs w:val="8"/>
                <w:color w:val="auto"/>
              </w:rPr>
            </w:pPr>
          </w:p>
        </w:tc>
        <w:tc>
          <w:tcPr>
            <w:tcW w:w="140" w:type="dxa"/>
            <w:vAlign w:val="bottom"/>
            <w:tcBorders>
              <w:bottom w:val="single" w:sz="8" w:color="83AD40"/>
            </w:tcBorders>
          </w:tcPr>
          <w:p>
            <w:pPr>
              <w:spacing w:after="0"/>
              <w:rPr>
                <w:sz w:val="8"/>
                <w:szCs w:val="8"/>
                <w:color w:val="auto"/>
              </w:rPr>
            </w:pPr>
          </w:p>
        </w:tc>
        <w:tc>
          <w:tcPr>
            <w:tcW w:w="160" w:type="dxa"/>
            <w:vAlign w:val="bottom"/>
            <w:tcBorders>
              <w:bottom w:val="single" w:sz="8" w:color="83AD40"/>
            </w:tcBorders>
          </w:tcPr>
          <w:p>
            <w:pPr>
              <w:spacing w:after="0"/>
              <w:rPr>
                <w:sz w:val="8"/>
                <w:szCs w:val="8"/>
                <w:color w:val="auto"/>
              </w:rPr>
            </w:pPr>
          </w:p>
        </w:tc>
        <w:tc>
          <w:tcPr>
            <w:tcW w:w="300" w:type="dxa"/>
            <w:vAlign w:val="bottom"/>
            <w:tcBorders>
              <w:bottom w:val="single" w:sz="8" w:color="83AD40"/>
            </w:tcBorders>
          </w:tcPr>
          <w:p>
            <w:pPr>
              <w:spacing w:after="0"/>
              <w:rPr>
                <w:sz w:val="8"/>
                <w:szCs w:val="8"/>
                <w:color w:val="auto"/>
              </w:rPr>
            </w:pPr>
          </w:p>
        </w:tc>
        <w:tc>
          <w:tcPr>
            <w:tcW w:w="40" w:type="dxa"/>
            <w:vAlign w:val="bottom"/>
            <w:tcBorders>
              <w:bottom w:val="single" w:sz="8" w:color="83AD40"/>
            </w:tcBorders>
          </w:tcPr>
          <w:p>
            <w:pPr>
              <w:spacing w:after="0"/>
              <w:rPr>
                <w:sz w:val="8"/>
                <w:szCs w:val="8"/>
                <w:color w:val="auto"/>
              </w:rPr>
            </w:pPr>
          </w:p>
        </w:tc>
        <w:tc>
          <w:tcPr>
            <w:tcW w:w="60" w:type="dxa"/>
            <w:vAlign w:val="bottom"/>
            <w:tcBorders>
              <w:bottom w:val="single" w:sz="8" w:color="83AD40"/>
            </w:tcBorders>
          </w:tcPr>
          <w:p>
            <w:pPr>
              <w:spacing w:after="0"/>
              <w:rPr>
                <w:sz w:val="8"/>
                <w:szCs w:val="8"/>
                <w:color w:val="auto"/>
              </w:rPr>
            </w:pPr>
          </w:p>
        </w:tc>
        <w:tc>
          <w:tcPr>
            <w:tcW w:w="600" w:type="dxa"/>
            <w:vAlign w:val="bottom"/>
            <w:tcBorders>
              <w:bottom w:val="single" w:sz="8" w:color="83AD40"/>
            </w:tcBorders>
          </w:tcPr>
          <w:p>
            <w:pPr>
              <w:spacing w:after="0"/>
              <w:rPr>
                <w:sz w:val="8"/>
                <w:szCs w:val="8"/>
                <w:color w:val="auto"/>
              </w:rPr>
            </w:pPr>
          </w:p>
        </w:tc>
        <w:tc>
          <w:tcPr>
            <w:tcW w:w="40" w:type="dxa"/>
            <w:vAlign w:val="bottom"/>
            <w:tcBorders>
              <w:bottom w:val="single" w:sz="8" w:color="83AD40"/>
            </w:tcBorders>
          </w:tcPr>
          <w:p>
            <w:pPr>
              <w:spacing w:after="0"/>
              <w:rPr>
                <w:sz w:val="8"/>
                <w:szCs w:val="8"/>
                <w:color w:val="auto"/>
              </w:rPr>
            </w:pPr>
          </w:p>
        </w:tc>
        <w:tc>
          <w:tcPr>
            <w:tcW w:w="60" w:type="dxa"/>
            <w:vAlign w:val="bottom"/>
            <w:tcBorders>
              <w:bottom w:val="single" w:sz="8" w:color="83AD40"/>
            </w:tcBorders>
          </w:tcPr>
          <w:p>
            <w:pPr>
              <w:spacing w:after="0"/>
              <w:rPr>
                <w:sz w:val="8"/>
                <w:szCs w:val="8"/>
                <w:color w:val="auto"/>
              </w:rPr>
            </w:pPr>
          </w:p>
        </w:tc>
        <w:tc>
          <w:tcPr>
            <w:tcW w:w="140" w:type="dxa"/>
            <w:vAlign w:val="bottom"/>
            <w:tcBorders>
              <w:bottom w:val="single" w:sz="8" w:color="83AD40"/>
            </w:tcBorders>
          </w:tcPr>
          <w:p>
            <w:pPr>
              <w:spacing w:after="0"/>
              <w:rPr>
                <w:sz w:val="8"/>
                <w:szCs w:val="8"/>
                <w:color w:val="auto"/>
              </w:rPr>
            </w:pPr>
          </w:p>
        </w:tc>
        <w:tc>
          <w:tcPr>
            <w:tcW w:w="20" w:type="dxa"/>
            <w:vAlign w:val="bottom"/>
            <w:tcBorders>
              <w:bottom w:val="single" w:sz="8" w:color="83AD40"/>
            </w:tcBorders>
          </w:tcPr>
          <w:p>
            <w:pPr>
              <w:spacing w:after="0"/>
              <w:rPr>
                <w:sz w:val="8"/>
                <w:szCs w:val="8"/>
                <w:color w:val="auto"/>
              </w:rPr>
            </w:pPr>
          </w:p>
        </w:tc>
        <w:tc>
          <w:tcPr>
            <w:tcW w:w="280" w:type="dxa"/>
            <w:vAlign w:val="bottom"/>
            <w:tcBorders>
              <w:bottom w:val="single" w:sz="8" w:color="83AD40"/>
            </w:tcBorders>
          </w:tcPr>
          <w:p>
            <w:pPr>
              <w:spacing w:after="0"/>
              <w:rPr>
                <w:sz w:val="8"/>
                <w:szCs w:val="8"/>
                <w:color w:val="auto"/>
              </w:rPr>
            </w:pPr>
          </w:p>
        </w:tc>
        <w:tc>
          <w:tcPr>
            <w:tcW w:w="80" w:type="dxa"/>
            <w:vAlign w:val="bottom"/>
            <w:tcBorders>
              <w:bottom w:val="single" w:sz="8" w:color="83AD40"/>
            </w:tcBorders>
          </w:tcPr>
          <w:p>
            <w:pPr>
              <w:spacing w:after="0"/>
              <w:rPr>
                <w:sz w:val="8"/>
                <w:szCs w:val="8"/>
                <w:color w:val="auto"/>
              </w:rPr>
            </w:pPr>
          </w:p>
        </w:tc>
        <w:tc>
          <w:tcPr>
            <w:tcW w:w="240" w:type="dxa"/>
            <w:vAlign w:val="bottom"/>
            <w:tcBorders>
              <w:bottom w:val="single" w:sz="8" w:color="83AD40"/>
            </w:tcBorders>
          </w:tcPr>
          <w:p>
            <w:pPr>
              <w:spacing w:after="0"/>
              <w:rPr>
                <w:sz w:val="8"/>
                <w:szCs w:val="8"/>
                <w:color w:val="auto"/>
              </w:rPr>
            </w:pPr>
          </w:p>
        </w:tc>
        <w:tc>
          <w:tcPr>
            <w:tcW w:w="120" w:type="dxa"/>
            <w:vAlign w:val="bottom"/>
            <w:tcBorders>
              <w:bottom w:val="single" w:sz="8" w:color="83AD40"/>
            </w:tcBorders>
          </w:tcPr>
          <w:p>
            <w:pPr>
              <w:spacing w:after="0"/>
              <w:rPr>
                <w:sz w:val="8"/>
                <w:szCs w:val="8"/>
                <w:color w:val="auto"/>
              </w:rPr>
            </w:pPr>
          </w:p>
        </w:tc>
        <w:tc>
          <w:tcPr>
            <w:tcW w:w="20" w:type="dxa"/>
            <w:vAlign w:val="bottom"/>
            <w:tcBorders>
              <w:bottom w:val="single" w:sz="8" w:color="83AD40"/>
            </w:tcBorders>
          </w:tcPr>
          <w:p>
            <w:pPr>
              <w:spacing w:after="0"/>
              <w:rPr>
                <w:sz w:val="8"/>
                <w:szCs w:val="8"/>
                <w:color w:val="auto"/>
              </w:rPr>
            </w:pPr>
          </w:p>
        </w:tc>
        <w:tc>
          <w:tcPr>
            <w:tcW w:w="60" w:type="dxa"/>
            <w:vAlign w:val="bottom"/>
            <w:tcBorders>
              <w:bottom w:val="single" w:sz="8" w:color="83AD40"/>
            </w:tcBorders>
          </w:tcPr>
          <w:p>
            <w:pPr>
              <w:spacing w:after="0"/>
              <w:rPr>
                <w:sz w:val="8"/>
                <w:szCs w:val="8"/>
                <w:color w:val="auto"/>
              </w:rPr>
            </w:pPr>
          </w:p>
        </w:tc>
        <w:tc>
          <w:tcPr>
            <w:tcW w:w="20" w:type="dxa"/>
            <w:vAlign w:val="bottom"/>
            <w:tcBorders>
              <w:bottom w:val="single" w:sz="8" w:color="83AD40"/>
            </w:tcBorders>
          </w:tcPr>
          <w:p>
            <w:pPr>
              <w:spacing w:after="0"/>
              <w:rPr>
                <w:sz w:val="8"/>
                <w:szCs w:val="8"/>
                <w:color w:val="auto"/>
              </w:rPr>
            </w:pPr>
          </w:p>
        </w:tc>
        <w:tc>
          <w:tcPr>
            <w:tcW w:w="200" w:type="dxa"/>
            <w:vAlign w:val="bottom"/>
            <w:tcBorders>
              <w:bottom w:val="single" w:sz="8" w:color="83AD40"/>
            </w:tcBorders>
          </w:tcPr>
          <w:p>
            <w:pPr>
              <w:spacing w:after="0"/>
              <w:rPr>
                <w:sz w:val="8"/>
                <w:szCs w:val="8"/>
                <w:color w:val="auto"/>
              </w:rPr>
            </w:pPr>
          </w:p>
        </w:tc>
        <w:tc>
          <w:tcPr>
            <w:tcW w:w="380" w:type="dxa"/>
            <w:vAlign w:val="bottom"/>
            <w:tcBorders>
              <w:bottom w:val="single" w:sz="8" w:color="83AD40"/>
            </w:tcBorders>
          </w:tcPr>
          <w:p>
            <w:pPr>
              <w:ind w:left="180"/>
              <w:spacing w:after="0" w:line="95" w:lineRule="exact"/>
              <w:rPr>
                <w:sz w:val="20"/>
                <w:szCs w:val="20"/>
                <w:color w:val="auto"/>
              </w:rPr>
            </w:pPr>
            <w:r>
              <w:rPr>
                <w:rFonts w:ascii="Arial" w:cs="Arial" w:eastAsia="Arial" w:hAnsi="Arial"/>
                <w:sz w:val="10"/>
                <w:szCs w:val="10"/>
                <w:b w:val="1"/>
                <w:bCs w:val="1"/>
                <w:color w:val="83AD40"/>
              </w:rPr>
              <w:t>​ ​</w:t>
            </w:r>
          </w:p>
        </w:tc>
        <w:tc>
          <w:tcPr>
            <w:tcW w:w="120" w:type="dxa"/>
            <w:vAlign w:val="bottom"/>
            <w:tcBorders>
              <w:top w:val="single" w:sz="8" w:color="83AD40"/>
              <w:bottom w:val="single" w:sz="8" w:color="83AD40"/>
            </w:tcBorders>
          </w:tcPr>
          <w:p>
            <w:pPr>
              <w:spacing w:after="0"/>
              <w:rPr>
                <w:sz w:val="8"/>
                <w:szCs w:val="8"/>
                <w:color w:val="auto"/>
              </w:rPr>
            </w:pPr>
          </w:p>
        </w:tc>
        <w:tc>
          <w:tcPr>
            <w:tcW w:w="120" w:type="dxa"/>
            <w:vAlign w:val="bottom"/>
            <w:tcBorders>
              <w:top w:val="single" w:sz="8" w:color="83AD40"/>
              <w:bottom w:val="single" w:sz="8" w:color="83AD40"/>
            </w:tcBorders>
          </w:tcPr>
          <w:p>
            <w:pPr>
              <w:spacing w:after="0"/>
              <w:rPr>
                <w:sz w:val="8"/>
                <w:szCs w:val="8"/>
                <w:color w:val="auto"/>
              </w:rPr>
            </w:pPr>
          </w:p>
        </w:tc>
        <w:tc>
          <w:tcPr>
            <w:tcW w:w="60" w:type="dxa"/>
            <w:vAlign w:val="bottom"/>
          </w:tcPr>
          <w:p>
            <w:pPr>
              <w:spacing w:after="0" w:line="95" w:lineRule="exact"/>
              <w:rPr>
                <w:sz w:val="20"/>
                <w:szCs w:val="20"/>
                <w:color w:val="auto"/>
              </w:rPr>
            </w:pPr>
            <w:r>
              <w:rPr>
                <w:rFonts w:ascii="Arial" w:cs="Arial" w:eastAsia="Arial" w:hAnsi="Arial"/>
                <w:sz w:val="10"/>
                <w:szCs w:val="10"/>
                <w:b w:val="1"/>
                <w:bCs w:val="1"/>
                <w:color w:val="83AD40"/>
              </w:rPr>
              <w:t>​</w:t>
            </w:r>
          </w:p>
        </w:tc>
        <w:tc>
          <w:tcPr>
            <w:tcW w:w="0" w:type="dxa"/>
            <w:vAlign w:val="bottom"/>
          </w:tcPr>
          <w:p>
            <w:pPr>
              <w:spacing w:after="0"/>
              <w:rPr>
                <w:sz w:val="1"/>
                <w:szCs w:val="1"/>
                <w:color w:val="auto"/>
              </w:rPr>
            </w:pPr>
          </w:p>
        </w:tc>
      </w:tr>
      <w:tr>
        <w:trPr>
          <w:trHeight w:val="318"/>
        </w:trPr>
        <w:tc>
          <w:tcPr>
            <w:tcW w:w="700" w:type="dxa"/>
            <w:vAlign w:val="bottom"/>
            <w:gridSpan w:val="3"/>
            <w:shd w:val="clear" w:color="auto" w:fill="E9F9D8"/>
          </w:tcPr>
          <w:p>
            <w:pPr>
              <w:spacing w:after="0"/>
              <w:rPr>
                <w:sz w:val="20"/>
                <w:szCs w:val="20"/>
                <w:color w:val="auto"/>
              </w:rPr>
            </w:pPr>
            <w:r>
              <w:rPr>
                <w:rFonts w:ascii="Arial" w:cs="Arial" w:eastAsia="Arial" w:hAnsi="Arial"/>
                <w:sz w:val="16"/>
                <w:szCs w:val="16"/>
                <w:b w:val="1"/>
                <w:bCs w:val="1"/>
                <w:color w:val="1F2668"/>
                <w:w w:val="99"/>
              </w:rPr>
              <w:t>Proposal​</w:t>
            </w:r>
          </w:p>
        </w:tc>
        <w:tc>
          <w:tcPr>
            <w:tcW w:w="2580" w:type="dxa"/>
            <w:vAlign w:val="bottom"/>
            <w:tcBorders>
              <w:right w:val="single" w:sz="8" w:color="E9F9D8"/>
            </w:tcBorders>
            <w:gridSpan w:val="14"/>
            <w:shd w:val="clear" w:color="auto" w:fill="E9F9D8"/>
          </w:tcPr>
          <w:p>
            <w:pPr>
              <w:ind w:left="20"/>
              <w:spacing w:after="0"/>
              <w:rPr>
                <w:sz w:val="20"/>
                <w:szCs w:val="20"/>
                <w:color w:val="auto"/>
              </w:rPr>
            </w:pPr>
            <w:r>
              <w:rPr>
                <w:rFonts w:ascii="Arial" w:cs="Arial" w:eastAsia="Arial" w:hAnsi="Arial"/>
                <w:sz w:val="16"/>
                <w:szCs w:val="16"/>
                <w:b w:val="1"/>
                <w:bCs w:val="1"/>
                <w:color w:val="1F2668"/>
              </w:rPr>
              <w:t>1: Election of Directors</w:t>
            </w:r>
          </w:p>
        </w:tc>
        <w:tc>
          <w:tcPr>
            <w:tcW w:w="420" w:type="dxa"/>
            <w:vAlign w:val="bottom"/>
            <w:gridSpan w:val="5"/>
            <w:shd w:val="clear" w:color="auto" w:fill="E9F9D8"/>
          </w:tcPr>
          <w:p>
            <w:pPr>
              <w:jc w:val="right"/>
              <w:ind w:right="200"/>
              <w:spacing w:after="0"/>
              <w:rPr>
                <w:sz w:val="20"/>
                <w:szCs w:val="20"/>
                <w:color w:val="auto"/>
              </w:rPr>
            </w:pPr>
            <w:r>
              <w:rPr>
                <w:rFonts w:ascii="Arial" w:cs="Arial" w:eastAsia="Arial" w:hAnsi="Arial"/>
                <w:sz w:val="16"/>
                <w:szCs w:val="16"/>
                <w:b w:val="1"/>
                <w:bCs w:val="1"/>
                <w:color w:val="1F2668"/>
              </w:rPr>
              <w:t>​ ​</w:t>
            </w:r>
          </w:p>
        </w:tc>
        <w:tc>
          <w:tcPr>
            <w:tcW w:w="500" w:type="dxa"/>
            <w:vAlign w:val="bottom"/>
            <w:tcBorders>
              <w:right w:val="single" w:sz="8" w:color="E9F9D8"/>
            </w:tcBorders>
            <w:gridSpan w:val="2"/>
            <w:shd w:val="clear" w:color="auto" w:fill="E9F9D8"/>
          </w:tcPr>
          <w:p>
            <w:pPr>
              <w:jc w:val="right"/>
              <w:ind w:right="100"/>
              <w:spacing w:after="0"/>
              <w:rPr>
                <w:sz w:val="20"/>
                <w:szCs w:val="20"/>
                <w:color w:val="auto"/>
              </w:rPr>
            </w:pPr>
            <w:r>
              <w:rPr>
                <w:rFonts w:ascii="Arial" w:cs="Arial" w:eastAsia="Arial" w:hAnsi="Arial"/>
                <w:sz w:val="16"/>
                <w:szCs w:val="16"/>
                <w:b w:val="1"/>
                <w:bCs w:val="1"/>
                <w:color w:val="1F2668"/>
              </w:rPr>
              <w:t>​ ​​</w:t>
            </w:r>
          </w:p>
        </w:tc>
        <w:tc>
          <w:tcPr>
            <w:tcW w:w="120" w:type="dxa"/>
            <w:vAlign w:val="bottom"/>
            <w:shd w:val="clear" w:color="auto" w:fill="E9F9D8"/>
          </w:tcPr>
          <w:p>
            <w:pPr>
              <w:jc w:val="right"/>
              <w:spacing w:after="0"/>
              <w:rPr>
                <w:sz w:val="20"/>
                <w:szCs w:val="20"/>
                <w:color w:val="auto"/>
              </w:rPr>
            </w:pPr>
            <w:r>
              <w:rPr>
                <w:rFonts w:ascii="Arial" w:cs="Arial" w:eastAsia="Arial" w:hAnsi="Arial"/>
                <w:sz w:val="12"/>
                <w:szCs w:val="12"/>
                <w:b w:val="1"/>
                <w:bCs w:val="1"/>
                <w:color w:val="1F2668"/>
                <w:w w:val="74"/>
              </w:rPr>
              <w:t>10</w:t>
            </w:r>
          </w:p>
        </w:tc>
        <w:tc>
          <w:tcPr>
            <w:tcW w:w="60" w:type="dxa"/>
            <w:vAlign w:val="bottom"/>
          </w:tcPr>
          <w:p>
            <w:pPr>
              <w:spacing w:after="0"/>
              <w:rPr>
                <w:sz w:val="20"/>
                <w:szCs w:val="20"/>
                <w:color w:val="auto"/>
              </w:rPr>
            </w:pPr>
            <w:r>
              <w:rPr>
                <w:rFonts w:ascii="Arial" w:cs="Arial" w:eastAsia="Arial" w:hAnsi="Arial"/>
                <w:sz w:val="16"/>
                <w:szCs w:val="16"/>
                <w:b w:val="1"/>
                <w:bCs w:val="1"/>
                <w:color w:val="1F2668"/>
              </w:rPr>
              <w:t>​</w:t>
            </w:r>
          </w:p>
        </w:tc>
        <w:tc>
          <w:tcPr>
            <w:tcW w:w="0" w:type="dxa"/>
            <w:vAlign w:val="bottom"/>
          </w:tcPr>
          <w:p>
            <w:pPr>
              <w:spacing w:after="0"/>
              <w:rPr>
                <w:sz w:val="1"/>
                <w:szCs w:val="1"/>
                <w:color w:val="auto"/>
              </w:rPr>
            </w:pPr>
          </w:p>
        </w:tc>
      </w:tr>
      <w:tr>
        <w:trPr>
          <w:trHeight w:val="183"/>
        </w:trPr>
        <w:tc>
          <w:tcPr>
            <w:tcW w:w="340" w:type="dxa"/>
            <w:vAlign w:val="bottom"/>
            <w:tcBorders>
              <w:top w:val="single" w:sz="8" w:color="1F2668"/>
            </w:tcBorders>
            <w:shd w:val="clear" w:color="auto" w:fill="E9F9D8"/>
          </w:tcPr>
          <w:p>
            <w:pPr>
              <w:spacing w:after="0"/>
              <w:rPr>
                <w:sz w:val="15"/>
                <w:szCs w:val="15"/>
                <w:color w:val="auto"/>
              </w:rPr>
            </w:pPr>
          </w:p>
        </w:tc>
        <w:tc>
          <w:tcPr>
            <w:tcW w:w="260" w:type="dxa"/>
            <w:vAlign w:val="bottom"/>
            <w:tcBorders>
              <w:top w:val="single" w:sz="8" w:color="1F2668"/>
            </w:tcBorders>
            <w:shd w:val="clear" w:color="auto" w:fill="E9F9D8"/>
          </w:tcPr>
          <w:p>
            <w:pPr>
              <w:spacing w:after="0"/>
              <w:rPr>
                <w:sz w:val="15"/>
                <w:szCs w:val="15"/>
                <w:color w:val="auto"/>
              </w:rPr>
            </w:pPr>
          </w:p>
        </w:tc>
        <w:tc>
          <w:tcPr>
            <w:tcW w:w="100" w:type="dxa"/>
            <w:vAlign w:val="bottom"/>
            <w:tcBorders>
              <w:top w:val="single" w:sz="8" w:color="1F2668"/>
            </w:tcBorders>
            <w:shd w:val="clear" w:color="auto" w:fill="E9F9D8"/>
          </w:tcPr>
          <w:p>
            <w:pPr>
              <w:spacing w:after="0"/>
              <w:rPr>
                <w:sz w:val="15"/>
                <w:szCs w:val="15"/>
                <w:color w:val="auto"/>
              </w:rPr>
            </w:pPr>
          </w:p>
        </w:tc>
        <w:tc>
          <w:tcPr>
            <w:tcW w:w="420" w:type="dxa"/>
            <w:vAlign w:val="bottom"/>
            <w:tcBorders>
              <w:top w:val="single" w:sz="8" w:color="1F2668"/>
            </w:tcBorders>
            <w:shd w:val="clear" w:color="auto" w:fill="E9F9D8"/>
          </w:tcPr>
          <w:p>
            <w:pPr>
              <w:spacing w:after="0"/>
              <w:rPr>
                <w:sz w:val="15"/>
                <w:szCs w:val="15"/>
                <w:color w:val="auto"/>
              </w:rPr>
            </w:pPr>
          </w:p>
        </w:tc>
        <w:tc>
          <w:tcPr>
            <w:tcW w:w="140" w:type="dxa"/>
            <w:vAlign w:val="bottom"/>
            <w:tcBorders>
              <w:top w:val="single" w:sz="8" w:color="1F2668"/>
            </w:tcBorders>
            <w:shd w:val="clear" w:color="auto" w:fill="E9F9D8"/>
          </w:tcPr>
          <w:p>
            <w:pPr>
              <w:spacing w:after="0"/>
              <w:rPr>
                <w:sz w:val="15"/>
                <w:szCs w:val="15"/>
                <w:color w:val="auto"/>
              </w:rPr>
            </w:pPr>
          </w:p>
        </w:tc>
        <w:tc>
          <w:tcPr>
            <w:tcW w:w="160" w:type="dxa"/>
            <w:vAlign w:val="bottom"/>
            <w:tcBorders>
              <w:top w:val="single" w:sz="8" w:color="1F2668"/>
            </w:tcBorders>
            <w:shd w:val="clear" w:color="auto" w:fill="E9F9D8"/>
          </w:tcPr>
          <w:p>
            <w:pPr>
              <w:spacing w:after="0"/>
              <w:rPr>
                <w:sz w:val="15"/>
                <w:szCs w:val="15"/>
                <w:color w:val="auto"/>
              </w:rPr>
            </w:pPr>
          </w:p>
        </w:tc>
        <w:tc>
          <w:tcPr>
            <w:tcW w:w="300" w:type="dxa"/>
            <w:vAlign w:val="bottom"/>
            <w:tcBorders>
              <w:top w:val="single" w:sz="8" w:color="1F2668"/>
            </w:tcBorders>
            <w:shd w:val="clear" w:color="auto" w:fill="E9F9D8"/>
          </w:tcPr>
          <w:p>
            <w:pPr>
              <w:spacing w:after="0"/>
              <w:rPr>
                <w:sz w:val="15"/>
                <w:szCs w:val="15"/>
                <w:color w:val="auto"/>
              </w:rPr>
            </w:pPr>
          </w:p>
        </w:tc>
        <w:tc>
          <w:tcPr>
            <w:tcW w:w="40" w:type="dxa"/>
            <w:vAlign w:val="bottom"/>
            <w:tcBorders>
              <w:top w:val="single" w:sz="8" w:color="1F2668"/>
            </w:tcBorders>
            <w:shd w:val="clear" w:color="auto" w:fill="E9F9D8"/>
          </w:tcPr>
          <w:p>
            <w:pPr>
              <w:spacing w:after="0"/>
              <w:rPr>
                <w:sz w:val="15"/>
                <w:szCs w:val="15"/>
                <w:color w:val="auto"/>
              </w:rPr>
            </w:pPr>
          </w:p>
        </w:tc>
        <w:tc>
          <w:tcPr>
            <w:tcW w:w="60" w:type="dxa"/>
            <w:vAlign w:val="bottom"/>
            <w:tcBorders>
              <w:top w:val="single" w:sz="8" w:color="1F2668"/>
            </w:tcBorders>
            <w:shd w:val="clear" w:color="auto" w:fill="E9F9D8"/>
          </w:tcPr>
          <w:p>
            <w:pPr>
              <w:spacing w:after="0"/>
              <w:rPr>
                <w:sz w:val="15"/>
                <w:szCs w:val="15"/>
                <w:color w:val="auto"/>
              </w:rPr>
            </w:pPr>
          </w:p>
        </w:tc>
        <w:tc>
          <w:tcPr>
            <w:tcW w:w="600" w:type="dxa"/>
            <w:vAlign w:val="bottom"/>
            <w:tcBorders>
              <w:top w:val="single" w:sz="8" w:color="1F2668"/>
            </w:tcBorders>
            <w:shd w:val="clear" w:color="auto" w:fill="E9F9D8"/>
          </w:tcPr>
          <w:p>
            <w:pPr>
              <w:spacing w:after="0"/>
              <w:rPr>
                <w:sz w:val="15"/>
                <w:szCs w:val="15"/>
                <w:color w:val="auto"/>
              </w:rPr>
            </w:pPr>
          </w:p>
        </w:tc>
        <w:tc>
          <w:tcPr>
            <w:tcW w:w="40" w:type="dxa"/>
            <w:vAlign w:val="bottom"/>
            <w:tcBorders>
              <w:top w:val="single" w:sz="8" w:color="1F2668"/>
            </w:tcBorders>
            <w:shd w:val="clear" w:color="auto" w:fill="E9F9D8"/>
          </w:tcPr>
          <w:p>
            <w:pPr>
              <w:spacing w:after="0"/>
              <w:rPr>
                <w:sz w:val="15"/>
                <w:szCs w:val="15"/>
                <w:color w:val="auto"/>
              </w:rPr>
            </w:pPr>
          </w:p>
        </w:tc>
        <w:tc>
          <w:tcPr>
            <w:tcW w:w="60" w:type="dxa"/>
            <w:vAlign w:val="bottom"/>
            <w:tcBorders>
              <w:top w:val="single" w:sz="8" w:color="E9F9D8"/>
              <w:right w:val="single" w:sz="8" w:color="E9F9D8"/>
            </w:tcBorders>
            <w:shd w:val="clear" w:color="auto" w:fill="E9F9D8"/>
          </w:tcPr>
          <w:p>
            <w:pPr>
              <w:spacing w:after="0"/>
              <w:rPr>
                <w:sz w:val="15"/>
                <w:szCs w:val="15"/>
                <w:color w:val="auto"/>
              </w:rPr>
            </w:pPr>
          </w:p>
        </w:tc>
        <w:tc>
          <w:tcPr>
            <w:tcW w:w="140" w:type="dxa"/>
            <w:vAlign w:val="bottom"/>
            <w:tcBorders>
              <w:top w:val="single" w:sz="8" w:color="E9F9D8"/>
            </w:tcBorders>
            <w:shd w:val="clear" w:color="auto" w:fill="E9F9D8"/>
          </w:tcPr>
          <w:p>
            <w:pPr>
              <w:spacing w:after="0"/>
              <w:rPr>
                <w:sz w:val="15"/>
                <w:szCs w:val="15"/>
                <w:color w:val="auto"/>
              </w:rPr>
            </w:pPr>
          </w:p>
        </w:tc>
        <w:tc>
          <w:tcPr>
            <w:tcW w:w="20" w:type="dxa"/>
            <w:vAlign w:val="bottom"/>
            <w:tcBorders>
              <w:top w:val="single" w:sz="8" w:color="E9F9D8"/>
            </w:tcBorders>
            <w:shd w:val="clear" w:color="auto" w:fill="E9F9D8"/>
          </w:tcPr>
          <w:p>
            <w:pPr>
              <w:spacing w:after="0"/>
              <w:rPr>
                <w:sz w:val="15"/>
                <w:szCs w:val="15"/>
                <w:color w:val="auto"/>
              </w:rPr>
            </w:pPr>
          </w:p>
        </w:tc>
        <w:tc>
          <w:tcPr>
            <w:tcW w:w="280" w:type="dxa"/>
            <w:vAlign w:val="bottom"/>
            <w:tcBorders>
              <w:top w:val="single" w:sz="8" w:color="E9F9D8"/>
            </w:tcBorders>
            <w:shd w:val="clear" w:color="auto" w:fill="E9F9D8"/>
          </w:tcPr>
          <w:p>
            <w:pPr>
              <w:spacing w:after="0"/>
              <w:rPr>
                <w:sz w:val="15"/>
                <w:szCs w:val="15"/>
                <w:color w:val="auto"/>
              </w:rPr>
            </w:pPr>
          </w:p>
        </w:tc>
        <w:tc>
          <w:tcPr>
            <w:tcW w:w="80" w:type="dxa"/>
            <w:vAlign w:val="bottom"/>
            <w:tcBorders>
              <w:top w:val="single" w:sz="8" w:color="E9F9D8"/>
            </w:tcBorders>
            <w:shd w:val="clear" w:color="auto" w:fill="E9F9D8"/>
          </w:tcPr>
          <w:p>
            <w:pPr>
              <w:spacing w:after="0"/>
              <w:rPr>
                <w:sz w:val="15"/>
                <w:szCs w:val="15"/>
                <w:color w:val="auto"/>
              </w:rPr>
            </w:pPr>
          </w:p>
        </w:tc>
        <w:tc>
          <w:tcPr>
            <w:tcW w:w="240" w:type="dxa"/>
            <w:vAlign w:val="bottom"/>
            <w:tcBorders>
              <w:top w:val="single" w:sz="8" w:color="E9F9D8"/>
              <w:right w:val="single" w:sz="8" w:color="E9F9D8"/>
            </w:tcBorders>
            <w:shd w:val="clear" w:color="auto" w:fill="E9F9D8"/>
          </w:tcPr>
          <w:p>
            <w:pPr>
              <w:spacing w:after="0"/>
              <w:rPr>
                <w:sz w:val="15"/>
                <w:szCs w:val="15"/>
                <w:color w:val="auto"/>
              </w:rPr>
            </w:pPr>
          </w:p>
        </w:tc>
        <w:tc>
          <w:tcPr>
            <w:tcW w:w="120" w:type="dxa"/>
            <w:vAlign w:val="bottom"/>
            <w:tcBorders>
              <w:top w:val="single" w:sz="8" w:color="E9F9D8"/>
            </w:tcBorders>
            <w:shd w:val="clear" w:color="auto" w:fill="E9F9D8"/>
          </w:tcPr>
          <w:p>
            <w:pPr>
              <w:spacing w:after="0"/>
              <w:rPr>
                <w:sz w:val="15"/>
                <w:szCs w:val="15"/>
                <w:color w:val="auto"/>
              </w:rPr>
            </w:pPr>
          </w:p>
        </w:tc>
        <w:tc>
          <w:tcPr>
            <w:tcW w:w="20" w:type="dxa"/>
            <w:vAlign w:val="bottom"/>
            <w:tcBorders>
              <w:top w:val="single" w:sz="8" w:color="E9F9D8"/>
            </w:tcBorders>
            <w:shd w:val="clear" w:color="auto" w:fill="E9F9D8"/>
          </w:tcPr>
          <w:p>
            <w:pPr>
              <w:spacing w:after="0"/>
              <w:rPr>
                <w:sz w:val="15"/>
                <w:szCs w:val="15"/>
                <w:color w:val="auto"/>
              </w:rPr>
            </w:pPr>
          </w:p>
        </w:tc>
        <w:tc>
          <w:tcPr>
            <w:tcW w:w="60" w:type="dxa"/>
            <w:vAlign w:val="bottom"/>
            <w:tcBorders>
              <w:top w:val="single" w:sz="8" w:color="E9F9D8"/>
            </w:tcBorders>
            <w:shd w:val="clear" w:color="auto" w:fill="E9F9D8"/>
          </w:tcPr>
          <w:p>
            <w:pPr>
              <w:spacing w:after="0"/>
              <w:rPr>
                <w:sz w:val="15"/>
                <w:szCs w:val="15"/>
                <w:color w:val="auto"/>
              </w:rPr>
            </w:pPr>
          </w:p>
        </w:tc>
        <w:tc>
          <w:tcPr>
            <w:tcW w:w="20" w:type="dxa"/>
            <w:vAlign w:val="bottom"/>
            <w:tcBorders>
              <w:top w:val="single" w:sz="8" w:color="E9F9D8"/>
            </w:tcBorders>
            <w:shd w:val="clear" w:color="auto" w:fill="E9F9D8"/>
          </w:tcPr>
          <w:p>
            <w:pPr>
              <w:spacing w:after="0"/>
              <w:rPr>
                <w:sz w:val="15"/>
                <w:szCs w:val="15"/>
                <w:color w:val="auto"/>
              </w:rPr>
            </w:pPr>
          </w:p>
        </w:tc>
        <w:tc>
          <w:tcPr>
            <w:tcW w:w="200" w:type="dxa"/>
            <w:vAlign w:val="bottom"/>
            <w:tcBorders>
              <w:top w:val="single" w:sz="8" w:color="E9F9D8"/>
            </w:tcBorders>
            <w:shd w:val="clear" w:color="auto" w:fill="E9F9D8"/>
          </w:tcPr>
          <w:p>
            <w:pPr>
              <w:spacing w:after="0"/>
              <w:rPr>
                <w:sz w:val="15"/>
                <w:szCs w:val="15"/>
                <w:color w:val="auto"/>
              </w:rPr>
            </w:pPr>
          </w:p>
        </w:tc>
        <w:tc>
          <w:tcPr>
            <w:tcW w:w="380" w:type="dxa"/>
            <w:vAlign w:val="bottom"/>
            <w:tcBorders>
              <w:top w:val="single" w:sz="8" w:color="E9F9D8"/>
            </w:tcBorders>
            <w:shd w:val="clear" w:color="auto" w:fill="E9F9D8"/>
          </w:tcPr>
          <w:p>
            <w:pPr>
              <w:spacing w:after="0"/>
              <w:rPr>
                <w:sz w:val="15"/>
                <w:szCs w:val="15"/>
                <w:color w:val="auto"/>
              </w:rPr>
            </w:pPr>
          </w:p>
        </w:tc>
        <w:tc>
          <w:tcPr>
            <w:tcW w:w="120" w:type="dxa"/>
            <w:vAlign w:val="bottom"/>
            <w:tcBorders>
              <w:top w:val="single" w:sz="8" w:color="E9F9D8"/>
              <w:right w:val="single" w:sz="8" w:color="E9F9D8"/>
            </w:tcBorders>
            <w:shd w:val="clear" w:color="auto" w:fill="E9F9D8"/>
          </w:tcPr>
          <w:p>
            <w:pPr>
              <w:spacing w:after="0"/>
              <w:rPr>
                <w:sz w:val="15"/>
                <w:szCs w:val="15"/>
                <w:color w:val="auto"/>
              </w:rPr>
            </w:pPr>
          </w:p>
        </w:tc>
        <w:tc>
          <w:tcPr>
            <w:tcW w:w="120" w:type="dxa"/>
            <w:vAlign w:val="bottom"/>
            <w:tcBorders>
              <w:top w:val="single" w:sz="8" w:color="1F2668"/>
            </w:tcBorders>
            <w:shd w:val="clear" w:color="auto" w:fill="E9F9D8"/>
          </w:tcPr>
          <w:p>
            <w:pPr>
              <w:spacing w:after="0"/>
              <w:rPr>
                <w:sz w:val="15"/>
                <w:szCs w:val="15"/>
                <w:color w:val="auto"/>
              </w:rPr>
            </w:pPr>
          </w:p>
        </w:tc>
        <w:tc>
          <w:tcPr>
            <w:tcW w:w="60" w:type="dxa"/>
            <w:vAlign w:val="bottom"/>
            <w:vMerge w:val="restart"/>
          </w:tcPr>
          <w:p>
            <w:pPr>
              <w:spacing w:after="0"/>
              <w:rPr>
                <w:sz w:val="20"/>
                <w:szCs w:val="20"/>
                <w:color w:val="auto"/>
              </w:rPr>
            </w:pPr>
            <w:r>
              <w:rPr>
                <w:rFonts w:ascii="Arial" w:cs="Arial" w:eastAsia="Arial" w:hAnsi="Arial"/>
                <w:sz w:val="16"/>
                <w:szCs w:val="16"/>
                <w:b w:val="1"/>
                <w:bCs w:val="1"/>
                <w:color w:val="1F2668"/>
              </w:rPr>
              <w:t>​</w:t>
            </w:r>
          </w:p>
        </w:tc>
        <w:tc>
          <w:tcPr>
            <w:tcW w:w="0" w:type="dxa"/>
            <w:vAlign w:val="bottom"/>
          </w:tcPr>
          <w:p>
            <w:pPr>
              <w:spacing w:after="0"/>
              <w:rPr>
                <w:sz w:val="1"/>
                <w:szCs w:val="1"/>
                <w:color w:val="auto"/>
              </w:rPr>
            </w:pPr>
          </w:p>
        </w:tc>
      </w:tr>
      <w:tr>
        <w:trPr>
          <w:trHeight w:val="135"/>
        </w:trPr>
        <w:tc>
          <w:tcPr>
            <w:tcW w:w="700" w:type="dxa"/>
            <w:vAlign w:val="bottom"/>
            <w:gridSpan w:val="3"/>
          </w:tcPr>
          <w:p>
            <w:pPr>
              <w:spacing w:after="0" w:line="135" w:lineRule="exact"/>
              <w:rPr>
                <w:sz w:val="20"/>
                <w:szCs w:val="20"/>
                <w:color w:val="auto"/>
              </w:rPr>
            </w:pPr>
            <w:r>
              <w:rPr>
                <w:rFonts w:ascii="Arial" w:cs="Arial" w:eastAsia="Arial" w:hAnsi="Arial"/>
                <w:sz w:val="15"/>
                <w:szCs w:val="15"/>
                <w:b w:val="1"/>
                <w:bCs w:val="1"/>
                <w:color w:val="1F2668"/>
              </w:rPr>
              <w:t>​</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gridSpan w:val="2"/>
          </w:tcPr>
          <w:p>
            <w:pPr>
              <w:jc w:val="right"/>
              <w:ind w:right="100"/>
              <w:spacing w:after="0" w:line="135" w:lineRule="exact"/>
              <w:rPr>
                <w:sz w:val="20"/>
                <w:szCs w:val="20"/>
                <w:color w:val="auto"/>
              </w:rPr>
            </w:pPr>
            <w:r>
              <w:rPr>
                <w:rFonts w:ascii="Arial" w:cs="Arial" w:eastAsia="Arial" w:hAnsi="Arial"/>
                <w:sz w:val="15"/>
                <w:szCs w:val="15"/>
                <w:b w:val="1"/>
                <w:bCs w:val="1"/>
                <w:color w:val="1F2668"/>
              </w:rPr>
              <w:t>​ ​​</w:t>
            </w:r>
          </w:p>
        </w:tc>
        <w:tc>
          <w:tcPr>
            <w:tcW w:w="120" w:type="dxa"/>
            <w:vAlign w:val="bottom"/>
          </w:tcPr>
          <w:p>
            <w:pPr>
              <w:spacing w:after="0"/>
              <w:rPr>
                <w:sz w:val="11"/>
                <w:szCs w:val="11"/>
                <w:color w:val="auto"/>
              </w:rPr>
            </w:pPr>
          </w:p>
        </w:tc>
        <w:tc>
          <w:tcPr>
            <w:tcW w:w="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700" w:type="dxa"/>
            <w:vAlign w:val="bottom"/>
            <w:gridSpan w:val="22"/>
          </w:tcPr>
          <w:p>
            <w:pPr>
              <w:spacing w:after="0" w:line="108" w:lineRule="exact"/>
              <w:rPr>
                <w:sz w:val="20"/>
                <w:szCs w:val="20"/>
                <w:color w:val="auto"/>
              </w:rPr>
            </w:pPr>
            <w:r>
              <w:rPr>
                <w:rFonts w:ascii="Arial" w:cs="Arial" w:eastAsia="Arial" w:hAnsi="Arial"/>
                <w:sz w:val="12"/>
                <w:szCs w:val="12"/>
                <w:b w:val="1"/>
                <w:bCs w:val="1"/>
                <w:color w:val="1F2668"/>
              </w:rPr>
              <w:t>Information Regarding The Director Nominees</w:t>
            </w:r>
          </w:p>
        </w:tc>
        <w:tc>
          <w:tcPr>
            <w:tcW w:w="500" w:type="dxa"/>
            <w:vAlign w:val="bottom"/>
            <w:gridSpan w:val="2"/>
          </w:tcPr>
          <w:p>
            <w:pPr>
              <w:jc w:val="right"/>
              <w:ind w:right="100"/>
              <w:spacing w:after="0" w:line="108" w:lineRule="exact"/>
              <w:rPr>
                <w:sz w:val="20"/>
                <w:szCs w:val="20"/>
                <w:color w:val="auto"/>
              </w:rPr>
            </w:pPr>
            <w:r>
              <w:rPr>
                <w:rFonts w:ascii="Arial" w:cs="Arial" w:eastAsia="Arial" w:hAnsi="Arial"/>
                <w:sz w:val="12"/>
                <w:szCs w:val="12"/>
                <w:b w:val="1"/>
                <w:bCs w:val="1"/>
                <w:color w:val="1F2668"/>
              </w:rPr>
              <w:t>​</w:t>
            </w:r>
          </w:p>
        </w:tc>
        <w:tc>
          <w:tcPr>
            <w:tcW w:w="180" w:type="dxa"/>
            <w:vAlign w:val="bottom"/>
            <w:gridSpan w:val="2"/>
          </w:tcPr>
          <w:p>
            <w:pPr>
              <w:jc w:val="right"/>
              <w:spacing w:after="0" w:line="108" w:lineRule="exact"/>
              <w:rPr>
                <w:sz w:val="20"/>
                <w:szCs w:val="20"/>
                <w:color w:val="auto"/>
              </w:rPr>
            </w:pPr>
            <w:r>
              <w:rPr>
                <w:rFonts w:ascii="Arial" w:cs="Arial" w:eastAsia="Arial" w:hAnsi="Arial"/>
                <w:sz w:val="12"/>
                <w:szCs w:val="12"/>
                <w:b w:val="1"/>
                <w:bCs w:val="1"/>
                <w:color w:val="1F2668"/>
                <w:w w:val="74"/>
              </w:rPr>
              <w:t>11</w:t>
            </w:r>
          </w:p>
        </w:tc>
        <w:tc>
          <w:tcPr>
            <w:tcW w:w="0" w:type="dxa"/>
            <w:vAlign w:val="bottom"/>
          </w:tcPr>
          <w:p>
            <w:pPr>
              <w:spacing w:after="0"/>
              <w:rPr>
                <w:sz w:val="1"/>
                <w:szCs w:val="1"/>
                <w:color w:val="auto"/>
              </w:rPr>
            </w:pPr>
          </w:p>
        </w:tc>
      </w:tr>
      <w:tr>
        <w:trPr>
          <w:trHeight w:val="196"/>
        </w:trPr>
        <w:tc>
          <w:tcPr>
            <w:tcW w:w="700" w:type="dxa"/>
            <w:vAlign w:val="bottom"/>
            <w:tcBorders>
              <w:top w:val="single" w:sz="8" w:color="1F2668"/>
            </w:tcBorders>
            <w:gridSpan w:val="3"/>
          </w:tcPr>
          <w:p>
            <w:pPr>
              <w:spacing w:after="0"/>
              <w:rPr>
                <w:sz w:val="20"/>
                <w:szCs w:val="20"/>
                <w:color w:val="auto"/>
              </w:rPr>
            </w:pPr>
            <w:r>
              <w:rPr>
                <w:rFonts w:ascii="Arial" w:cs="Arial" w:eastAsia="Arial" w:hAnsi="Arial"/>
                <w:sz w:val="16"/>
                <w:szCs w:val="16"/>
                <w:b w:val="1"/>
                <w:bCs w:val="1"/>
                <w:color w:val="1F2668"/>
              </w:rPr>
              <w:t>​</w:t>
            </w:r>
          </w:p>
        </w:tc>
        <w:tc>
          <w:tcPr>
            <w:tcW w:w="420" w:type="dxa"/>
            <w:vAlign w:val="bottom"/>
            <w:tcBorders>
              <w:top w:val="single" w:sz="8" w:color="1F2668"/>
            </w:tcBorders>
          </w:tcPr>
          <w:p>
            <w:pPr>
              <w:spacing w:after="0"/>
              <w:rPr>
                <w:sz w:val="17"/>
                <w:szCs w:val="17"/>
                <w:color w:val="auto"/>
              </w:rPr>
            </w:pPr>
          </w:p>
        </w:tc>
        <w:tc>
          <w:tcPr>
            <w:tcW w:w="140" w:type="dxa"/>
            <w:vAlign w:val="bottom"/>
            <w:tcBorders>
              <w:top w:val="single" w:sz="8" w:color="1F2668"/>
            </w:tcBorders>
          </w:tcPr>
          <w:p>
            <w:pPr>
              <w:spacing w:after="0"/>
              <w:rPr>
                <w:sz w:val="17"/>
                <w:szCs w:val="17"/>
                <w:color w:val="auto"/>
              </w:rPr>
            </w:pPr>
          </w:p>
        </w:tc>
        <w:tc>
          <w:tcPr>
            <w:tcW w:w="160" w:type="dxa"/>
            <w:vAlign w:val="bottom"/>
            <w:tcBorders>
              <w:top w:val="single" w:sz="8" w:color="1F2668"/>
            </w:tcBorders>
          </w:tcPr>
          <w:p>
            <w:pPr>
              <w:spacing w:after="0"/>
              <w:rPr>
                <w:sz w:val="17"/>
                <w:szCs w:val="17"/>
                <w:color w:val="auto"/>
              </w:rPr>
            </w:pPr>
          </w:p>
        </w:tc>
        <w:tc>
          <w:tcPr>
            <w:tcW w:w="300" w:type="dxa"/>
            <w:vAlign w:val="bottom"/>
            <w:tcBorders>
              <w:top w:val="single" w:sz="8" w:color="1F2668"/>
            </w:tcBorders>
          </w:tcPr>
          <w:p>
            <w:pPr>
              <w:spacing w:after="0"/>
              <w:rPr>
                <w:sz w:val="17"/>
                <w:szCs w:val="17"/>
                <w:color w:val="auto"/>
              </w:rPr>
            </w:pPr>
          </w:p>
        </w:tc>
        <w:tc>
          <w:tcPr>
            <w:tcW w:w="40" w:type="dxa"/>
            <w:vAlign w:val="bottom"/>
            <w:tcBorders>
              <w:top w:val="single" w:sz="8" w:color="1F2668"/>
            </w:tcBorders>
          </w:tcPr>
          <w:p>
            <w:pPr>
              <w:spacing w:after="0"/>
              <w:rPr>
                <w:sz w:val="17"/>
                <w:szCs w:val="17"/>
                <w:color w:val="auto"/>
              </w:rPr>
            </w:pPr>
          </w:p>
        </w:tc>
        <w:tc>
          <w:tcPr>
            <w:tcW w:w="60" w:type="dxa"/>
            <w:vAlign w:val="bottom"/>
            <w:tcBorders>
              <w:top w:val="single" w:sz="8" w:color="1F2668"/>
            </w:tcBorders>
          </w:tcPr>
          <w:p>
            <w:pPr>
              <w:spacing w:after="0"/>
              <w:rPr>
                <w:sz w:val="17"/>
                <w:szCs w:val="17"/>
                <w:color w:val="auto"/>
              </w:rPr>
            </w:pPr>
          </w:p>
        </w:tc>
        <w:tc>
          <w:tcPr>
            <w:tcW w:w="600" w:type="dxa"/>
            <w:vAlign w:val="bottom"/>
            <w:tcBorders>
              <w:top w:val="single" w:sz="8" w:color="1F2668"/>
            </w:tcBorders>
          </w:tcPr>
          <w:p>
            <w:pPr>
              <w:spacing w:after="0"/>
              <w:rPr>
                <w:sz w:val="17"/>
                <w:szCs w:val="17"/>
                <w:color w:val="auto"/>
              </w:rPr>
            </w:pPr>
          </w:p>
        </w:tc>
        <w:tc>
          <w:tcPr>
            <w:tcW w:w="40" w:type="dxa"/>
            <w:vAlign w:val="bottom"/>
            <w:tcBorders>
              <w:top w:val="single" w:sz="8" w:color="1F2668"/>
            </w:tcBorders>
          </w:tcPr>
          <w:p>
            <w:pPr>
              <w:spacing w:after="0"/>
              <w:rPr>
                <w:sz w:val="17"/>
                <w:szCs w:val="17"/>
                <w:color w:val="auto"/>
              </w:rPr>
            </w:pPr>
          </w:p>
        </w:tc>
        <w:tc>
          <w:tcPr>
            <w:tcW w:w="60" w:type="dxa"/>
            <w:vAlign w:val="bottom"/>
            <w:tcBorders>
              <w:top w:val="single" w:sz="8" w:color="1F2668"/>
            </w:tcBorders>
          </w:tcPr>
          <w:p>
            <w:pPr>
              <w:spacing w:after="0"/>
              <w:rPr>
                <w:sz w:val="17"/>
                <w:szCs w:val="17"/>
                <w:color w:val="auto"/>
              </w:rPr>
            </w:pPr>
          </w:p>
        </w:tc>
        <w:tc>
          <w:tcPr>
            <w:tcW w:w="140" w:type="dxa"/>
            <w:vAlign w:val="bottom"/>
            <w:tcBorders>
              <w:top w:val="single" w:sz="8" w:color="1F2668"/>
            </w:tcBorders>
          </w:tcPr>
          <w:p>
            <w:pPr>
              <w:spacing w:after="0"/>
              <w:rPr>
                <w:sz w:val="17"/>
                <w:szCs w:val="17"/>
                <w:color w:val="auto"/>
              </w:rPr>
            </w:pPr>
          </w:p>
        </w:tc>
        <w:tc>
          <w:tcPr>
            <w:tcW w:w="20" w:type="dxa"/>
            <w:vAlign w:val="bottom"/>
            <w:tcBorders>
              <w:top w:val="single" w:sz="8" w:color="1F2668"/>
            </w:tcBorders>
          </w:tcPr>
          <w:p>
            <w:pPr>
              <w:spacing w:after="0"/>
              <w:rPr>
                <w:sz w:val="17"/>
                <w:szCs w:val="17"/>
                <w:color w:val="auto"/>
              </w:rPr>
            </w:pPr>
          </w:p>
        </w:tc>
        <w:tc>
          <w:tcPr>
            <w:tcW w:w="280" w:type="dxa"/>
            <w:vAlign w:val="bottom"/>
            <w:tcBorders>
              <w:top w:val="single" w:sz="8" w:color="1F2668"/>
            </w:tcBorders>
          </w:tcPr>
          <w:p>
            <w:pPr>
              <w:spacing w:after="0"/>
              <w:rPr>
                <w:sz w:val="17"/>
                <w:szCs w:val="17"/>
                <w:color w:val="auto"/>
              </w:rPr>
            </w:pPr>
          </w:p>
        </w:tc>
        <w:tc>
          <w:tcPr>
            <w:tcW w:w="80" w:type="dxa"/>
            <w:vAlign w:val="bottom"/>
            <w:tcBorders>
              <w:top w:val="single" w:sz="8" w:color="1F2668"/>
            </w:tcBorders>
          </w:tcPr>
          <w:p>
            <w:pPr>
              <w:spacing w:after="0"/>
              <w:rPr>
                <w:sz w:val="17"/>
                <w:szCs w:val="17"/>
                <w:color w:val="auto"/>
              </w:rPr>
            </w:pPr>
          </w:p>
        </w:tc>
        <w:tc>
          <w:tcPr>
            <w:tcW w:w="240" w:type="dxa"/>
            <w:vAlign w:val="bottom"/>
            <w:tcBorders>
              <w:top w:val="single" w:sz="8" w:color="1F2668"/>
            </w:tcBorders>
          </w:tcPr>
          <w:p>
            <w:pPr>
              <w:spacing w:after="0"/>
              <w:rPr>
                <w:sz w:val="17"/>
                <w:szCs w:val="17"/>
                <w:color w:val="auto"/>
              </w:rPr>
            </w:pPr>
          </w:p>
        </w:tc>
        <w:tc>
          <w:tcPr>
            <w:tcW w:w="120" w:type="dxa"/>
            <w:vAlign w:val="bottom"/>
            <w:tcBorders>
              <w:top w:val="single" w:sz="8" w:color="1F2668"/>
            </w:tcBorders>
          </w:tcPr>
          <w:p>
            <w:pPr>
              <w:spacing w:after="0"/>
              <w:rPr>
                <w:sz w:val="17"/>
                <w:szCs w:val="17"/>
                <w:color w:val="auto"/>
              </w:rPr>
            </w:pPr>
          </w:p>
        </w:tc>
        <w:tc>
          <w:tcPr>
            <w:tcW w:w="20" w:type="dxa"/>
            <w:vAlign w:val="bottom"/>
            <w:tcBorders>
              <w:top w:val="single" w:sz="8" w:color="1F2668"/>
            </w:tcBorders>
          </w:tcPr>
          <w:p>
            <w:pPr>
              <w:spacing w:after="0"/>
              <w:rPr>
                <w:sz w:val="17"/>
                <w:szCs w:val="17"/>
                <w:color w:val="auto"/>
              </w:rPr>
            </w:pPr>
          </w:p>
        </w:tc>
        <w:tc>
          <w:tcPr>
            <w:tcW w:w="60" w:type="dxa"/>
            <w:vAlign w:val="bottom"/>
            <w:tcBorders>
              <w:top w:val="single" w:sz="8" w:color="1F2668"/>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1F2668"/>
              </w:rPr>
              <w:t>​ ​​</w:t>
            </w:r>
          </w:p>
        </w:tc>
        <w:tc>
          <w:tcPr>
            <w:tcW w:w="120" w:type="dxa"/>
            <w:vAlign w:val="bottom"/>
            <w:tcBorders>
              <w:top w:val="single" w:sz="8" w:color="1F2668"/>
            </w:tcBorders>
          </w:tcPr>
          <w:p>
            <w:pPr>
              <w:spacing w:after="0"/>
              <w:rPr>
                <w:sz w:val="17"/>
                <w:szCs w:val="17"/>
                <w:color w:val="auto"/>
              </w:rPr>
            </w:pPr>
          </w:p>
        </w:tc>
        <w:tc>
          <w:tcPr>
            <w:tcW w:w="60" w:type="dxa"/>
            <w:vAlign w:val="bottom"/>
          </w:tcPr>
          <w:p>
            <w:pPr>
              <w:spacing w:after="0"/>
              <w:rPr>
                <w:sz w:val="20"/>
                <w:szCs w:val="20"/>
                <w:color w:val="auto"/>
              </w:rPr>
            </w:pPr>
            <w:r>
              <w:rPr>
                <w:rFonts w:ascii="Arial" w:cs="Arial" w:eastAsia="Arial" w:hAnsi="Arial"/>
                <w:sz w:val="16"/>
                <w:szCs w:val="16"/>
                <w:b w:val="1"/>
                <w:bCs w:val="1"/>
                <w:color w:val="1F2668"/>
              </w:rPr>
              <w:t>​</w:t>
            </w:r>
          </w:p>
        </w:tc>
        <w:tc>
          <w:tcPr>
            <w:tcW w:w="0" w:type="dxa"/>
            <w:vAlign w:val="bottom"/>
          </w:tcPr>
          <w:p>
            <w:pPr>
              <w:spacing w:after="0"/>
              <w:rPr>
                <w:sz w:val="1"/>
                <w:szCs w:val="1"/>
                <w:color w:val="auto"/>
              </w:rPr>
            </w:pPr>
          </w:p>
        </w:tc>
      </w:tr>
      <w:tr>
        <w:trPr>
          <w:trHeight w:val="108"/>
        </w:trPr>
        <w:tc>
          <w:tcPr>
            <w:tcW w:w="3280" w:type="dxa"/>
            <w:vAlign w:val="bottom"/>
            <w:gridSpan w:val="17"/>
          </w:tcPr>
          <w:p>
            <w:pPr>
              <w:spacing w:after="0" w:line="108" w:lineRule="exact"/>
              <w:rPr>
                <w:sz w:val="20"/>
                <w:szCs w:val="20"/>
                <w:color w:val="auto"/>
              </w:rPr>
            </w:pPr>
            <w:r>
              <w:rPr>
                <w:rFonts w:ascii="Arial" w:cs="Arial" w:eastAsia="Arial" w:hAnsi="Arial"/>
                <w:sz w:val="12"/>
                <w:szCs w:val="12"/>
                <w:b w:val="1"/>
                <w:bCs w:val="1"/>
                <w:color w:val="1F2668"/>
              </w:rPr>
              <w:t>Board Structure And Independence</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gridSpan w:val="2"/>
          </w:tcPr>
          <w:p>
            <w:pPr>
              <w:jc w:val="right"/>
              <w:ind w:right="100"/>
              <w:spacing w:after="0" w:line="108" w:lineRule="exact"/>
              <w:rPr>
                <w:sz w:val="20"/>
                <w:szCs w:val="20"/>
                <w:color w:val="auto"/>
              </w:rPr>
            </w:pPr>
            <w:r>
              <w:rPr>
                <w:rFonts w:ascii="Arial" w:cs="Arial" w:eastAsia="Arial" w:hAnsi="Arial"/>
                <w:sz w:val="12"/>
                <w:szCs w:val="12"/>
                <w:b w:val="1"/>
                <w:bCs w:val="1"/>
                <w:color w:val="1F2668"/>
              </w:rPr>
              <w:t>​</w:t>
            </w:r>
          </w:p>
        </w:tc>
        <w:tc>
          <w:tcPr>
            <w:tcW w:w="180" w:type="dxa"/>
            <w:vAlign w:val="bottom"/>
            <w:gridSpan w:val="2"/>
          </w:tcPr>
          <w:p>
            <w:pPr>
              <w:jc w:val="right"/>
              <w:spacing w:after="0" w:line="108" w:lineRule="exact"/>
              <w:rPr>
                <w:sz w:val="20"/>
                <w:szCs w:val="20"/>
                <w:color w:val="auto"/>
              </w:rPr>
            </w:pPr>
            <w:r>
              <w:rPr>
                <w:rFonts w:ascii="Arial" w:cs="Arial" w:eastAsia="Arial" w:hAnsi="Arial"/>
                <w:sz w:val="12"/>
                <w:szCs w:val="12"/>
                <w:b w:val="1"/>
                <w:bCs w:val="1"/>
                <w:color w:val="1F2668"/>
                <w:w w:val="74"/>
              </w:rPr>
              <w:t>23</w:t>
            </w:r>
          </w:p>
        </w:tc>
        <w:tc>
          <w:tcPr>
            <w:tcW w:w="0" w:type="dxa"/>
            <w:vAlign w:val="bottom"/>
          </w:tcPr>
          <w:p>
            <w:pPr>
              <w:spacing w:after="0"/>
              <w:rPr>
                <w:sz w:val="1"/>
                <w:szCs w:val="1"/>
                <w:color w:val="auto"/>
              </w:rPr>
            </w:pPr>
          </w:p>
        </w:tc>
      </w:tr>
      <w:tr>
        <w:trPr>
          <w:trHeight w:val="196"/>
        </w:trPr>
        <w:tc>
          <w:tcPr>
            <w:tcW w:w="700" w:type="dxa"/>
            <w:vAlign w:val="bottom"/>
            <w:tcBorders>
              <w:top w:val="single" w:sz="8" w:color="1F2668"/>
            </w:tcBorders>
            <w:gridSpan w:val="3"/>
          </w:tcPr>
          <w:p>
            <w:pPr>
              <w:spacing w:after="0"/>
              <w:rPr>
                <w:sz w:val="20"/>
                <w:szCs w:val="20"/>
                <w:color w:val="auto"/>
              </w:rPr>
            </w:pPr>
            <w:r>
              <w:rPr>
                <w:rFonts w:ascii="Arial" w:cs="Arial" w:eastAsia="Arial" w:hAnsi="Arial"/>
                <w:sz w:val="16"/>
                <w:szCs w:val="16"/>
                <w:b w:val="1"/>
                <w:bCs w:val="1"/>
                <w:color w:val="1F2668"/>
              </w:rPr>
              <w:t>​</w:t>
            </w:r>
          </w:p>
        </w:tc>
        <w:tc>
          <w:tcPr>
            <w:tcW w:w="420" w:type="dxa"/>
            <w:vAlign w:val="bottom"/>
            <w:tcBorders>
              <w:top w:val="single" w:sz="8" w:color="1F2668"/>
            </w:tcBorders>
          </w:tcPr>
          <w:p>
            <w:pPr>
              <w:spacing w:after="0"/>
              <w:rPr>
                <w:sz w:val="17"/>
                <w:szCs w:val="17"/>
                <w:color w:val="auto"/>
              </w:rPr>
            </w:pPr>
          </w:p>
        </w:tc>
        <w:tc>
          <w:tcPr>
            <w:tcW w:w="140" w:type="dxa"/>
            <w:vAlign w:val="bottom"/>
            <w:tcBorders>
              <w:top w:val="single" w:sz="8" w:color="1F2668"/>
            </w:tcBorders>
          </w:tcPr>
          <w:p>
            <w:pPr>
              <w:spacing w:after="0"/>
              <w:rPr>
                <w:sz w:val="17"/>
                <w:szCs w:val="17"/>
                <w:color w:val="auto"/>
              </w:rPr>
            </w:pPr>
          </w:p>
        </w:tc>
        <w:tc>
          <w:tcPr>
            <w:tcW w:w="160" w:type="dxa"/>
            <w:vAlign w:val="bottom"/>
            <w:tcBorders>
              <w:top w:val="single" w:sz="8" w:color="1F2668"/>
            </w:tcBorders>
          </w:tcPr>
          <w:p>
            <w:pPr>
              <w:spacing w:after="0"/>
              <w:rPr>
                <w:sz w:val="17"/>
                <w:szCs w:val="17"/>
                <w:color w:val="auto"/>
              </w:rPr>
            </w:pPr>
          </w:p>
        </w:tc>
        <w:tc>
          <w:tcPr>
            <w:tcW w:w="300" w:type="dxa"/>
            <w:vAlign w:val="bottom"/>
            <w:tcBorders>
              <w:top w:val="single" w:sz="8" w:color="1F2668"/>
            </w:tcBorders>
          </w:tcPr>
          <w:p>
            <w:pPr>
              <w:spacing w:after="0"/>
              <w:rPr>
                <w:sz w:val="17"/>
                <w:szCs w:val="17"/>
                <w:color w:val="auto"/>
              </w:rPr>
            </w:pPr>
          </w:p>
        </w:tc>
        <w:tc>
          <w:tcPr>
            <w:tcW w:w="40" w:type="dxa"/>
            <w:vAlign w:val="bottom"/>
            <w:tcBorders>
              <w:top w:val="single" w:sz="8" w:color="1F2668"/>
            </w:tcBorders>
          </w:tcPr>
          <w:p>
            <w:pPr>
              <w:spacing w:after="0"/>
              <w:rPr>
                <w:sz w:val="17"/>
                <w:szCs w:val="17"/>
                <w:color w:val="auto"/>
              </w:rPr>
            </w:pPr>
          </w:p>
        </w:tc>
        <w:tc>
          <w:tcPr>
            <w:tcW w:w="60" w:type="dxa"/>
            <w:vAlign w:val="bottom"/>
            <w:tcBorders>
              <w:top w:val="single" w:sz="8" w:color="1F2668"/>
            </w:tcBorders>
          </w:tcPr>
          <w:p>
            <w:pPr>
              <w:spacing w:after="0"/>
              <w:rPr>
                <w:sz w:val="17"/>
                <w:szCs w:val="17"/>
                <w:color w:val="auto"/>
              </w:rPr>
            </w:pPr>
          </w:p>
        </w:tc>
        <w:tc>
          <w:tcPr>
            <w:tcW w:w="600" w:type="dxa"/>
            <w:vAlign w:val="bottom"/>
            <w:tcBorders>
              <w:top w:val="single" w:sz="8" w:color="1F2668"/>
            </w:tcBorders>
          </w:tcPr>
          <w:p>
            <w:pPr>
              <w:spacing w:after="0"/>
              <w:rPr>
                <w:sz w:val="17"/>
                <w:szCs w:val="17"/>
                <w:color w:val="auto"/>
              </w:rPr>
            </w:pPr>
          </w:p>
        </w:tc>
        <w:tc>
          <w:tcPr>
            <w:tcW w:w="40" w:type="dxa"/>
            <w:vAlign w:val="bottom"/>
            <w:tcBorders>
              <w:top w:val="single" w:sz="8" w:color="1F2668"/>
            </w:tcBorders>
          </w:tcPr>
          <w:p>
            <w:pPr>
              <w:spacing w:after="0"/>
              <w:rPr>
                <w:sz w:val="17"/>
                <w:szCs w:val="17"/>
                <w:color w:val="auto"/>
              </w:rPr>
            </w:pPr>
          </w:p>
        </w:tc>
        <w:tc>
          <w:tcPr>
            <w:tcW w:w="60" w:type="dxa"/>
            <w:vAlign w:val="bottom"/>
            <w:tcBorders>
              <w:top w:val="single" w:sz="8" w:color="1F2668"/>
            </w:tcBorders>
          </w:tcPr>
          <w:p>
            <w:pPr>
              <w:spacing w:after="0"/>
              <w:rPr>
                <w:sz w:val="17"/>
                <w:szCs w:val="17"/>
                <w:color w:val="auto"/>
              </w:rPr>
            </w:pPr>
          </w:p>
        </w:tc>
        <w:tc>
          <w:tcPr>
            <w:tcW w:w="140" w:type="dxa"/>
            <w:vAlign w:val="bottom"/>
            <w:tcBorders>
              <w:top w:val="single" w:sz="8" w:color="1F2668"/>
            </w:tcBorders>
          </w:tcPr>
          <w:p>
            <w:pPr>
              <w:spacing w:after="0"/>
              <w:rPr>
                <w:sz w:val="17"/>
                <w:szCs w:val="17"/>
                <w:color w:val="auto"/>
              </w:rPr>
            </w:pPr>
          </w:p>
        </w:tc>
        <w:tc>
          <w:tcPr>
            <w:tcW w:w="20" w:type="dxa"/>
            <w:vAlign w:val="bottom"/>
            <w:tcBorders>
              <w:top w:val="single" w:sz="8" w:color="1F2668"/>
            </w:tcBorders>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1F2668"/>
              </w:rPr>
              <w:t>​ ​​</w:t>
            </w:r>
          </w:p>
        </w:tc>
        <w:tc>
          <w:tcPr>
            <w:tcW w:w="120" w:type="dxa"/>
            <w:vAlign w:val="bottom"/>
            <w:tcBorders>
              <w:top w:val="single" w:sz="8" w:color="1F2668"/>
            </w:tcBorders>
          </w:tcPr>
          <w:p>
            <w:pPr>
              <w:spacing w:after="0"/>
              <w:rPr>
                <w:sz w:val="17"/>
                <w:szCs w:val="17"/>
                <w:color w:val="auto"/>
              </w:rPr>
            </w:pPr>
          </w:p>
        </w:tc>
        <w:tc>
          <w:tcPr>
            <w:tcW w:w="60" w:type="dxa"/>
            <w:vAlign w:val="bottom"/>
          </w:tcPr>
          <w:p>
            <w:pPr>
              <w:spacing w:after="0"/>
              <w:rPr>
                <w:sz w:val="20"/>
                <w:szCs w:val="20"/>
                <w:color w:val="auto"/>
              </w:rPr>
            </w:pPr>
            <w:r>
              <w:rPr>
                <w:rFonts w:ascii="Arial" w:cs="Arial" w:eastAsia="Arial" w:hAnsi="Arial"/>
                <w:sz w:val="16"/>
                <w:szCs w:val="16"/>
                <w:b w:val="1"/>
                <w:bCs w:val="1"/>
                <w:color w:val="1F2668"/>
              </w:rPr>
              <w:t>​</w:t>
            </w:r>
          </w:p>
        </w:tc>
        <w:tc>
          <w:tcPr>
            <w:tcW w:w="0" w:type="dxa"/>
            <w:vAlign w:val="bottom"/>
          </w:tcPr>
          <w:p>
            <w:pPr>
              <w:spacing w:after="0"/>
              <w:rPr>
                <w:sz w:val="1"/>
                <w:szCs w:val="1"/>
                <w:color w:val="auto"/>
              </w:rPr>
            </w:pPr>
          </w:p>
        </w:tc>
      </w:tr>
      <w:tr>
        <w:trPr>
          <w:trHeight w:val="108"/>
        </w:trPr>
        <w:tc>
          <w:tcPr>
            <w:tcW w:w="3280" w:type="dxa"/>
            <w:vAlign w:val="bottom"/>
            <w:gridSpan w:val="17"/>
          </w:tcPr>
          <w:p>
            <w:pPr>
              <w:spacing w:after="0" w:line="108" w:lineRule="exact"/>
              <w:rPr>
                <w:sz w:val="20"/>
                <w:szCs w:val="20"/>
                <w:color w:val="auto"/>
              </w:rPr>
            </w:pPr>
            <w:r>
              <w:rPr>
                <w:rFonts w:ascii="Arial" w:cs="Arial" w:eastAsia="Arial" w:hAnsi="Arial"/>
                <w:sz w:val="12"/>
                <w:szCs w:val="12"/>
                <w:b w:val="1"/>
                <w:bCs w:val="1"/>
                <w:color w:val="1F2668"/>
              </w:rPr>
              <w:t>Board Committees</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gridSpan w:val="2"/>
          </w:tcPr>
          <w:p>
            <w:pPr>
              <w:jc w:val="right"/>
              <w:ind w:right="100"/>
              <w:spacing w:after="0" w:line="108" w:lineRule="exact"/>
              <w:rPr>
                <w:sz w:val="20"/>
                <w:szCs w:val="20"/>
                <w:color w:val="auto"/>
              </w:rPr>
            </w:pPr>
            <w:r>
              <w:rPr>
                <w:rFonts w:ascii="Arial" w:cs="Arial" w:eastAsia="Arial" w:hAnsi="Arial"/>
                <w:sz w:val="12"/>
                <w:szCs w:val="12"/>
                <w:b w:val="1"/>
                <w:bCs w:val="1"/>
                <w:color w:val="1F2668"/>
              </w:rPr>
              <w:t>​</w:t>
            </w:r>
          </w:p>
        </w:tc>
        <w:tc>
          <w:tcPr>
            <w:tcW w:w="180" w:type="dxa"/>
            <w:vAlign w:val="bottom"/>
            <w:gridSpan w:val="2"/>
          </w:tcPr>
          <w:p>
            <w:pPr>
              <w:jc w:val="right"/>
              <w:spacing w:after="0" w:line="108" w:lineRule="exact"/>
              <w:rPr>
                <w:sz w:val="20"/>
                <w:szCs w:val="20"/>
                <w:color w:val="auto"/>
              </w:rPr>
            </w:pPr>
            <w:r>
              <w:rPr>
                <w:rFonts w:ascii="Arial" w:cs="Arial" w:eastAsia="Arial" w:hAnsi="Arial"/>
                <w:sz w:val="12"/>
                <w:szCs w:val="12"/>
                <w:b w:val="1"/>
                <w:bCs w:val="1"/>
                <w:color w:val="1F2668"/>
                <w:w w:val="74"/>
              </w:rPr>
              <w:t>25</w:t>
            </w:r>
          </w:p>
        </w:tc>
        <w:tc>
          <w:tcPr>
            <w:tcW w:w="0" w:type="dxa"/>
            <w:vAlign w:val="bottom"/>
          </w:tcPr>
          <w:p>
            <w:pPr>
              <w:spacing w:after="0"/>
              <w:rPr>
                <w:sz w:val="1"/>
                <w:szCs w:val="1"/>
                <w:color w:val="auto"/>
              </w:rPr>
            </w:pPr>
          </w:p>
        </w:tc>
      </w:tr>
      <w:tr>
        <w:trPr>
          <w:trHeight w:val="196"/>
        </w:trPr>
        <w:tc>
          <w:tcPr>
            <w:tcW w:w="700" w:type="dxa"/>
            <w:vAlign w:val="bottom"/>
            <w:tcBorders>
              <w:top w:val="single" w:sz="8" w:color="1F2668"/>
            </w:tcBorders>
            <w:gridSpan w:val="3"/>
          </w:tcPr>
          <w:p>
            <w:pPr>
              <w:spacing w:after="0"/>
              <w:rPr>
                <w:sz w:val="20"/>
                <w:szCs w:val="20"/>
                <w:color w:val="auto"/>
              </w:rPr>
            </w:pPr>
            <w:r>
              <w:rPr>
                <w:rFonts w:ascii="Arial" w:cs="Arial" w:eastAsia="Arial" w:hAnsi="Arial"/>
                <w:sz w:val="16"/>
                <w:szCs w:val="16"/>
                <w:b w:val="1"/>
                <w:bCs w:val="1"/>
                <w:color w:val="1F2668"/>
              </w:rPr>
              <w:t>​</w:t>
            </w:r>
          </w:p>
        </w:tc>
        <w:tc>
          <w:tcPr>
            <w:tcW w:w="420" w:type="dxa"/>
            <w:vAlign w:val="bottom"/>
            <w:tcBorders>
              <w:top w:val="single" w:sz="8" w:color="1F2668"/>
            </w:tcBorders>
          </w:tcPr>
          <w:p>
            <w:pPr>
              <w:spacing w:after="0"/>
              <w:rPr>
                <w:sz w:val="17"/>
                <w:szCs w:val="17"/>
                <w:color w:val="auto"/>
              </w:rPr>
            </w:pPr>
          </w:p>
        </w:tc>
        <w:tc>
          <w:tcPr>
            <w:tcW w:w="140" w:type="dxa"/>
            <w:vAlign w:val="bottom"/>
            <w:tcBorders>
              <w:top w:val="single" w:sz="8" w:color="1F2668"/>
            </w:tcBorders>
          </w:tcPr>
          <w:p>
            <w:pPr>
              <w:spacing w:after="0"/>
              <w:rPr>
                <w:sz w:val="17"/>
                <w:szCs w:val="17"/>
                <w:color w:val="auto"/>
              </w:rPr>
            </w:pPr>
          </w:p>
        </w:tc>
        <w:tc>
          <w:tcPr>
            <w:tcW w:w="160" w:type="dxa"/>
            <w:vAlign w:val="bottom"/>
            <w:tcBorders>
              <w:top w:val="single" w:sz="8" w:color="1F2668"/>
            </w:tcBorders>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1F2668"/>
              </w:rPr>
              <w:t>​ ​​</w:t>
            </w:r>
          </w:p>
        </w:tc>
        <w:tc>
          <w:tcPr>
            <w:tcW w:w="120" w:type="dxa"/>
            <w:vAlign w:val="bottom"/>
            <w:tcBorders>
              <w:top w:val="single" w:sz="8" w:color="1F2668"/>
            </w:tcBorders>
          </w:tcPr>
          <w:p>
            <w:pPr>
              <w:spacing w:after="0"/>
              <w:rPr>
                <w:sz w:val="17"/>
                <w:szCs w:val="17"/>
                <w:color w:val="auto"/>
              </w:rPr>
            </w:pPr>
          </w:p>
        </w:tc>
        <w:tc>
          <w:tcPr>
            <w:tcW w:w="60" w:type="dxa"/>
            <w:vAlign w:val="bottom"/>
          </w:tcPr>
          <w:p>
            <w:pPr>
              <w:spacing w:after="0"/>
              <w:rPr>
                <w:sz w:val="20"/>
                <w:szCs w:val="20"/>
                <w:color w:val="auto"/>
              </w:rPr>
            </w:pPr>
            <w:r>
              <w:rPr>
                <w:rFonts w:ascii="Arial" w:cs="Arial" w:eastAsia="Arial" w:hAnsi="Arial"/>
                <w:sz w:val="16"/>
                <w:szCs w:val="16"/>
                <w:b w:val="1"/>
                <w:bCs w:val="1"/>
                <w:color w:val="1F2668"/>
              </w:rPr>
              <w:t>​</w:t>
            </w:r>
          </w:p>
        </w:tc>
        <w:tc>
          <w:tcPr>
            <w:tcW w:w="0" w:type="dxa"/>
            <w:vAlign w:val="bottom"/>
          </w:tcPr>
          <w:p>
            <w:pPr>
              <w:spacing w:after="0"/>
              <w:rPr>
                <w:sz w:val="1"/>
                <w:szCs w:val="1"/>
                <w:color w:val="auto"/>
              </w:rPr>
            </w:pPr>
          </w:p>
        </w:tc>
      </w:tr>
      <w:tr>
        <w:trPr>
          <w:trHeight w:val="108"/>
        </w:trPr>
        <w:tc>
          <w:tcPr>
            <w:tcW w:w="3280" w:type="dxa"/>
            <w:vAlign w:val="bottom"/>
            <w:gridSpan w:val="17"/>
          </w:tcPr>
          <w:p>
            <w:pPr>
              <w:spacing w:after="0" w:line="108" w:lineRule="exact"/>
              <w:rPr>
                <w:sz w:val="20"/>
                <w:szCs w:val="20"/>
                <w:color w:val="auto"/>
              </w:rPr>
            </w:pPr>
            <w:r>
              <w:rPr>
                <w:rFonts w:ascii="Arial" w:cs="Arial" w:eastAsia="Arial" w:hAnsi="Arial"/>
                <w:sz w:val="12"/>
                <w:szCs w:val="12"/>
                <w:b w:val="1"/>
                <w:bCs w:val="1"/>
                <w:color w:val="1F2668"/>
              </w:rPr>
              <w:t>Corporate Governance</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gridSpan w:val="2"/>
          </w:tcPr>
          <w:p>
            <w:pPr>
              <w:jc w:val="right"/>
              <w:ind w:right="100"/>
              <w:spacing w:after="0" w:line="108" w:lineRule="exact"/>
              <w:rPr>
                <w:sz w:val="20"/>
                <w:szCs w:val="20"/>
                <w:color w:val="auto"/>
              </w:rPr>
            </w:pPr>
            <w:r>
              <w:rPr>
                <w:rFonts w:ascii="Arial" w:cs="Arial" w:eastAsia="Arial" w:hAnsi="Arial"/>
                <w:sz w:val="12"/>
                <w:szCs w:val="12"/>
                <w:b w:val="1"/>
                <w:bCs w:val="1"/>
                <w:color w:val="1F2668"/>
              </w:rPr>
              <w:t>​</w:t>
            </w:r>
          </w:p>
        </w:tc>
        <w:tc>
          <w:tcPr>
            <w:tcW w:w="180" w:type="dxa"/>
            <w:vAlign w:val="bottom"/>
            <w:gridSpan w:val="2"/>
          </w:tcPr>
          <w:p>
            <w:pPr>
              <w:jc w:val="right"/>
              <w:spacing w:after="0" w:line="108" w:lineRule="exact"/>
              <w:rPr>
                <w:sz w:val="20"/>
                <w:szCs w:val="20"/>
                <w:color w:val="auto"/>
              </w:rPr>
            </w:pPr>
            <w:r>
              <w:rPr>
                <w:rFonts w:ascii="Arial" w:cs="Arial" w:eastAsia="Arial" w:hAnsi="Arial"/>
                <w:sz w:val="12"/>
                <w:szCs w:val="12"/>
                <w:b w:val="1"/>
                <w:bCs w:val="1"/>
                <w:color w:val="1F2668"/>
                <w:w w:val="74"/>
              </w:rPr>
              <w:t>29</w:t>
            </w:r>
          </w:p>
        </w:tc>
        <w:tc>
          <w:tcPr>
            <w:tcW w:w="0" w:type="dxa"/>
            <w:vAlign w:val="bottom"/>
          </w:tcPr>
          <w:p>
            <w:pPr>
              <w:spacing w:after="0"/>
              <w:rPr>
                <w:sz w:val="1"/>
                <w:szCs w:val="1"/>
                <w:color w:val="auto"/>
              </w:rPr>
            </w:pPr>
          </w:p>
        </w:tc>
      </w:tr>
      <w:tr>
        <w:trPr>
          <w:trHeight w:val="196"/>
        </w:trPr>
        <w:tc>
          <w:tcPr>
            <w:tcW w:w="700" w:type="dxa"/>
            <w:vAlign w:val="bottom"/>
            <w:tcBorders>
              <w:top w:val="single" w:sz="8" w:color="1F2668"/>
            </w:tcBorders>
            <w:gridSpan w:val="3"/>
          </w:tcPr>
          <w:p>
            <w:pPr>
              <w:spacing w:after="0"/>
              <w:rPr>
                <w:sz w:val="20"/>
                <w:szCs w:val="20"/>
                <w:color w:val="auto"/>
              </w:rPr>
            </w:pPr>
            <w:r>
              <w:rPr>
                <w:rFonts w:ascii="Arial" w:cs="Arial" w:eastAsia="Arial" w:hAnsi="Arial"/>
                <w:sz w:val="16"/>
                <w:szCs w:val="16"/>
                <w:b w:val="1"/>
                <w:bCs w:val="1"/>
                <w:color w:val="1F2668"/>
              </w:rPr>
              <w:t>​</w:t>
            </w:r>
          </w:p>
        </w:tc>
        <w:tc>
          <w:tcPr>
            <w:tcW w:w="420" w:type="dxa"/>
            <w:vAlign w:val="bottom"/>
            <w:tcBorders>
              <w:top w:val="single" w:sz="8" w:color="1F2668"/>
            </w:tcBorders>
          </w:tcPr>
          <w:p>
            <w:pPr>
              <w:spacing w:after="0"/>
              <w:rPr>
                <w:sz w:val="17"/>
                <w:szCs w:val="17"/>
                <w:color w:val="auto"/>
              </w:rPr>
            </w:pPr>
          </w:p>
        </w:tc>
        <w:tc>
          <w:tcPr>
            <w:tcW w:w="140" w:type="dxa"/>
            <w:vAlign w:val="bottom"/>
            <w:tcBorders>
              <w:top w:val="single" w:sz="8" w:color="1F2668"/>
            </w:tcBorders>
          </w:tcPr>
          <w:p>
            <w:pPr>
              <w:spacing w:after="0"/>
              <w:rPr>
                <w:sz w:val="17"/>
                <w:szCs w:val="17"/>
                <w:color w:val="auto"/>
              </w:rPr>
            </w:pPr>
          </w:p>
        </w:tc>
        <w:tc>
          <w:tcPr>
            <w:tcW w:w="160" w:type="dxa"/>
            <w:vAlign w:val="bottom"/>
            <w:tcBorders>
              <w:top w:val="single" w:sz="8" w:color="1F2668"/>
            </w:tcBorders>
          </w:tcPr>
          <w:p>
            <w:pPr>
              <w:spacing w:after="0"/>
              <w:rPr>
                <w:sz w:val="17"/>
                <w:szCs w:val="17"/>
                <w:color w:val="auto"/>
              </w:rPr>
            </w:pPr>
          </w:p>
        </w:tc>
        <w:tc>
          <w:tcPr>
            <w:tcW w:w="300" w:type="dxa"/>
            <w:vAlign w:val="bottom"/>
            <w:tcBorders>
              <w:top w:val="single" w:sz="8" w:color="1F2668"/>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1F2668"/>
              </w:rPr>
              <w:t>​ ​​</w:t>
            </w:r>
          </w:p>
        </w:tc>
        <w:tc>
          <w:tcPr>
            <w:tcW w:w="120" w:type="dxa"/>
            <w:vAlign w:val="bottom"/>
            <w:tcBorders>
              <w:top w:val="single" w:sz="8" w:color="1F2668"/>
            </w:tcBorders>
          </w:tcPr>
          <w:p>
            <w:pPr>
              <w:spacing w:after="0"/>
              <w:rPr>
                <w:sz w:val="17"/>
                <w:szCs w:val="17"/>
                <w:color w:val="auto"/>
              </w:rPr>
            </w:pPr>
          </w:p>
        </w:tc>
        <w:tc>
          <w:tcPr>
            <w:tcW w:w="60" w:type="dxa"/>
            <w:vAlign w:val="bottom"/>
          </w:tcPr>
          <w:p>
            <w:pPr>
              <w:spacing w:after="0"/>
              <w:rPr>
                <w:sz w:val="20"/>
                <w:szCs w:val="20"/>
                <w:color w:val="auto"/>
              </w:rPr>
            </w:pPr>
            <w:r>
              <w:rPr>
                <w:rFonts w:ascii="Arial" w:cs="Arial" w:eastAsia="Arial" w:hAnsi="Arial"/>
                <w:sz w:val="16"/>
                <w:szCs w:val="16"/>
                <w:b w:val="1"/>
                <w:bCs w:val="1"/>
                <w:color w:val="1F2668"/>
              </w:rPr>
              <w:t>​</w:t>
            </w:r>
          </w:p>
        </w:tc>
        <w:tc>
          <w:tcPr>
            <w:tcW w:w="0" w:type="dxa"/>
            <w:vAlign w:val="bottom"/>
          </w:tcPr>
          <w:p>
            <w:pPr>
              <w:spacing w:after="0"/>
              <w:rPr>
                <w:sz w:val="1"/>
                <w:szCs w:val="1"/>
                <w:color w:val="auto"/>
              </w:rPr>
            </w:pPr>
          </w:p>
        </w:tc>
      </w:tr>
      <w:tr>
        <w:trPr>
          <w:trHeight w:val="108"/>
        </w:trPr>
        <w:tc>
          <w:tcPr>
            <w:tcW w:w="1760" w:type="dxa"/>
            <w:vAlign w:val="bottom"/>
            <w:gridSpan w:val="8"/>
          </w:tcPr>
          <w:p>
            <w:pPr>
              <w:spacing w:after="0" w:line="108" w:lineRule="exact"/>
              <w:rPr>
                <w:sz w:val="20"/>
                <w:szCs w:val="20"/>
                <w:color w:val="auto"/>
              </w:rPr>
            </w:pPr>
            <w:r>
              <w:rPr>
                <w:rFonts w:ascii="Arial" w:cs="Arial" w:eastAsia="Arial" w:hAnsi="Arial"/>
                <w:sz w:val="12"/>
                <w:szCs w:val="12"/>
                <w:b w:val="1"/>
                <w:bCs w:val="1"/>
                <w:color w:val="1F2668"/>
              </w:rPr>
              <w:t>Director Compensation</w:t>
            </w:r>
          </w:p>
        </w:tc>
        <w:tc>
          <w:tcPr>
            <w:tcW w:w="1520" w:type="dxa"/>
            <w:vAlign w:val="bottom"/>
            <w:gridSpan w:val="9"/>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gridSpan w:val="2"/>
          </w:tcPr>
          <w:p>
            <w:pPr>
              <w:jc w:val="right"/>
              <w:ind w:right="100"/>
              <w:spacing w:after="0" w:line="108" w:lineRule="exact"/>
              <w:rPr>
                <w:sz w:val="20"/>
                <w:szCs w:val="20"/>
                <w:color w:val="auto"/>
              </w:rPr>
            </w:pPr>
            <w:r>
              <w:rPr>
                <w:rFonts w:ascii="Arial" w:cs="Arial" w:eastAsia="Arial" w:hAnsi="Arial"/>
                <w:sz w:val="12"/>
                <w:szCs w:val="12"/>
                <w:b w:val="1"/>
                <w:bCs w:val="1"/>
                <w:color w:val="1F2668"/>
              </w:rPr>
              <w:t>​</w:t>
            </w:r>
          </w:p>
        </w:tc>
        <w:tc>
          <w:tcPr>
            <w:tcW w:w="180" w:type="dxa"/>
            <w:vAlign w:val="bottom"/>
            <w:gridSpan w:val="2"/>
          </w:tcPr>
          <w:p>
            <w:pPr>
              <w:jc w:val="right"/>
              <w:spacing w:after="0" w:line="108" w:lineRule="exact"/>
              <w:rPr>
                <w:sz w:val="20"/>
                <w:szCs w:val="20"/>
                <w:color w:val="auto"/>
              </w:rPr>
            </w:pPr>
            <w:r>
              <w:rPr>
                <w:rFonts w:ascii="Arial" w:cs="Arial" w:eastAsia="Arial" w:hAnsi="Arial"/>
                <w:sz w:val="12"/>
                <w:szCs w:val="12"/>
                <w:b w:val="1"/>
                <w:bCs w:val="1"/>
                <w:color w:val="1F2668"/>
                <w:w w:val="74"/>
              </w:rPr>
              <w:t>37</w:t>
            </w:r>
          </w:p>
        </w:tc>
        <w:tc>
          <w:tcPr>
            <w:tcW w:w="0" w:type="dxa"/>
            <w:vAlign w:val="bottom"/>
          </w:tcPr>
          <w:p>
            <w:pPr>
              <w:spacing w:after="0"/>
              <w:rPr>
                <w:sz w:val="1"/>
                <w:szCs w:val="1"/>
                <w:color w:val="auto"/>
              </w:rPr>
            </w:pPr>
          </w:p>
        </w:tc>
      </w:tr>
      <w:tr>
        <w:trPr>
          <w:trHeight w:val="20"/>
        </w:trPr>
        <w:tc>
          <w:tcPr>
            <w:tcW w:w="340" w:type="dxa"/>
            <w:vAlign w:val="bottom"/>
            <w:shd w:val="clear" w:color="auto" w:fill="1F2668"/>
          </w:tcPr>
          <w:p>
            <w:pPr>
              <w:spacing w:after="0" w:line="20" w:lineRule="exact"/>
              <w:rPr>
                <w:sz w:val="1"/>
                <w:szCs w:val="1"/>
                <w:color w:val="auto"/>
              </w:rPr>
            </w:pPr>
          </w:p>
        </w:tc>
        <w:tc>
          <w:tcPr>
            <w:tcW w:w="260" w:type="dxa"/>
            <w:vAlign w:val="bottom"/>
            <w:shd w:val="clear" w:color="auto" w:fill="1F2668"/>
          </w:tcPr>
          <w:p>
            <w:pPr>
              <w:spacing w:after="0" w:line="20" w:lineRule="exact"/>
              <w:rPr>
                <w:sz w:val="1"/>
                <w:szCs w:val="1"/>
                <w:color w:val="auto"/>
              </w:rPr>
            </w:pPr>
          </w:p>
        </w:tc>
        <w:tc>
          <w:tcPr>
            <w:tcW w:w="520" w:type="dxa"/>
            <w:vAlign w:val="bottom"/>
            <w:gridSpan w:val="2"/>
            <w:shd w:val="clear" w:color="auto" w:fill="1F2668"/>
          </w:tcPr>
          <w:p>
            <w:pPr>
              <w:spacing w:after="0" w:line="20" w:lineRule="exact"/>
              <w:rPr>
                <w:sz w:val="1"/>
                <w:szCs w:val="1"/>
                <w:color w:val="auto"/>
              </w:rPr>
            </w:pPr>
          </w:p>
        </w:tc>
        <w:tc>
          <w:tcPr>
            <w:tcW w:w="140" w:type="dxa"/>
            <w:vAlign w:val="bottom"/>
            <w:shd w:val="clear" w:color="auto" w:fill="1F2668"/>
          </w:tcPr>
          <w:p>
            <w:pPr>
              <w:spacing w:after="0" w:line="20" w:lineRule="exact"/>
              <w:rPr>
                <w:sz w:val="1"/>
                <w:szCs w:val="1"/>
                <w:color w:val="auto"/>
              </w:rPr>
            </w:pPr>
          </w:p>
        </w:tc>
        <w:tc>
          <w:tcPr>
            <w:tcW w:w="500" w:type="dxa"/>
            <w:vAlign w:val="bottom"/>
            <w:gridSpan w:val="3"/>
            <w:shd w:val="clear" w:color="auto" w:fill="1F266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right w:val="single" w:sz="8" w:color="1F2668"/>
            </w:tcBorders>
            <w:gridSpan w:val="2"/>
          </w:tcPr>
          <w:p>
            <w:pPr>
              <w:spacing w:after="0" w:line="20" w:lineRule="exact"/>
              <w:rPr>
                <w:sz w:val="1"/>
                <w:szCs w:val="1"/>
                <w:color w:val="auto"/>
              </w:rPr>
            </w:pPr>
          </w:p>
        </w:tc>
        <w:tc>
          <w:tcPr>
            <w:tcW w:w="120" w:type="dxa"/>
            <w:vAlign w:val="bottom"/>
            <w:shd w:val="clear" w:color="auto" w:fill="1F2668"/>
          </w:tcPr>
          <w:p>
            <w:pPr>
              <w:spacing w:after="0" w:line="20" w:lineRule="exact"/>
              <w:rPr>
                <w:sz w:val="1"/>
                <w:szCs w:val="1"/>
                <w:color w:val="auto"/>
              </w:rPr>
            </w:pPr>
          </w:p>
        </w:tc>
        <w:tc>
          <w:tcPr>
            <w:tcW w:w="60" w:type="dxa"/>
            <w:vAlign w:val="bottom"/>
            <w:tcBorders>
              <w:left w:val="single" w:sz="8" w:color="1F266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3280" w:type="dxa"/>
            <w:vAlign w:val="bottom"/>
            <w:gridSpan w:val="17"/>
          </w:tcPr>
          <w:p>
            <w:pPr>
              <w:spacing w:after="0"/>
              <w:rPr>
                <w:sz w:val="20"/>
                <w:szCs w:val="20"/>
                <w:color w:val="auto"/>
              </w:rPr>
            </w:pPr>
            <w:r>
              <w:rPr>
                <w:rFonts w:ascii="Arial" w:cs="Arial" w:eastAsia="Arial" w:hAnsi="Arial"/>
                <w:sz w:val="22"/>
                <w:szCs w:val="22"/>
                <w:b w:val="1"/>
                <w:bCs w:val="1"/>
                <w:color w:val="83AD40"/>
              </w:rPr>
              <w:t>EXECUTIVE OFFICERS</w:t>
            </w:r>
            <w:r>
              <w:rPr>
                <w:rFonts w:ascii="Arial" w:cs="Arial" w:eastAsia="Arial" w:hAnsi="Arial"/>
                <w:sz w:val="16"/>
                <w:szCs w:val="16"/>
                <w:color w:val="1F2668"/>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4"/>
          </w:tcPr>
          <w:p>
            <w:pPr>
              <w:jc w:val="right"/>
              <w:spacing w:after="0"/>
              <w:rPr>
                <w:sz w:val="20"/>
                <w:szCs w:val="20"/>
                <w:color w:val="auto"/>
              </w:rPr>
            </w:pPr>
            <w:r>
              <w:rPr>
                <w:rFonts w:ascii="Arial" w:cs="Arial" w:eastAsia="Arial" w:hAnsi="Arial"/>
                <w:sz w:val="22"/>
                <w:szCs w:val="22"/>
                <w:b w:val="1"/>
                <w:bCs w:val="1"/>
                <w:color w:val="83AD40"/>
              </w:rPr>
              <w:t>​39</w:t>
            </w:r>
          </w:p>
        </w:tc>
        <w:tc>
          <w:tcPr>
            <w:tcW w:w="0" w:type="dxa"/>
            <w:vAlign w:val="bottom"/>
          </w:tcPr>
          <w:p>
            <w:pPr>
              <w:spacing w:after="0"/>
              <w:rPr>
                <w:sz w:val="1"/>
                <w:szCs w:val="1"/>
                <w:color w:val="auto"/>
              </w:rPr>
            </w:pPr>
          </w:p>
        </w:tc>
      </w:tr>
      <w:tr>
        <w:trPr>
          <w:trHeight w:val="27"/>
        </w:trPr>
        <w:tc>
          <w:tcPr>
            <w:tcW w:w="700" w:type="dxa"/>
            <w:vAlign w:val="bottom"/>
            <w:gridSpan w:val="3"/>
            <w:vMerge w:val="restart"/>
          </w:tcPr>
          <w:p>
            <w:pPr>
              <w:spacing w:after="0" w:line="122" w:lineRule="exact"/>
              <w:rPr>
                <w:sz w:val="20"/>
                <w:szCs w:val="20"/>
                <w:color w:val="auto"/>
              </w:rPr>
            </w:pPr>
            <w:r>
              <w:rPr>
                <w:rFonts w:ascii="Arial" w:cs="Arial" w:eastAsia="Arial" w:hAnsi="Arial"/>
                <w:sz w:val="14"/>
                <w:szCs w:val="14"/>
                <w:b w:val="1"/>
                <w:bCs w:val="1"/>
                <w:color w:val="83AD40"/>
              </w:rPr>
              <w:t>​</w:t>
            </w: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vMerge w:val="restart"/>
          </w:tcPr>
          <w:p>
            <w:pPr>
              <w:ind w:left="180"/>
              <w:spacing w:after="0" w:line="122" w:lineRule="exact"/>
              <w:rPr>
                <w:sz w:val="20"/>
                <w:szCs w:val="20"/>
                <w:color w:val="auto"/>
              </w:rPr>
            </w:pPr>
            <w:r>
              <w:rPr>
                <w:rFonts w:ascii="Arial" w:cs="Arial" w:eastAsia="Arial" w:hAnsi="Arial"/>
                <w:sz w:val="14"/>
                <w:szCs w:val="14"/>
                <w:b w:val="1"/>
                <w:bCs w:val="1"/>
                <w:color w:val="83AD40"/>
              </w:rPr>
              <w:t>​ ​​</w:t>
            </w:r>
          </w:p>
        </w:tc>
        <w:tc>
          <w:tcPr>
            <w:tcW w:w="120" w:type="dxa"/>
            <w:vAlign w:val="bottom"/>
            <w:tcBorders>
              <w:bottom w:val="single" w:sz="8" w:color="83AD40"/>
            </w:tcBorders>
          </w:tcPr>
          <w:p>
            <w:pPr>
              <w:spacing w:after="0"/>
              <w:rPr>
                <w:sz w:val="2"/>
                <w:szCs w:val="2"/>
                <w:color w:val="auto"/>
              </w:rPr>
            </w:pPr>
          </w:p>
        </w:tc>
        <w:tc>
          <w:tcPr>
            <w:tcW w:w="120" w:type="dxa"/>
            <w:vAlign w:val="bottom"/>
            <w:tcBorders>
              <w:bottom w:val="single" w:sz="8" w:color="83AD40"/>
            </w:tcBorders>
          </w:tcPr>
          <w:p>
            <w:pPr>
              <w:spacing w:after="0"/>
              <w:rPr>
                <w:sz w:val="2"/>
                <w:szCs w:val="2"/>
                <w:color w:val="auto"/>
              </w:rPr>
            </w:pPr>
          </w:p>
        </w:tc>
        <w:tc>
          <w:tcPr>
            <w:tcW w:w="60" w:type="dxa"/>
            <w:vAlign w:val="bottom"/>
            <w:vMerge w:val="restart"/>
          </w:tcPr>
          <w:p>
            <w:pPr>
              <w:spacing w:after="0" w:line="122" w:lineRule="exact"/>
              <w:rPr>
                <w:sz w:val="20"/>
                <w:szCs w:val="20"/>
                <w:color w:val="auto"/>
              </w:rPr>
            </w:pPr>
            <w:r>
              <w:rPr>
                <w:rFonts w:ascii="Arial" w:cs="Arial" w:eastAsia="Arial" w:hAnsi="Arial"/>
                <w:sz w:val="14"/>
                <w:szCs w:val="14"/>
                <w:b w:val="1"/>
                <w:bCs w:val="1"/>
                <w:color w:val="83AD40"/>
              </w:rPr>
              <w:t>​</w:t>
            </w:r>
          </w:p>
        </w:tc>
        <w:tc>
          <w:tcPr>
            <w:tcW w:w="0" w:type="dxa"/>
            <w:vAlign w:val="bottom"/>
          </w:tcPr>
          <w:p>
            <w:pPr>
              <w:spacing w:after="0"/>
              <w:rPr>
                <w:sz w:val="1"/>
                <w:szCs w:val="1"/>
                <w:color w:val="auto"/>
              </w:rPr>
            </w:pPr>
          </w:p>
        </w:tc>
      </w:tr>
      <w:tr>
        <w:trPr>
          <w:trHeight w:val="75"/>
        </w:trPr>
        <w:tc>
          <w:tcPr>
            <w:tcW w:w="700" w:type="dxa"/>
            <w:vAlign w:val="bottom"/>
            <w:tcBorders>
              <w:bottom w:val="single" w:sz="8" w:color="83AD40"/>
            </w:tcBorders>
            <w:gridSpan w:val="3"/>
            <w:vMerge w:val="continue"/>
          </w:tcPr>
          <w:p>
            <w:pPr>
              <w:spacing w:after="0"/>
              <w:rPr>
                <w:sz w:val="6"/>
                <w:szCs w:val="6"/>
                <w:color w:val="auto"/>
              </w:rPr>
            </w:pPr>
          </w:p>
        </w:tc>
        <w:tc>
          <w:tcPr>
            <w:tcW w:w="420" w:type="dxa"/>
            <w:vAlign w:val="bottom"/>
            <w:tcBorders>
              <w:bottom w:val="single" w:sz="8" w:color="83AD40"/>
            </w:tcBorders>
          </w:tcPr>
          <w:p>
            <w:pPr>
              <w:spacing w:after="0"/>
              <w:rPr>
                <w:sz w:val="6"/>
                <w:szCs w:val="6"/>
                <w:color w:val="auto"/>
              </w:rPr>
            </w:pPr>
          </w:p>
        </w:tc>
        <w:tc>
          <w:tcPr>
            <w:tcW w:w="140" w:type="dxa"/>
            <w:vAlign w:val="bottom"/>
            <w:tcBorders>
              <w:bottom w:val="single" w:sz="8" w:color="83AD40"/>
            </w:tcBorders>
          </w:tcPr>
          <w:p>
            <w:pPr>
              <w:spacing w:after="0"/>
              <w:rPr>
                <w:sz w:val="6"/>
                <w:szCs w:val="6"/>
                <w:color w:val="auto"/>
              </w:rPr>
            </w:pPr>
          </w:p>
        </w:tc>
        <w:tc>
          <w:tcPr>
            <w:tcW w:w="160" w:type="dxa"/>
            <w:vAlign w:val="bottom"/>
            <w:tcBorders>
              <w:bottom w:val="single" w:sz="8" w:color="83AD40"/>
            </w:tcBorders>
          </w:tcPr>
          <w:p>
            <w:pPr>
              <w:spacing w:after="0"/>
              <w:rPr>
                <w:sz w:val="6"/>
                <w:szCs w:val="6"/>
                <w:color w:val="auto"/>
              </w:rPr>
            </w:pPr>
          </w:p>
        </w:tc>
        <w:tc>
          <w:tcPr>
            <w:tcW w:w="300" w:type="dxa"/>
            <w:vAlign w:val="bottom"/>
            <w:tcBorders>
              <w:bottom w:val="single" w:sz="8" w:color="83AD40"/>
            </w:tcBorders>
          </w:tcPr>
          <w:p>
            <w:pPr>
              <w:spacing w:after="0"/>
              <w:rPr>
                <w:sz w:val="6"/>
                <w:szCs w:val="6"/>
                <w:color w:val="auto"/>
              </w:rPr>
            </w:pPr>
          </w:p>
        </w:tc>
        <w:tc>
          <w:tcPr>
            <w:tcW w:w="40" w:type="dxa"/>
            <w:vAlign w:val="bottom"/>
            <w:tcBorders>
              <w:bottom w:val="single" w:sz="8" w:color="83AD40"/>
            </w:tcBorders>
          </w:tcPr>
          <w:p>
            <w:pPr>
              <w:spacing w:after="0"/>
              <w:rPr>
                <w:sz w:val="6"/>
                <w:szCs w:val="6"/>
                <w:color w:val="auto"/>
              </w:rPr>
            </w:pPr>
          </w:p>
        </w:tc>
        <w:tc>
          <w:tcPr>
            <w:tcW w:w="60" w:type="dxa"/>
            <w:vAlign w:val="bottom"/>
            <w:tcBorders>
              <w:bottom w:val="single" w:sz="8" w:color="83AD40"/>
            </w:tcBorders>
          </w:tcPr>
          <w:p>
            <w:pPr>
              <w:spacing w:after="0"/>
              <w:rPr>
                <w:sz w:val="6"/>
                <w:szCs w:val="6"/>
                <w:color w:val="auto"/>
              </w:rPr>
            </w:pPr>
          </w:p>
        </w:tc>
        <w:tc>
          <w:tcPr>
            <w:tcW w:w="600" w:type="dxa"/>
            <w:vAlign w:val="bottom"/>
            <w:tcBorders>
              <w:bottom w:val="single" w:sz="8" w:color="83AD40"/>
            </w:tcBorders>
          </w:tcPr>
          <w:p>
            <w:pPr>
              <w:spacing w:after="0"/>
              <w:rPr>
                <w:sz w:val="6"/>
                <w:szCs w:val="6"/>
                <w:color w:val="auto"/>
              </w:rPr>
            </w:pPr>
          </w:p>
        </w:tc>
        <w:tc>
          <w:tcPr>
            <w:tcW w:w="40" w:type="dxa"/>
            <w:vAlign w:val="bottom"/>
            <w:tcBorders>
              <w:bottom w:val="single" w:sz="8" w:color="83AD40"/>
            </w:tcBorders>
          </w:tcPr>
          <w:p>
            <w:pPr>
              <w:spacing w:after="0"/>
              <w:rPr>
                <w:sz w:val="6"/>
                <w:szCs w:val="6"/>
                <w:color w:val="auto"/>
              </w:rPr>
            </w:pPr>
          </w:p>
        </w:tc>
        <w:tc>
          <w:tcPr>
            <w:tcW w:w="60" w:type="dxa"/>
            <w:vAlign w:val="bottom"/>
            <w:tcBorders>
              <w:bottom w:val="single" w:sz="8" w:color="83AD40"/>
            </w:tcBorders>
          </w:tcPr>
          <w:p>
            <w:pPr>
              <w:spacing w:after="0"/>
              <w:rPr>
                <w:sz w:val="6"/>
                <w:szCs w:val="6"/>
                <w:color w:val="auto"/>
              </w:rPr>
            </w:pPr>
          </w:p>
        </w:tc>
        <w:tc>
          <w:tcPr>
            <w:tcW w:w="140" w:type="dxa"/>
            <w:vAlign w:val="bottom"/>
            <w:tcBorders>
              <w:bottom w:val="single" w:sz="8" w:color="83AD40"/>
            </w:tcBorders>
          </w:tcPr>
          <w:p>
            <w:pPr>
              <w:spacing w:after="0"/>
              <w:rPr>
                <w:sz w:val="6"/>
                <w:szCs w:val="6"/>
                <w:color w:val="auto"/>
              </w:rPr>
            </w:pPr>
          </w:p>
        </w:tc>
        <w:tc>
          <w:tcPr>
            <w:tcW w:w="20" w:type="dxa"/>
            <w:vAlign w:val="bottom"/>
            <w:tcBorders>
              <w:bottom w:val="single" w:sz="8" w:color="83AD40"/>
            </w:tcBorders>
          </w:tcPr>
          <w:p>
            <w:pPr>
              <w:spacing w:after="0"/>
              <w:rPr>
                <w:sz w:val="6"/>
                <w:szCs w:val="6"/>
                <w:color w:val="auto"/>
              </w:rPr>
            </w:pPr>
          </w:p>
        </w:tc>
        <w:tc>
          <w:tcPr>
            <w:tcW w:w="280" w:type="dxa"/>
            <w:vAlign w:val="bottom"/>
            <w:tcBorders>
              <w:bottom w:val="single" w:sz="8" w:color="83AD40"/>
            </w:tcBorders>
          </w:tcPr>
          <w:p>
            <w:pPr>
              <w:spacing w:after="0"/>
              <w:rPr>
                <w:sz w:val="6"/>
                <w:szCs w:val="6"/>
                <w:color w:val="auto"/>
              </w:rPr>
            </w:pPr>
          </w:p>
        </w:tc>
        <w:tc>
          <w:tcPr>
            <w:tcW w:w="80" w:type="dxa"/>
            <w:vAlign w:val="bottom"/>
            <w:tcBorders>
              <w:bottom w:val="single" w:sz="8" w:color="83AD40"/>
            </w:tcBorders>
          </w:tcPr>
          <w:p>
            <w:pPr>
              <w:spacing w:after="0"/>
              <w:rPr>
                <w:sz w:val="6"/>
                <w:szCs w:val="6"/>
                <w:color w:val="auto"/>
              </w:rPr>
            </w:pPr>
          </w:p>
        </w:tc>
        <w:tc>
          <w:tcPr>
            <w:tcW w:w="240" w:type="dxa"/>
            <w:vAlign w:val="bottom"/>
            <w:tcBorders>
              <w:bottom w:val="single" w:sz="8" w:color="83AD40"/>
            </w:tcBorders>
          </w:tcPr>
          <w:p>
            <w:pPr>
              <w:spacing w:after="0"/>
              <w:rPr>
                <w:sz w:val="6"/>
                <w:szCs w:val="6"/>
                <w:color w:val="auto"/>
              </w:rPr>
            </w:pPr>
          </w:p>
        </w:tc>
        <w:tc>
          <w:tcPr>
            <w:tcW w:w="120" w:type="dxa"/>
            <w:vAlign w:val="bottom"/>
            <w:tcBorders>
              <w:bottom w:val="single" w:sz="8" w:color="83AD40"/>
            </w:tcBorders>
          </w:tcPr>
          <w:p>
            <w:pPr>
              <w:spacing w:after="0"/>
              <w:rPr>
                <w:sz w:val="6"/>
                <w:szCs w:val="6"/>
                <w:color w:val="auto"/>
              </w:rPr>
            </w:pPr>
          </w:p>
        </w:tc>
        <w:tc>
          <w:tcPr>
            <w:tcW w:w="20" w:type="dxa"/>
            <w:vAlign w:val="bottom"/>
            <w:tcBorders>
              <w:bottom w:val="single" w:sz="8" w:color="83AD40"/>
            </w:tcBorders>
          </w:tcPr>
          <w:p>
            <w:pPr>
              <w:spacing w:after="0"/>
              <w:rPr>
                <w:sz w:val="6"/>
                <w:szCs w:val="6"/>
                <w:color w:val="auto"/>
              </w:rPr>
            </w:pPr>
          </w:p>
        </w:tc>
        <w:tc>
          <w:tcPr>
            <w:tcW w:w="60" w:type="dxa"/>
            <w:vAlign w:val="bottom"/>
            <w:tcBorders>
              <w:bottom w:val="single" w:sz="8" w:color="83AD40"/>
            </w:tcBorders>
          </w:tcPr>
          <w:p>
            <w:pPr>
              <w:spacing w:after="0"/>
              <w:rPr>
                <w:sz w:val="6"/>
                <w:szCs w:val="6"/>
                <w:color w:val="auto"/>
              </w:rPr>
            </w:pPr>
          </w:p>
        </w:tc>
        <w:tc>
          <w:tcPr>
            <w:tcW w:w="20" w:type="dxa"/>
            <w:vAlign w:val="bottom"/>
            <w:tcBorders>
              <w:bottom w:val="single" w:sz="8" w:color="83AD40"/>
            </w:tcBorders>
          </w:tcPr>
          <w:p>
            <w:pPr>
              <w:spacing w:after="0"/>
              <w:rPr>
                <w:sz w:val="6"/>
                <w:szCs w:val="6"/>
                <w:color w:val="auto"/>
              </w:rPr>
            </w:pPr>
          </w:p>
        </w:tc>
        <w:tc>
          <w:tcPr>
            <w:tcW w:w="200" w:type="dxa"/>
            <w:vAlign w:val="bottom"/>
            <w:tcBorders>
              <w:bottom w:val="single" w:sz="8" w:color="83AD40"/>
            </w:tcBorders>
          </w:tcPr>
          <w:p>
            <w:pPr>
              <w:spacing w:after="0"/>
              <w:rPr>
                <w:sz w:val="6"/>
                <w:szCs w:val="6"/>
                <w:color w:val="auto"/>
              </w:rPr>
            </w:pPr>
          </w:p>
        </w:tc>
        <w:tc>
          <w:tcPr>
            <w:tcW w:w="380" w:type="dxa"/>
            <w:vAlign w:val="bottom"/>
            <w:tcBorders>
              <w:bottom w:val="single" w:sz="8" w:color="83AD40"/>
            </w:tcBorders>
            <w:vMerge w:val="continue"/>
          </w:tcPr>
          <w:p>
            <w:pPr>
              <w:spacing w:after="0"/>
              <w:rPr>
                <w:sz w:val="6"/>
                <w:szCs w:val="6"/>
                <w:color w:val="auto"/>
              </w:rPr>
            </w:pPr>
          </w:p>
        </w:tc>
        <w:tc>
          <w:tcPr>
            <w:tcW w:w="120" w:type="dxa"/>
            <w:vAlign w:val="bottom"/>
            <w:tcBorders>
              <w:bottom w:val="single" w:sz="8" w:color="83AD40"/>
            </w:tcBorders>
          </w:tcPr>
          <w:p>
            <w:pPr>
              <w:spacing w:after="0"/>
              <w:rPr>
                <w:sz w:val="6"/>
                <w:szCs w:val="6"/>
                <w:color w:val="auto"/>
              </w:rPr>
            </w:pPr>
          </w:p>
        </w:tc>
        <w:tc>
          <w:tcPr>
            <w:tcW w:w="120" w:type="dxa"/>
            <w:vAlign w:val="bottom"/>
            <w:tcBorders>
              <w:bottom w:val="single" w:sz="8" w:color="83AD40"/>
            </w:tcBorders>
          </w:tcPr>
          <w:p>
            <w:pPr>
              <w:spacing w:after="0"/>
              <w:rPr>
                <w:sz w:val="6"/>
                <w:szCs w:val="6"/>
                <w:color w:val="auto"/>
              </w:rPr>
            </w:pPr>
          </w:p>
        </w:tc>
        <w:tc>
          <w:tcPr>
            <w:tcW w:w="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33"/>
        </w:trPr>
        <w:tc>
          <w:tcPr>
            <w:tcW w:w="3280" w:type="dxa"/>
            <w:vAlign w:val="bottom"/>
            <w:gridSpan w:val="17"/>
          </w:tcPr>
          <w:p>
            <w:pPr>
              <w:spacing w:after="0"/>
              <w:rPr>
                <w:sz w:val="20"/>
                <w:szCs w:val="20"/>
                <w:color w:val="auto"/>
              </w:rPr>
            </w:pPr>
            <w:r>
              <w:rPr>
                <w:rFonts w:ascii="Arial" w:cs="Arial" w:eastAsia="Arial" w:hAnsi="Arial"/>
                <w:sz w:val="22"/>
                <w:szCs w:val="22"/>
                <w:b w:val="1"/>
                <w:bCs w:val="1"/>
                <w:color w:val="83AD40"/>
              </w:rPr>
              <w:t>EXECUTIVE COMPENSATION</w:t>
            </w:r>
            <w:r>
              <w:rPr>
                <w:rFonts w:ascii="Arial" w:cs="Arial" w:eastAsia="Arial" w:hAnsi="Arial"/>
                <w:sz w:val="16"/>
                <w:szCs w:val="16"/>
                <w:color w:val="1F2668"/>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4"/>
          </w:tcPr>
          <w:p>
            <w:pPr>
              <w:jc w:val="right"/>
              <w:spacing w:after="0"/>
              <w:rPr>
                <w:sz w:val="20"/>
                <w:szCs w:val="20"/>
                <w:color w:val="auto"/>
              </w:rPr>
            </w:pPr>
            <w:r>
              <w:rPr>
                <w:rFonts w:ascii="Arial" w:cs="Arial" w:eastAsia="Arial" w:hAnsi="Arial"/>
                <w:sz w:val="22"/>
                <w:szCs w:val="22"/>
                <w:b w:val="1"/>
                <w:bCs w:val="1"/>
                <w:color w:val="83AD40"/>
              </w:rPr>
              <w:t>​40</w:t>
            </w:r>
          </w:p>
        </w:tc>
        <w:tc>
          <w:tcPr>
            <w:tcW w:w="0" w:type="dxa"/>
            <w:vAlign w:val="bottom"/>
          </w:tcPr>
          <w:p>
            <w:pPr>
              <w:spacing w:after="0"/>
              <w:rPr>
                <w:sz w:val="1"/>
                <w:szCs w:val="1"/>
                <w:color w:val="auto"/>
              </w:rPr>
            </w:pPr>
          </w:p>
        </w:tc>
      </w:tr>
      <w:tr>
        <w:trPr>
          <w:trHeight w:val="27"/>
        </w:trPr>
        <w:tc>
          <w:tcPr>
            <w:tcW w:w="700" w:type="dxa"/>
            <w:vAlign w:val="bottom"/>
            <w:gridSpan w:val="3"/>
            <w:vMerge w:val="restart"/>
          </w:tcPr>
          <w:p>
            <w:pPr>
              <w:spacing w:after="0" w:line="122" w:lineRule="exact"/>
              <w:rPr>
                <w:sz w:val="20"/>
                <w:szCs w:val="20"/>
                <w:color w:val="auto"/>
              </w:rPr>
            </w:pPr>
            <w:r>
              <w:rPr>
                <w:rFonts w:ascii="Arial" w:cs="Arial" w:eastAsia="Arial" w:hAnsi="Arial"/>
                <w:sz w:val="14"/>
                <w:szCs w:val="14"/>
                <w:b w:val="1"/>
                <w:bCs w:val="1"/>
                <w:color w:val="83AD40"/>
              </w:rPr>
              <w:t>​</w:t>
            </w: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vMerge w:val="restart"/>
          </w:tcPr>
          <w:p>
            <w:pPr>
              <w:ind w:left="180"/>
              <w:spacing w:after="0" w:line="122" w:lineRule="exact"/>
              <w:rPr>
                <w:sz w:val="20"/>
                <w:szCs w:val="20"/>
                <w:color w:val="auto"/>
              </w:rPr>
            </w:pPr>
            <w:r>
              <w:rPr>
                <w:rFonts w:ascii="Arial" w:cs="Arial" w:eastAsia="Arial" w:hAnsi="Arial"/>
                <w:sz w:val="14"/>
                <w:szCs w:val="14"/>
                <w:b w:val="1"/>
                <w:bCs w:val="1"/>
                <w:color w:val="83AD40"/>
              </w:rPr>
              <w:t>​ ​​</w:t>
            </w:r>
          </w:p>
        </w:tc>
        <w:tc>
          <w:tcPr>
            <w:tcW w:w="120" w:type="dxa"/>
            <w:vAlign w:val="bottom"/>
            <w:tcBorders>
              <w:bottom w:val="single" w:sz="8" w:color="83AD40"/>
            </w:tcBorders>
          </w:tcPr>
          <w:p>
            <w:pPr>
              <w:spacing w:after="0"/>
              <w:rPr>
                <w:sz w:val="2"/>
                <w:szCs w:val="2"/>
                <w:color w:val="auto"/>
              </w:rPr>
            </w:pPr>
          </w:p>
        </w:tc>
        <w:tc>
          <w:tcPr>
            <w:tcW w:w="120" w:type="dxa"/>
            <w:vAlign w:val="bottom"/>
            <w:tcBorders>
              <w:bottom w:val="single" w:sz="8" w:color="83AD40"/>
            </w:tcBorders>
          </w:tcPr>
          <w:p>
            <w:pPr>
              <w:spacing w:after="0"/>
              <w:rPr>
                <w:sz w:val="2"/>
                <w:szCs w:val="2"/>
                <w:color w:val="auto"/>
              </w:rPr>
            </w:pPr>
          </w:p>
        </w:tc>
        <w:tc>
          <w:tcPr>
            <w:tcW w:w="60" w:type="dxa"/>
            <w:vAlign w:val="bottom"/>
            <w:vMerge w:val="restart"/>
          </w:tcPr>
          <w:p>
            <w:pPr>
              <w:spacing w:after="0" w:line="122" w:lineRule="exact"/>
              <w:rPr>
                <w:sz w:val="20"/>
                <w:szCs w:val="20"/>
                <w:color w:val="auto"/>
              </w:rPr>
            </w:pPr>
            <w:r>
              <w:rPr>
                <w:rFonts w:ascii="Arial" w:cs="Arial" w:eastAsia="Arial" w:hAnsi="Arial"/>
                <w:sz w:val="14"/>
                <w:szCs w:val="14"/>
                <w:b w:val="1"/>
                <w:bCs w:val="1"/>
                <w:color w:val="83AD40"/>
              </w:rPr>
              <w:t>​</w:t>
            </w:r>
          </w:p>
        </w:tc>
        <w:tc>
          <w:tcPr>
            <w:tcW w:w="0" w:type="dxa"/>
            <w:vAlign w:val="bottom"/>
          </w:tcPr>
          <w:p>
            <w:pPr>
              <w:spacing w:after="0"/>
              <w:rPr>
                <w:sz w:val="1"/>
                <w:szCs w:val="1"/>
                <w:color w:val="auto"/>
              </w:rPr>
            </w:pPr>
          </w:p>
        </w:tc>
      </w:tr>
      <w:tr>
        <w:trPr>
          <w:trHeight w:val="75"/>
        </w:trPr>
        <w:tc>
          <w:tcPr>
            <w:tcW w:w="700" w:type="dxa"/>
            <w:vAlign w:val="bottom"/>
            <w:tcBorders>
              <w:bottom w:val="single" w:sz="8" w:color="83AD40"/>
            </w:tcBorders>
            <w:gridSpan w:val="3"/>
            <w:vMerge w:val="continue"/>
          </w:tcPr>
          <w:p>
            <w:pPr>
              <w:spacing w:after="0"/>
              <w:rPr>
                <w:sz w:val="6"/>
                <w:szCs w:val="6"/>
                <w:color w:val="auto"/>
              </w:rPr>
            </w:pPr>
          </w:p>
        </w:tc>
        <w:tc>
          <w:tcPr>
            <w:tcW w:w="420" w:type="dxa"/>
            <w:vAlign w:val="bottom"/>
            <w:tcBorders>
              <w:bottom w:val="single" w:sz="8" w:color="83AD40"/>
            </w:tcBorders>
          </w:tcPr>
          <w:p>
            <w:pPr>
              <w:spacing w:after="0"/>
              <w:rPr>
                <w:sz w:val="6"/>
                <w:szCs w:val="6"/>
                <w:color w:val="auto"/>
              </w:rPr>
            </w:pPr>
          </w:p>
        </w:tc>
        <w:tc>
          <w:tcPr>
            <w:tcW w:w="140" w:type="dxa"/>
            <w:vAlign w:val="bottom"/>
            <w:tcBorders>
              <w:bottom w:val="single" w:sz="8" w:color="83AD40"/>
            </w:tcBorders>
          </w:tcPr>
          <w:p>
            <w:pPr>
              <w:spacing w:after="0"/>
              <w:rPr>
                <w:sz w:val="6"/>
                <w:szCs w:val="6"/>
                <w:color w:val="auto"/>
              </w:rPr>
            </w:pPr>
          </w:p>
        </w:tc>
        <w:tc>
          <w:tcPr>
            <w:tcW w:w="160" w:type="dxa"/>
            <w:vAlign w:val="bottom"/>
            <w:tcBorders>
              <w:bottom w:val="single" w:sz="8" w:color="83AD40"/>
            </w:tcBorders>
          </w:tcPr>
          <w:p>
            <w:pPr>
              <w:spacing w:after="0"/>
              <w:rPr>
                <w:sz w:val="6"/>
                <w:szCs w:val="6"/>
                <w:color w:val="auto"/>
              </w:rPr>
            </w:pPr>
          </w:p>
        </w:tc>
        <w:tc>
          <w:tcPr>
            <w:tcW w:w="300" w:type="dxa"/>
            <w:vAlign w:val="bottom"/>
            <w:tcBorders>
              <w:bottom w:val="single" w:sz="8" w:color="83AD40"/>
            </w:tcBorders>
          </w:tcPr>
          <w:p>
            <w:pPr>
              <w:spacing w:after="0"/>
              <w:rPr>
                <w:sz w:val="6"/>
                <w:szCs w:val="6"/>
                <w:color w:val="auto"/>
              </w:rPr>
            </w:pPr>
          </w:p>
        </w:tc>
        <w:tc>
          <w:tcPr>
            <w:tcW w:w="40" w:type="dxa"/>
            <w:vAlign w:val="bottom"/>
            <w:tcBorders>
              <w:bottom w:val="single" w:sz="8" w:color="83AD40"/>
            </w:tcBorders>
          </w:tcPr>
          <w:p>
            <w:pPr>
              <w:spacing w:after="0"/>
              <w:rPr>
                <w:sz w:val="6"/>
                <w:szCs w:val="6"/>
                <w:color w:val="auto"/>
              </w:rPr>
            </w:pPr>
          </w:p>
        </w:tc>
        <w:tc>
          <w:tcPr>
            <w:tcW w:w="60" w:type="dxa"/>
            <w:vAlign w:val="bottom"/>
            <w:tcBorders>
              <w:bottom w:val="single" w:sz="8" w:color="83AD40"/>
            </w:tcBorders>
          </w:tcPr>
          <w:p>
            <w:pPr>
              <w:spacing w:after="0"/>
              <w:rPr>
                <w:sz w:val="6"/>
                <w:szCs w:val="6"/>
                <w:color w:val="auto"/>
              </w:rPr>
            </w:pPr>
          </w:p>
        </w:tc>
        <w:tc>
          <w:tcPr>
            <w:tcW w:w="600" w:type="dxa"/>
            <w:vAlign w:val="bottom"/>
            <w:tcBorders>
              <w:bottom w:val="single" w:sz="8" w:color="83AD40"/>
            </w:tcBorders>
          </w:tcPr>
          <w:p>
            <w:pPr>
              <w:spacing w:after="0"/>
              <w:rPr>
                <w:sz w:val="6"/>
                <w:szCs w:val="6"/>
                <w:color w:val="auto"/>
              </w:rPr>
            </w:pPr>
          </w:p>
        </w:tc>
        <w:tc>
          <w:tcPr>
            <w:tcW w:w="40" w:type="dxa"/>
            <w:vAlign w:val="bottom"/>
            <w:tcBorders>
              <w:bottom w:val="single" w:sz="8" w:color="83AD40"/>
            </w:tcBorders>
          </w:tcPr>
          <w:p>
            <w:pPr>
              <w:spacing w:after="0"/>
              <w:rPr>
                <w:sz w:val="6"/>
                <w:szCs w:val="6"/>
                <w:color w:val="auto"/>
              </w:rPr>
            </w:pPr>
          </w:p>
        </w:tc>
        <w:tc>
          <w:tcPr>
            <w:tcW w:w="60" w:type="dxa"/>
            <w:vAlign w:val="bottom"/>
            <w:tcBorders>
              <w:bottom w:val="single" w:sz="8" w:color="83AD40"/>
            </w:tcBorders>
          </w:tcPr>
          <w:p>
            <w:pPr>
              <w:spacing w:after="0"/>
              <w:rPr>
                <w:sz w:val="6"/>
                <w:szCs w:val="6"/>
                <w:color w:val="auto"/>
              </w:rPr>
            </w:pPr>
          </w:p>
        </w:tc>
        <w:tc>
          <w:tcPr>
            <w:tcW w:w="140" w:type="dxa"/>
            <w:vAlign w:val="bottom"/>
            <w:tcBorders>
              <w:bottom w:val="single" w:sz="8" w:color="83AD40"/>
            </w:tcBorders>
          </w:tcPr>
          <w:p>
            <w:pPr>
              <w:spacing w:after="0"/>
              <w:rPr>
                <w:sz w:val="6"/>
                <w:szCs w:val="6"/>
                <w:color w:val="auto"/>
              </w:rPr>
            </w:pPr>
          </w:p>
        </w:tc>
        <w:tc>
          <w:tcPr>
            <w:tcW w:w="20" w:type="dxa"/>
            <w:vAlign w:val="bottom"/>
            <w:tcBorders>
              <w:bottom w:val="single" w:sz="8" w:color="83AD40"/>
            </w:tcBorders>
          </w:tcPr>
          <w:p>
            <w:pPr>
              <w:spacing w:after="0"/>
              <w:rPr>
                <w:sz w:val="6"/>
                <w:szCs w:val="6"/>
                <w:color w:val="auto"/>
              </w:rPr>
            </w:pPr>
          </w:p>
        </w:tc>
        <w:tc>
          <w:tcPr>
            <w:tcW w:w="280" w:type="dxa"/>
            <w:vAlign w:val="bottom"/>
            <w:tcBorders>
              <w:bottom w:val="single" w:sz="8" w:color="83AD40"/>
            </w:tcBorders>
          </w:tcPr>
          <w:p>
            <w:pPr>
              <w:spacing w:after="0"/>
              <w:rPr>
                <w:sz w:val="6"/>
                <w:szCs w:val="6"/>
                <w:color w:val="auto"/>
              </w:rPr>
            </w:pPr>
          </w:p>
        </w:tc>
        <w:tc>
          <w:tcPr>
            <w:tcW w:w="80" w:type="dxa"/>
            <w:vAlign w:val="bottom"/>
            <w:tcBorders>
              <w:bottom w:val="single" w:sz="8" w:color="83AD40"/>
            </w:tcBorders>
          </w:tcPr>
          <w:p>
            <w:pPr>
              <w:spacing w:after="0"/>
              <w:rPr>
                <w:sz w:val="6"/>
                <w:szCs w:val="6"/>
                <w:color w:val="auto"/>
              </w:rPr>
            </w:pPr>
          </w:p>
        </w:tc>
        <w:tc>
          <w:tcPr>
            <w:tcW w:w="240" w:type="dxa"/>
            <w:vAlign w:val="bottom"/>
            <w:tcBorders>
              <w:bottom w:val="single" w:sz="8" w:color="83AD40"/>
            </w:tcBorders>
          </w:tcPr>
          <w:p>
            <w:pPr>
              <w:spacing w:after="0"/>
              <w:rPr>
                <w:sz w:val="6"/>
                <w:szCs w:val="6"/>
                <w:color w:val="auto"/>
              </w:rPr>
            </w:pPr>
          </w:p>
        </w:tc>
        <w:tc>
          <w:tcPr>
            <w:tcW w:w="120" w:type="dxa"/>
            <w:vAlign w:val="bottom"/>
            <w:tcBorders>
              <w:bottom w:val="single" w:sz="8" w:color="83AD40"/>
            </w:tcBorders>
          </w:tcPr>
          <w:p>
            <w:pPr>
              <w:spacing w:after="0"/>
              <w:rPr>
                <w:sz w:val="6"/>
                <w:szCs w:val="6"/>
                <w:color w:val="auto"/>
              </w:rPr>
            </w:pPr>
          </w:p>
        </w:tc>
        <w:tc>
          <w:tcPr>
            <w:tcW w:w="20" w:type="dxa"/>
            <w:vAlign w:val="bottom"/>
            <w:tcBorders>
              <w:bottom w:val="single" w:sz="8" w:color="83AD40"/>
            </w:tcBorders>
          </w:tcPr>
          <w:p>
            <w:pPr>
              <w:spacing w:after="0"/>
              <w:rPr>
                <w:sz w:val="6"/>
                <w:szCs w:val="6"/>
                <w:color w:val="auto"/>
              </w:rPr>
            </w:pPr>
          </w:p>
        </w:tc>
        <w:tc>
          <w:tcPr>
            <w:tcW w:w="60" w:type="dxa"/>
            <w:vAlign w:val="bottom"/>
            <w:tcBorders>
              <w:bottom w:val="single" w:sz="8" w:color="83AD40"/>
            </w:tcBorders>
          </w:tcPr>
          <w:p>
            <w:pPr>
              <w:spacing w:after="0"/>
              <w:rPr>
                <w:sz w:val="6"/>
                <w:szCs w:val="6"/>
                <w:color w:val="auto"/>
              </w:rPr>
            </w:pPr>
          </w:p>
        </w:tc>
        <w:tc>
          <w:tcPr>
            <w:tcW w:w="20" w:type="dxa"/>
            <w:vAlign w:val="bottom"/>
            <w:tcBorders>
              <w:bottom w:val="single" w:sz="8" w:color="83AD40"/>
            </w:tcBorders>
          </w:tcPr>
          <w:p>
            <w:pPr>
              <w:spacing w:after="0"/>
              <w:rPr>
                <w:sz w:val="6"/>
                <w:szCs w:val="6"/>
                <w:color w:val="auto"/>
              </w:rPr>
            </w:pPr>
          </w:p>
        </w:tc>
        <w:tc>
          <w:tcPr>
            <w:tcW w:w="200" w:type="dxa"/>
            <w:vAlign w:val="bottom"/>
            <w:tcBorders>
              <w:bottom w:val="single" w:sz="8" w:color="83AD40"/>
            </w:tcBorders>
          </w:tcPr>
          <w:p>
            <w:pPr>
              <w:spacing w:after="0"/>
              <w:rPr>
                <w:sz w:val="6"/>
                <w:szCs w:val="6"/>
                <w:color w:val="auto"/>
              </w:rPr>
            </w:pPr>
          </w:p>
        </w:tc>
        <w:tc>
          <w:tcPr>
            <w:tcW w:w="380" w:type="dxa"/>
            <w:vAlign w:val="bottom"/>
            <w:tcBorders>
              <w:bottom w:val="single" w:sz="8" w:color="83AD40"/>
            </w:tcBorders>
            <w:vMerge w:val="continue"/>
          </w:tcPr>
          <w:p>
            <w:pPr>
              <w:spacing w:after="0"/>
              <w:rPr>
                <w:sz w:val="6"/>
                <w:szCs w:val="6"/>
                <w:color w:val="auto"/>
              </w:rPr>
            </w:pPr>
          </w:p>
        </w:tc>
        <w:tc>
          <w:tcPr>
            <w:tcW w:w="120" w:type="dxa"/>
            <w:vAlign w:val="bottom"/>
            <w:tcBorders>
              <w:bottom w:val="single" w:sz="8" w:color="83AD40"/>
            </w:tcBorders>
          </w:tcPr>
          <w:p>
            <w:pPr>
              <w:spacing w:after="0"/>
              <w:rPr>
                <w:sz w:val="6"/>
                <w:szCs w:val="6"/>
                <w:color w:val="auto"/>
              </w:rPr>
            </w:pPr>
          </w:p>
        </w:tc>
        <w:tc>
          <w:tcPr>
            <w:tcW w:w="120" w:type="dxa"/>
            <w:vAlign w:val="bottom"/>
            <w:tcBorders>
              <w:bottom w:val="single" w:sz="8" w:color="83AD40"/>
            </w:tcBorders>
          </w:tcPr>
          <w:p>
            <w:pPr>
              <w:spacing w:after="0"/>
              <w:rPr>
                <w:sz w:val="6"/>
                <w:szCs w:val="6"/>
                <w:color w:val="auto"/>
              </w:rPr>
            </w:pPr>
          </w:p>
        </w:tc>
        <w:tc>
          <w:tcPr>
            <w:tcW w:w="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700" w:type="dxa"/>
            <w:vAlign w:val="bottom"/>
            <w:gridSpan w:val="3"/>
            <w:shd w:val="clear" w:color="auto" w:fill="E9F9D8"/>
          </w:tcPr>
          <w:p>
            <w:pPr>
              <w:spacing w:after="0" w:line="142" w:lineRule="exact"/>
              <w:rPr>
                <w:sz w:val="20"/>
                <w:szCs w:val="20"/>
                <w:color w:val="auto"/>
              </w:rPr>
            </w:pPr>
            <w:r>
              <w:rPr>
                <w:rFonts w:ascii="Arial" w:cs="Arial" w:eastAsia="Arial" w:hAnsi="Arial"/>
                <w:sz w:val="16"/>
                <w:szCs w:val="16"/>
                <w:b w:val="1"/>
                <w:bCs w:val="1"/>
                <w:color w:val="1F2668"/>
              </w:rPr>
              <w:t>​</w:t>
            </w:r>
          </w:p>
        </w:tc>
        <w:tc>
          <w:tcPr>
            <w:tcW w:w="420" w:type="dxa"/>
            <w:vAlign w:val="bottom"/>
            <w:shd w:val="clear" w:color="auto" w:fill="E9F9D8"/>
          </w:tcPr>
          <w:p>
            <w:pPr>
              <w:spacing w:after="0"/>
              <w:rPr>
                <w:sz w:val="12"/>
                <w:szCs w:val="12"/>
                <w:color w:val="auto"/>
              </w:rPr>
            </w:pPr>
          </w:p>
        </w:tc>
        <w:tc>
          <w:tcPr>
            <w:tcW w:w="140" w:type="dxa"/>
            <w:vAlign w:val="bottom"/>
            <w:shd w:val="clear" w:color="auto" w:fill="E9F9D8"/>
          </w:tcPr>
          <w:p>
            <w:pPr>
              <w:spacing w:after="0"/>
              <w:rPr>
                <w:sz w:val="12"/>
                <w:szCs w:val="12"/>
                <w:color w:val="auto"/>
              </w:rPr>
            </w:pPr>
          </w:p>
        </w:tc>
        <w:tc>
          <w:tcPr>
            <w:tcW w:w="160" w:type="dxa"/>
            <w:vAlign w:val="bottom"/>
            <w:shd w:val="clear" w:color="auto" w:fill="E9F9D8"/>
          </w:tcPr>
          <w:p>
            <w:pPr>
              <w:spacing w:after="0"/>
              <w:rPr>
                <w:sz w:val="12"/>
                <w:szCs w:val="12"/>
                <w:color w:val="auto"/>
              </w:rPr>
            </w:pPr>
          </w:p>
        </w:tc>
        <w:tc>
          <w:tcPr>
            <w:tcW w:w="300" w:type="dxa"/>
            <w:vAlign w:val="bottom"/>
            <w:shd w:val="clear" w:color="auto" w:fill="E9F9D8"/>
          </w:tcPr>
          <w:p>
            <w:pPr>
              <w:spacing w:after="0"/>
              <w:rPr>
                <w:sz w:val="12"/>
                <w:szCs w:val="12"/>
                <w:color w:val="auto"/>
              </w:rPr>
            </w:pPr>
          </w:p>
        </w:tc>
        <w:tc>
          <w:tcPr>
            <w:tcW w:w="40" w:type="dxa"/>
            <w:vAlign w:val="bottom"/>
            <w:shd w:val="clear" w:color="auto" w:fill="E9F9D8"/>
          </w:tcPr>
          <w:p>
            <w:pPr>
              <w:spacing w:after="0"/>
              <w:rPr>
                <w:sz w:val="12"/>
                <w:szCs w:val="12"/>
                <w:color w:val="auto"/>
              </w:rPr>
            </w:pPr>
          </w:p>
        </w:tc>
        <w:tc>
          <w:tcPr>
            <w:tcW w:w="60" w:type="dxa"/>
            <w:vAlign w:val="bottom"/>
            <w:shd w:val="clear" w:color="auto" w:fill="E9F9D8"/>
          </w:tcPr>
          <w:p>
            <w:pPr>
              <w:spacing w:after="0"/>
              <w:rPr>
                <w:sz w:val="12"/>
                <w:szCs w:val="12"/>
                <w:color w:val="auto"/>
              </w:rPr>
            </w:pPr>
          </w:p>
        </w:tc>
        <w:tc>
          <w:tcPr>
            <w:tcW w:w="600" w:type="dxa"/>
            <w:vAlign w:val="bottom"/>
            <w:shd w:val="clear" w:color="auto" w:fill="E9F9D8"/>
          </w:tcPr>
          <w:p>
            <w:pPr>
              <w:spacing w:after="0"/>
              <w:rPr>
                <w:sz w:val="12"/>
                <w:szCs w:val="12"/>
                <w:color w:val="auto"/>
              </w:rPr>
            </w:pPr>
          </w:p>
        </w:tc>
        <w:tc>
          <w:tcPr>
            <w:tcW w:w="40" w:type="dxa"/>
            <w:vAlign w:val="bottom"/>
            <w:shd w:val="clear" w:color="auto" w:fill="E9F9D8"/>
          </w:tcPr>
          <w:p>
            <w:pPr>
              <w:spacing w:after="0"/>
              <w:rPr>
                <w:sz w:val="12"/>
                <w:szCs w:val="12"/>
                <w:color w:val="auto"/>
              </w:rPr>
            </w:pPr>
          </w:p>
        </w:tc>
        <w:tc>
          <w:tcPr>
            <w:tcW w:w="60" w:type="dxa"/>
            <w:vAlign w:val="bottom"/>
            <w:tcBorders>
              <w:right w:val="single" w:sz="8" w:color="E9F9D8"/>
            </w:tcBorders>
            <w:shd w:val="clear" w:color="auto" w:fill="E9F9D8"/>
          </w:tcPr>
          <w:p>
            <w:pPr>
              <w:spacing w:after="0"/>
              <w:rPr>
                <w:sz w:val="12"/>
                <w:szCs w:val="12"/>
                <w:color w:val="auto"/>
              </w:rPr>
            </w:pPr>
          </w:p>
        </w:tc>
        <w:tc>
          <w:tcPr>
            <w:tcW w:w="140" w:type="dxa"/>
            <w:vAlign w:val="bottom"/>
            <w:shd w:val="clear" w:color="auto" w:fill="E9F9D8"/>
          </w:tcPr>
          <w:p>
            <w:pPr>
              <w:spacing w:after="0"/>
              <w:rPr>
                <w:sz w:val="12"/>
                <w:szCs w:val="12"/>
                <w:color w:val="auto"/>
              </w:rPr>
            </w:pPr>
          </w:p>
        </w:tc>
        <w:tc>
          <w:tcPr>
            <w:tcW w:w="20" w:type="dxa"/>
            <w:vAlign w:val="bottom"/>
            <w:shd w:val="clear" w:color="auto" w:fill="E9F9D8"/>
          </w:tcPr>
          <w:p>
            <w:pPr>
              <w:spacing w:after="0"/>
              <w:rPr>
                <w:sz w:val="12"/>
                <w:szCs w:val="12"/>
                <w:color w:val="auto"/>
              </w:rPr>
            </w:pPr>
          </w:p>
        </w:tc>
        <w:tc>
          <w:tcPr>
            <w:tcW w:w="280" w:type="dxa"/>
            <w:vAlign w:val="bottom"/>
            <w:shd w:val="clear" w:color="auto" w:fill="E9F9D8"/>
          </w:tcPr>
          <w:p>
            <w:pPr>
              <w:spacing w:after="0"/>
              <w:rPr>
                <w:sz w:val="12"/>
                <w:szCs w:val="12"/>
                <w:color w:val="auto"/>
              </w:rPr>
            </w:pPr>
          </w:p>
        </w:tc>
        <w:tc>
          <w:tcPr>
            <w:tcW w:w="80" w:type="dxa"/>
            <w:vAlign w:val="bottom"/>
            <w:shd w:val="clear" w:color="auto" w:fill="E9F9D8"/>
          </w:tcPr>
          <w:p>
            <w:pPr>
              <w:spacing w:after="0"/>
              <w:rPr>
                <w:sz w:val="12"/>
                <w:szCs w:val="12"/>
                <w:color w:val="auto"/>
              </w:rPr>
            </w:pPr>
          </w:p>
        </w:tc>
        <w:tc>
          <w:tcPr>
            <w:tcW w:w="240" w:type="dxa"/>
            <w:vAlign w:val="bottom"/>
            <w:tcBorders>
              <w:right w:val="single" w:sz="8" w:color="E9F9D8"/>
            </w:tcBorders>
            <w:shd w:val="clear" w:color="auto" w:fill="E9F9D8"/>
          </w:tcPr>
          <w:p>
            <w:pPr>
              <w:spacing w:after="0"/>
              <w:rPr>
                <w:sz w:val="12"/>
                <w:szCs w:val="12"/>
                <w:color w:val="auto"/>
              </w:rPr>
            </w:pPr>
          </w:p>
        </w:tc>
        <w:tc>
          <w:tcPr>
            <w:tcW w:w="140" w:type="dxa"/>
            <w:vAlign w:val="bottom"/>
            <w:gridSpan w:val="2"/>
            <w:shd w:val="clear" w:color="auto" w:fill="E9F9D8"/>
          </w:tcPr>
          <w:p>
            <w:pPr>
              <w:ind w:left="60"/>
              <w:spacing w:after="0" w:line="142" w:lineRule="exact"/>
              <w:rPr>
                <w:sz w:val="20"/>
                <w:szCs w:val="20"/>
                <w:color w:val="auto"/>
              </w:rPr>
            </w:pPr>
            <w:r>
              <w:rPr>
                <w:rFonts w:ascii="Arial" w:cs="Arial" w:eastAsia="Arial" w:hAnsi="Arial"/>
                <w:sz w:val="16"/>
                <w:szCs w:val="16"/>
                <w:b w:val="1"/>
                <w:bCs w:val="1"/>
                <w:color w:val="1F2668"/>
              </w:rPr>
              <w:t>​</w:t>
            </w:r>
          </w:p>
        </w:tc>
        <w:tc>
          <w:tcPr>
            <w:tcW w:w="280" w:type="dxa"/>
            <w:vAlign w:val="bottom"/>
            <w:gridSpan w:val="3"/>
            <w:shd w:val="clear" w:color="auto" w:fill="E9F9D8"/>
          </w:tcPr>
          <w:p>
            <w:pPr>
              <w:jc w:val="right"/>
              <w:ind w:right="200"/>
              <w:spacing w:after="0" w:line="142" w:lineRule="exact"/>
              <w:rPr>
                <w:sz w:val="20"/>
                <w:szCs w:val="20"/>
                <w:color w:val="auto"/>
              </w:rPr>
            </w:pPr>
            <w:r>
              <w:rPr>
                <w:rFonts w:ascii="Arial" w:cs="Arial" w:eastAsia="Arial" w:hAnsi="Arial"/>
                <w:sz w:val="16"/>
                <w:szCs w:val="16"/>
                <w:b w:val="1"/>
                <w:bCs w:val="1"/>
                <w:color w:val="1F2668"/>
              </w:rPr>
              <w:t>​</w:t>
            </w:r>
          </w:p>
        </w:tc>
        <w:tc>
          <w:tcPr>
            <w:tcW w:w="500" w:type="dxa"/>
            <w:vAlign w:val="bottom"/>
            <w:tcBorders>
              <w:right w:val="single" w:sz="8" w:color="E9F9D8"/>
            </w:tcBorders>
            <w:gridSpan w:val="2"/>
            <w:shd w:val="clear" w:color="auto" w:fill="E9F9D8"/>
          </w:tcPr>
          <w:p>
            <w:pPr>
              <w:jc w:val="right"/>
              <w:ind w:right="100"/>
              <w:spacing w:after="0" w:line="142" w:lineRule="exact"/>
              <w:rPr>
                <w:sz w:val="20"/>
                <w:szCs w:val="20"/>
                <w:color w:val="auto"/>
              </w:rPr>
            </w:pPr>
            <w:r>
              <w:rPr>
                <w:rFonts w:ascii="Arial" w:cs="Arial" w:eastAsia="Arial" w:hAnsi="Arial"/>
                <w:sz w:val="16"/>
                <w:szCs w:val="16"/>
                <w:b w:val="1"/>
                <w:bCs w:val="1"/>
                <w:color w:val="1F2668"/>
              </w:rPr>
              <w:t>​ ​​</w:t>
            </w:r>
          </w:p>
        </w:tc>
        <w:tc>
          <w:tcPr>
            <w:tcW w:w="120" w:type="dxa"/>
            <w:vAlign w:val="bottom"/>
            <w:vMerge w:val="restart"/>
            <w:shd w:val="clear" w:color="auto" w:fill="E9F9D8"/>
          </w:tcPr>
          <w:p>
            <w:pPr>
              <w:jc w:val="right"/>
              <w:spacing w:after="0"/>
              <w:rPr>
                <w:sz w:val="20"/>
                <w:szCs w:val="20"/>
                <w:color w:val="auto"/>
              </w:rPr>
            </w:pPr>
            <w:r>
              <w:rPr>
                <w:rFonts w:ascii="Arial" w:cs="Arial" w:eastAsia="Arial" w:hAnsi="Arial"/>
                <w:sz w:val="12"/>
                <w:szCs w:val="12"/>
                <w:b w:val="1"/>
                <w:bCs w:val="1"/>
                <w:color w:val="1F2668"/>
                <w:w w:val="74"/>
              </w:rPr>
              <w:t>40</w:t>
            </w:r>
          </w:p>
        </w:tc>
        <w:tc>
          <w:tcPr>
            <w:tcW w:w="60" w:type="dxa"/>
            <w:vAlign w:val="bottom"/>
          </w:tcPr>
          <w:p>
            <w:pPr>
              <w:spacing w:after="0" w:line="142" w:lineRule="exact"/>
              <w:rPr>
                <w:sz w:val="20"/>
                <w:szCs w:val="20"/>
                <w:color w:val="auto"/>
              </w:rPr>
            </w:pPr>
            <w:r>
              <w:rPr>
                <w:rFonts w:ascii="Arial" w:cs="Arial" w:eastAsia="Arial" w:hAnsi="Arial"/>
                <w:sz w:val="16"/>
                <w:szCs w:val="16"/>
                <w:b w:val="1"/>
                <w:bCs w:val="1"/>
                <w:color w:val="1F2668"/>
              </w:rPr>
              <w:t>​</w:t>
            </w:r>
          </w:p>
        </w:tc>
        <w:tc>
          <w:tcPr>
            <w:tcW w:w="0" w:type="dxa"/>
            <w:vAlign w:val="bottom"/>
          </w:tcPr>
          <w:p>
            <w:pPr>
              <w:spacing w:after="0"/>
              <w:rPr>
                <w:sz w:val="1"/>
                <w:szCs w:val="1"/>
                <w:color w:val="auto"/>
              </w:rPr>
            </w:pPr>
          </w:p>
        </w:tc>
      </w:tr>
      <w:tr>
        <w:trPr>
          <w:trHeight w:val="108"/>
        </w:trPr>
        <w:tc>
          <w:tcPr>
            <w:tcW w:w="3280" w:type="dxa"/>
            <w:vAlign w:val="bottom"/>
            <w:tcBorders>
              <w:right w:val="single" w:sz="8" w:color="E9F9D8"/>
            </w:tcBorders>
            <w:gridSpan w:val="17"/>
            <w:shd w:val="clear" w:color="auto" w:fill="E9F9D8"/>
          </w:tcPr>
          <w:p>
            <w:pPr>
              <w:spacing w:after="0" w:line="108" w:lineRule="exact"/>
              <w:rPr>
                <w:sz w:val="20"/>
                <w:szCs w:val="20"/>
                <w:color w:val="auto"/>
              </w:rPr>
            </w:pPr>
            <w:r>
              <w:rPr>
                <w:rFonts w:ascii="Arial" w:cs="Arial" w:eastAsia="Arial" w:hAnsi="Arial"/>
                <w:sz w:val="12"/>
                <w:szCs w:val="12"/>
                <w:b w:val="1"/>
                <w:bCs w:val="1"/>
                <w:color w:val="1F2668"/>
              </w:rPr>
              <w:t>Proposal 2: Advisory Vote on the</w:t>
            </w:r>
          </w:p>
        </w:tc>
        <w:tc>
          <w:tcPr>
            <w:tcW w:w="120" w:type="dxa"/>
            <w:vAlign w:val="bottom"/>
            <w:shd w:val="clear" w:color="auto" w:fill="E9F9D8"/>
          </w:tcPr>
          <w:p>
            <w:pPr>
              <w:spacing w:after="0"/>
              <w:rPr>
                <w:sz w:val="9"/>
                <w:szCs w:val="9"/>
                <w:color w:val="auto"/>
              </w:rPr>
            </w:pPr>
          </w:p>
        </w:tc>
        <w:tc>
          <w:tcPr>
            <w:tcW w:w="20" w:type="dxa"/>
            <w:vAlign w:val="bottom"/>
            <w:shd w:val="clear" w:color="auto" w:fill="E9F9D8"/>
          </w:tcPr>
          <w:p>
            <w:pPr>
              <w:spacing w:after="0"/>
              <w:rPr>
                <w:sz w:val="9"/>
                <w:szCs w:val="9"/>
                <w:color w:val="auto"/>
              </w:rPr>
            </w:pPr>
          </w:p>
        </w:tc>
        <w:tc>
          <w:tcPr>
            <w:tcW w:w="60" w:type="dxa"/>
            <w:vAlign w:val="bottom"/>
            <w:shd w:val="clear" w:color="auto" w:fill="E9F9D8"/>
          </w:tcPr>
          <w:p>
            <w:pPr>
              <w:spacing w:after="0"/>
              <w:rPr>
                <w:sz w:val="9"/>
                <w:szCs w:val="9"/>
                <w:color w:val="auto"/>
              </w:rPr>
            </w:pPr>
          </w:p>
        </w:tc>
        <w:tc>
          <w:tcPr>
            <w:tcW w:w="20" w:type="dxa"/>
            <w:vAlign w:val="bottom"/>
            <w:shd w:val="clear" w:color="auto" w:fill="E9F9D8"/>
          </w:tcPr>
          <w:p>
            <w:pPr>
              <w:spacing w:after="0"/>
              <w:rPr>
                <w:sz w:val="9"/>
                <w:szCs w:val="9"/>
                <w:color w:val="auto"/>
              </w:rPr>
            </w:pPr>
          </w:p>
        </w:tc>
        <w:tc>
          <w:tcPr>
            <w:tcW w:w="200" w:type="dxa"/>
            <w:vAlign w:val="bottom"/>
            <w:shd w:val="clear" w:color="auto" w:fill="E9F9D8"/>
          </w:tcPr>
          <w:p>
            <w:pPr>
              <w:spacing w:after="0"/>
              <w:rPr>
                <w:sz w:val="9"/>
                <w:szCs w:val="9"/>
                <w:color w:val="auto"/>
              </w:rPr>
            </w:pPr>
          </w:p>
        </w:tc>
        <w:tc>
          <w:tcPr>
            <w:tcW w:w="500" w:type="dxa"/>
            <w:vAlign w:val="bottom"/>
            <w:tcBorders>
              <w:right w:val="single" w:sz="8" w:color="E9F9D8"/>
            </w:tcBorders>
            <w:gridSpan w:val="2"/>
            <w:shd w:val="clear" w:color="auto" w:fill="E9F9D8"/>
          </w:tcPr>
          <w:p>
            <w:pPr>
              <w:jc w:val="right"/>
              <w:ind w:right="100"/>
              <w:spacing w:after="0" w:line="108" w:lineRule="exact"/>
              <w:rPr>
                <w:sz w:val="20"/>
                <w:szCs w:val="20"/>
                <w:color w:val="auto"/>
              </w:rPr>
            </w:pPr>
            <w:r>
              <w:rPr>
                <w:rFonts w:ascii="Arial" w:cs="Arial" w:eastAsia="Arial" w:hAnsi="Arial"/>
                <w:sz w:val="12"/>
                <w:szCs w:val="12"/>
                <w:b w:val="1"/>
                <w:bCs w:val="1"/>
                <w:color w:val="1F2668"/>
              </w:rPr>
              <w:t>​</w:t>
            </w:r>
          </w:p>
        </w:tc>
        <w:tc>
          <w:tcPr>
            <w:tcW w:w="120" w:type="dxa"/>
            <w:vAlign w:val="bottom"/>
            <w:vMerge w:val="continue"/>
            <w:shd w:val="clear" w:color="auto" w:fill="E9F9D8"/>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1F2668"/>
          </w:tcPr>
          <w:p>
            <w:pPr>
              <w:spacing w:after="0" w:line="20" w:lineRule="exact"/>
              <w:rPr>
                <w:sz w:val="1"/>
                <w:szCs w:val="1"/>
                <w:color w:val="auto"/>
              </w:rPr>
            </w:pPr>
          </w:p>
        </w:tc>
        <w:tc>
          <w:tcPr>
            <w:tcW w:w="260" w:type="dxa"/>
            <w:vAlign w:val="bottom"/>
            <w:shd w:val="clear" w:color="auto" w:fill="1F2668"/>
          </w:tcPr>
          <w:p>
            <w:pPr>
              <w:spacing w:after="0" w:line="20" w:lineRule="exact"/>
              <w:rPr>
                <w:sz w:val="1"/>
                <w:szCs w:val="1"/>
                <w:color w:val="auto"/>
              </w:rPr>
            </w:pPr>
          </w:p>
        </w:tc>
        <w:tc>
          <w:tcPr>
            <w:tcW w:w="520" w:type="dxa"/>
            <w:vAlign w:val="bottom"/>
            <w:gridSpan w:val="2"/>
            <w:shd w:val="clear" w:color="auto" w:fill="1F2668"/>
          </w:tcPr>
          <w:p>
            <w:pPr>
              <w:spacing w:after="0" w:line="20" w:lineRule="exact"/>
              <w:rPr>
                <w:sz w:val="1"/>
                <w:szCs w:val="1"/>
                <w:color w:val="auto"/>
              </w:rPr>
            </w:pPr>
          </w:p>
        </w:tc>
        <w:tc>
          <w:tcPr>
            <w:tcW w:w="140" w:type="dxa"/>
            <w:vAlign w:val="bottom"/>
            <w:shd w:val="clear" w:color="auto" w:fill="1F2668"/>
          </w:tcPr>
          <w:p>
            <w:pPr>
              <w:spacing w:after="0" w:line="20" w:lineRule="exact"/>
              <w:rPr>
                <w:sz w:val="1"/>
                <w:szCs w:val="1"/>
                <w:color w:val="auto"/>
              </w:rPr>
            </w:pPr>
          </w:p>
        </w:tc>
        <w:tc>
          <w:tcPr>
            <w:tcW w:w="560" w:type="dxa"/>
            <w:vAlign w:val="bottom"/>
            <w:gridSpan w:val="4"/>
            <w:shd w:val="clear" w:color="auto" w:fill="1F2668"/>
          </w:tcPr>
          <w:p>
            <w:pPr>
              <w:spacing w:after="0" w:line="20" w:lineRule="exact"/>
              <w:rPr>
                <w:sz w:val="1"/>
                <w:szCs w:val="1"/>
                <w:color w:val="auto"/>
              </w:rPr>
            </w:pPr>
          </w:p>
        </w:tc>
        <w:tc>
          <w:tcPr>
            <w:tcW w:w="600" w:type="dxa"/>
            <w:vAlign w:val="bottom"/>
            <w:shd w:val="clear" w:color="auto" w:fill="1F2668"/>
          </w:tcPr>
          <w:p>
            <w:pPr>
              <w:spacing w:after="0" w:line="20" w:lineRule="exact"/>
              <w:rPr>
                <w:sz w:val="1"/>
                <w:szCs w:val="1"/>
                <w:color w:val="auto"/>
              </w:rPr>
            </w:pPr>
          </w:p>
        </w:tc>
        <w:tc>
          <w:tcPr>
            <w:tcW w:w="100" w:type="dxa"/>
            <w:vAlign w:val="bottom"/>
            <w:tcBorders>
              <w:right w:val="single" w:sz="8" w:color="E9F9D8"/>
            </w:tcBorders>
            <w:gridSpan w:val="2"/>
            <w:shd w:val="clear" w:color="auto" w:fill="1F2668"/>
          </w:tcPr>
          <w:p>
            <w:pPr>
              <w:spacing w:after="0" w:line="20" w:lineRule="exact"/>
              <w:rPr>
                <w:sz w:val="1"/>
                <w:szCs w:val="1"/>
                <w:color w:val="auto"/>
              </w:rPr>
            </w:pPr>
          </w:p>
        </w:tc>
        <w:tc>
          <w:tcPr>
            <w:tcW w:w="440" w:type="dxa"/>
            <w:vAlign w:val="bottom"/>
            <w:gridSpan w:val="3"/>
            <w:shd w:val="clear" w:color="auto" w:fill="E9F9D8"/>
          </w:tcPr>
          <w:p>
            <w:pPr>
              <w:spacing w:after="0" w:line="20" w:lineRule="exact"/>
              <w:rPr>
                <w:sz w:val="1"/>
                <w:szCs w:val="1"/>
                <w:color w:val="auto"/>
              </w:rPr>
            </w:pPr>
          </w:p>
        </w:tc>
        <w:tc>
          <w:tcPr>
            <w:tcW w:w="80" w:type="dxa"/>
            <w:vAlign w:val="bottom"/>
            <w:shd w:val="clear" w:color="auto" w:fill="E9F9D8"/>
          </w:tcPr>
          <w:p>
            <w:pPr>
              <w:spacing w:after="0" w:line="20" w:lineRule="exact"/>
              <w:rPr>
                <w:sz w:val="1"/>
                <w:szCs w:val="1"/>
                <w:color w:val="auto"/>
              </w:rPr>
            </w:pPr>
          </w:p>
        </w:tc>
        <w:tc>
          <w:tcPr>
            <w:tcW w:w="240" w:type="dxa"/>
            <w:vAlign w:val="bottom"/>
            <w:tcBorders>
              <w:right w:val="single" w:sz="8" w:color="E9F9D8"/>
            </w:tcBorders>
            <w:shd w:val="clear" w:color="auto" w:fill="E9F9D8"/>
          </w:tcPr>
          <w:p>
            <w:pPr>
              <w:spacing w:after="0" w:line="20" w:lineRule="exact"/>
              <w:rPr>
                <w:sz w:val="1"/>
                <w:szCs w:val="1"/>
                <w:color w:val="auto"/>
              </w:rPr>
            </w:pPr>
          </w:p>
        </w:tc>
        <w:tc>
          <w:tcPr>
            <w:tcW w:w="120" w:type="dxa"/>
            <w:vAlign w:val="bottom"/>
            <w:shd w:val="clear" w:color="auto" w:fill="E9F9D8"/>
          </w:tcPr>
          <w:p>
            <w:pPr>
              <w:spacing w:after="0" w:line="20" w:lineRule="exact"/>
              <w:rPr>
                <w:sz w:val="1"/>
                <w:szCs w:val="1"/>
                <w:color w:val="auto"/>
              </w:rPr>
            </w:pPr>
          </w:p>
        </w:tc>
        <w:tc>
          <w:tcPr>
            <w:tcW w:w="20" w:type="dxa"/>
            <w:vAlign w:val="bottom"/>
            <w:shd w:val="clear" w:color="auto" w:fill="E9F9D8"/>
          </w:tcPr>
          <w:p>
            <w:pPr>
              <w:spacing w:after="0" w:line="20" w:lineRule="exact"/>
              <w:rPr>
                <w:sz w:val="1"/>
                <w:szCs w:val="1"/>
                <w:color w:val="auto"/>
              </w:rPr>
            </w:pPr>
          </w:p>
        </w:tc>
        <w:tc>
          <w:tcPr>
            <w:tcW w:w="60" w:type="dxa"/>
            <w:vAlign w:val="bottom"/>
            <w:shd w:val="clear" w:color="auto" w:fill="E9F9D8"/>
          </w:tcPr>
          <w:p>
            <w:pPr>
              <w:spacing w:after="0" w:line="20" w:lineRule="exact"/>
              <w:rPr>
                <w:sz w:val="1"/>
                <w:szCs w:val="1"/>
                <w:color w:val="auto"/>
              </w:rPr>
            </w:pPr>
          </w:p>
        </w:tc>
        <w:tc>
          <w:tcPr>
            <w:tcW w:w="20" w:type="dxa"/>
            <w:vAlign w:val="bottom"/>
            <w:shd w:val="clear" w:color="auto" w:fill="E9F9D8"/>
          </w:tcPr>
          <w:p>
            <w:pPr>
              <w:spacing w:after="0" w:line="20" w:lineRule="exact"/>
              <w:rPr>
                <w:sz w:val="1"/>
                <w:szCs w:val="1"/>
                <w:color w:val="auto"/>
              </w:rPr>
            </w:pPr>
          </w:p>
        </w:tc>
        <w:tc>
          <w:tcPr>
            <w:tcW w:w="200" w:type="dxa"/>
            <w:vAlign w:val="bottom"/>
            <w:shd w:val="clear" w:color="auto" w:fill="E9F9D8"/>
          </w:tcPr>
          <w:p>
            <w:pPr>
              <w:spacing w:after="0" w:line="20" w:lineRule="exact"/>
              <w:rPr>
                <w:sz w:val="1"/>
                <w:szCs w:val="1"/>
                <w:color w:val="auto"/>
              </w:rPr>
            </w:pPr>
          </w:p>
        </w:tc>
        <w:tc>
          <w:tcPr>
            <w:tcW w:w="380" w:type="dxa"/>
            <w:vAlign w:val="bottom"/>
            <w:shd w:val="clear" w:color="auto" w:fill="E9F9D8"/>
          </w:tcPr>
          <w:p>
            <w:pPr>
              <w:spacing w:after="0" w:line="20" w:lineRule="exact"/>
              <w:rPr>
                <w:sz w:val="1"/>
                <w:szCs w:val="1"/>
                <w:color w:val="auto"/>
              </w:rPr>
            </w:pPr>
          </w:p>
        </w:tc>
        <w:tc>
          <w:tcPr>
            <w:tcW w:w="120" w:type="dxa"/>
            <w:vAlign w:val="bottom"/>
            <w:tcBorders>
              <w:right w:val="single" w:sz="8" w:color="1F2668"/>
            </w:tcBorders>
            <w:shd w:val="clear" w:color="auto" w:fill="E9F9D8"/>
          </w:tcPr>
          <w:p>
            <w:pPr>
              <w:spacing w:after="0" w:line="20" w:lineRule="exact"/>
              <w:rPr>
                <w:sz w:val="1"/>
                <w:szCs w:val="1"/>
                <w:color w:val="auto"/>
              </w:rPr>
            </w:pPr>
          </w:p>
        </w:tc>
        <w:tc>
          <w:tcPr>
            <w:tcW w:w="120" w:type="dxa"/>
            <w:vAlign w:val="bottom"/>
            <w:shd w:val="clear" w:color="auto" w:fill="1F2668"/>
          </w:tcPr>
          <w:p>
            <w:pPr>
              <w:spacing w:after="0" w:line="20" w:lineRule="exact"/>
              <w:rPr>
                <w:sz w:val="1"/>
                <w:szCs w:val="1"/>
                <w:color w:val="auto"/>
              </w:rPr>
            </w:pPr>
          </w:p>
        </w:tc>
        <w:tc>
          <w:tcPr>
            <w:tcW w:w="60" w:type="dxa"/>
            <w:vAlign w:val="bottom"/>
            <w:tcBorders>
              <w:left w:val="single" w:sz="8" w:color="1F266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80" w:type="dxa"/>
            <w:vAlign w:val="bottom"/>
            <w:tcBorders>
              <w:right w:val="single" w:sz="8" w:color="E9F9D8"/>
            </w:tcBorders>
            <w:gridSpan w:val="17"/>
            <w:shd w:val="clear" w:color="auto" w:fill="E9F9D8"/>
          </w:tcPr>
          <w:p>
            <w:pPr>
              <w:spacing w:after="0" w:line="183" w:lineRule="exact"/>
              <w:rPr>
                <w:sz w:val="20"/>
                <w:szCs w:val="20"/>
                <w:color w:val="auto"/>
              </w:rPr>
            </w:pPr>
            <w:r>
              <w:rPr>
                <w:rFonts w:ascii="Arial" w:cs="Arial" w:eastAsia="Arial" w:hAnsi="Arial"/>
                <w:sz w:val="16"/>
                <w:szCs w:val="16"/>
                <w:b w:val="1"/>
                <w:bCs w:val="1"/>
                <w:color w:val="1F2668"/>
              </w:rPr>
              <w:t>Compensation of our Named Executive</w:t>
            </w:r>
          </w:p>
        </w:tc>
        <w:tc>
          <w:tcPr>
            <w:tcW w:w="120" w:type="dxa"/>
            <w:vAlign w:val="bottom"/>
            <w:shd w:val="clear" w:color="auto" w:fill="E9F9D8"/>
          </w:tcPr>
          <w:p>
            <w:pPr>
              <w:spacing w:after="0"/>
              <w:rPr>
                <w:sz w:val="15"/>
                <w:szCs w:val="15"/>
                <w:color w:val="auto"/>
              </w:rPr>
            </w:pPr>
          </w:p>
        </w:tc>
        <w:tc>
          <w:tcPr>
            <w:tcW w:w="20" w:type="dxa"/>
            <w:vAlign w:val="bottom"/>
            <w:shd w:val="clear" w:color="auto" w:fill="E9F9D8"/>
          </w:tcPr>
          <w:p>
            <w:pPr>
              <w:spacing w:after="0"/>
              <w:rPr>
                <w:sz w:val="15"/>
                <w:szCs w:val="15"/>
                <w:color w:val="auto"/>
              </w:rPr>
            </w:pPr>
          </w:p>
        </w:tc>
        <w:tc>
          <w:tcPr>
            <w:tcW w:w="60" w:type="dxa"/>
            <w:vAlign w:val="bottom"/>
            <w:shd w:val="clear" w:color="auto" w:fill="E9F9D8"/>
          </w:tcPr>
          <w:p>
            <w:pPr>
              <w:spacing w:after="0"/>
              <w:rPr>
                <w:sz w:val="15"/>
                <w:szCs w:val="15"/>
                <w:color w:val="auto"/>
              </w:rPr>
            </w:pPr>
          </w:p>
        </w:tc>
        <w:tc>
          <w:tcPr>
            <w:tcW w:w="20" w:type="dxa"/>
            <w:vAlign w:val="bottom"/>
            <w:shd w:val="clear" w:color="auto" w:fill="E9F9D8"/>
          </w:tcPr>
          <w:p>
            <w:pPr>
              <w:spacing w:after="0"/>
              <w:rPr>
                <w:sz w:val="15"/>
                <w:szCs w:val="15"/>
                <w:color w:val="auto"/>
              </w:rPr>
            </w:pPr>
          </w:p>
        </w:tc>
        <w:tc>
          <w:tcPr>
            <w:tcW w:w="200" w:type="dxa"/>
            <w:vAlign w:val="bottom"/>
            <w:shd w:val="clear" w:color="auto" w:fill="E9F9D8"/>
          </w:tcPr>
          <w:p>
            <w:pPr>
              <w:spacing w:after="0"/>
              <w:rPr>
                <w:sz w:val="15"/>
                <w:szCs w:val="15"/>
                <w:color w:val="auto"/>
              </w:rPr>
            </w:pPr>
          </w:p>
        </w:tc>
        <w:tc>
          <w:tcPr>
            <w:tcW w:w="380" w:type="dxa"/>
            <w:vAlign w:val="bottom"/>
            <w:shd w:val="clear" w:color="auto" w:fill="E9F9D8"/>
          </w:tcPr>
          <w:p>
            <w:pPr>
              <w:spacing w:after="0"/>
              <w:rPr>
                <w:sz w:val="15"/>
                <w:szCs w:val="15"/>
                <w:color w:val="auto"/>
              </w:rPr>
            </w:pPr>
          </w:p>
        </w:tc>
        <w:tc>
          <w:tcPr>
            <w:tcW w:w="120" w:type="dxa"/>
            <w:vAlign w:val="bottom"/>
            <w:tcBorders>
              <w:right w:val="single" w:sz="8" w:color="E9F9D8"/>
            </w:tcBorders>
            <w:shd w:val="clear" w:color="auto" w:fill="E9F9D8"/>
          </w:tcPr>
          <w:p>
            <w:pPr>
              <w:spacing w:after="0"/>
              <w:rPr>
                <w:sz w:val="15"/>
                <w:szCs w:val="15"/>
                <w:color w:val="auto"/>
              </w:rPr>
            </w:pPr>
          </w:p>
        </w:tc>
        <w:tc>
          <w:tcPr>
            <w:tcW w:w="120" w:type="dxa"/>
            <w:vAlign w:val="bottom"/>
            <w:shd w:val="clear" w:color="auto" w:fill="E9F9D8"/>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Borders>
              <w:top w:val="single" w:sz="8" w:color="1F2668"/>
            </w:tcBorders>
            <w:gridSpan w:val="3"/>
            <w:shd w:val="clear" w:color="auto" w:fill="E9F9D8"/>
          </w:tcPr>
          <w:p>
            <w:pPr>
              <w:spacing w:after="0" w:line="183" w:lineRule="exact"/>
              <w:rPr>
                <w:sz w:val="20"/>
                <w:szCs w:val="20"/>
                <w:color w:val="auto"/>
              </w:rPr>
            </w:pPr>
            <w:r>
              <w:rPr>
                <w:rFonts w:ascii="Arial" w:cs="Arial" w:eastAsia="Arial" w:hAnsi="Arial"/>
                <w:sz w:val="16"/>
                <w:szCs w:val="16"/>
                <w:b w:val="1"/>
                <w:bCs w:val="1"/>
                <w:color w:val="1F2668"/>
              </w:rPr>
              <w:t>Officers</w:t>
            </w:r>
          </w:p>
        </w:tc>
        <w:tc>
          <w:tcPr>
            <w:tcW w:w="420" w:type="dxa"/>
            <w:vAlign w:val="bottom"/>
            <w:tcBorders>
              <w:top w:val="single" w:sz="8" w:color="1F2668"/>
            </w:tcBorders>
            <w:shd w:val="clear" w:color="auto" w:fill="E9F9D8"/>
          </w:tcPr>
          <w:p>
            <w:pPr>
              <w:spacing w:after="0"/>
              <w:rPr>
                <w:sz w:val="15"/>
                <w:szCs w:val="15"/>
                <w:color w:val="auto"/>
              </w:rPr>
            </w:pPr>
          </w:p>
        </w:tc>
        <w:tc>
          <w:tcPr>
            <w:tcW w:w="140" w:type="dxa"/>
            <w:vAlign w:val="bottom"/>
            <w:tcBorders>
              <w:top w:val="single" w:sz="8" w:color="1F2668"/>
            </w:tcBorders>
            <w:shd w:val="clear" w:color="auto" w:fill="E9F9D8"/>
          </w:tcPr>
          <w:p>
            <w:pPr>
              <w:spacing w:after="0"/>
              <w:rPr>
                <w:sz w:val="15"/>
                <w:szCs w:val="15"/>
                <w:color w:val="auto"/>
              </w:rPr>
            </w:pPr>
          </w:p>
        </w:tc>
        <w:tc>
          <w:tcPr>
            <w:tcW w:w="160" w:type="dxa"/>
            <w:vAlign w:val="bottom"/>
            <w:tcBorders>
              <w:top w:val="single" w:sz="8" w:color="1F2668"/>
            </w:tcBorders>
            <w:shd w:val="clear" w:color="auto" w:fill="E9F9D8"/>
          </w:tcPr>
          <w:p>
            <w:pPr>
              <w:spacing w:after="0"/>
              <w:rPr>
                <w:sz w:val="15"/>
                <w:szCs w:val="15"/>
                <w:color w:val="auto"/>
              </w:rPr>
            </w:pPr>
          </w:p>
        </w:tc>
        <w:tc>
          <w:tcPr>
            <w:tcW w:w="300" w:type="dxa"/>
            <w:vAlign w:val="bottom"/>
            <w:tcBorders>
              <w:top w:val="single" w:sz="8" w:color="1F2668"/>
            </w:tcBorders>
            <w:shd w:val="clear" w:color="auto" w:fill="E9F9D8"/>
          </w:tcPr>
          <w:p>
            <w:pPr>
              <w:spacing w:after="0"/>
              <w:rPr>
                <w:sz w:val="15"/>
                <w:szCs w:val="15"/>
                <w:color w:val="auto"/>
              </w:rPr>
            </w:pPr>
          </w:p>
        </w:tc>
        <w:tc>
          <w:tcPr>
            <w:tcW w:w="40" w:type="dxa"/>
            <w:vAlign w:val="bottom"/>
            <w:tcBorders>
              <w:top w:val="single" w:sz="8" w:color="1F2668"/>
            </w:tcBorders>
            <w:shd w:val="clear" w:color="auto" w:fill="E9F9D8"/>
          </w:tcPr>
          <w:p>
            <w:pPr>
              <w:spacing w:after="0"/>
              <w:rPr>
                <w:sz w:val="15"/>
                <w:szCs w:val="15"/>
                <w:color w:val="auto"/>
              </w:rPr>
            </w:pPr>
          </w:p>
        </w:tc>
        <w:tc>
          <w:tcPr>
            <w:tcW w:w="60" w:type="dxa"/>
            <w:vAlign w:val="bottom"/>
            <w:tcBorders>
              <w:top w:val="single" w:sz="8" w:color="1F2668"/>
            </w:tcBorders>
            <w:shd w:val="clear" w:color="auto" w:fill="E9F9D8"/>
          </w:tcPr>
          <w:p>
            <w:pPr>
              <w:spacing w:after="0"/>
              <w:rPr>
                <w:sz w:val="15"/>
                <w:szCs w:val="15"/>
                <w:color w:val="auto"/>
              </w:rPr>
            </w:pPr>
          </w:p>
        </w:tc>
        <w:tc>
          <w:tcPr>
            <w:tcW w:w="600" w:type="dxa"/>
            <w:vAlign w:val="bottom"/>
            <w:tcBorders>
              <w:top w:val="single" w:sz="8" w:color="1F2668"/>
            </w:tcBorders>
            <w:shd w:val="clear" w:color="auto" w:fill="E9F9D8"/>
          </w:tcPr>
          <w:p>
            <w:pPr>
              <w:spacing w:after="0"/>
              <w:rPr>
                <w:sz w:val="15"/>
                <w:szCs w:val="15"/>
                <w:color w:val="auto"/>
              </w:rPr>
            </w:pPr>
          </w:p>
        </w:tc>
        <w:tc>
          <w:tcPr>
            <w:tcW w:w="40" w:type="dxa"/>
            <w:vAlign w:val="bottom"/>
            <w:tcBorders>
              <w:top w:val="single" w:sz="8" w:color="1F2668"/>
            </w:tcBorders>
            <w:shd w:val="clear" w:color="auto" w:fill="E9F9D8"/>
          </w:tcPr>
          <w:p>
            <w:pPr>
              <w:spacing w:after="0"/>
              <w:rPr>
                <w:sz w:val="15"/>
                <w:szCs w:val="15"/>
                <w:color w:val="auto"/>
              </w:rPr>
            </w:pPr>
          </w:p>
        </w:tc>
        <w:tc>
          <w:tcPr>
            <w:tcW w:w="60" w:type="dxa"/>
            <w:vAlign w:val="bottom"/>
            <w:tcBorders>
              <w:top w:val="single" w:sz="8" w:color="1F2668"/>
              <w:right w:val="single" w:sz="8" w:color="E9F9D8"/>
            </w:tcBorders>
            <w:shd w:val="clear" w:color="auto" w:fill="E9F9D8"/>
          </w:tcPr>
          <w:p>
            <w:pPr>
              <w:spacing w:after="0"/>
              <w:rPr>
                <w:sz w:val="15"/>
                <w:szCs w:val="15"/>
                <w:color w:val="auto"/>
              </w:rPr>
            </w:pPr>
          </w:p>
        </w:tc>
        <w:tc>
          <w:tcPr>
            <w:tcW w:w="140" w:type="dxa"/>
            <w:vAlign w:val="bottom"/>
            <w:tcBorders>
              <w:top w:val="single" w:sz="8" w:color="1F2668"/>
            </w:tcBorders>
            <w:shd w:val="clear" w:color="auto" w:fill="E9F9D8"/>
          </w:tcPr>
          <w:p>
            <w:pPr>
              <w:spacing w:after="0"/>
              <w:rPr>
                <w:sz w:val="15"/>
                <w:szCs w:val="15"/>
                <w:color w:val="auto"/>
              </w:rPr>
            </w:pPr>
          </w:p>
        </w:tc>
        <w:tc>
          <w:tcPr>
            <w:tcW w:w="20" w:type="dxa"/>
            <w:vAlign w:val="bottom"/>
            <w:tcBorders>
              <w:top w:val="single" w:sz="8" w:color="1F2668"/>
            </w:tcBorders>
            <w:shd w:val="clear" w:color="auto" w:fill="E9F9D8"/>
          </w:tcPr>
          <w:p>
            <w:pPr>
              <w:spacing w:after="0"/>
              <w:rPr>
                <w:sz w:val="15"/>
                <w:szCs w:val="15"/>
                <w:color w:val="auto"/>
              </w:rPr>
            </w:pPr>
          </w:p>
        </w:tc>
        <w:tc>
          <w:tcPr>
            <w:tcW w:w="280" w:type="dxa"/>
            <w:vAlign w:val="bottom"/>
            <w:tcBorders>
              <w:top w:val="single" w:sz="8" w:color="1F2668"/>
            </w:tcBorders>
            <w:shd w:val="clear" w:color="auto" w:fill="E9F9D8"/>
          </w:tcPr>
          <w:p>
            <w:pPr>
              <w:spacing w:after="0"/>
              <w:rPr>
                <w:sz w:val="15"/>
                <w:szCs w:val="15"/>
                <w:color w:val="auto"/>
              </w:rPr>
            </w:pPr>
          </w:p>
        </w:tc>
        <w:tc>
          <w:tcPr>
            <w:tcW w:w="80" w:type="dxa"/>
            <w:vAlign w:val="bottom"/>
            <w:tcBorders>
              <w:top w:val="single" w:sz="8" w:color="E9F9D8"/>
            </w:tcBorders>
            <w:shd w:val="clear" w:color="auto" w:fill="E9F9D8"/>
          </w:tcPr>
          <w:p>
            <w:pPr>
              <w:spacing w:after="0"/>
              <w:rPr>
                <w:sz w:val="15"/>
                <w:szCs w:val="15"/>
                <w:color w:val="auto"/>
              </w:rPr>
            </w:pPr>
          </w:p>
        </w:tc>
        <w:tc>
          <w:tcPr>
            <w:tcW w:w="240" w:type="dxa"/>
            <w:vAlign w:val="bottom"/>
            <w:tcBorders>
              <w:top w:val="single" w:sz="8" w:color="E9F9D8"/>
              <w:right w:val="single" w:sz="8" w:color="E9F9D8"/>
            </w:tcBorders>
            <w:shd w:val="clear" w:color="auto" w:fill="E9F9D8"/>
          </w:tcPr>
          <w:p>
            <w:pPr>
              <w:spacing w:after="0"/>
              <w:rPr>
                <w:sz w:val="15"/>
                <w:szCs w:val="15"/>
                <w:color w:val="auto"/>
              </w:rPr>
            </w:pPr>
          </w:p>
        </w:tc>
        <w:tc>
          <w:tcPr>
            <w:tcW w:w="120" w:type="dxa"/>
            <w:vAlign w:val="bottom"/>
            <w:tcBorders>
              <w:top w:val="single" w:sz="8" w:color="E9F9D8"/>
            </w:tcBorders>
            <w:shd w:val="clear" w:color="auto" w:fill="E9F9D8"/>
          </w:tcPr>
          <w:p>
            <w:pPr>
              <w:spacing w:after="0"/>
              <w:rPr>
                <w:sz w:val="15"/>
                <w:szCs w:val="15"/>
                <w:color w:val="auto"/>
              </w:rPr>
            </w:pPr>
          </w:p>
        </w:tc>
        <w:tc>
          <w:tcPr>
            <w:tcW w:w="20" w:type="dxa"/>
            <w:vAlign w:val="bottom"/>
            <w:tcBorders>
              <w:top w:val="single" w:sz="8" w:color="E9F9D8"/>
            </w:tcBorders>
            <w:shd w:val="clear" w:color="auto" w:fill="E9F9D8"/>
          </w:tcPr>
          <w:p>
            <w:pPr>
              <w:spacing w:after="0"/>
              <w:rPr>
                <w:sz w:val="15"/>
                <w:szCs w:val="15"/>
                <w:color w:val="auto"/>
              </w:rPr>
            </w:pPr>
          </w:p>
        </w:tc>
        <w:tc>
          <w:tcPr>
            <w:tcW w:w="60" w:type="dxa"/>
            <w:vAlign w:val="bottom"/>
            <w:tcBorders>
              <w:top w:val="single" w:sz="8" w:color="E9F9D8"/>
            </w:tcBorders>
            <w:shd w:val="clear" w:color="auto" w:fill="E9F9D8"/>
          </w:tcPr>
          <w:p>
            <w:pPr>
              <w:spacing w:after="0"/>
              <w:rPr>
                <w:sz w:val="15"/>
                <w:szCs w:val="15"/>
                <w:color w:val="auto"/>
              </w:rPr>
            </w:pPr>
          </w:p>
        </w:tc>
        <w:tc>
          <w:tcPr>
            <w:tcW w:w="20" w:type="dxa"/>
            <w:vAlign w:val="bottom"/>
            <w:tcBorders>
              <w:top w:val="single" w:sz="8" w:color="E9F9D8"/>
            </w:tcBorders>
            <w:shd w:val="clear" w:color="auto" w:fill="E9F9D8"/>
          </w:tcPr>
          <w:p>
            <w:pPr>
              <w:spacing w:after="0"/>
              <w:rPr>
                <w:sz w:val="15"/>
                <w:szCs w:val="15"/>
                <w:color w:val="auto"/>
              </w:rPr>
            </w:pPr>
          </w:p>
        </w:tc>
        <w:tc>
          <w:tcPr>
            <w:tcW w:w="200" w:type="dxa"/>
            <w:vAlign w:val="bottom"/>
            <w:tcBorders>
              <w:top w:val="single" w:sz="8" w:color="E9F9D8"/>
            </w:tcBorders>
            <w:shd w:val="clear" w:color="auto" w:fill="E9F9D8"/>
          </w:tcPr>
          <w:p>
            <w:pPr>
              <w:spacing w:after="0"/>
              <w:rPr>
                <w:sz w:val="15"/>
                <w:szCs w:val="15"/>
                <w:color w:val="auto"/>
              </w:rPr>
            </w:pPr>
          </w:p>
        </w:tc>
        <w:tc>
          <w:tcPr>
            <w:tcW w:w="380" w:type="dxa"/>
            <w:vAlign w:val="bottom"/>
            <w:tcBorders>
              <w:top w:val="single" w:sz="8" w:color="E9F9D8"/>
            </w:tcBorders>
            <w:shd w:val="clear" w:color="auto" w:fill="E9F9D8"/>
          </w:tcPr>
          <w:p>
            <w:pPr>
              <w:spacing w:after="0"/>
              <w:rPr>
                <w:sz w:val="15"/>
                <w:szCs w:val="15"/>
                <w:color w:val="auto"/>
              </w:rPr>
            </w:pPr>
          </w:p>
        </w:tc>
        <w:tc>
          <w:tcPr>
            <w:tcW w:w="120" w:type="dxa"/>
            <w:vAlign w:val="bottom"/>
            <w:tcBorders>
              <w:top w:val="single" w:sz="8" w:color="E9F9D8"/>
              <w:right w:val="single" w:sz="8" w:color="E9F9D8"/>
            </w:tcBorders>
            <w:shd w:val="clear" w:color="auto" w:fill="E9F9D8"/>
          </w:tcPr>
          <w:p>
            <w:pPr>
              <w:spacing w:after="0"/>
              <w:rPr>
                <w:sz w:val="15"/>
                <w:szCs w:val="15"/>
                <w:color w:val="auto"/>
              </w:rPr>
            </w:pPr>
          </w:p>
        </w:tc>
        <w:tc>
          <w:tcPr>
            <w:tcW w:w="120" w:type="dxa"/>
            <w:vAlign w:val="bottom"/>
            <w:tcBorders>
              <w:top w:val="single" w:sz="8" w:color="E9F9D8"/>
            </w:tcBorders>
            <w:shd w:val="clear" w:color="auto" w:fill="E9F9D8"/>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340" w:type="dxa"/>
            <w:vAlign w:val="bottom"/>
            <w:tcBorders>
              <w:top w:val="single" w:sz="8" w:color="1F2668"/>
            </w:tcBorders>
            <w:shd w:val="clear" w:color="auto" w:fill="E9F9D8"/>
          </w:tcPr>
          <w:p>
            <w:pPr>
              <w:spacing w:after="0"/>
              <w:rPr>
                <w:sz w:val="5"/>
                <w:szCs w:val="5"/>
                <w:color w:val="auto"/>
              </w:rPr>
            </w:pPr>
          </w:p>
        </w:tc>
        <w:tc>
          <w:tcPr>
            <w:tcW w:w="260" w:type="dxa"/>
            <w:vAlign w:val="bottom"/>
            <w:tcBorders>
              <w:top w:val="single" w:sz="8" w:color="1F2668"/>
            </w:tcBorders>
            <w:shd w:val="clear" w:color="auto" w:fill="E9F9D8"/>
          </w:tcPr>
          <w:p>
            <w:pPr>
              <w:spacing w:after="0"/>
              <w:rPr>
                <w:sz w:val="5"/>
                <w:szCs w:val="5"/>
                <w:color w:val="auto"/>
              </w:rPr>
            </w:pPr>
          </w:p>
        </w:tc>
        <w:tc>
          <w:tcPr>
            <w:tcW w:w="100" w:type="dxa"/>
            <w:vAlign w:val="bottom"/>
            <w:tcBorders>
              <w:top w:val="single" w:sz="8" w:color="E9F9D8"/>
            </w:tcBorders>
            <w:shd w:val="clear" w:color="auto" w:fill="E9F9D8"/>
          </w:tcPr>
          <w:p>
            <w:pPr>
              <w:spacing w:after="0"/>
              <w:rPr>
                <w:sz w:val="5"/>
                <w:szCs w:val="5"/>
                <w:color w:val="auto"/>
              </w:rPr>
            </w:pPr>
          </w:p>
        </w:tc>
        <w:tc>
          <w:tcPr>
            <w:tcW w:w="420" w:type="dxa"/>
            <w:vAlign w:val="bottom"/>
            <w:tcBorders>
              <w:top w:val="single" w:sz="8" w:color="E9F9D8"/>
            </w:tcBorders>
            <w:shd w:val="clear" w:color="auto" w:fill="E9F9D8"/>
          </w:tcPr>
          <w:p>
            <w:pPr>
              <w:spacing w:after="0"/>
              <w:rPr>
                <w:sz w:val="5"/>
                <w:szCs w:val="5"/>
                <w:color w:val="auto"/>
              </w:rPr>
            </w:pPr>
          </w:p>
        </w:tc>
        <w:tc>
          <w:tcPr>
            <w:tcW w:w="140" w:type="dxa"/>
            <w:vAlign w:val="bottom"/>
            <w:tcBorders>
              <w:top w:val="single" w:sz="8" w:color="E9F9D8"/>
            </w:tcBorders>
            <w:shd w:val="clear" w:color="auto" w:fill="E9F9D8"/>
          </w:tcPr>
          <w:p>
            <w:pPr>
              <w:spacing w:after="0"/>
              <w:rPr>
                <w:sz w:val="5"/>
                <w:szCs w:val="5"/>
                <w:color w:val="auto"/>
              </w:rPr>
            </w:pPr>
          </w:p>
        </w:tc>
        <w:tc>
          <w:tcPr>
            <w:tcW w:w="160" w:type="dxa"/>
            <w:vAlign w:val="bottom"/>
            <w:tcBorders>
              <w:top w:val="single" w:sz="8" w:color="E9F9D8"/>
            </w:tcBorders>
            <w:shd w:val="clear" w:color="auto" w:fill="E9F9D8"/>
          </w:tcPr>
          <w:p>
            <w:pPr>
              <w:spacing w:after="0"/>
              <w:rPr>
                <w:sz w:val="5"/>
                <w:szCs w:val="5"/>
                <w:color w:val="auto"/>
              </w:rPr>
            </w:pPr>
          </w:p>
        </w:tc>
        <w:tc>
          <w:tcPr>
            <w:tcW w:w="300" w:type="dxa"/>
            <w:vAlign w:val="bottom"/>
            <w:tcBorders>
              <w:top w:val="single" w:sz="8" w:color="E9F9D8"/>
            </w:tcBorders>
            <w:shd w:val="clear" w:color="auto" w:fill="E9F9D8"/>
          </w:tcPr>
          <w:p>
            <w:pPr>
              <w:spacing w:after="0"/>
              <w:rPr>
                <w:sz w:val="5"/>
                <w:szCs w:val="5"/>
                <w:color w:val="auto"/>
              </w:rPr>
            </w:pPr>
          </w:p>
        </w:tc>
        <w:tc>
          <w:tcPr>
            <w:tcW w:w="40" w:type="dxa"/>
            <w:vAlign w:val="bottom"/>
            <w:tcBorders>
              <w:top w:val="single" w:sz="8" w:color="E9F9D8"/>
            </w:tcBorders>
            <w:shd w:val="clear" w:color="auto" w:fill="E9F9D8"/>
          </w:tcPr>
          <w:p>
            <w:pPr>
              <w:spacing w:after="0"/>
              <w:rPr>
                <w:sz w:val="5"/>
                <w:szCs w:val="5"/>
                <w:color w:val="auto"/>
              </w:rPr>
            </w:pPr>
          </w:p>
        </w:tc>
        <w:tc>
          <w:tcPr>
            <w:tcW w:w="60" w:type="dxa"/>
            <w:vAlign w:val="bottom"/>
            <w:tcBorders>
              <w:top w:val="single" w:sz="8" w:color="E9F9D8"/>
            </w:tcBorders>
            <w:shd w:val="clear" w:color="auto" w:fill="E9F9D8"/>
          </w:tcPr>
          <w:p>
            <w:pPr>
              <w:spacing w:after="0"/>
              <w:rPr>
                <w:sz w:val="5"/>
                <w:szCs w:val="5"/>
                <w:color w:val="auto"/>
              </w:rPr>
            </w:pPr>
          </w:p>
        </w:tc>
        <w:tc>
          <w:tcPr>
            <w:tcW w:w="600" w:type="dxa"/>
            <w:vAlign w:val="bottom"/>
            <w:tcBorders>
              <w:top w:val="single" w:sz="8" w:color="E9F9D8"/>
            </w:tcBorders>
            <w:shd w:val="clear" w:color="auto" w:fill="E9F9D8"/>
          </w:tcPr>
          <w:p>
            <w:pPr>
              <w:spacing w:after="0"/>
              <w:rPr>
                <w:sz w:val="5"/>
                <w:szCs w:val="5"/>
                <w:color w:val="auto"/>
              </w:rPr>
            </w:pPr>
          </w:p>
        </w:tc>
        <w:tc>
          <w:tcPr>
            <w:tcW w:w="40" w:type="dxa"/>
            <w:vAlign w:val="bottom"/>
            <w:tcBorders>
              <w:top w:val="single" w:sz="8" w:color="E9F9D8"/>
            </w:tcBorders>
            <w:shd w:val="clear" w:color="auto" w:fill="E9F9D8"/>
          </w:tcPr>
          <w:p>
            <w:pPr>
              <w:spacing w:after="0"/>
              <w:rPr>
                <w:sz w:val="5"/>
                <w:szCs w:val="5"/>
                <w:color w:val="auto"/>
              </w:rPr>
            </w:pPr>
          </w:p>
        </w:tc>
        <w:tc>
          <w:tcPr>
            <w:tcW w:w="60" w:type="dxa"/>
            <w:vAlign w:val="bottom"/>
            <w:tcBorders>
              <w:top w:val="single" w:sz="8" w:color="E9F9D8"/>
              <w:right w:val="single" w:sz="8" w:color="E9F9D8"/>
            </w:tcBorders>
            <w:shd w:val="clear" w:color="auto" w:fill="E9F9D8"/>
          </w:tcPr>
          <w:p>
            <w:pPr>
              <w:spacing w:after="0"/>
              <w:rPr>
                <w:sz w:val="5"/>
                <w:szCs w:val="5"/>
                <w:color w:val="auto"/>
              </w:rPr>
            </w:pPr>
          </w:p>
        </w:tc>
        <w:tc>
          <w:tcPr>
            <w:tcW w:w="140" w:type="dxa"/>
            <w:vAlign w:val="bottom"/>
            <w:tcBorders>
              <w:top w:val="single" w:sz="8" w:color="E9F9D8"/>
            </w:tcBorders>
            <w:shd w:val="clear" w:color="auto" w:fill="E9F9D8"/>
          </w:tcPr>
          <w:p>
            <w:pPr>
              <w:spacing w:after="0"/>
              <w:rPr>
                <w:sz w:val="5"/>
                <w:szCs w:val="5"/>
                <w:color w:val="auto"/>
              </w:rPr>
            </w:pPr>
          </w:p>
        </w:tc>
        <w:tc>
          <w:tcPr>
            <w:tcW w:w="20" w:type="dxa"/>
            <w:vAlign w:val="bottom"/>
            <w:tcBorders>
              <w:top w:val="single" w:sz="8" w:color="E9F9D8"/>
            </w:tcBorders>
            <w:shd w:val="clear" w:color="auto" w:fill="E9F9D8"/>
          </w:tcPr>
          <w:p>
            <w:pPr>
              <w:spacing w:after="0"/>
              <w:rPr>
                <w:sz w:val="5"/>
                <w:szCs w:val="5"/>
                <w:color w:val="auto"/>
              </w:rPr>
            </w:pPr>
          </w:p>
        </w:tc>
        <w:tc>
          <w:tcPr>
            <w:tcW w:w="280" w:type="dxa"/>
            <w:vAlign w:val="bottom"/>
            <w:tcBorders>
              <w:top w:val="single" w:sz="8" w:color="E9F9D8"/>
            </w:tcBorders>
            <w:shd w:val="clear" w:color="auto" w:fill="E9F9D8"/>
          </w:tcPr>
          <w:p>
            <w:pPr>
              <w:spacing w:after="0"/>
              <w:rPr>
                <w:sz w:val="5"/>
                <w:szCs w:val="5"/>
                <w:color w:val="auto"/>
              </w:rPr>
            </w:pPr>
          </w:p>
        </w:tc>
        <w:tc>
          <w:tcPr>
            <w:tcW w:w="80" w:type="dxa"/>
            <w:vAlign w:val="bottom"/>
            <w:tcBorders>
              <w:top w:val="single" w:sz="8" w:color="E9F9D8"/>
            </w:tcBorders>
            <w:shd w:val="clear" w:color="auto" w:fill="E9F9D8"/>
          </w:tcPr>
          <w:p>
            <w:pPr>
              <w:spacing w:after="0"/>
              <w:rPr>
                <w:sz w:val="5"/>
                <w:szCs w:val="5"/>
                <w:color w:val="auto"/>
              </w:rPr>
            </w:pPr>
          </w:p>
        </w:tc>
        <w:tc>
          <w:tcPr>
            <w:tcW w:w="240" w:type="dxa"/>
            <w:vAlign w:val="bottom"/>
            <w:tcBorders>
              <w:top w:val="single" w:sz="8" w:color="E9F9D8"/>
              <w:right w:val="single" w:sz="8" w:color="E9F9D8"/>
            </w:tcBorders>
            <w:shd w:val="clear" w:color="auto" w:fill="E9F9D8"/>
          </w:tcPr>
          <w:p>
            <w:pPr>
              <w:spacing w:after="0"/>
              <w:rPr>
                <w:sz w:val="5"/>
                <w:szCs w:val="5"/>
                <w:color w:val="auto"/>
              </w:rPr>
            </w:pPr>
          </w:p>
        </w:tc>
        <w:tc>
          <w:tcPr>
            <w:tcW w:w="120" w:type="dxa"/>
            <w:vAlign w:val="bottom"/>
            <w:tcBorders>
              <w:top w:val="single" w:sz="8" w:color="E9F9D8"/>
            </w:tcBorders>
            <w:shd w:val="clear" w:color="auto" w:fill="E9F9D8"/>
          </w:tcPr>
          <w:p>
            <w:pPr>
              <w:spacing w:after="0"/>
              <w:rPr>
                <w:sz w:val="5"/>
                <w:szCs w:val="5"/>
                <w:color w:val="auto"/>
              </w:rPr>
            </w:pPr>
          </w:p>
        </w:tc>
        <w:tc>
          <w:tcPr>
            <w:tcW w:w="20" w:type="dxa"/>
            <w:vAlign w:val="bottom"/>
            <w:tcBorders>
              <w:top w:val="single" w:sz="8" w:color="E9F9D8"/>
            </w:tcBorders>
            <w:shd w:val="clear" w:color="auto" w:fill="E9F9D8"/>
          </w:tcPr>
          <w:p>
            <w:pPr>
              <w:spacing w:after="0"/>
              <w:rPr>
                <w:sz w:val="5"/>
                <w:szCs w:val="5"/>
                <w:color w:val="auto"/>
              </w:rPr>
            </w:pPr>
          </w:p>
        </w:tc>
        <w:tc>
          <w:tcPr>
            <w:tcW w:w="60" w:type="dxa"/>
            <w:vAlign w:val="bottom"/>
            <w:tcBorders>
              <w:top w:val="single" w:sz="8" w:color="E9F9D8"/>
            </w:tcBorders>
            <w:shd w:val="clear" w:color="auto" w:fill="E9F9D8"/>
          </w:tcPr>
          <w:p>
            <w:pPr>
              <w:spacing w:after="0"/>
              <w:rPr>
                <w:sz w:val="5"/>
                <w:szCs w:val="5"/>
                <w:color w:val="auto"/>
              </w:rPr>
            </w:pPr>
          </w:p>
        </w:tc>
        <w:tc>
          <w:tcPr>
            <w:tcW w:w="20" w:type="dxa"/>
            <w:vAlign w:val="bottom"/>
            <w:tcBorders>
              <w:top w:val="single" w:sz="8" w:color="E9F9D8"/>
            </w:tcBorders>
            <w:shd w:val="clear" w:color="auto" w:fill="E9F9D8"/>
          </w:tcPr>
          <w:p>
            <w:pPr>
              <w:spacing w:after="0"/>
              <w:rPr>
                <w:sz w:val="5"/>
                <w:szCs w:val="5"/>
                <w:color w:val="auto"/>
              </w:rPr>
            </w:pPr>
          </w:p>
        </w:tc>
        <w:tc>
          <w:tcPr>
            <w:tcW w:w="200" w:type="dxa"/>
            <w:vAlign w:val="bottom"/>
            <w:tcBorders>
              <w:top w:val="single" w:sz="8" w:color="E9F9D8"/>
            </w:tcBorders>
            <w:shd w:val="clear" w:color="auto" w:fill="E9F9D8"/>
          </w:tcPr>
          <w:p>
            <w:pPr>
              <w:spacing w:after="0"/>
              <w:rPr>
                <w:sz w:val="5"/>
                <w:szCs w:val="5"/>
                <w:color w:val="auto"/>
              </w:rPr>
            </w:pPr>
          </w:p>
        </w:tc>
        <w:tc>
          <w:tcPr>
            <w:tcW w:w="380" w:type="dxa"/>
            <w:vAlign w:val="bottom"/>
            <w:tcBorders>
              <w:top w:val="single" w:sz="8" w:color="E9F9D8"/>
            </w:tcBorders>
            <w:shd w:val="clear" w:color="auto" w:fill="E9F9D8"/>
          </w:tcPr>
          <w:p>
            <w:pPr>
              <w:spacing w:after="0"/>
              <w:rPr>
                <w:sz w:val="5"/>
                <w:szCs w:val="5"/>
                <w:color w:val="auto"/>
              </w:rPr>
            </w:pPr>
          </w:p>
        </w:tc>
        <w:tc>
          <w:tcPr>
            <w:tcW w:w="120" w:type="dxa"/>
            <w:vAlign w:val="bottom"/>
            <w:tcBorders>
              <w:top w:val="single" w:sz="8" w:color="E9F9D8"/>
              <w:right w:val="single" w:sz="8" w:color="E9F9D8"/>
            </w:tcBorders>
            <w:shd w:val="clear" w:color="auto" w:fill="E9F9D8"/>
          </w:tcPr>
          <w:p>
            <w:pPr>
              <w:spacing w:after="0"/>
              <w:rPr>
                <w:sz w:val="5"/>
                <w:szCs w:val="5"/>
                <w:color w:val="auto"/>
              </w:rPr>
            </w:pPr>
          </w:p>
        </w:tc>
        <w:tc>
          <w:tcPr>
            <w:tcW w:w="120" w:type="dxa"/>
            <w:vAlign w:val="bottom"/>
            <w:tcBorders>
              <w:top w:val="single" w:sz="8" w:color="E9F9D8"/>
            </w:tcBorders>
            <w:shd w:val="clear" w:color="auto" w:fill="E9F9D8"/>
          </w:tcPr>
          <w:p>
            <w:pPr>
              <w:spacing w:after="0"/>
              <w:rPr>
                <w:sz w:val="5"/>
                <w:szCs w:val="5"/>
                <w:color w:val="auto"/>
              </w:rPr>
            </w:pPr>
          </w:p>
        </w:tc>
        <w:tc>
          <w:tcPr>
            <w:tcW w:w="60" w:type="dxa"/>
            <w:vAlign w:val="bottom"/>
            <w:vMerge w:val="restart"/>
          </w:tcPr>
          <w:p>
            <w:pPr>
              <w:spacing w:after="0"/>
              <w:rPr>
                <w:sz w:val="20"/>
                <w:szCs w:val="20"/>
                <w:color w:val="auto"/>
              </w:rPr>
            </w:pPr>
            <w:r>
              <w:rPr>
                <w:rFonts w:ascii="Arial" w:cs="Arial" w:eastAsia="Arial" w:hAnsi="Arial"/>
                <w:sz w:val="16"/>
                <w:szCs w:val="16"/>
                <w:b w:val="1"/>
                <w:bCs w:val="1"/>
                <w:color w:val="1F2668"/>
              </w:rPr>
              <w:t>​</w:t>
            </w:r>
          </w:p>
        </w:tc>
        <w:tc>
          <w:tcPr>
            <w:tcW w:w="0" w:type="dxa"/>
            <w:vAlign w:val="bottom"/>
          </w:tcPr>
          <w:p>
            <w:pPr>
              <w:spacing w:after="0"/>
              <w:rPr>
                <w:sz w:val="1"/>
                <w:szCs w:val="1"/>
                <w:color w:val="auto"/>
              </w:rPr>
            </w:pPr>
          </w:p>
        </w:tc>
      </w:tr>
      <w:tr>
        <w:trPr>
          <w:trHeight w:val="135"/>
        </w:trPr>
        <w:tc>
          <w:tcPr>
            <w:tcW w:w="700" w:type="dxa"/>
            <w:vAlign w:val="bottom"/>
            <w:gridSpan w:val="3"/>
          </w:tcPr>
          <w:p>
            <w:pPr>
              <w:spacing w:after="0" w:line="135" w:lineRule="exact"/>
              <w:rPr>
                <w:sz w:val="20"/>
                <w:szCs w:val="20"/>
                <w:color w:val="auto"/>
              </w:rPr>
            </w:pPr>
            <w:r>
              <w:rPr>
                <w:rFonts w:ascii="Arial" w:cs="Arial" w:eastAsia="Arial" w:hAnsi="Arial"/>
                <w:sz w:val="15"/>
                <w:szCs w:val="15"/>
                <w:b w:val="1"/>
                <w:bCs w:val="1"/>
                <w:color w:val="1F2668"/>
              </w:rPr>
              <w:t>​</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gridSpan w:val="2"/>
          </w:tcPr>
          <w:p>
            <w:pPr>
              <w:jc w:val="right"/>
              <w:ind w:right="100"/>
              <w:spacing w:after="0" w:line="135" w:lineRule="exact"/>
              <w:rPr>
                <w:sz w:val="20"/>
                <w:szCs w:val="20"/>
                <w:color w:val="auto"/>
              </w:rPr>
            </w:pPr>
            <w:r>
              <w:rPr>
                <w:rFonts w:ascii="Arial" w:cs="Arial" w:eastAsia="Arial" w:hAnsi="Arial"/>
                <w:sz w:val="15"/>
                <w:szCs w:val="15"/>
                <w:b w:val="1"/>
                <w:bCs w:val="1"/>
                <w:color w:val="1F2668"/>
              </w:rPr>
              <w:t>​ ​​</w:t>
            </w:r>
          </w:p>
        </w:tc>
        <w:tc>
          <w:tcPr>
            <w:tcW w:w="120" w:type="dxa"/>
            <w:vAlign w:val="bottom"/>
          </w:tcPr>
          <w:p>
            <w:pPr>
              <w:spacing w:after="0"/>
              <w:rPr>
                <w:sz w:val="11"/>
                <w:szCs w:val="11"/>
                <w:color w:val="auto"/>
              </w:rPr>
            </w:pPr>
          </w:p>
        </w:tc>
        <w:tc>
          <w:tcPr>
            <w:tcW w:w="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280" w:type="dxa"/>
            <w:vAlign w:val="bottom"/>
            <w:gridSpan w:val="17"/>
          </w:tcPr>
          <w:p>
            <w:pPr>
              <w:spacing w:after="0" w:line="108" w:lineRule="exact"/>
              <w:rPr>
                <w:sz w:val="20"/>
                <w:szCs w:val="20"/>
                <w:color w:val="auto"/>
              </w:rPr>
            </w:pPr>
            <w:r>
              <w:rPr>
                <w:rFonts w:ascii="Arial" w:cs="Arial" w:eastAsia="Arial" w:hAnsi="Arial"/>
                <w:sz w:val="12"/>
                <w:szCs w:val="12"/>
                <w:b w:val="1"/>
                <w:bCs w:val="1"/>
                <w:color w:val="1F2668"/>
              </w:rPr>
              <w:t>Compensation Discussion And Analysis</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gridSpan w:val="2"/>
          </w:tcPr>
          <w:p>
            <w:pPr>
              <w:jc w:val="right"/>
              <w:ind w:right="100"/>
              <w:spacing w:after="0" w:line="108" w:lineRule="exact"/>
              <w:rPr>
                <w:sz w:val="20"/>
                <w:szCs w:val="20"/>
                <w:color w:val="auto"/>
              </w:rPr>
            </w:pPr>
            <w:r>
              <w:rPr>
                <w:rFonts w:ascii="Arial" w:cs="Arial" w:eastAsia="Arial" w:hAnsi="Arial"/>
                <w:sz w:val="12"/>
                <w:szCs w:val="12"/>
                <w:b w:val="1"/>
                <w:bCs w:val="1"/>
                <w:color w:val="1F2668"/>
              </w:rPr>
              <w:t>​</w:t>
            </w:r>
          </w:p>
        </w:tc>
        <w:tc>
          <w:tcPr>
            <w:tcW w:w="180" w:type="dxa"/>
            <w:vAlign w:val="bottom"/>
            <w:gridSpan w:val="2"/>
          </w:tcPr>
          <w:p>
            <w:pPr>
              <w:jc w:val="right"/>
              <w:spacing w:after="0" w:line="108" w:lineRule="exact"/>
              <w:rPr>
                <w:sz w:val="20"/>
                <w:szCs w:val="20"/>
                <w:color w:val="auto"/>
              </w:rPr>
            </w:pPr>
            <w:r>
              <w:rPr>
                <w:rFonts w:ascii="Arial" w:cs="Arial" w:eastAsia="Arial" w:hAnsi="Arial"/>
                <w:sz w:val="12"/>
                <w:szCs w:val="12"/>
                <w:b w:val="1"/>
                <w:bCs w:val="1"/>
                <w:color w:val="1F2668"/>
                <w:w w:val="74"/>
              </w:rPr>
              <w:t>41</w:t>
            </w:r>
          </w:p>
        </w:tc>
        <w:tc>
          <w:tcPr>
            <w:tcW w:w="0" w:type="dxa"/>
            <w:vAlign w:val="bottom"/>
          </w:tcPr>
          <w:p>
            <w:pPr>
              <w:spacing w:after="0"/>
              <w:rPr>
                <w:sz w:val="1"/>
                <w:szCs w:val="1"/>
                <w:color w:val="auto"/>
              </w:rPr>
            </w:pPr>
          </w:p>
        </w:tc>
      </w:tr>
      <w:tr>
        <w:trPr>
          <w:trHeight w:val="196"/>
        </w:trPr>
        <w:tc>
          <w:tcPr>
            <w:tcW w:w="700" w:type="dxa"/>
            <w:vAlign w:val="bottom"/>
            <w:tcBorders>
              <w:top w:val="single" w:sz="8" w:color="1F2668"/>
            </w:tcBorders>
            <w:gridSpan w:val="3"/>
          </w:tcPr>
          <w:p>
            <w:pPr>
              <w:spacing w:after="0"/>
              <w:rPr>
                <w:sz w:val="20"/>
                <w:szCs w:val="20"/>
                <w:color w:val="auto"/>
              </w:rPr>
            </w:pPr>
            <w:r>
              <w:rPr>
                <w:rFonts w:ascii="Arial" w:cs="Arial" w:eastAsia="Arial" w:hAnsi="Arial"/>
                <w:sz w:val="16"/>
                <w:szCs w:val="16"/>
                <w:b w:val="1"/>
                <w:bCs w:val="1"/>
                <w:color w:val="1F2668"/>
              </w:rPr>
              <w:t>​</w:t>
            </w:r>
          </w:p>
        </w:tc>
        <w:tc>
          <w:tcPr>
            <w:tcW w:w="420" w:type="dxa"/>
            <w:vAlign w:val="bottom"/>
            <w:tcBorders>
              <w:top w:val="single" w:sz="8" w:color="1F2668"/>
            </w:tcBorders>
          </w:tcPr>
          <w:p>
            <w:pPr>
              <w:spacing w:after="0"/>
              <w:rPr>
                <w:sz w:val="17"/>
                <w:szCs w:val="17"/>
                <w:color w:val="auto"/>
              </w:rPr>
            </w:pPr>
          </w:p>
        </w:tc>
        <w:tc>
          <w:tcPr>
            <w:tcW w:w="140" w:type="dxa"/>
            <w:vAlign w:val="bottom"/>
            <w:tcBorders>
              <w:top w:val="single" w:sz="8" w:color="1F2668"/>
            </w:tcBorders>
          </w:tcPr>
          <w:p>
            <w:pPr>
              <w:spacing w:after="0"/>
              <w:rPr>
                <w:sz w:val="17"/>
                <w:szCs w:val="17"/>
                <w:color w:val="auto"/>
              </w:rPr>
            </w:pPr>
          </w:p>
        </w:tc>
        <w:tc>
          <w:tcPr>
            <w:tcW w:w="160" w:type="dxa"/>
            <w:vAlign w:val="bottom"/>
            <w:tcBorders>
              <w:top w:val="single" w:sz="8" w:color="1F2668"/>
            </w:tcBorders>
          </w:tcPr>
          <w:p>
            <w:pPr>
              <w:spacing w:after="0"/>
              <w:rPr>
                <w:sz w:val="17"/>
                <w:szCs w:val="17"/>
                <w:color w:val="auto"/>
              </w:rPr>
            </w:pPr>
          </w:p>
        </w:tc>
        <w:tc>
          <w:tcPr>
            <w:tcW w:w="300" w:type="dxa"/>
            <w:vAlign w:val="bottom"/>
            <w:tcBorders>
              <w:top w:val="single" w:sz="8" w:color="1F2668"/>
            </w:tcBorders>
          </w:tcPr>
          <w:p>
            <w:pPr>
              <w:spacing w:after="0"/>
              <w:rPr>
                <w:sz w:val="17"/>
                <w:szCs w:val="17"/>
                <w:color w:val="auto"/>
              </w:rPr>
            </w:pPr>
          </w:p>
        </w:tc>
        <w:tc>
          <w:tcPr>
            <w:tcW w:w="40" w:type="dxa"/>
            <w:vAlign w:val="bottom"/>
            <w:tcBorders>
              <w:top w:val="single" w:sz="8" w:color="1F2668"/>
            </w:tcBorders>
          </w:tcPr>
          <w:p>
            <w:pPr>
              <w:spacing w:after="0"/>
              <w:rPr>
                <w:sz w:val="17"/>
                <w:szCs w:val="17"/>
                <w:color w:val="auto"/>
              </w:rPr>
            </w:pPr>
          </w:p>
        </w:tc>
        <w:tc>
          <w:tcPr>
            <w:tcW w:w="60" w:type="dxa"/>
            <w:vAlign w:val="bottom"/>
            <w:tcBorders>
              <w:top w:val="single" w:sz="8" w:color="1F2668"/>
            </w:tcBorders>
          </w:tcPr>
          <w:p>
            <w:pPr>
              <w:spacing w:after="0"/>
              <w:rPr>
                <w:sz w:val="17"/>
                <w:szCs w:val="17"/>
                <w:color w:val="auto"/>
              </w:rPr>
            </w:pPr>
          </w:p>
        </w:tc>
        <w:tc>
          <w:tcPr>
            <w:tcW w:w="600" w:type="dxa"/>
            <w:vAlign w:val="bottom"/>
            <w:tcBorders>
              <w:top w:val="single" w:sz="8" w:color="1F2668"/>
            </w:tcBorders>
          </w:tcPr>
          <w:p>
            <w:pPr>
              <w:spacing w:after="0"/>
              <w:rPr>
                <w:sz w:val="17"/>
                <w:szCs w:val="17"/>
                <w:color w:val="auto"/>
              </w:rPr>
            </w:pPr>
          </w:p>
        </w:tc>
        <w:tc>
          <w:tcPr>
            <w:tcW w:w="40" w:type="dxa"/>
            <w:vAlign w:val="bottom"/>
            <w:tcBorders>
              <w:top w:val="single" w:sz="8" w:color="1F2668"/>
            </w:tcBorders>
          </w:tcPr>
          <w:p>
            <w:pPr>
              <w:spacing w:after="0"/>
              <w:rPr>
                <w:sz w:val="17"/>
                <w:szCs w:val="17"/>
                <w:color w:val="auto"/>
              </w:rPr>
            </w:pPr>
          </w:p>
        </w:tc>
        <w:tc>
          <w:tcPr>
            <w:tcW w:w="60" w:type="dxa"/>
            <w:vAlign w:val="bottom"/>
            <w:tcBorders>
              <w:top w:val="single" w:sz="8" w:color="1F2668"/>
            </w:tcBorders>
          </w:tcPr>
          <w:p>
            <w:pPr>
              <w:spacing w:after="0"/>
              <w:rPr>
                <w:sz w:val="17"/>
                <w:szCs w:val="17"/>
                <w:color w:val="auto"/>
              </w:rPr>
            </w:pPr>
          </w:p>
        </w:tc>
        <w:tc>
          <w:tcPr>
            <w:tcW w:w="140" w:type="dxa"/>
            <w:vAlign w:val="bottom"/>
            <w:tcBorders>
              <w:top w:val="single" w:sz="8" w:color="1F2668"/>
            </w:tcBorders>
          </w:tcPr>
          <w:p>
            <w:pPr>
              <w:spacing w:after="0"/>
              <w:rPr>
                <w:sz w:val="17"/>
                <w:szCs w:val="17"/>
                <w:color w:val="auto"/>
              </w:rPr>
            </w:pPr>
          </w:p>
        </w:tc>
        <w:tc>
          <w:tcPr>
            <w:tcW w:w="20" w:type="dxa"/>
            <w:vAlign w:val="bottom"/>
            <w:tcBorders>
              <w:top w:val="single" w:sz="8" w:color="1F2668"/>
            </w:tcBorders>
          </w:tcPr>
          <w:p>
            <w:pPr>
              <w:spacing w:after="0"/>
              <w:rPr>
                <w:sz w:val="17"/>
                <w:szCs w:val="17"/>
                <w:color w:val="auto"/>
              </w:rPr>
            </w:pPr>
          </w:p>
        </w:tc>
        <w:tc>
          <w:tcPr>
            <w:tcW w:w="280" w:type="dxa"/>
            <w:vAlign w:val="bottom"/>
            <w:tcBorders>
              <w:top w:val="single" w:sz="8" w:color="1F2668"/>
            </w:tcBorders>
          </w:tcPr>
          <w:p>
            <w:pPr>
              <w:spacing w:after="0"/>
              <w:rPr>
                <w:sz w:val="17"/>
                <w:szCs w:val="17"/>
                <w:color w:val="auto"/>
              </w:rPr>
            </w:pPr>
          </w:p>
        </w:tc>
        <w:tc>
          <w:tcPr>
            <w:tcW w:w="80" w:type="dxa"/>
            <w:vAlign w:val="bottom"/>
            <w:tcBorders>
              <w:top w:val="single" w:sz="8" w:color="1F2668"/>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1F2668"/>
              </w:rPr>
              <w:t>​ ​​</w:t>
            </w:r>
          </w:p>
        </w:tc>
        <w:tc>
          <w:tcPr>
            <w:tcW w:w="120" w:type="dxa"/>
            <w:vAlign w:val="bottom"/>
            <w:tcBorders>
              <w:top w:val="single" w:sz="8" w:color="1F2668"/>
            </w:tcBorders>
          </w:tcPr>
          <w:p>
            <w:pPr>
              <w:spacing w:after="0"/>
              <w:rPr>
                <w:sz w:val="17"/>
                <w:szCs w:val="17"/>
                <w:color w:val="auto"/>
              </w:rPr>
            </w:pPr>
          </w:p>
        </w:tc>
        <w:tc>
          <w:tcPr>
            <w:tcW w:w="60" w:type="dxa"/>
            <w:vAlign w:val="bottom"/>
          </w:tcPr>
          <w:p>
            <w:pPr>
              <w:spacing w:after="0"/>
              <w:rPr>
                <w:sz w:val="20"/>
                <w:szCs w:val="20"/>
                <w:color w:val="auto"/>
              </w:rPr>
            </w:pPr>
            <w:r>
              <w:rPr>
                <w:rFonts w:ascii="Arial" w:cs="Arial" w:eastAsia="Arial" w:hAnsi="Arial"/>
                <w:sz w:val="16"/>
                <w:szCs w:val="16"/>
                <w:b w:val="1"/>
                <w:bCs w:val="1"/>
                <w:color w:val="1F2668"/>
              </w:rPr>
              <w:t>​</w:t>
            </w:r>
          </w:p>
        </w:tc>
        <w:tc>
          <w:tcPr>
            <w:tcW w:w="0" w:type="dxa"/>
            <w:vAlign w:val="bottom"/>
          </w:tcPr>
          <w:p>
            <w:pPr>
              <w:spacing w:after="0"/>
              <w:rPr>
                <w:sz w:val="1"/>
                <w:szCs w:val="1"/>
                <w:color w:val="auto"/>
              </w:rPr>
            </w:pPr>
          </w:p>
        </w:tc>
      </w:tr>
      <w:tr>
        <w:trPr>
          <w:trHeight w:val="108"/>
        </w:trPr>
        <w:tc>
          <w:tcPr>
            <w:tcW w:w="3280" w:type="dxa"/>
            <w:vAlign w:val="bottom"/>
            <w:gridSpan w:val="17"/>
          </w:tcPr>
          <w:p>
            <w:pPr>
              <w:spacing w:after="0" w:line="108" w:lineRule="exact"/>
              <w:rPr>
                <w:sz w:val="20"/>
                <w:szCs w:val="20"/>
                <w:color w:val="auto"/>
              </w:rPr>
            </w:pPr>
            <w:r>
              <w:rPr>
                <w:rFonts w:ascii="Arial" w:cs="Arial" w:eastAsia="Arial" w:hAnsi="Arial"/>
                <w:sz w:val="12"/>
                <w:szCs w:val="12"/>
                <w:b w:val="1"/>
                <w:bCs w:val="1"/>
                <w:color w:val="1F2668"/>
              </w:rPr>
              <w:t>Compensation Committee Report</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gridSpan w:val="2"/>
          </w:tcPr>
          <w:p>
            <w:pPr>
              <w:jc w:val="right"/>
              <w:ind w:right="100"/>
              <w:spacing w:after="0" w:line="108" w:lineRule="exact"/>
              <w:rPr>
                <w:sz w:val="20"/>
                <w:szCs w:val="20"/>
                <w:color w:val="auto"/>
              </w:rPr>
            </w:pPr>
            <w:r>
              <w:rPr>
                <w:rFonts w:ascii="Arial" w:cs="Arial" w:eastAsia="Arial" w:hAnsi="Arial"/>
                <w:sz w:val="12"/>
                <w:szCs w:val="12"/>
                <w:b w:val="1"/>
                <w:bCs w:val="1"/>
                <w:color w:val="1F2668"/>
              </w:rPr>
              <w:t>​</w:t>
            </w:r>
          </w:p>
        </w:tc>
        <w:tc>
          <w:tcPr>
            <w:tcW w:w="180" w:type="dxa"/>
            <w:vAlign w:val="bottom"/>
            <w:gridSpan w:val="2"/>
          </w:tcPr>
          <w:p>
            <w:pPr>
              <w:jc w:val="right"/>
              <w:spacing w:after="0" w:line="108" w:lineRule="exact"/>
              <w:rPr>
                <w:sz w:val="20"/>
                <w:szCs w:val="20"/>
                <w:color w:val="auto"/>
              </w:rPr>
            </w:pPr>
            <w:r>
              <w:rPr>
                <w:rFonts w:ascii="Arial" w:cs="Arial" w:eastAsia="Arial" w:hAnsi="Arial"/>
                <w:sz w:val="12"/>
                <w:szCs w:val="12"/>
                <w:b w:val="1"/>
                <w:bCs w:val="1"/>
                <w:color w:val="1F2668"/>
                <w:w w:val="74"/>
              </w:rPr>
              <w:t>66</w:t>
            </w:r>
          </w:p>
        </w:tc>
        <w:tc>
          <w:tcPr>
            <w:tcW w:w="0" w:type="dxa"/>
            <w:vAlign w:val="bottom"/>
          </w:tcPr>
          <w:p>
            <w:pPr>
              <w:spacing w:after="0"/>
              <w:rPr>
                <w:sz w:val="1"/>
                <w:szCs w:val="1"/>
                <w:color w:val="auto"/>
              </w:rPr>
            </w:pPr>
          </w:p>
        </w:tc>
      </w:tr>
      <w:tr>
        <w:trPr>
          <w:trHeight w:val="196"/>
        </w:trPr>
        <w:tc>
          <w:tcPr>
            <w:tcW w:w="700" w:type="dxa"/>
            <w:vAlign w:val="bottom"/>
            <w:tcBorders>
              <w:top w:val="single" w:sz="8" w:color="1F2668"/>
            </w:tcBorders>
            <w:gridSpan w:val="3"/>
          </w:tcPr>
          <w:p>
            <w:pPr>
              <w:spacing w:after="0"/>
              <w:rPr>
                <w:sz w:val="20"/>
                <w:szCs w:val="20"/>
                <w:color w:val="auto"/>
              </w:rPr>
            </w:pPr>
            <w:r>
              <w:rPr>
                <w:rFonts w:ascii="Arial" w:cs="Arial" w:eastAsia="Arial" w:hAnsi="Arial"/>
                <w:sz w:val="16"/>
                <w:szCs w:val="16"/>
                <w:b w:val="1"/>
                <w:bCs w:val="1"/>
                <w:color w:val="1F2668"/>
              </w:rPr>
              <w:t>​</w:t>
            </w:r>
          </w:p>
        </w:tc>
        <w:tc>
          <w:tcPr>
            <w:tcW w:w="420" w:type="dxa"/>
            <w:vAlign w:val="bottom"/>
            <w:tcBorders>
              <w:top w:val="single" w:sz="8" w:color="1F2668"/>
            </w:tcBorders>
          </w:tcPr>
          <w:p>
            <w:pPr>
              <w:spacing w:after="0"/>
              <w:rPr>
                <w:sz w:val="17"/>
                <w:szCs w:val="17"/>
                <w:color w:val="auto"/>
              </w:rPr>
            </w:pPr>
          </w:p>
        </w:tc>
        <w:tc>
          <w:tcPr>
            <w:tcW w:w="140" w:type="dxa"/>
            <w:vAlign w:val="bottom"/>
            <w:tcBorders>
              <w:top w:val="single" w:sz="8" w:color="1F2668"/>
            </w:tcBorders>
          </w:tcPr>
          <w:p>
            <w:pPr>
              <w:spacing w:after="0"/>
              <w:rPr>
                <w:sz w:val="17"/>
                <w:szCs w:val="17"/>
                <w:color w:val="auto"/>
              </w:rPr>
            </w:pPr>
          </w:p>
        </w:tc>
        <w:tc>
          <w:tcPr>
            <w:tcW w:w="160" w:type="dxa"/>
            <w:vAlign w:val="bottom"/>
            <w:tcBorders>
              <w:top w:val="single" w:sz="8" w:color="1F2668"/>
            </w:tcBorders>
          </w:tcPr>
          <w:p>
            <w:pPr>
              <w:spacing w:after="0"/>
              <w:rPr>
                <w:sz w:val="17"/>
                <w:szCs w:val="17"/>
                <w:color w:val="auto"/>
              </w:rPr>
            </w:pPr>
          </w:p>
        </w:tc>
        <w:tc>
          <w:tcPr>
            <w:tcW w:w="300" w:type="dxa"/>
            <w:vAlign w:val="bottom"/>
            <w:tcBorders>
              <w:top w:val="single" w:sz="8" w:color="1F2668"/>
            </w:tcBorders>
          </w:tcPr>
          <w:p>
            <w:pPr>
              <w:spacing w:after="0"/>
              <w:rPr>
                <w:sz w:val="17"/>
                <w:szCs w:val="17"/>
                <w:color w:val="auto"/>
              </w:rPr>
            </w:pPr>
          </w:p>
        </w:tc>
        <w:tc>
          <w:tcPr>
            <w:tcW w:w="40" w:type="dxa"/>
            <w:vAlign w:val="bottom"/>
            <w:tcBorders>
              <w:top w:val="single" w:sz="8" w:color="1F2668"/>
            </w:tcBorders>
          </w:tcPr>
          <w:p>
            <w:pPr>
              <w:spacing w:after="0"/>
              <w:rPr>
                <w:sz w:val="17"/>
                <w:szCs w:val="17"/>
                <w:color w:val="auto"/>
              </w:rPr>
            </w:pPr>
          </w:p>
        </w:tc>
        <w:tc>
          <w:tcPr>
            <w:tcW w:w="60" w:type="dxa"/>
            <w:vAlign w:val="bottom"/>
            <w:tcBorders>
              <w:top w:val="single" w:sz="8" w:color="1F2668"/>
            </w:tcBorders>
          </w:tcPr>
          <w:p>
            <w:pPr>
              <w:spacing w:after="0"/>
              <w:rPr>
                <w:sz w:val="17"/>
                <w:szCs w:val="17"/>
                <w:color w:val="auto"/>
              </w:rPr>
            </w:pPr>
          </w:p>
        </w:tc>
        <w:tc>
          <w:tcPr>
            <w:tcW w:w="600" w:type="dxa"/>
            <w:vAlign w:val="bottom"/>
            <w:tcBorders>
              <w:top w:val="single" w:sz="8" w:color="1F2668"/>
            </w:tcBorders>
          </w:tcPr>
          <w:p>
            <w:pPr>
              <w:spacing w:after="0"/>
              <w:rPr>
                <w:sz w:val="17"/>
                <w:szCs w:val="17"/>
                <w:color w:val="auto"/>
              </w:rPr>
            </w:pPr>
          </w:p>
        </w:tc>
        <w:tc>
          <w:tcPr>
            <w:tcW w:w="40" w:type="dxa"/>
            <w:vAlign w:val="bottom"/>
            <w:tcBorders>
              <w:top w:val="single" w:sz="8" w:color="1F2668"/>
            </w:tcBorders>
          </w:tcPr>
          <w:p>
            <w:pPr>
              <w:spacing w:after="0"/>
              <w:rPr>
                <w:sz w:val="17"/>
                <w:szCs w:val="17"/>
                <w:color w:val="auto"/>
              </w:rPr>
            </w:pPr>
          </w:p>
        </w:tc>
        <w:tc>
          <w:tcPr>
            <w:tcW w:w="60" w:type="dxa"/>
            <w:vAlign w:val="bottom"/>
            <w:tcBorders>
              <w:top w:val="single" w:sz="8" w:color="1F2668"/>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1F2668"/>
              </w:rPr>
              <w:t>​ ​​</w:t>
            </w:r>
          </w:p>
        </w:tc>
        <w:tc>
          <w:tcPr>
            <w:tcW w:w="120" w:type="dxa"/>
            <w:vAlign w:val="bottom"/>
            <w:tcBorders>
              <w:top w:val="single" w:sz="8" w:color="1F2668"/>
            </w:tcBorders>
          </w:tcPr>
          <w:p>
            <w:pPr>
              <w:spacing w:after="0"/>
              <w:rPr>
                <w:sz w:val="17"/>
                <w:szCs w:val="17"/>
                <w:color w:val="auto"/>
              </w:rPr>
            </w:pPr>
          </w:p>
        </w:tc>
        <w:tc>
          <w:tcPr>
            <w:tcW w:w="60" w:type="dxa"/>
            <w:vAlign w:val="bottom"/>
          </w:tcPr>
          <w:p>
            <w:pPr>
              <w:spacing w:after="0"/>
              <w:rPr>
                <w:sz w:val="20"/>
                <w:szCs w:val="20"/>
                <w:color w:val="auto"/>
              </w:rPr>
            </w:pPr>
            <w:r>
              <w:rPr>
                <w:rFonts w:ascii="Arial" w:cs="Arial" w:eastAsia="Arial" w:hAnsi="Arial"/>
                <w:sz w:val="16"/>
                <w:szCs w:val="16"/>
                <w:b w:val="1"/>
                <w:bCs w:val="1"/>
                <w:color w:val="1F2668"/>
              </w:rPr>
              <w:t>​</w:t>
            </w:r>
          </w:p>
        </w:tc>
        <w:tc>
          <w:tcPr>
            <w:tcW w:w="0" w:type="dxa"/>
            <w:vAlign w:val="bottom"/>
          </w:tcPr>
          <w:p>
            <w:pPr>
              <w:spacing w:after="0"/>
              <w:rPr>
                <w:sz w:val="1"/>
                <w:szCs w:val="1"/>
                <w:color w:val="auto"/>
              </w:rPr>
            </w:pPr>
          </w:p>
        </w:tc>
      </w:tr>
      <w:tr>
        <w:trPr>
          <w:trHeight w:val="108"/>
        </w:trPr>
        <w:tc>
          <w:tcPr>
            <w:tcW w:w="3280" w:type="dxa"/>
            <w:vAlign w:val="bottom"/>
            <w:gridSpan w:val="17"/>
          </w:tcPr>
          <w:p>
            <w:pPr>
              <w:spacing w:after="0" w:line="108" w:lineRule="exact"/>
              <w:rPr>
                <w:sz w:val="20"/>
                <w:szCs w:val="20"/>
                <w:color w:val="auto"/>
              </w:rPr>
            </w:pPr>
            <w:r>
              <w:rPr>
                <w:rFonts w:ascii="Arial" w:cs="Arial" w:eastAsia="Arial" w:hAnsi="Arial"/>
                <w:sz w:val="12"/>
                <w:szCs w:val="12"/>
                <w:b w:val="1"/>
                <w:bCs w:val="1"/>
                <w:color w:val="1F2668"/>
              </w:rPr>
              <w:t>Executive Compensation Tables</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gridSpan w:val="2"/>
          </w:tcPr>
          <w:p>
            <w:pPr>
              <w:jc w:val="right"/>
              <w:ind w:right="100"/>
              <w:spacing w:after="0" w:line="108" w:lineRule="exact"/>
              <w:rPr>
                <w:sz w:val="20"/>
                <w:szCs w:val="20"/>
                <w:color w:val="auto"/>
              </w:rPr>
            </w:pPr>
            <w:r>
              <w:rPr>
                <w:rFonts w:ascii="Arial" w:cs="Arial" w:eastAsia="Arial" w:hAnsi="Arial"/>
                <w:sz w:val="12"/>
                <w:szCs w:val="12"/>
                <w:b w:val="1"/>
                <w:bCs w:val="1"/>
                <w:color w:val="1F2668"/>
              </w:rPr>
              <w:t>​</w:t>
            </w:r>
          </w:p>
        </w:tc>
        <w:tc>
          <w:tcPr>
            <w:tcW w:w="180" w:type="dxa"/>
            <w:vAlign w:val="bottom"/>
            <w:gridSpan w:val="2"/>
          </w:tcPr>
          <w:p>
            <w:pPr>
              <w:jc w:val="right"/>
              <w:spacing w:after="0" w:line="108" w:lineRule="exact"/>
              <w:rPr>
                <w:sz w:val="20"/>
                <w:szCs w:val="20"/>
                <w:color w:val="auto"/>
              </w:rPr>
            </w:pPr>
            <w:r>
              <w:rPr>
                <w:rFonts w:ascii="Arial" w:cs="Arial" w:eastAsia="Arial" w:hAnsi="Arial"/>
                <w:sz w:val="12"/>
                <w:szCs w:val="12"/>
                <w:b w:val="1"/>
                <w:bCs w:val="1"/>
                <w:color w:val="1F2668"/>
                <w:w w:val="74"/>
              </w:rPr>
              <w:t>67</w:t>
            </w:r>
          </w:p>
        </w:tc>
        <w:tc>
          <w:tcPr>
            <w:tcW w:w="0" w:type="dxa"/>
            <w:vAlign w:val="bottom"/>
          </w:tcPr>
          <w:p>
            <w:pPr>
              <w:spacing w:after="0"/>
              <w:rPr>
                <w:sz w:val="1"/>
                <w:szCs w:val="1"/>
                <w:color w:val="auto"/>
              </w:rPr>
            </w:pPr>
          </w:p>
        </w:tc>
      </w:tr>
      <w:tr>
        <w:trPr>
          <w:trHeight w:val="20"/>
        </w:trPr>
        <w:tc>
          <w:tcPr>
            <w:tcW w:w="340" w:type="dxa"/>
            <w:vAlign w:val="bottom"/>
            <w:shd w:val="clear" w:color="auto" w:fill="1F2668"/>
          </w:tcPr>
          <w:p>
            <w:pPr>
              <w:spacing w:after="0" w:line="20" w:lineRule="exact"/>
              <w:rPr>
                <w:sz w:val="1"/>
                <w:szCs w:val="1"/>
                <w:color w:val="auto"/>
              </w:rPr>
            </w:pPr>
          </w:p>
        </w:tc>
        <w:tc>
          <w:tcPr>
            <w:tcW w:w="780" w:type="dxa"/>
            <w:vAlign w:val="bottom"/>
            <w:gridSpan w:val="3"/>
            <w:shd w:val="clear" w:color="auto" w:fill="1F2668"/>
          </w:tcPr>
          <w:p>
            <w:pPr>
              <w:spacing w:after="0" w:line="20" w:lineRule="exact"/>
              <w:rPr>
                <w:sz w:val="1"/>
                <w:szCs w:val="1"/>
                <w:color w:val="auto"/>
              </w:rPr>
            </w:pPr>
          </w:p>
        </w:tc>
        <w:tc>
          <w:tcPr>
            <w:tcW w:w="140" w:type="dxa"/>
            <w:vAlign w:val="bottom"/>
            <w:shd w:val="clear" w:color="auto" w:fill="1F2668"/>
          </w:tcPr>
          <w:p>
            <w:pPr>
              <w:spacing w:after="0" w:line="20" w:lineRule="exact"/>
              <w:rPr>
                <w:sz w:val="1"/>
                <w:szCs w:val="1"/>
                <w:color w:val="auto"/>
              </w:rPr>
            </w:pPr>
          </w:p>
        </w:tc>
        <w:tc>
          <w:tcPr>
            <w:tcW w:w="560" w:type="dxa"/>
            <w:vAlign w:val="bottom"/>
            <w:gridSpan w:val="4"/>
            <w:shd w:val="clear" w:color="auto" w:fill="1F2668"/>
          </w:tcPr>
          <w:p>
            <w:pPr>
              <w:spacing w:after="0" w:line="20" w:lineRule="exact"/>
              <w:rPr>
                <w:sz w:val="1"/>
                <w:szCs w:val="1"/>
                <w:color w:val="auto"/>
              </w:rPr>
            </w:pPr>
          </w:p>
        </w:tc>
        <w:tc>
          <w:tcPr>
            <w:tcW w:w="600" w:type="dxa"/>
            <w:vAlign w:val="bottom"/>
            <w:shd w:val="clear" w:color="auto" w:fill="1F2668"/>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right w:val="single" w:sz="8" w:color="1F2668"/>
            </w:tcBorders>
            <w:gridSpan w:val="2"/>
          </w:tcPr>
          <w:p>
            <w:pPr>
              <w:spacing w:after="0" w:line="20" w:lineRule="exact"/>
              <w:rPr>
                <w:sz w:val="1"/>
                <w:szCs w:val="1"/>
                <w:color w:val="auto"/>
              </w:rPr>
            </w:pPr>
          </w:p>
        </w:tc>
        <w:tc>
          <w:tcPr>
            <w:tcW w:w="120" w:type="dxa"/>
            <w:vAlign w:val="bottom"/>
            <w:shd w:val="clear" w:color="auto" w:fill="1F2668"/>
          </w:tcPr>
          <w:p>
            <w:pPr>
              <w:spacing w:after="0" w:line="20" w:lineRule="exact"/>
              <w:rPr>
                <w:sz w:val="1"/>
                <w:szCs w:val="1"/>
                <w:color w:val="auto"/>
              </w:rPr>
            </w:pPr>
          </w:p>
        </w:tc>
        <w:tc>
          <w:tcPr>
            <w:tcW w:w="60" w:type="dxa"/>
            <w:vAlign w:val="bottom"/>
            <w:tcBorders>
              <w:left w:val="single" w:sz="8" w:color="1F266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3280" w:type="dxa"/>
            <w:vAlign w:val="bottom"/>
            <w:gridSpan w:val="17"/>
          </w:tcPr>
          <w:p>
            <w:pPr>
              <w:spacing w:after="0"/>
              <w:rPr>
                <w:sz w:val="20"/>
                <w:szCs w:val="20"/>
                <w:color w:val="auto"/>
              </w:rPr>
            </w:pPr>
            <w:r>
              <w:rPr>
                <w:rFonts w:ascii="Arial" w:cs="Arial" w:eastAsia="Arial" w:hAnsi="Arial"/>
                <w:sz w:val="22"/>
                <w:szCs w:val="22"/>
                <w:b w:val="1"/>
                <w:bCs w:val="1"/>
                <w:color w:val="83AD40"/>
              </w:rPr>
              <w:t>AUDIT COMMITTEE MATTERS</w:t>
            </w:r>
            <w:r>
              <w:rPr>
                <w:rFonts w:ascii="Arial" w:cs="Arial" w:eastAsia="Arial" w:hAnsi="Arial"/>
                <w:sz w:val="16"/>
                <w:szCs w:val="16"/>
                <w:color w:val="1F2668"/>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4"/>
          </w:tcPr>
          <w:p>
            <w:pPr>
              <w:jc w:val="right"/>
              <w:spacing w:after="0"/>
              <w:rPr>
                <w:sz w:val="20"/>
                <w:szCs w:val="20"/>
                <w:color w:val="auto"/>
              </w:rPr>
            </w:pPr>
            <w:r>
              <w:rPr>
                <w:rFonts w:ascii="Arial" w:cs="Arial" w:eastAsia="Arial" w:hAnsi="Arial"/>
                <w:sz w:val="22"/>
                <w:szCs w:val="22"/>
                <w:b w:val="1"/>
                <w:bCs w:val="1"/>
                <w:color w:val="83AD40"/>
              </w:rPr>
              <w:t>​82</w:t>
            </w:r>
          </w:p>
        </w:tc>
        <w:tc>
          <w:tcPr>
            <w:tcW w:w="0" w:type="dxa"/>
            <w:vAlign w:val="bottom"/>
          </w:tcPr>
          <w:p>
            <w:pPr>
              <w:spacing w:after="0"/>
              <w:rPr>
                <w:sz w:val="1"/>
                <w:szCs w:val="1"/>
                <w:color w:val="auto"/>
              </w:rPr>
            </w:pPr>
          </w:p>
        </w:tc>
      </w:tr>
      <w:tr>
        <w:trPr>
          <w:trHeight w:val="27"/>
        </w:trPr>
        <w:tc>
          <w:tcPr>
            <w:tcW w:w="700" w:type="dxa"/>
            <w:vAlign w:val="bottom"/>
            <w:gridSpan w:val="3"/>
            <w:vMerge w:val="restart"/>
          </w:tcPr>
          <w:p>
            <w:pPr>
              <w:spacing w:after="0" w:line="122" w:lineRule="exact"/>
              <w:rPr>
                <w:sz w:val="20"/>
                <w:szCs w:val="20"/>
                <w:color w:val="auto"/>
              </w:rPr>
            </w:pPr>
            <w:r>
              <w:rPr>
                <w:rFonts w:ascii="Arial" w:cs="Arial" w:eastAsia="Arial" w:hAnsi="Arial"/>
                <w:sz w:val="14"/>
                <w:szCs w:val="14"/>
                <w:b w:val="1"/>
                <w:bCs w:val="1"/>
                <w:color w:val="83AD40"/>
              </w:rPr>
              <w:t>​</w:t>
            </w: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vMerge w:val="restart"/>
          </w:tcPr>
          <w:p>
            <w:pPr>
              <w:ind w:left="180"/>
              <w:spacing w:after="0" w:line="122" w:lineRule="exact"/>
              <w:rPr>
                <w:sz w:val="20"/>
                <w:szCs w:val="20"/>
                <w:color w:val="auto"/>
              </w:rPr>
            </w:pPr>
            <w:r>
              <w:rPr>
                <w:rFonts w:ascii="Arial" w:cs="Arial" w:eastAsia="Arial" w:hAnsi="Arial"/>
                <w:sz w:val="14"/>
                <w:szCs w:val="14"/>
                <w:b w:val="1"/>
                <w:bCs w:val="1"/>
                <w:color w:val="83AD40"/>
              </w:rPr>
              <w:t>​ ​​</w:t>
            </w:r>
          </w:p>
        </w:tc>
        <w:tc>
          <w:tcPr>
            <w:tcW w:w="120" w:type="dxa"/>
            <w:vAlign w:val="bottom"/>
            <w:tcBorders>
              <w:bottom w:val="single" w:sz="8" w:color="83AD40"/>
            </w:tcBorders>
          </w:tcPr>
          <w:p>
            <w:pPr>
              <w:spacing w:after="0"/>
              <w:rPr>
                <w:sz w:val="2"/>
                <w:szCs w:val="2"/>
                <w:color w:val="auto"/>
              </w:rPr>
            </w:pPr>
          </w:p>
        </w:tc>
        <w:tc>
          <w:tcPr>
            <w:tcW w:w="120" w:type="dxa"/>
            <w:vAlign w:val="bottom"/>
            <w:tcBorders>
              <w:bottom w:val="single" w:sz="8" w:color="83AD40"/>
            </w:tcBorders>
          </w:tcPr>
          <w:p>
            <w:pPr>
              <w:spacing w:after="0"/>
              <w:rPr>
                <w:sz w:val="2"/>
                <w:szCs w:val="2"/>
                <w:color w:val="auto"/>
              </w:rPr>
            </w:pPr>
          </w:p>
        </w:tc>
        <w:tc>
          <w:tcPr>
            <w:tcW w:w="60" w:type="dxa"/>
            <w:vAlign w:val="bottom"/>
            <w:vMerge w:val="restart"/>
          </w:tcPr>
          <w:p>
            <w:pPr>
              <w:spacing w:after="0" w:line="122" w:lineRule="exact"/>
              <w:rPr>
                <w:sz w:val="20"/>
                <w:szCs w:val="20"/>
                <w:color w:val="auto"/>
              </w:rPr>
            </w:pPr>
            <w:r>
              <w:rPr>
                <w:rFonts w:ascii="Arial" w:cs="Arial" w:eastAsia="Arial" w:hAnsi="Arial"/>
                <w:sz w:val="14"/>
                <w:szCs w:val="14"/>
                <w:b w:val="1"/>
                <w:bCs w:val="1"/>
                <w:color w:val="83AD40"/>
              </w:rPr>
              <w:t>​</w:t>
            </w:r>
          </w:p>
        </w:tc>
        <w:tc>
          <w:tcPr>
            <w:tcW w:w="0" w:type="dxa"/>
            <w:vAlign w:val="bottom"/>
          </w:tcPr>
          <w:p>
            <w:pPr>
              <w:spacing w:after="0"/>
              <w:rPr>
                <w:sz w:val="1"/>
                <w:szCs w:val="1"/>
                <w:color w:val="auto"/>
              </w:rPr>
            </w:pPr>
          </w:p>
        </w:tc>
      </w:tr>
      <w:tr>
        <w:trPr>
          <w:trHeight w:val="75"/>
        </w:trPr>
        <w:tc>
          <w:tcPr>
            <w:tcW w:w="700" w:type="dxa"/>
            <w:vAlign w:val="bottom"/>
            <w:tcBorders>
              <w:bottom w:val="single" w:sz="8" w:color="83AD40"/>
            </w:tcBorders>
            <w:gridSpan w:val="3"/>
            <w:vMerge w:val="continue"/>
          </w:tcPr>
          <w:p>
            <w:pPr>
              <w:spacing w:after="0"/>
              <w:rPr>
                <w:sz w:val="6"/>
                <w:szCs w:val="6"/>
                <w:color w:val="auto"/>
              </w:rPr>
            </w:pPr>
          </w:p>
        </w:tc>
        <w:tc>
          <w:tcPr>
            <w:tcW w:w="420" w:type="dxa"/>
            <w:vAlign w:val="bottom"/>
            <w:tcBorders>
              <w:bottom w:val="single" w:sz="8" w:color="83AD40"/>
            </w:tcBorders>
          </w:tcPr>
          <w:p>
            <w:pPr>
              <w:spacing w:after="0"/>
              <w:rPr>
                <w:sz w:val="6"/>
                <w:szCs w:val="6"/>
                <w:color w:val="auto"/>
              </w:rPr>
            </w:pPr>
          </w:p>
        </w:tc>
        <w:tc>
          <w:tcPr>
            <w:tcW w:w="140" w:type="dxa"/>
            <w:vAlign w:val="bottom"/>
            <w:tcBorders>
              <w:bottom w:val="single" w:sz="8" w:color="83AD40"/>
            </w:tcBorders>
          </w:tcPr>
          <w:p>
            <w:pPr>
              <w:spacing w:after="0"/>
              <w:rPr>
                <w:sz w:val="6"/>
                <w:szCs w:val="6"/>
                <w:color w:val="auto"/>
              </w:rPr>
            </w:pPr>
          </w:p>
        </w:tc>
        <w:tc>
          <w:tcPr>
            <w:tcW w:w="160" w:type="dxa"/>
            <w:vAlign w:val="bottom"/>
            <w:tcBorders>
              <w:bottom w:val="single" w:sz="8" w:color="83AD40"/>
            </w:tcBorders>
          </w:tcPr>
          <w:p>
            <w:pPr>
              <w:spacing w:after="0"/>
              <w:rPr>
                <w:sz w:val="6"/>
                <w:szCs w:val="6"/>
                <w:color w:val="auto"/>
              </w:rPr>
            </w:pPr>
          </w:p>
        </w:tc>
        <w:tc>
          <w:tcPr>
            <w:tcW w:w="300" w:type="dxa"/>
            <w:vAlign w:val="bottom"/>
            <w:tcBorders>
              <w:bottom w:val="single" w:sz="8" w:color="83AD40"/>
            </w:tcBorders>
          </w:tcPr>
          <w:p>
            <w:pPr>
              <w:spacing w:after="0"/>
              <w:rPr>
                <w:sz w:val="6"/>
                <w:szCs w:val="6"/>
                <w:color w:val="auto"/>
              </w:rPr>
            </w:pPr>
          </w:p>
        </w:tc>
        <w:tc>
          <w:tcPr>
            <w:tcW w:w="40" w:type="dxa"/>
            <w:vAlign w:val="bottom"/>
            <w:tcBorders>
              <w:bottom w:val="single" w:sz="8" w:color="83AD40"/>
            </w:tcBorders>
          </w:tcPr>
          <w:p>
            <w:pPr>
              <w:spacing w:after="0"/>
              <w:rPr>
                <w:sz w:val="6"/>
                <w:szCs w:val="6"/>
                <w:color w:val="auto"/>
              </w:rPr>
            </w:pPr>
          </w:p>
        </w:tc>
        <w:tc>
          <w:tcPr>
            <w:tcW w:w="60" w:type="dxa"/>
            <w:vAlign w:val="bottom"/>
            <w:tcBorders>
              <w:bottom w:val="single" w:sz="8" w:color="83AD40"/>
            </w:tcBorders>
          </w:tcPr>
          <w:p>
            <w:pPr>
              <w:spacing w:after="0"/>
              <w:rPr>
                <w:sz w:val="6"/>
                <w:szCs w:val="6"/>
                <w:color w:val="auto"/>
              </w:rPr>
            </w:pPr>
          </w:p>
        </w:tc>
        <w:tc>
          <w:tcPr>
            <w:tcW w:w="600" w:type="dxa"/>
            <w:vAlign w:val="bottom"/>
            <w:tcBorders>
              <w:bottom w:val="single" w:sz="8" w:color="83AD40"/>
            </w:tcBorders>
          </w:tcPr>
          <w:p>
            <w:pPr>
              <w:spacing w:after="0"/>
              <w:rPr>
                <w:sz w:val="6"/>
                <w:szCs w:val="6"/>
                <w:color w:val="auto"/>
              </w:rPr>
            </w:pPr>
          </w:p>
        </w:tc>
        <w:tc>
          <w:tcPr>
            <w:tcW w:w="40" w:type="dxa"/>
            <w:vAlign w:val="bottom"/>
            <w:tcBorders>
              <w:bottom w:val="single" w:sz="8" w:color="83AD40"/>
            </w:tcBorders>
          </w:tcPr>
          <w:p>
            <w:pPr>
              <w:spacing w:after="0"/>
              <w:rPr>
                <w:sz w:val="6"/>
                <w:szCs w:val="6"/>
                <w:color w:val="auto"/>
              </w:rPr>
            </w:pPr>
          </w:p>
        </w:tc>
        <w:tc>
          <w:tcPr>
            <w:tcW w:w="60" w:type="dxa"/>
            <w:vAlign w:val="bottom"/>
            <w:tcBorders>
              <w:bottom w:val="single" w:sz="8" w:color="83AD40"/>
            </w:tcBorders>
          </w:tcPr>
          <w:p>
            <w:pPr>
              <w:spacing w:after="0"/>
              <w:rPr>
                <w:sz w:val="6"/>
                <w:szCs w:val="6"/>
                <w:color w:val="auto"/>
              </w:rPr>
            </w:pPr>
          </w:p>
        </w:tc>
        <w:tc>
          <w:tcPr>
            <w:tcW w:w="140" w:type="dxa"/>
            <w:vAlign w:val="bottom"/>
            <w:tcBorders>
              <w:bottom w:val="single" w:sz="8" w:color="83AD40"/>
            </w:tcBorders>
          </w:tcPr>
          <w:p>
            <w:pPr>
              <w:spacing w:after="0"/>
              <w:rPr>
                <w:sz w:val="6"/>
                <w:szCs w:val="6"/>
                <w:color w:val="auto"/>
              </w:rPr>
            </w:pPr>
          </w:p>
        </w:tc>
        <w:tc>
          <w:tcPr>
            <w:tcW w:w="20" w:type="dxa"/>
            <w:vAlign w:val="bottom"/>
            <w:tcBorders>
              <w:bottom w:val="single" w:sz="8" w:color="83AD40"/>
            </w:tcBorders>
          </w:tcPr>
          <w:p>
            <w:pPr>
              <w:spacing w:after="0"/>
              <w:rPr>
                <w:sz w:val="6"/>
                <w:szCs w:val="6"/>
                <w:color w:val="auto"/>
              </w:rPr>
            </w:pPr>
          </w:p>
        </w:tc>
        <w:tc>
          <w:tcPr>
            <w:tcW w:w="280" w:type="dxa"/>
            <w:vAlign w:val="bottom"/>
            <w:tcBorders>
              <w:bottom w:val="single" w:sz="8" w:color="83AD40"/>
            </w:tcBorders>
          </w:tcPr>
          <w:p>
            <w:pPr>
              <w:spacing w:after="0"/>
              <w:rPr>
                <w:sz w:val="6"/>
                <w:szCs w:val="6"/>
                <w:color w:val="auto"/>
              </w:rPr>
            </w:pPr>
          </w:p>
        </w:tc>
        <w:tc>
          <w:tcPr>
            <w:tcW w:w="80" w:type="dxa"/>
            <w:vAlign w:val="bottom"/>
            <w:tcBorders>
              <w:bottom w:val="single" w:sz="8" w:color="83AD40"/>
            </w:tcBorders>
          </w:tcPr>
          <w:p>
            <w:pPr>
              <w:spacing w:after="0"/>
              <w:rPr>
                <w:sz w:val="6"/>
                <w:szCs w:val="6"/>
                <w:color w:val="auto"/>
              </w:rPr>
            </w:pPr>
          </w:p>
        </w:tc>
        <w:tc>
          <w:tcPr>
            <w:tcW w:w="240" w:type="dxa"/>
            <w:vAlign w:val="bottom"/>
            <w:tcBorders>
              <w:bottom w:val="single" w:sz="8" w:color="83AD40"/>
            </w:tcBorders>
          </w:tcPr>
          <w:p>
            <w:pPr>
              <w:spacing w:after="0"/>
              <w:rPr>
                <w:sz w:val="6"/>
                <w:szCs w:val="6"/>
                <w:color w:val="auto"/>
              </w:rPr>
            </w:pPr>
          </w:p>
        </w:tc>
        <w:tc>
          <w:tcPr>
            <w:tcW w:w="120" w:type="dxa"/>
            <w:vAlign w:val="bottom"/>
            <w:tcBorders>
              <w:bottom w:val="single" w:sz="8" w:color="83AD40"/>
            </w:tcBorders>
          </w:tcPr>
          <w:p>
            <w:pPr>
              <w:spacing w:after="0"/>
              <w:rPr>
                <w:sz w:val="6"/>
                <w:szCs w:val="6"/>
                <w:color w:val="auto"/>
              </w:rPr>
            </w:pPr>
          </w:p>
        </w:tc>
        <w:tc>
          <w:tcPr>
            <w:tcW w:w="20" w:type="dxa"/>
            <w:vAlign w:val="bottom"/>
            <w:tcBorders>
              <w:bottom w:val="single" w:sz="8" w:color="83AD40"/>
            </w:tcBorders>
          </w:tcPr>
          <w:p>
            <w:pPr>
              <w:spacing w:after="0"/>
              <w:rPr>
                <w:sz w:val="6"/>
                <w:szCs w:val="6"/>
                <w:color w:val="auto"/>
              </w:rPr>
            </w:pPr>
          </w:p>
        </w:tc>
        <w:tc>
          <w:tcPr>
            <w:tcW w:w="60" w:type="dxa"/>
            <w:vAlign w:val="bottom"/>
            <w:tcBorders>
              <w:bottom w:val="single" w:sz="8" w:color="83AD40"/>
            </w:tcBorders>
          </w:tcPr>
          <w:p>
            <w:pPr>
              <w:spacing w:after="0"/>
              <w:rPr>
                <w:sz w:val="6"/>
                <w:szCs w:val="6"/>
                <w:color w:val="auto"/>
              </w:rPr>
            </w:pPr>
          </w:p>
        </w:tc>
        <w:tc>
          <w:tcPr>
            <w:tcW w:w="20" w:type="dxa"/>
            <w:vAlign w:val="bottom"/>
            <w:tcBorders>
              <w:bottom w:val="single" w:sz="8" w:color="83AD40"/>
            </w:tcBorders>
          </w:tcPr>
          <w:p>
            <w:pPr>
              <w:spacing w:after="0"/>
              <w:rPr>
                <w:sz w:val="6"/>
                <w:szCs w:val="6"/>
                <w:color w:val="auto"/>
              </w:rPr>
            </w:pPr>
          </w:p>
        </w:tc>
        <w:tc>
          <w:tcPr>
            <w:tcW w:w="200" w:type="dxa"/>
            <w:vAlign w:val="bottom"/>
            <w:tcBorders>
              <w:bottom w:val="single" w:sz="8" w:color="83AD40"/>
            </w:tcBorders>
          </w:tcPr>
          <w:p>
            <w:pPr>
              <w:spacing w:after="0"/>
              <w:rPr>
                <w:sz w:val="6"/>
                <w:szCs w:val="6"/>
                <w:color w:val="auto"/>
              </w:rPr>
            </w:pPr>
          </w:p>
        </w:tc>
        <w:tc>
          <w:tcPr>
            <w:tcW w:w="380" w:type="dxa"/>
            <w:vAlign w:val="bottom"/>
            <w:tcBorders>
              <w:bottom w:val="single" w:sz="8" w:color="83AD40"/>
            </w:tcBorders>
            <w:vMerge w:val="continue"/>
          </w:tcPr>
          <w:p>
            <w:pPr>
              <w:spacing w:after="0"/>
              <w:rPr>
                <w:sz w:val="6"/>
                <w:szCs w:val="6"/>
                <w:color w:val="auto"/>
              </w:rPr>
            </w:pPr>
          </w:p>
        </w:tc>
        <w:tc>
          <w:tcPr>
            <w:tcW w:w="120" w:type="dxa"/>
            <w:vAlign w:val="bottom"/>
            <w:tcBorders>
              <w:bottom w:val="single" w:sz="8" w:color="83AD40"/>
            </w:tcBorders>
          </w:tcPr>
          <w:p>
            <w:pPr>
              <w:spacing w:after="0"/>
              <w:rPr>
                <w:sz w:val="6"/>
                <w:szCs w:val="6"/>
                <w:color w:val="auto"/>
              </w:rPr>
            </w:pPr>
          </w:p>
        </w:tc>
        <w:tc>
          <w:tcPr>
            <w:tcW w:w="120" w:type="dxa"/>
            <w:vAlign w:val="bottom"/>
            <w:tcBorders>
              <w:bottom w:val="single" w:sz="8" w:color="83AD40"/>
            </w:tcBorders>
          </w:tcPr>
          <w:p>
            <w:pPr>
              <w:spacing w:after="0"/>
              <w:rPr>
                <w:sz w:val="6"/>
                <w:szCs w:val="6"/>
                <w:color w:val="auto"/>
              </w:rPr>
            </w:pPr>
          </w:p>
        </w:tc>
        <w:tc>
          <w:tcPr>
            <w:tcW w:w="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700" w:type="dxa"/>
            <w:vAlign w:val="bottom"/>
            <w:gridSpan w:val="3"/>
          </w:tcPr>
          <w:p>
            <w:pPr>
              <w:spacing w:after="0" w:line="129" w:lineRule="exact"/>
              <w:rPr>
                <w:sz w:val="20"/>
                <w:szCs w:val="20"/>
                <w:color w:val="auto"/>
              </w:rPr>
            </w:pPr>
            <w:r>
              <w:rPr>
                <w:rFonts w:ascii="Arial" w:cs="Arial" w:eastAsia="Arial" w:hAnsi="Arial"/>
                <w:sz w:val="14"/>
                <w:szCs w:val="14"/>
                <w:b w:val="1"/>
                <w:bCs w:val="1"/>
                <w:color w:val="1F2668"/>
              </w:rPr>
              <w:t>​</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gridSpan w:val="2"/>
          </w:tcPr>
          <w:p>
            <w:pPr>
              <w:jc w:val="right"/>
              <w:ind w:right="100"/>
              <w:spacing w:after="0" w:line="129" w:lineRule="exact"/>
              <w:rPr>
                <w:sz w:val="20"/>
                <w:szCs w:val="20"/>
                <w:color w:val="auto"/>
              </w:rPr>
            </w:pPr>
            <w:r>
              <w:rPr>
                <w:rFonts w:ascii="Arial" w:cs="Arial" w:eastAsia="Arial" w:hAnsi="Arial"/>
                <w:sz w:val="14"/>
                <w:szCs w:val="14"/>
                <w:b w:val="1"/>
                <w:bCs w:val="1"/>
                <w:color w:val="1F2668"/>
              </w:rPr>
              <w:t>​ ​​</w:t>
            </w:r>
          </w:p>
        </w:tc>
        <w:tc>
          <w:tcPr>
            <w:tcW w:w="120" w:type="dxa"/>
            <w:vAlign w:val="bottom"/>
          </w:tcPr>
          <w:p>
            <w:pPr>
              <w:spacing w:after="0"/>
              <w:rPr>
                <w:sz w:val="11"/>
                <w:szCs w:val="11"/>
                <w:color w:val="auto"/>
              </w:rPr>
            </w:pPr>
          </w:p>
        </w:tc>
        <w:tc>
          <w:tcPr>
            <w:tcW w:w="60" w:type="dxa"/>
            <w:vAlign w:val="bottom"/>
          </w:tcPr>
          <w:p>
            <w:pPr>
              <w:spacing w:after="0" w:line="129" w:lineRule="exact"/>
              <w:rPr>
                <w:sz w:val="20"/>
                <w:szCs w:val="20"/>
                <w:color w:val="auto"/>
              </w:rPr>
            </w:pPr>
            <w:r>
              <w:rPr>
                <w:rFonts w:ascii="Arial" w:cs="Arial" w:eastAsia="Arial" w:hAnsi="Arial"/>
                <w:sz w:val="14"/>
                <w:szCs w:val="14"/>
                <w:b w:val="1"/>
                <w:bCs w:val="1"/>
                <w:color w:val="1F2668"/>
              </w:rPr>
              <w:t>​</w:t>
            </w:r>
          </w:p>
        </w:tc>
        <w:tc>
          <w:tcPr>
            <w:tcW w:w="0" w:type="dxa"/>
            <w:vAlign w:val="bottom"/>
          </w:tcPr>
          <w:p>
            <w:pPr>
              <w:spacing w:after="0"/>
              <w:rPr>
                <w:sz w:val="1"/>
                <w:szCs w:val="1"/>
                <w:color w:val="auto"/>
              </w:rPr>
            </w:pPr>
          </w:p>
        </w:tc>
      </w:tr>
      <w:tr>
        <w:trPr>
          <w:trHeight w:val="108"/>
        </w:trPr>
        <w:tc>
          <w:tcPr>
            <w:tcW w:w="3280" w:type="dxa"/>
            <w:vAlign w:val="bottom"/>
            <w:gridSpan w:val="17"/>
          </w:tcPr>
          <w:p>
            <w:pPr>
              <w:spacing w:after="0" w:line="108" w:lineRule="exact"/>
              <w:rPr>
                <w:sz w:val="20"/>
                <w:szCs w:val="20"/>
                <w:color w:val="auto"/>
              </w:rPr>
            </w:pPr>
            <w:r>
              <w:rPr>
                <w:rFonts w:ascii="Arial" w:cs="Arial" w:eastAsia="Arial" w:hAnsi="Arial"/>
                <w:sz w:val="12"/>
                <w:szCs w:val="12"/>
                <w:b w:val="1"/>
                <w:bCs w:val="1"/>
                <w:color w:val="1F2668"/>
              </w:rPr>
              <w:t>Audit Committee Report</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gridSpan w:val="2"/>
          </w:tcPr>
          <w:p>
            <w:pPr>
              <w:jc w:val="right"/>
              <w:ind w:right="100"/>
              <w:spacing w:after="0" w:line="108" w:lineRule="exact"/>
              <w:rPr>
                <w:sz w:val="20"/>
                <w:szCs w:val="20"/>
                <w:color w:val="auto"/>
              </w:rPr>
            </w:pPr>
            <w:r>
              <w:rPr>
                <w:rFonts w:ascii="Arial" w:cs="Arial" w:eastAsia="Arial" w:hAnsi="Arial"/>
                <w:sz w:val="12"/>
                <w:szCs w:val="12"/>
                <w:b w:val="1"/>
                <w:bCs w:val="1"/>
                <w:color w:val="1F2668"/>
              </w:rPr>
              <w:t>​</w:t>
            </w:r>
          </w:p>
        </w:tc>
        <w:tc>
          <w:tcPr>
            <w:tcW w:w="180" w:type="dxa"/>
            <w:vAlign w:val="bottom"/>
            <w:gridSpan w:val="2"/>
          </w:tcPr>
          <w:p>
            <w:pPr>
              <w:jc w:val="right"/>
              <w:spacing w:after="0" w:line="108" w:lineRule="exact"/>
              <w:rPr>
                <w:sz w:val="20"/>
                <w:szCs w:val="20"/>
                <w:color w:val="auto"/>
              </w:rPr>
            </w:pPr>
            <w:r>
              <w:rPr>
                <w:rFonts w:ascii="Arial" w:cs="Arial" w:eastAsia="Arial" w:hAnsi="Arial"/>
                <w:sz w:val="12"/>
                <w:szCs w:val="12"/>
                <w:b w:val="1"/>
                <w:bCs w:val="1"/>
                <w:color w:val="1F2668"/>
                <w:w w:val="74"/>
              </w:rPr>
              <w:t>82</w:t>
            </w:r>
          </w:p>
        </w:tc>
        <w:tc>
          <w:tcPr>
            <w:tcW w:w="0" w:type="dxa"/>
            <w:vAlign w:val="bottom"/>
          </w:tcPr>
          <w:p>
            <w:pPr>
              <w:spacing w:after="0"/>
              <w:rPr>
                <w:sz w:val="1"/>
                <w:szCs w:val="1"/>
                <w:color w:val="auto"/>
              </w:rPr>
            </w:pPr>
          </w:p>
        </w:tc>
      </w:tr>
      <w:tr>
        <w:trPr>
          <w:trHeight w:val="48"/>
        </w:trPr>
        <w:tc>
          <w:tcPr>
            <w:tcW w:w="340" w:type="dxa"/>
            <w:vAlign w:val="bottom"/>
            <w:tcBorders>
              <w:top w:val="single" w:sz="8" w:color="1F2668"/>
            </w:tcBorders>
          </w:tcPr>
          <w:p>
            <w:pPr>
              <w:spacing w:after="0"/>
              <w:rPr>
                <w:sz w:val="4"/>
                <w:szCs w:val="4"/>
                <w:color w:val="auto"/>
              </w:rPr>
            </w:pPr>
          </w:p>
        </w:tc>
        <w:tc>
          <w:tcPr>
            <w:tcW w:w="260" w:type="dxa"/>
            <w:vAlign w:val="bottom"/>
            <w:tcBorders>
              <w:top w:val="single" w:sz="8" w:color="1F2668"/>
            </w:tcBorders>
          </w:tcPr>
          <w:p>
            <w:pPr>
              <w:spacing w:after="0"/>
              <w:rPr>
                <w:sz w:val="4"/>
                <w:szCs w:val="4"/>
                <w:color w:val="auto"/>
              </w:rPr>
            </w:pPr>
          </w:p>
        </w:tc>
        <w:tc>
          <w:tcPr>
            <w:tcW w:w="100" w:type="dxa"/>
            <w:vAlign w:val="bottom"/>
            <w:tcBorders>
              <w:top w:val="single" w:sz="8" w:color="1F2668"/>
            </w:tcBorders>
          </w:tcPr>
          <w:p>
            <w:pPr>
              <w:spacing w:after="0"/>
              <w:rPr>
                <w:sz w:val="4"/>
                <w:szCs w:val="4"/>
                <w:color w:val="auto"/>
              </w:rPr>
            </w:pPr>
          </w:p>
        </w:tc>
        <w:tc>
          <w:tcPr>
            <w:tcW w:w="420" w:type="dxa"/>
            <w:vAlign w:val="bottom"/>
            <w:tcBorders>
              <w:top w:val="single" w:sz="8" w:color="1F2668"/>
            </w:tcBorders>
          </w:tcPr>
          <w:p>
            <w:pPr>
              <w:spacing w:after="0"/>
              <w:rPr>
                <w:sz w:val="4"/>
                <w:szCs w:val="4"/>
                <w:color w:val="auto"/>
              </w:rPr>
            </w:pPr>
          </w:p>
        </w:tc>
        <w:tc>
          <w:tcPr>
            <w:tcW w:w="140" w:type="dxa"/>
            <w:vAlign w:val="bottom"/>
            <w:tcBorders>
              <w:top w:val="single" w:sz="8" w:color="1F2668"/>
            </w:tcBorders>
          </w:tcPr>
          <w:p>
            <w:pPr>
              <w:spacing w:after="0"/>
              <w:rPr>
                <w:sz w:val="4"/>
                <w:szCs w:val="4"/>
                <w:color w:val="auto"/>
              </w:rPr>
            </w:pPr>
          </w:p>
        </w:tc>
        <w:tc>
          <w:tcPr>
            <w:tcW w:w="160" w:type="dxa"/>
            <w:vAlign w:val="bottom"/>
            <w:tcBorders>
              <w:top w:val="single" w:sz="8" w:color="1F2668"/>
            </w:tcBorders>
          </w:tcPr>
          <w:p>
            <w:pPr>
              <w:spacing w:after="0"/>
              <w:rPr>
                <w:sz w:val="4"/>
                <w:szCs w:val="4"/>
                <w:color w:val="auto"/>
              </w:rPr>
            </w:pPr>
          </w:p>
        </w:tc>
        <w:tc>
          <w:tcPr>
            <w:tcW w:w="300" w:type="dxa"/>
            <w:vAlign w:val="bottom"/>
            <w:tcBorders>
              <w:top w:val="single" w:sz="8" w:color="1F2668"/>
            </w:tcBorders>
          </w:tcPr>
          <w:p>
            <w:pPr>
              <w:spacing w:after="0"/>
              <w:rPr>
                <w:sz w:val="4"/>
                <w:szCs w:val="4"/>
                <w:color w:val="auto"/>
              </w:rPr>
            </w:pPr>
          </w:p>
        </w:tc>
        <w:tc>
          <w:tcPr>
            <w:tcW w:w="40" w:type="dxa"/>
            <w:vAlign w:val="bottom"/>
            <w:tcBorders>
              <w:top w:val="single" w:sz="8" w:color="1F2668"/>
            </w:tcBorders>
          </w:tcPr>
          <w:p>
            <w:pPr>
              <w:spacing w:after="0"/>
              <w:rPr>
                <w:sz w:val="4"/>
                <w:szCs w:val="4"/>
                <w:color w:val="auto"/>
              </w:rPr>
            </w:pPr>
          </w:p>
        </w:tc>
        <w:tc>
          <w:tcPr>
            <w:tcW w:w="60" w:type="dxa"/>
            <w:vAlign w:val="bottom"/>
            <w:tcBorders>
              <w:top w:val="single" w:sz="8" w:color="1F2668"/>
            </w:tcBorders>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top w:val="single" w:sz="8" w:color="1F2668"/>
            </w:tcBorders>
          </w:tcPr>
          <w:p>
            <w:pPr>
              <w:spacing w:after="0"/>
              <w:rPr>
                <w:sz w:val="4"/>
                <w:szCs w:val="4"/>
                <w:color w:val="auto"/>
              </w:rPr>
            </w:pPr>
          </w:p>
        </w:tc>
        <w:tc>
          <w:tcPr>
            <w:tcW w:w="60" w:type="dxa"/>
            <w:vAlign w:val="bottom"/>
            <w:vMerge w:val="restart"/>
          </w:tcPr>
          <w:p>
            <w:pPr>
              <w:spacing w:after="0"/>
              <w:rPr>
                <w:sz w:val="20"/>
                <w:szCs w:val="20"/>
                <w:color w:val="auto"/>
              </w:rPr>
            </w:pPr>
            <w:r>
              <w:rPr>
                <w:rFonts w:ascii="Arial" w:cs="Arial" w:eastAsia="Arial" w:hAnsi="Arial"/>
                <w:sz w:val="16"/>
                <w:szCs w:val="16"/>
                <w:b w:val="1"/>
                <w:bCs w:val="1"/>
                <w:color w:val="1F2668"/>
              </w:rPr>
              <w:t>​</w:t>
            </w:r>
          </w:p>
        </w:tc>
        <w:tc>
          <w:tcPr>
            <w:tcW w:w="0" w:type="dxa"/>
            <w:vAlign w:val="bottom"/>
          </w:tcPr>
          <w:p>
            <w:pPr>
              <w:spacing w:after="0"/>
              <w:rPr>
                <w:sz w:val="1"/>
                <w:szCs w:val="1"/>
                <w:color w:val="auto"/>
              </w:rPr>
            </w:pPr>
          </w:p>
        </w:tc>
      </w:tr>
      <w:tr>
        <w:trPr>
          <w:trHeight w:val="149"/>
        </w:trPr>
        <w:tc>
          <w:tcPr>
            <w:tcW w:w="700" w:type="dxa"/>
            <w:vAlign w:val="bottom"/>
            <w:gridSpan w:val="3"/>
            <w:shd w:val="clear" w:color="auto" w:fill="E9F9D8"/>
          </w:tcPr>
          <w:p>
            <w:pPr>
              <w:spacing w:after="0" w:line="148" w:lineRule="exact"/>
              <w:rPr>
                <w:sz w:val="20"/>
                <w:szCs w:val="20"/>
                <w:color w:val="auto"/>
              </w:rPr>
            </w:pPr>
            <w:r>
              <w:rPr>
                <w:rFonts w:ascii="Arial" w:cs="Arial" w:eastAsia="Arial" w:hAnsi="Arial"/>
                <w:sz w:val="16"/>
                <w:szCs w:val="16"/>
                <w:b w:val="1"/>
                <w:bCs w:val="1"/>
                <w:color w:val="1F2668"/>
              </w:rPr>
              <w:t>​</w:t>
            </w:r>
          </w:p>
        </w:tc>
        <w:tc>
          <w:tcPr>
            <w:tcW w:w="420" w:type="dxa"/>
            <w:vAlign w:val="bottom"/>
            <w:shd w:val="clear" w:color="auto" w:fill="E9F9D8"/>
          </w:tcPr>
          <w:p>
            <w:pPr>
              <w:spacing w:after="0"/>
              <w:rPr>
                <w:sz w:val="12"/>
                <w:szCs w:val="12"/>
                <w:color w:val="auto"/>
              </w:rPr>
            </w:pPr>
          </w:p>
        </w:tc>
        <w:tc>
          <w:tcPr>
            <w:tcW w:w="140" w:type="dxa"/>
            <w:vAlign w:val="bottom"/>
            <w:shd w:val="clear" w:color="auto" w:fill="E9F9D8"/>
          </w:tcPr>
          <w:p>
            <w:pPr>
              <w:spacing w:after="0"/>
              <w:rPr>
                <w:sz w:val="12"/>
                <w:szCs w:val="12"/>
                <w:color w:val="auto"/>
              </w:rPr>
            </w:pPr>
          </w:p>
        </w:tc>
        <w:tc>
          <w:tcPr>
            <w:tcW w:w="160" w:type="dxa"/>
            <w:vAlign w:val="bottom"/>
            <w:shd w:val="clear" w:color="auto" w:fill="E9F9D8"/>
          </w:tcPr>
          <w:p>
            <w:pPr>
              <w:spacing w:after="0"/>
              <w:rPr>
                <w:sz w:val="12"/>
                <w:szCs w:val="12"/>
                <w:color w:val="auto"/>
              </w:rPr>
            </w:pPr>
          </w:p>
        </w:tc>
        <w:tc>
          <w:tcPr>
            <w:tcW w:w="300" w:type="dxa"/>
            <w:vAlign w:val="bottom"/>
            <w:shd w:val="clear" w:color="auto" w:fill="E9F9D8"/>
          </w:tcPr>
          <w:p>
            <w:pPr>
              <w:spacing w:after="0"/>
              <w:rPr>
                <w:sz w:val="12"/>
                <w:szCs w:val="12"/>
                <w:color w:val="auto"/>
              </w:rPr>
            </w:pPr>
          </w:p>
        </w:tc>
        <w:tc>
          <w:tcPr>
            <w:tcW w:w="40" w:type="dxa"/>
            <w:vAlign w:val="bottom"/>
            <w:shd w:val="clear" w:color="auto" w:fill="E9F9D8"/>
          </w:tcPr>
          <w:p>
            <w:pPr>
              <w:spacing w:after="0"/>
              <w:rPr>
                <w:sz w:val="12"/>
                <w:szCs w:val="12"/>
                <w:color w:val="auto"/>
              </w:rPr>
            </w:pPr>
          </w:p>
        </w:tc>
        <w:tc>
          <w:tcPr>
            <w:tcW w:w="60" w:type="dxa"/>
            <w:vAlign w:val="bottom"/>
            <w:shd w:val="clear" w:color="auto" w:fill="E9F9D8"/>
          </w:tcPr>
          <w:p>
            <w:pPr>
              <w:spacing w:after="0"/>
              <w:rPr>
                <w:sz w:val="12"/>
                <w:szCs w:val="12"/>
                <w:color w:val="auto"/>
              </w:rPr>
            </w:pPr>
          </w:p>
        </w:tc>
        <w:tc>
          <w:tcPr>
            <w:tcW w:w="600" w:type="dxa"/>
            <w:vAlign w:val="bottom"/>
            <w:shd w:val="clear" w:color="auto" w:fill="E9F9D8"/>
          </w:tcPr>
          <w:p>
            <w:pPr>
              <w:spacing w:after="0"/>
              <w:rPr>
                <w:sz w:val="12"/>
                <w:szCs w:val="12"/>
                <w:color w:val="auto"/>
              </w:rPr>
            </w:pPr>
          </w:p>
        </w:tc>
        <w:tc>
          <w:tcPr>
            <w:tcW w:w="40" w:type="dxa"/>
            <w:vAlign w:val="bottom"/>
            <w:shd w:val="clear" w:color="auto" w:fill="E9F9D8"/>
          </w:tcPr>
          <w:p>
            <w:pPr>
              <w:spacing w:after="0"/>
              <w:rPr>
                <w:sz w:val="12"/>
                <w:szCs w:val="12"/>
                <w:color w:val="auto"/>
              </w:rPr>
            </w:pPr>
          </w:p>
        </w:tc>
        <w:tc>
          <w:tcPr>
            <w:tcW w:w="60" w:type="dxa"/>
            <w:vAlign w:val="bottom"/>
            <w:tcBorders>
              <w:right w:val="single" w:sz="8" w:color="E9F9D8"/>
            </w:tcBorders>
            <w:shd w:val="clear" w:color="auto" w:fill="E9F9D8"/>
          </w:tcPr>
          <w:p>
            <w:pPr>
              <w:spacing w:after="0"/>
              <w:rPr>
                <w:sz w:val="12"/>
                <w:szCs w:val="12"/>
                <w:color w:val="auto"/>
              </w:rPr>
            </w:pPr>
          </w:p>
        </w:tc>
        <w:tc>
          <w:tcPr>
            <w:tcW w:w="140" w:type="dxa"/>
            <w:vAlign w:val="bottom"/>
            <w:shd w:val="clear" w:color="auto" w:fill="E9F9D8"/>
          </w:tcPr>
          <w:p>
            <w:pPr>
              <w:spacing w:after="0"/>
              <w:rPr>
                <w:sz w:val="12"/>
                <w:szCs w:val="12"/>
                <w:color w:val="auto"/>
              </w:rPr>
            </w:pPr>
          </w:p>
        </w:tc>
        <w:tc>
          <w:tcPr>
            <w:tcW w:w="20" w:type="dxa"/>
            <w:vAlign w:val="bottom"/>
            <w:shd w:val="clear" w:color="auto" w:fill="E9F9D8"/>
          </w:tcPr>
          <w:p>
            <w:pPr>
              <w:spacing w:after="0"/>
              <w:rPr>
                <w:sz w:val="12"/>
                <w:szCs w:val="12"/>
                <w:color w:val="auto"/>
              </w:rPr>
            </w:pPr>
          </w:p>
        </w:tc>
        <w:tc>
          <w:tcPr>
            <w:tcW w:w="280" w:type="dxa"/>
            <w:vAlign w:val="bottom"/>
            <w:shd w:val="clear" w:color="auto" w:fill="E9F9D8"/>
          </w:tcPr>
          <w:p>
            <w:pPr>
              <w:spacing w:after="0"/>
              <w:rPr>
                <w:sz w:val="12"/>
                <w:szCs w:val="12"/>
                <w:color w:val="auto"/>
              </w:rPr>
            </w:pPr>
          </w:p>
        </w:tc>
        <w:tc>
          <w:tcPr>
            <w:tcW w:w="80" w:type="dxa"/>
            <w:vAlign w:val="bottom"/>
            <w:shd w:val="clear" w:color="auto" w:fill="E9F9D8"/>
          </w:tcPr>
          <w:p>
            <w:pPr>
              <w:spacing w:after="0"/>
              <w:rPr>
                <w:sz w:val="12"/>
                <w:szCs w:val="12"/>
                <w:color w:val="auto"/>
              </w:rPr>
            </w:pPr>
          </w:p>
        </w:tc>
        <w:tc>
          <w:tcPr>
            <w:tcW w:w="240" w:type="dxa"/>
            <w:vAlign w:val="bottom"/>
            <w:tcBorders>
              <w:right w:val="single" w:sz="8" w:color="E9F9D8"/>
            </w:tcBorders>
            <w:shd w:val="clear" w:color="auto" w:fill="E9F9D8"/>
          </w:tcPr>
          <w:p>
            <w:pPr>
              <w:spacing w:after="0"/>
              <w:rPr>
                <w:sz w:val="12"/>
                <w:szCs w:val="12"/>
                <w:color w:val="auto"/>
              </w:rPr>
            </w:pPr>
          </w:p>
        </w:tc>
        <w:tc>
          <w:tcPr>
            <w:tcW w:w="140" w:type="dxa"/>
            <w:vAlign w:val="bottom"/>
            <w:gridSpan w:val="2"/>
            <w:shd w:val="clear" w:color="auto" w:fill="E9F9D8"/>
          </w:tcPr>
          <w:p>
            <w:pPr>
              <w:ind w:left="60"/>
              <w:spacing w:after="0" w:line="148" w:lineRule="exact"/>
              <w:rPr>
                <w:sz w:val="20"/>
                <w:szCs w:val="20"/>
                <w:color w:val="auto"/>
              </w:rPr>
            </w:pPr>
            <w:r>
              <w:rPr>
                <w:rFonts w:ascii="Arial" w:cs="Arial" w:eastAsia="Arial" w:hAnsi="Arial"/>
                <w:sz w:val="16"/>
                <w:szCs w:val="16"/>
                <w:b w:val="1"/>
                <w:bCs w:val="1"/>
                <w:color w:val="1F2668"/>
              </w:rPr>
              <w:t>​</w:t>
            </w:r>
          </w:p>
        </w:tc>
        <w:tc>
          <w:tcPr>
            <w:tcW w:w="280" w:type="dxa"/>
            <w:vAlign w:val="bottom"/>
            <w:gridSpan w:val="3"/>
            <w:shd w:val="clear" w:color="auto" w:fill="E9F9D8"/>
          </w:tcPr>
          <w:p>
            <w:pPr>
              <w:jc w:val="right"/>
              <w:ind w:right="200"/>
              <w:spacing w:after="0" w:line="148" w:lineRule="exact"/>
              <w:rPr>
                <w:sz w:val="20"/>
                <w:szCs w:val="20"/>
                <w:color w:val="auto"/>
              </w:rPr>
            </w:pPr>
            <w:r>
              <w:rPr>
                <w:rFonts w:ascii="Arial" w:cs="Arial" w:eastAsia="Arial" w:hAnsi="Arial"/>
                <w:sz w:val="16"/>
                <w:szCs w:val="16"/>
                <w:b w:val="1"/>
                <w:bCs w:val="1"/>
                <w:color w:val="1F2668"/>
              </w:rPr>
              <w:t>​</w:t>
            </w:r>
          </w:p>
        </w:tc>
        <w:tc>
          <w:tcPr>
            <w:tcW w:w="500" w:type="dxa"/>
            <w:vAlign w:val="bottom"/>
            <w:tcBorders>
              <w:right w:val="single" w:sz="8" w:color="E9F9D8"/>
            </w:tcBorders>
            <w:gridSpan w:val="2"/>
            <w:shd w:val="clear" w:color="auto" w:fill="E9F9D8"/>
          </w:tcPr>
          <w:p>
            <w:pPr>
              <w:jc w:val="right"/>
              <w:ind w:right="100"/>
              <w:spacing w:after="0" w:line="148" w:lineRule="exact"/>
              <w:rPr>
                <w:sz w:val="20"/>
                <w:szCs w:val="20"/>
                <w:color w:val="auto"/>
              </w:rPr>
            </w:pPr>
            <w:r>
              <w:rPr>
                <w:rFonts w:ascii="Arial" w:cs="Arial" w:eastAsia="Arial" w:hAnsi="Arial"/>
                <w:sz w:val="16"/>
                <w:szCs w:val="16"/>
                <w:b w:val="1"/>
                <w:bCs w:val="1"/>
                <w:color w:val="1F2668"/>
              </w:rPr>
              <w:t>​ ​​</w:t>
            </w:r>
          </w:p>
        </w:tc>
        <w:tc>
          <w:tcPr>
            <w:tcW w:w="120" w:type="dxa"/>
            <w:vAlign w:val="bottom"/>
            <w:vMerge w:val="restart"/>
            <w:shd w:val="clear" w:color="auto" w:fill="E9F9D8"/>
          </w:tcPr>
          <w:p>
            <w:pPr>
              <w:jc w:val="right"/>
              <w:spacing w:after="0"/>
              <w:rPr>
                <w:sz w:val="20"/>
                <w:szCs w:val="20"/>
                <w:color w:val="auto"/>
              </w:rPr>
            </w:pPr>
            <w:r>
              <w:rPr>
                <w:rFonts w:ascii="Arial" w:cs="Arial" w:eastAsia="Arial" w:hAnsi="Arial"/>
                <w:sz w:val="12"/>
                <w:szCs w:val="12"/>
                <w:b w:val="1"/>
                <w:bCs w:val="1"/>
                <w:color w:val="1F2668"/>
                <w:w w:val="74"/>
              </w:rPr>
              <w:t>84</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80" w:type="dxa"/>
            <w:vAlign w:val="bottom"/>
            <w:tcBorders>
              <w:right w:val="single" w:sz="8" w:color="E9F9D8"/>
            </w:tcBorders>
            <w:gridSpan w:val="17"/>
            <w:shd w:val="clear" w:color="auto" w:fill="E9F9D8"/>
          </w:tcPr>
          <w:p>
            <w:pPr>
              <w:spacing w:after="0" w:line="122" w:lineRule="exact"/>
              <w:rPr>
                <w:sz w:val="20"/>
                <w:szCs w:val="20"/>
                <w:color w:val="auto"/>
              </w:rPr>
            </w:pPr>
            <w:r>
              <w:rPr>
                <w:rFonts w:ascii="Arial" w:cs="Arial" w:eastAsia="Arial" w:hAnsi="Arial"/>
                <w:sz w:val="14"/>
                <w:szCs w:val="14"/>
                <w:b w:val="1"/>
                <w:bCs w:val="1"/>
                <w:color w:val="1F2668"/>
              </w:rPr>
              <w:t>Proposal 3: Ratification of Appointment of</w:t>
            </w:r>
          </w:p>
        </w:tc>
        <w:tc>
          <w:tcPr>
            <w:tcW w:w="120" w:type="dxa"/>
            <w:vAlign w:val="bottom"/>
            <w:shd w:val="clear" w:color="auto" w:fill="E9F9D8"/>
          </w:tcPr>
          <w:p>
            <w:pPr>
              <w:spacing w:after="0"/>
              <w:rPr>
                <w:sz w:val="10"/>
                <w:szCs w:val="10"/>
                <w:color w:val="auto"/>
              </w:rPr>
            </w:pPr>
          </w:p>
        </w:tc>
        <w:tc>
          <w:tcPr>
            <w:tcW w:w="20" w:type="dxa"/>
            <w:vAlign w:val="bottom"/>
            <w:shd w:val="clear" w:color="auto" w:fill="E9F9D8"/>
          </w:tcPr>
          <w:p>
            <w:pPr>
              <w:spacing w:after="0"/>
              <w:rPr>
                <w:sz w:val="10"/>
                <w:szCs w:val="10"/>
                <w:color w:val="auto"/>
              </w:rPr>
            </w:pPr>
          </w:p>
        </w:tc>
        <w:tc>
          <w:tcPr>
            <w:tcW w:w="60" w:type="dxa"/>
            <w:vAlign w:val="bottom"/>
            <w:shd w:val="clear" w:color="auto" w:fill="E9F9D8"/>
          </w:tcPr>
          <w:p>
            <w:pPr>
              <w:spacing w:after="0"/>
              <w:rPr>
                <w:sz w:val="10"/>
                <w:szCs w:val="10"/>
                <w:color w:val="auto"/>
              </w:rPr>
            </w:pPr>
          </w:p>
        </w:tc>
        <w:tc>
          <w:tcPr>
            <w:tcW w:w="20" w:type="dxa"/>
            <w:vAlign w:val="bottom"/>
            <w:shd w:val="clear" w:color="auto" w:fill="E9F9D8"/>
          </w:tcPr>
          <w:p>
            <w:pPr>
              <w:spacing w:after="0"/>
              <w:rPr>
                <w:sz w:val="10"/>
                <w:szCs w:val="10"/>
                <w:color w:val="auto"/>
              </w:rPr>
            </w:pPr>
          </w:p>
        </w:tc>
        <w:tc>
          <w:tcPr>
            <w:tcW w:w="200" w:type="dxa"/>
            <w:vAlign w:val="bottom"/>
            <w:shd w:val="clear" w:color="auto" w:fill="E9F9D8"/>
          </w:tcPr>
          <w:p>
            <w:pPr>
              <w:spacing w:after="0"/>
              <w:rPr>
                <w:sz w:val="10"/>
                <w:szCs w:val="10"/>
                <w:color w:val="auto"/>
              </w:rPr>
            </w:pPr>
          </w:p>
        </w:tc>
        <w:tc>
          <w:tcPr>
            <w:tcW w:w="500" w:type="dxa"/>
            <w:vAlign w:val="bottom"/>
            <w:tcBorders>
              <w:right w:val="single" w:sz="8" w:color="E9F9D8"/>
            </w:tcBorders>
            <w:gridSpan w:val="2"/>
            <w:shd w:val="clear" w:color="auto" w:fill="E9F9D8"/>
          </w:tcPr>
          <w:p>
            <w:pPr>
              <w:jc w:val="right"/>
              <w:ind w:right="100"/>
              <w:spacing w:after="0" w:line="122" w:lineRule="exact"/>
              <w:rPr>
                <w:sz w:val="20"/>
                <w:szCs w:val="20"/>
                <w:color w:val="auto"/>
              </w:rPr>
            </w:pPr>
            <w:r>
              <w:rPr>
                <w:rFonts w:ascii="Arial" w:cs="Arial" w:eastAsia="Arial" w:hAnsi="Arial"/>
                <w:sz w:val="14"/>
                <w:szCs w:val="14"/>
                <w:b w:val="1"/>
                <w:bCs w:val="1"/>
                <w:color w:val="1F2668"/>
              </w:rPr>
              <w:t>​</w:t>
            </w:r>
          </w:p>
        </w:tc>
        <w:tc>
          <w:tcPr>
            <w:tcW w:w="120" w:type="dxa"/>
            <w:vAlign w:val="bottom"/>
            <w:vMerge w:val="continue"/>
            <w:shd w:val="clear" w:color="auto" w:fill="E9F9D8"/>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1F2668"/>
          </w:tcPr>
          <w:p>
            <w:pPr>
              <w:spacing w:after="0" w:line="20" w:lineRule="exact"/>
              <w:rPr>
                <w:sz w:val="1"/>
                <w:szCs w:val="1"/>
                <w:color w:val="auto"/>
              </w:rPr>
            </w:pPr>
          </w:p>
        </w:tc>
        <w:tc>
          <w:tcPr>
            <w:tcW w:w="780" w:type="dxa"/>
            <w:vAlign w:val="bottom"/>
            <w:gridSpan w:val="3"/>
            <w:shd w:val="clear" w:color="auto" w:fill="1F2668"/>
          </w:tcPr>
          <w:p>
            <w:pPr>
              <w:spacing w:after="0" w:line="20" w:lineRule="exact"/>
              <w:rPr>
                <w:sz w:val="1"/>
                <w:szCs w:val="1"/>
                <w:color w:val="auto"/>
              </w:rPr>
            </w:pPr>
          </w:p>
        </w:tc>
        <w:tc>
          <w:tcPr>
            <w:tcW w:w="140" w:type="dxa"/>
            <w:vAlign w:val="bottom"/>
            <w:shd w:val="clear" w:color="auto" w:fill="1F2668"/>
          </w:tcPr>
          <w:p>
            <w:pPr>
              <w:spacing w:after="0" w:line="20" w:lineRule="exact"/>
              <w:rPr>
                <w:sz w:val="1"/>
                <w:szCs w:val="1"/>
                <w:color w:val="auto"/>
              </w:rPr>
            </w:pPr>
          </w:p>
        </w:tc>
        <w:tc>
          <w:tcPr>
            <w:tcW w:w="2020" w:type="dxa"/>
            <w:vAlign w:val="bottom"/>
            <w:tcBorders>
              <w:right w:val="single" w:sz="8" w:color="E9F9D8"/>
            </w:tcBorders>
            <w:gridSpan w:val="12"/>
            <w:shd w:val="clear" w:color="auto" w:fill="1F2668"/>
          </w:tcPr>
          <w:p>
            <w:pPr>
              <w:spacing w:after="0" w:line="20" w:lineRule="exact"/>
              <w:rPr>
                <w:sz w:val="1"/>
                <w:szCs w:val="1"/>
                <w:color w:val="auto"/>
              </w:rPr>
            </w:pPr>
          </w:p>
        </w:tc>
        <w:tc>
          <w:tcPr>
            <w:tcW w:w="120" w:type="dxa"/>
            <w:vAlign w:val="bottom"/>
            <w:shd w:val="clear" w:color="auto" w:fill="E9F9D8"/>
          </w:tcPr>
          <w:p>
            <w:pPr>
              <w:spacing w:after="0" w:line="20" w:lineRule="exact"/>
              <w:rPr>
                <w:sz w:val="1"/>
                <w:szCs w:val="1"/>
                <w:color w:val="auto"/>
              </w:rPr>
            </w:pPr>
          </w:p>
        </w:tc>
        <w:tc>
          <w:tcPr>
            <w:tcW w:w="20" w:type="dxa"/>
            <w:vAlign w:val="bottom"/>
            <w:shd w:val="clear" w:color="auto" w:fill="E9F9D8"/>
          </w:tcPr>
          <w:p>
            <w:pPr>
              <w:spacing w:after="0" w:line="20" w:lineRule="exact"/>
              <w:rPr>
                <w:sz w:val="1"/>
                <w:szCs w:val="1"/>
                <w:color w:val="auto"/>
              </w:rPr>
            </w:pPr>
          </w:p>
        </w:tc>
        <w:tc>
          <w:tcPr>
            <w:tcW w:w="60" w:type="dxa"/>
            <w:vAlign w:val="bottom"/>
            <w:shd w:val="clear" w:color="auto" w:fill="E9F9D8"/>
          </w:tcPr>
          <w:p>
            <w:pPr>
              <w:spacing w:after="0" w:line="20" w:lineRule="exact"/>
              <w:rPr>
                <w:sz w:val="1"/>
                <w:szCs w:val="1"/>
                <w:color w:val="auto"/>
              </w:rPr>
            </w:pPr>
          </w:p>
        </w:tc>
        <w:tc>
          <w:tcPr>
            <w:tcW w:w="20" w:type="dxa"/>
            <w:vAlign w:val="bottom"/>
            <w:shd w:val="clear" w:color="auto" w:fill="E9F9D8"/>
          </w:tcPr>
          <w:p>
            <w:pPr>
              <w:spacing w:after="0" w:line="20" w:lineRule="exact"/>
              <w:rPr>
                <w:sz w:val="1"/>
                <w:szCs w:val="1"/>
                <w:color w:val="auto"/>
              </w:rPr>
            </w:pPr>
          </w:p>
        </w:tc>
        <w:tc>
          <w:tcPr>
            <w:tcW w:w="200" w:type="dxa"/>
            <w:vAlign w:val="bottom"/>
            <w:shd w:val="clear" w:color="auto" w:fill="E9F9D8"/>
          </w:tcPr>
          <w:p>
            <w:pPr>
              <w:spacing w:after="0" w:line="20" w:lineRule="exact"/>
              <w:rPr>
                <w:sz w:val="1"/>
                <w:szCs w:val="1"/>
                <w:color w:val="auto"/>
              </w:rPr>
            </w:pPr>
          </w:p>
        </w:tc>
        <w:tc>
          <w:tcPr>
            <w:tcW w:w="380" w:type="dxa"/>
            <w:vAlign w:val="bottom"/>
            <w:shd w:val="clear" w:color="auto" w:fill="E9F9D8"/>
          </w:tcPr>
          <w:p>
            <w:pPr>
              <w:spacing w:after="0" w:line="20" w:lineRule="exact"/>
              <w:rPr>
                <w:sz w:val="1"/>
                <w:szCs w:val="1"/>
                <w:color w:val="auto"/>
              </w:rPr>
            </w:pPr>
          </w:p>
        </w:tc>
        <w:tc>
          <w:tcPr>
            <w:tcW w:w="120" w:type="dxa"/>
            <w:vAlign w:val="bottom"/>
            <w:tcBorders>
              <w:right w:val="single" w:sz="8" w:color="1F2668"/>
            </w:tcBorders>
            <w:shd w:val="clear" w:color="auto" w:fill="E9F9D8"/>
          </w:tcPr>
          <w:p>
            <w:pPr>
              <w:spacing w:after="0" w:line="20" w:lineRule="exact"/>
              <w:rPr>
                <w:sz w:val="1"/>
                <w:szCs w:val="1"/>
                <w:color w:val="auto"/>
              </w:rPr>
            </w:pPr>
          </w:p>
        </w:tc>
        <w:tc>
          <w:tcPr>
            <w:tcW w:w="120" w:type="dxa"/>
            <w:vAlign w:val="bottom"/>
            <w:shd w:val="clear" w:color="auto" w:fill="1F2668"/>
          </w:tcPr>
          <w:p>
            <w:pPr>
              <w:spacing w:after="0" w:line="20" w:lineRule="exact"/>
              <w:rPr>
                <w:sz w:val="1"/>
                <w:szCs w:val="1"/>
                <w:color w:val="auto"/>
              </w:rPr>
            </w:pPr>
          </w:p>
        </w:tc>
        <w:tc>
          <w:tcPr>
            <w:tcW w:w="60" w:type="dxa"/>
            <w:vAlign w:val="bottom"/>
            <w:tcBorders>
              <w:left w:val="single" w:sz="8" w:color="1F266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80" w:type="dxa"/>
            <w:vAlign w:val="bottom"/>
            <w:tcBorders>
              <w:bottom w:val="single" w:sz="8" w:color="1F2668"/>
              <w:right w:val="single" w:sz="8" w:color="E9F9D8"/>
            </w:tcBorders>
            <w:gridSpan w:val="17"/>
            <w:shd w:val="clear" w:color="auto" w:fill="E9F9D8"/>
          </w:tcPr>
          <w:p>
            <w:pPr>
              <w:spacing w:after="0" w:line="183" w:lineRule="exact"/>
              <w:rPr>
                <w:sz w:val="20"/>
                <w:szCs w:val="20"/>
                <w:color w:val="auto"/>
              </w:rPr>
            </w:pPr>
            <w:r>
              <w:rPr>
                <w:rFonts w:ascii="Arial" w:cs="Arial" w:eastAsia="Arial" w:hAnsi="Arial"/>
                <w:sz w:val="16"/>
                <w:szCs w:val="16"/>
                <w:b w:val="1"/>
                <w:bCs w:val="1"/>
                <w:color w:val="1F2668"/>
                <w:w w:val="99"/>
              </w:rPr>
              <w:t>Independent Registered Public Accounting</w:t>
            </w:r>
          </w:p>
        </w:tc>
        <w:tc>
          <w:tcPr>
            <w:tcW w:w="120" w:type="dxa"/>
            <w:vAlign w:val="bottom"/>
            <w:tcBorders>
              <w:bottom w:val="single" w:sz="8" w:color="E9F9D8"/>
            </w:tcBorders>
            <w:shd w:val="clear" w:color="auto" w:fill="E9F9D8"/>
          </w:tcPr>
          <w:p>
            <w:pPr>
              <w:spacing w:after="0"/>
              <w:rPr>
                <w:sz w:val="15"/>
                <w:szCs w:val="15"/>
                <w:color w:val="auto"/>
              </w:rPr>
            </w:pPr>
          </w:p>
        </w:tc>
        <w:tc>
          <w:tcPr>
            <w:tcW w:w="20" w:type="dxa"/>
            <w:vAlign w:val="bottom"/>
            <w:tcBorders>
              <w:bottom w:val="single" w:sz="8" w:color="E9F9D8"/>
            </w:tcBorders>
            <w:shd w:val="clear" w:color="auto" w:fill="E9F9D8"/>
          </w:tcPr>
          <w:p>
            <w:pPr>
              <w:spacing w:after="0"/>
              <w:rPr>
                <w:sz w:val="15"/>
                <w:szCs w:val="15"/>
                <w:color w:val="auto"/>
              </w:rPr>
            </w:pPr>
          </w:p>
        </w:tc>
        <w:tc>
          <w:tcPr>
            <w:tcW w:w="60" w:type="dxa"/>
            <w:vAlign w:val="bottom"/>
            <w:tcBorders>
              <w:bottom w:val="single" w:sz="8" w:color="E9F9D8"/>
            </w:tcBorders>
            <w:shd w:val="clear" w:color="auto" w:fill="E9F9D8"/>
          </w:tcPr>
          <w:p>
            <w:pPr>
              <w:spacing w:after="0"/>
              <w:rPr>
                <w:sz w:val="15"/>
                <w:szCs w:val="15"/>
                <w:color w:val="auto"/>
              </w:rPr>
            </w:pPr>
          </w:p>
        </w:tc>
        <w:tc>
          <w:tcPr>
            <w:tcW w:w="20" w:type="dxa"/>
            <w:vAlign w:val="bottom"/>
            <w:tcBorders>
              <w:bottom w:val="single" w:sz="8" w:color="E9F9D8"/>
            </w:tcBorders>
            <w:shd w:val="clear" w:color="auto" w:fill="E9F9D8"/>
          </w:tcPr>
          <w:p>
            <w:pPr>
              <w:spacing w:after="0"/>
              <w:rPr>
                <w:sz w:val="15"/>
                <w:szCs w:val="15"/>
                <w:color w:val="auto"/>
              </w:rPr>
            </w:pPr>
          </w:p>
        </w:tc>
        <w:tc>
          <w:tcPr>
            <w:tcW w:w="200" w:type="dxa"/>
            <w:vAlign w:val="bottom"/>
            <w:tcBorders>
              <w:bottom w:val="single" w:sz="8" w:color="E9F9D8"/>
            </w:tcBorders>
            <w:shd w:val="clear" w:color="auto" w:fill="E9F9D8"/>
          </w:tcPr>
          <w:p>
            <w:pPr>
              <w:spacing w:after="0"/>
              <w:rPr>
                <w:sz w:val="15"/>
                <w:szCs w:val="15"/>
                <w:color w:val="auto"/>
              </w:rPr>
            </w:pPr>
          </w:p>
        </w:tc>
        <w:tc>
          <w:tcPr>
            <w:tcW w:w="380" w:type="dxa"/>
            <w:vAlign w:val="bottom"/>
            <w:tcBorders>
              <w:bottom w:val="single" w:sz="8" w:color="E9F9D8"/>
            </w:tcBorders>
            <w:shd w:val="clear" w:color="auto" w:fill="E9F9D8"/>
          </w:tcPr>
          <w:p>
            <w:pPr>
              <w:spacing w:after="0"/>
              <w:rPr>
                <w:sz w:val="15"/>
                <w:szCs w:val="15"/>
                <w:color w:val="auto"/>
              </w:rPr>
            </w:pPr>
          </w:p>
        </w:tc>
        <w:tc>
          <w:tcPr>
            <w:tcW w:w="120" w:type="dxa"/>
            <w:vAlign w:val="bottom"/>
            <w:tcBorders>
              <w:bottom w:val="single" w:sz="8" w:color="E9F9D8"/>
              <w:right w:val="single" w:sz="8" w:color="E9F9D8"/>
            </w:tcBorders>
            <w:shd w:val="clear" w:color="auto" w:fill="E9F9D8"/>
          </w:tcPr>
          <w:p>
            <w:pPr>
              <w:spacing w:after="0"/>
              <w:rPr>
                <w:sz w:val="15"/>
                <w:szCs w:val="15"/>
                <w:color w:val="auto"/>
              </w:rPr>
            </w:pPr>
          </w:p>
        </w:tc>
        <w:tc>
          <w:tcPr>
            <w:tcW w:w="120" w:type="dxa"/>
            <w:vAlign w:val="bottom"/>
            <w:tcBorders>
              <w:bottom w:val="single" w:sz="8" w:color="E9F9D8"/>
            </w:tcBorders>
            <w:shd w:val="clear" w:color="auto" w:fill="E9F9D8"/>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gridSpan w:val="3"/>
            <w:shd w:val="clear" w:color="auto" w:fill="E9F9D8"/>
          </w:tcPr>
          <w:p>
            <w:pPr>
              <w:spacing w:after="0" w:line="183" w:lineRule="exact"/>
              <w:rPr>
                <w:sz w:val="20"/>
                <w:szCs w:val="20"/>
                <w:color w:val="auto"/>
              </w:rPr>
            </w:pPr>
            <w:r>
              <w:rPr>
                <w:rFonts w:ascii="Arial" w:cs="Arial" w:eastAsia="Arial" w:hAnsi="Arial"/>
                <w:sz w:val="16"/>
                <w:szCs w:val="16"/>
                <w:b w:val="1"/>
                <w:bCs w:val="1"/>
                <w:color w:val="1F2668"/>
              </w:rPr>
              <w:t>Firm</w:t>
            </w:r>
          </w:p>
        </w:tc>
        <w:tc>
          <w:tcPr>
            <w:tcW w:w="420" w:type="dxa"/>
            <w:vAlign w:val="bottom"/>
            <w:shd w:val="clear" w:color="auto" w:fill="E9F9D8"/>
          </w:tcPr>
          <w:p>
            <w:pPr>
              <w:spacing w:after="0"/>
              <w:rPr>
                <w:sz w:val="15"/>
                <w:szCs w:val="15"/>
                <w:color w:val="auto"/>
              </w:rPr>
            </w:pPr>
          </w:p>
        </w:tc>
        <w:tc>
          <w:tcPr>
            <w:tcW w:w="140" w:type="dxa"/>
            <w:vAlign w:val="bottom"/>
            <w:shd w:val="clear" w:color="auto" w:fill="E9F9D8"/>
          </w:tcPr>
          <w:p>
            <w:pPr>
              <w:spacing w:after="0"/>
              <w:rPr>
                <w:sz w:val="15"/>
                <w:szCs w:val="15"/>
                <w:color w:val="auto"/>
              </w:rPr>
            </w:pPr>
          </w:p>
        </w:tc>
        <w:tc>
          <w:tcPr>
            <w:tcW w:w="160" w:type="dxa"/>
            <w:vAlign w:val="bottom"/>
            <w:shd w:val="clear" w:color="auto" w:fill="E9F9D8"/>
          </w:tcPr>
          <w:p>
            <w:pPr>
              <w:spacing w:after="0"/>
              <w:rPr>
                <w:sz w:val="15"/>
                <w:szCs w:val="15"/>
                <w:color w:val="auto"/>
              </w:rPr>
            </w:pPr>
          </w:p>
        </w:tc>
        <w:tc>
          <w:tcPr>
            <w:tcW w:w="300" w:type="dxa"/>
            <w:vAlign w:val="bottom"/>
            <w:shd w:val="clear" w:color="auto" w:fill="E9F9D8"/>
          </w:tcPr>
          <w:p>
            <w:pPr>
              <w:spacing w:after="0"/>
              <w:rPr>
                <w:sz w:val="15"/>
                <w:szCs w:val="15"/>
                <w:color w:val="auto"/>
              </w:rPr>
            </w:pPr>
          </w:p>
        </w:tc>
        <w:tc>
          <w:tcPr>
            <w:tcW w:w="40" w:type="dxa"/>
            <w:vAlign w:val="bottom"/>
            <w:shd w:val="clear" w:color="auto" w:fill="E9F9D8"/>
          </w:tcPr>
          <w:p>
            <w:pPr>
              <w:spacing w:after="0"/>
              <w:rPr>
                <w:sz w:val="15"/>
                <w:szCs w:val="15"/>
                <w:color w:val="auto"/>
              </w:rPr>
            </w:pPr>
          </w:p>
        </w:tc>
        <w:tc>
          <w:tcPr>
            <w:tcW w:w="60" w:type="dxa"/>
            <w:vAlign w:val="bottom"/>
            <w:shd w:val="clear" w:color="auto" w:fill="E9F9D8"/>
          </w:tcPr>
          <w:p>
            <w:pPr>
              <w:spacing w:after="0"/>
              <w:rPr>
                <w:sz w:val="15"/>
                <w:szCs w:val="15"/>
                <w:color w:val="auto"/>
              </w:rPr>
            </w:pPr>
          </w:p>
        </w:tc>
        <w:tc>
          <w:tcPr>
            <w:tcW w:w="600" w:type="dxa"/>
            <w:vAlign w:val="bottom"/>
            <w:shd w:val="clear" w:color="auto" w:fill="E9F9D8"/>
          </w:tcPr>
          <w:p>
            <w:pPr>
              <w:spacing w:after="0"/>
              <w:rPr>
                <w:sz w:val="15"/>
                <w:szCs w:val="15"/>
                <w:color w:val="auto"/>
              </w:rPr>
            </w:pPr>
          </w:p>
        </w:tc>
        <w:tc>
          <w:tcPr>
            <w:tcW w:w="40" w:type="dxa"/>
            <w:vAlign w:val="bottom"/>
            <w:shd w:val="clear" w:color="auto" w:fill="E9F9D8"/>
          </w:tcPr>
          <w:p>
            <w:pPr>
              <w:spacing w:after="0"/>
              <w:rPr>
                <w:sz w:val="15"/>
                <w:szCs w:val="15"/>
                <w:color w:val="auto"/>
              </w:rPr>
            </w:pPr>
          </w:p>
        </w:tc>
        <w:tc>
          <w:tcPr>
            <w:tcW w:w="60" w:type="dxa"/>
            <w:vAlign w:val="bottom"/>
            <w:tcBorders>
              <w:right w:val="single" w:sz="8" w:color="E9F9D8"/>
            </w:tcBorders>
            <w:shd w:val="clear" w:color="auto" w:fill="E9F9D8"/>
          </w:tcPr>
          <w:p>
            <w:pPr>
              <w:spacing w:after="0"/>
              <w:rPr>
                <w:sz w:val="15"/>
                <w:szCs w:val="15"/>
                <w:color w:val="auto"/>
              </w:rPr>
            </w:pPr>
          </w:p>
        </w:tc>
        <w:tc>
          <w:tcPr>
            <w:tcW w:w="140" w:type="dxa"/>
            <w:vAlign w:val="bottom"/>
            <w:shd w:val="clear" w:color="auto" w:fill="E9F9D8"/>
          </w:tcPr>
          <w:p>
            <w:pPr>
              <w:spacing w:after="0"/>
              <w:rPr>
                <w:sz w:val="15"/>
                <w:szCs w:val="15"/>
                <w:color w:val="auto"/>
              </w:rPr>
            </w:pPr>
          </w:p>
        </w:tc>
        <w:tc>
          <w:tcPr>
            <w:tcW w:w="20" w:type="dxa"/>
            <w:vAlign w:val="bottom"/>
            <w:shd w:val="clear" w:color="auto" w:fill="E9F9D8"/>
          </w:tcPr>
          <w:p>
            <w:pPr>
              <w:spacing w:after="0"/>
              <w:rPr>
                <w:sz w:val="15"/>
                <w:szCs w:val="15"/>
                <w:color w:val="auto"/>
              </w:rPr>
            </w:pPr>
          </w:p>
        </w:tc>
        <w:tc>
          <w:tcPr>
            <w:tcW w:w="280" w:type="dxa"/>
            <w:vAlign w:val="bottom"/>
            <w:shd w:val="clear" w:color="auto" w:fill="E9F9D8"/>
          </w:tcPr>
          <w:p>
            <w:pPr>
              <w:spacing w:after="0"/>
              <w:rPr>
                <w:sz w:val="15"/>
                <w:szCs w:val="15"/>
                <w:color w:val="auto"/>
              </w:rPr>
            </w:pPr>
          </w:p>
        </w:tc>
        <w:tc>
          <w:tcPr>
            <w:tcW w:w="80" w:type="dxa"/>
            <w:vAlign w:val="bottom"/>
            <w:shd w:val="clear" w:color="auto" w:fill="E9F9D8"/>
          </w:tcPr>
          <w:p>
            <w:pPr>
              <w:spacing w:after="0"/>
              <w:rPr>
                <w:sz w:val="15"/>
                <w:szCs w:val="15"/>
                <w:color w:val="auto"/>
              </w:rPr>
            </w:pPr>
          </w:p>
        </w:tc>
        <w:tc>
          <w:tcPr>
            <w:tcW w:w="240" w:type="dxa"/>
            <w:vAlign w:val="bottom"/>
            <w:tcBorders>
              <w:right w:val="single" w:sz="8" w:color="E9F9D8"/>
            </w:tcBorders>
            <w:shd w:val="clear" w:color="auto" w:fill="E9F9D8"/>
          </w:tcPr>
          <w:p>
            <w:pPr>
              <w:spacing w:after="0"/>
              <w:rPr>
                <w:sz w:val="15"/>
                <w:szCs w:val="15"/>
                <w:color w:val="auto"/>
              </w:rPr>
            </w:pPr>
          </w:p>
        </w:tc>
        <w:tc>
          <w:tcPr>
            <w:tcW w:w="120" w:type="dxa"/>
            <w:vAlign w:val="bottom"/>
            <w:shd w:val="clear" w:color="auto" w:fill="E9F9D8"/>
          </w:tcPr>
          <w:p>
            <w:pPr>
              <w:spacing w:after="0"/>
              <w:rPr>
                <w:sz w:val="15"/>
                <w:szCs w:val="15"/>
                <w:color w:val="auto"/>
              </w:rPr>
            </w:pPr>
          </w:p>
        </w:tc>
        <w:tc>
          <w:tcPr>
            <w:tcW w:w="20" w:type="dxa"/>
            <w:vAlign w:val="bottom"/>
            <w:shd w:val="clear" w:color="auto" w:fill="E9F9D8"/>
          </w:tcPr>
          <w:p>
            <w:pPr>
              <w:spacing w:after="0"/>
              <w:rPr>
                <w:sz w:val="15"/>
                <w:szCs w:val="15"/>
                <w:color w:val="auto"/>
              </w:rPr>
            </w:pPr>
          </w:p>
        </w:tc>
        <w:tc>
          <w:tcPr>
            <w:tcW w:w="60" w:type="dxa"/>
            <w:vAlign w:val="bottom"/>
            <w:shd w:val="clear" w:color="auto" w:fill="E9F9D8"/>
          </w:tcPr>
          <w:p>
            <w:pPr>
              <w:spacing w:after="0"/>
              <w:rPr>
                <w:sz w:val="15"/>
                <w:szCs w:val="15"/>
                <w:color w:val="auto"/>
              </w:rPr>
            </w:pPr>
          </w:p>
        </w:tc>
        <w:tc>
          <w:tcPr>
            <w:tcW w:w="20" w:type="dxa"/>
            <w:vAlign w:val="bottom"/>
            <w:shd w:val="clear" w:color="auto" w:fill="E9F9D8"/>
          </w:tcPr>
          <w:p>
            <w:pPr>
              <w:spacing w:after="0"/>
              <w:rPr>
                <w:sz w:val="15"/>
                <w:szCs w:val="15"/>
                <w:color w:val="auto"/>
              </w:rPr>
            </w:pPr>
          </w:p>
        </w:tc>
        <w:tc>
          <w:tcPr>
            <w:tcW w:w="200" w:type="dxa"/>
            <w:vAlign w:val="bottom"/>
            <w:shd w:val="clear" w:color="auto" w:fill="E9F9D8"/>
          </w:tcPr>
          <w:p>
            <w:pPr>
              <w:spacing w:after="0"/>
              <w:rPr>
                <w:sz w:val="15"/>
                <w:szCs w:val="15"/>
                <w:color w:val="auto"/>
              </w:rPr>
            </w:pPr>
          </w:p>
        </w:tc>
        <w:tc>
          <w:tcPr>
            <w:tcW w:w="380" w:type="dxa"/>
            <w:vAlign w:val="bottom"/>
            <w:shd w:val="clear" w:color="auto" w:fill="E9F9D8"/>
          </w:tcPr>
          <w:p>
            <w:pPr>
              <w:spacing w:after="0"/>
              <w:rPr>
                <w:sz w:val="15"/>
                <w:szCs w:val="15"/>
                <w:color w:val="auto"/>
              </w:rPr>
            </w:pPr>
          </w:p>
        </w:tc>
        <w:tc>
          <w:tcPr>
            <w:tcW w:w="120" w:type="dxa"/>
            <w:vAlign w:val="bottom"/>
            <w:tcBorders>
              <w:right w:val="single" w:sz="8" w:color="E9F9D8"/>
            </w:tcBorders>
            <w:shd w:val="clear" w:color="auto" w:fill="E9F9D8"/>
          </w:tcPr>
          <w:p>
            <w:pPr>
              <w:spacing w:after="0"/>
              <w:rPr>
                <w:sz w:val="15"/>
                <w:szCs w:val="15"/>
                <w:color w:val="auto"/>
              </w:rPr>
            </w:pPr>
          </w:p>
        </w:tc>
        <w:tc>
          <w:tcPr>
            <w:tcW w:w="120" w:type="dxa"/>
            <w:vAlign w:val="bottom"/>
            <w:shd w:val="clear" w:color="auto" w:fill="E9F9D8"/>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340" w:type="dxa"/>
            <w:vAlign w:val="bottom"/>
            <w:tcBorders>
              <w:top w:val="single" w:sz="8" w:color="1F2668"/>
            </w:tcBorders>
            <w:shd w:val="clear" w:color="auto" w:fill="E9F9D8"/>
          </w:tcPr>
          <w:p>
            <w:pPr>
              <w:spacing w:after="0"/>
              <w:rPr>
                <w:sz w:val="5"/>
                <w:szCs w:val="5"/>
                <w:color w:val="auto"/>
              </w:rPr>
            </w:pPr>
          </w:p>
        </w:tc>
        <w:tc>
          <w:tcPr>
            <w:tcW w:w="260" w:type="dxa"/>
            <w:vAlign w:val="bottom"/>
            <w:tcBorders>
              <w:top w:val="single" w:sz="8" w:color="E9F9D8"/>
            </w:tcBorders>
            <w:shd w:val="clear" w:color="auto" w:fill="E9F9D8"/>
          </w:tcPr>
          <w:p>
            <w:pPr>
              <w:spacing w:after="0"/>
              <w:rPr>
                <w:sz w:val="5"/>
                <w:szCs w:val="5"/>
                <w:color w:val="auto"/>
              </w:rPr>
            </w:pPr>
          </w:p>
        </w:tc>
        <w:tc>
          <w:tcPr>
            <w:tcW w:w="100" w:type="dxa"/>
            <w:vAlign w:val="bottom"/>
            <w:tcBorders>
              <w:top w:val="single" w:sz="8" w:color="E9F9D8"/>
            </w:tcBorders>
            <w:shd w:val="clear" w:color="auto" w:fill="E9F9D8"/>
          </w:tcPr>
          <w:p>
            <w:pPr>
              <w:spacing w:after="0"/>
              <w:rPr>
                <w:sz w:val="5"/>
                <w:szCs w:val="5"/>
                <w:color w:val="auto"/>
              </w:rPr>
            </w:pPr>
          </w:p>
        </w:tc>
        <w:tc>
          <w:tcPr>
            <w:tcW w:w="420" w:type="dxa"/>
            <w:vAlign w:val="bottom"/>
            <w:tcBorders>
              <w:top w:val="single" w:sz="8" w:color="E9F9D8"/>
            </w:tcBorders>
            <w:shd w:val="clear" w:color="auto" w:fill="E9F9D8"/>
          </w:tcPr>
          <w:p>
            <w:pPr>
              <w:spacing w:after="0"/>
              <w:rPr>
                <w:sz w:val="5"/>
                <w:szCs w:val="5"/>
                <w:color w:val="auto"/>
              </w:rPr>
            </w:pPr>
          </w:p>
        </w:tc>
        <w:tc>
          <w:tcPr>
            <w:tcW w:w="140" w:type="dxa"/>
            <w:vAlign w:val="bottom"/>
            <w:tcBorders>
              <w:top w:val="single" w:sz="8" w:color="E9F9D8"/>
            </w:tcBorders>
            <w:shd w:val="clear" w:color="auto" w:fill="E9F9D8"/>
          </w:tcPr>
          <w:p>
            <w:pPr>
              <w:spacing w:after="0"/>
              <w:rPr>
                <w:sz w:val="5"/>
                <w:szCs w:val="5"/>
                <w:color w:val="auto"/>
              </w:rPr>
            </w:pPr>
          </w:p>
        </w:tc>
        <w:tc>
          <w:tcPr>
            <w:tcW w:w="160" w:type="dxa"/>
            <w:vAlign w:val="bottom"/>
            <w:tcBorders>
              <w:top w:val="single" w:sz="8" w:color="E9F9D8"/>
            </w:tcBorders>
            <w:shd w:val="clear" w:color="auto" w:fill="E9F9D8"/>
          </w:tcPr>
          <w:p>
            <w:pPr>
              <w:spacing w:after="0"/>
              <w:rPr>
                <w:sz w:val="5"/>
                <w:szCs w:val="5"/>
                <w:color w:val="auto"/>
              </w:rPr>
            </w:pPr>
          </w:p>
        </w:tc>
        <w:tc>
          <w:tcPr>
            <w:tcW w:w="300" w:type="dxa"/>
            <w:vAlign w:val="bottom"/>
            <w:tcBorders>
              <w:top w:val="single" w:sz="8" w:color="E9F9D8"/>
            </w:tcBorders>
            <w:shd w:val="clear" w:color="auto" w:fill="E9F9D8"/>
          </w:tcPr>
          <w:p>
            <w:pPr>
              <w:spacing w:after="0"/>
              <w:rPr>
                <w:sz w:val="5"/>
                <w:szCs w:val="5"/>
                <w:color w:val="auto"/>
              </w:rPr>
            </w:pPr>
          </w:p>
        </w:tc>
        <w:tc>
          <w:tcPr>
            <w:tcW w:w="40" w:type="dxa"/>
            <w:vAlign w:val="bottom"/>
            <w:tcBorders>
              <w:top w:val="single" w:sz="8" w:color="E9F9D8"/>
            </w:tcBorders>
            <w:shd w:val="clear" w:color="auto" w:fill="E9F9D8"/>
          </w:tcPr>
          <w:p>
            <w:pPr>
              <w:spacing w:after="0"/>
              <w:rPr>
                <w:sz w:val="5"/>
                <w:szCs w:val="5"/>
                <w:color w:val="auto"/>
              </w:rPr>
            </w:pPr>
          </w:p>
        </w:tc>
        <w:tc>
          <w:tcPr>
            <w:tcW w:w="60" w:type="dxa"/>
            <w:vAlign w:val="bottom"/>
            <w:tcBorders>
              <w:top w:val="single" w:sz="8" w:color="E9F9D8"/>
            </w:tcBorders>
            <w:shd w:val="clear" w:color="auto" w:fill="E9F9D8"/>
          </w:tcPr>
          <w:p>
            <w:pPr>
              <w:spacing w:after="0"/>
              <w:rPr>
                <w:sz w:val="5"/>
                <w:szCs w:val="5"/>
                <w:color w:val="auto"/>
              </w:rPr>
            </w:pPr>
          </w:p>
        </w:tc>
        <w:tc>
          <w:tcPr>
            <w:tcW w:w="600" w:type="dxa"/>
            <w:vAlign w:val="bottom"/>
            <w:tcBorders>
              <w:top w:val="single" w:sz="8" w:color="E9F9D8"/>
            </w:tcBorders>
            <w:shd w:val="clear" w:color="auto" w:fill="E9F9D8"/>
          </w:tcPr>
          <w:p>
            <w:pPr>
              <w:spacing w:after="0"/>
              <w:rPr>
                <w:sz w:val="5"/>
                <w:szCs w:val="5"/>
                <w:color w:val="auto"/>
              </w:rPr>
            </w:pPr>
          </w:p>
        </w:tc>
        <w:tc>
          <w:tcPr>
            <w:tcW w:w="40" w:type="dxa"/>
            <w:vAlign w:val="bottom"/>
            <w:tcBorders>
              <w:top w:val="single" w:sz="8" w:color="E9F9D8"/>
            </w:tcBorders>
            <w:shd w:val="clear" w:color="auto" w:fill="E9F9D8"/>
          </w:tcPr>
          <w:p>
            <w:pPr>
              <w:spacing w:after="0"/>
              <w:rPr>
                <w:sz w:val="5"/>
                <w:szCs w:val="5"/>
                <w:color w:val="auto"/>
              </w:rPr>
            </w:pPr>
          </w:p>
        </w:tc>
        <w:tc>
          <w:tcPr>
            <w:tcW w:w="60" w:type="dxa"/>
            <w:vAlign w:val="bottom"/>
            <w:tcBorders>
              <w:top w:val="single" w:sz="8" w:color="E9F9D8"/>
              <w:right w:val="single" w:sz="8" w:color="E9F9D8"/>
            </w:tcBorders>
            <w:shd w:val="clear" w:color="auto" w:fill="E9F9D8"/>
          </w:tcPr>
          <w:p>
            <w:pPr>
              <w:spacing w:after="0"/>
              <w:rPr>
                <w:sz w:val="5"/>
                <w:szCs w:val="5"/>
                <w:color w:val="auto"/>
              </w:rPr>
            </w:pPr>
          </w:p>
        </w:tc>
        <w:tc>
          <w:tcPr>
            <w:tcW w:w="140" w:type="dxa"/>
            <w:vAlign w:val="bottom"/>
            <w:tcBorders>
              <w:top w:val="single" w:sz="8" w:color="E9F9D8"/>
            </w:tcBorders>
            <w:shd w:val="clear" w:color="auto" w:fill="E9F9D8"/>
          </w:tcPr>
          <w:p>
            <w:pPr>
              <w:spacing w:after="0"/>
              <w:rPr>
                <w:sz w:val="5"/>
                <w:szCs w:val="5"/>
                <w:color w:val="auto"/>
              </w:rPr>
            </w:pPr>
          </w:p>
        </w:tc>
        <w:tc>
          <w:tcPr>
            <w:tcW w:w="20" w:type="dxa"/>
            <w:vAlign w:val="bottom"/>
            <w:tcBorders>
              <w:top w:val="single" w:sz="8" w:color="E9F9D8"/>
            </w:tcBorders>
            <w:shd w:val="clear" w:color="auto" w:fill="E9F9D8"/>
          </w:tcPr>
          <w:p>
            <w:pPr>
              <w:spacing w:after="0"/>
              <w:rPr>
                <w:sz w:val="5"/>
                <w:szCs w:val="5"/>
                <w:color w:val="auto"/>
              </w:rPr>
            </w:pPr>
          </w:p>
        </w:tc>
        <w:tc>
          <w:tcPr>
            <w:tcW w:w="280" w:type="dxa"/>
            <w:vAlign w:val="bottom"/>
            <w:tcBorders>
              <w:top w:val="single" w:sz="8" w:color="E9F9D8"/>
            </w:tcBorders>
            <w:shd w:val="clear" w:color="auto" w:fill="E9F9D8"/>
          </w:tcPr>
          <w:p>
            <w:pPr>
              <w:spacing w:after="0"/>
              <w:rPr>
                <w:sz w:val="5"/>
                <w:szCs w:val="5"/>
                <w:color w:val="auto"/>
              </w:rPr>
            </w:pPr>
          </w:p>
        </w:tc>
        <w:tc>
          <w:tcPr>
            <w:tcW w:w="80" w:type="dxa"/>
            <w:vAlign w:val="bottom"/>
            <w:tcBorders>
              <w:top w:val="single" w:sz="8" w:color="E9F9D8"/>
            </w:tcBorders>
            <w:shd w:val="clear" w:color="auto" w:fill="E9F9D8"/>
          </w:tcPr>
          <w:p>
            <w:pPr>
              <w:spacing w:after="0"/>
              <w:rPr>
                <w:sz w:val="5"/>
                <w:szCs w:val="5"/>
                <w:color w:val="auto"/>
              </w:rPr>
            </w:pPr>
          </w:p>
        </w:tc>
        <w:tc>
          <w:tcPr>
            <w:tcW w:w="240" w:type="dxa"/>
            <w:vAlign w:val="bottom"/>
            <w:tcBorders>
              <w:top w:val="single" w:sz="8" w:color="E9F9D8"/>
              <w:right w:val="single" w:sz="8" w:color="E9F9D8"/>
            </w:tcBorders>
            <w:shd w:val="clear" w:color="auto" w:fill="E9F9D8"/>
          </w:tcPr>
          <w:p>
            <w:pPr>
              <w:spacing w:after="0"/>
              <w:rPr>
                <w:sz w:val="5"/>
                <w:szCs w:val="5"/>
                <w:color w:val="auto"/>
              </w:rPr>
            </w:pPr>
          </w:p>
        </w:tc>
        <w:tc>
          <w:tcPr>
            <w:tcW w:w="120" w:type="dxa"/>
            <w:vAlign w:val="bottom"/>
            <w:tcBorders>
              <w:top w:val="single" w:sz="8" w:color="E9F9D8"/>
            </w:tcBorders>
            <w:shd w:val="clear" w:color="auto" w:fill="E9F9D8"/>
          </w:tcPr>
          <w:p>
            <w:pPr>
              <w:spacing w:after="0"/>
              <w:rPr>
                <w:sz w:val="5"/>
                <w:szCs w:val="5"/>
                <w:color w:val="auto"/>
              </w:rPr>
            </w:pPr>
          </w:p>
        </w:tc>
        <w:tc>
          <w:tcPr>
            <w:tcW w:w="20" w:type="dxa"/>
            <w:vAlign w:val="bottom"/>
            <w:tcBorders>
              <w:top w:val="single" w:sz="8" w:color="E9F9D8"/>
            </w:tcBorders>
            <w:shd w:val="clear" w:color="auto" w:fill="E9F9D8"/>
          </w:tcPr>
          <w:p>
            <w:pPr>
              <w:spacing w:after="0"/>
              <w:rPr>
                <w:sz w:val="5"/>
                <w:szCs w:val="5"/>
                <w:color w:val="auto"/>
              </w:rPr>
            </w:pPr>
          </w:p>
        </w:tc>
        <w:tc>
          <w:tcPr>
            <w:tcW w:w="60" w:type="dxa"/>
            <w:vAlign w:val="bottom"/>
            <w:tcBorders>
              <w:top w:val="single" w:sz="8" w:color="E9F9D8"/>
            </w:tcBorders>
            <w:shd w:val="clear" w:color="auto" w:fill="E9F9D8"/>
          </w:tcPr>
          <w:p>
            <w:pPr>
              <w:spacing w:after="0"/>
              <w:rPr>
                <w:sz w:val="5"/>
                <w:szCs w:val="5"/>
                <w:color w:val="auto"/>
              </w:rPr>
            </w:pPr>
          </w:p>
        </w:tc>
        <w:tc>
          <w:tcPr>
            <w:tcW w:w="20" w:type="dxa"/>
            <w:vAlign w:val="bottom"/>
            <w:tcBorders>
              <w:top w:val="single" w:sz="8" w:color="E9F9D8"/>
            </w:tcBorders>
            <w:shd w:val="clear" w:color="auto" w:fill="E9F9D8"/>
          </w:tcPr>
          <w:p>
            <w:pPr>
              <w:spacing w:after="0"/>
              <w:rPr>
                <w:sz w:val="5"/>
                <w:szCs w:val="5"/>
                <w:color w:val="auto"/>
              </w:rPr>
            </w:pPr>
          </w:p>
        </w:tc>
        <w:tc>
          <w:tcPr>
            <w:tcW w:w="200" w:type="dxa"/>
            <w:vAlign w:val="bottom"/>
            <w:tcBorders>
              <w:top w:val="single" w:sz="8" w:color="E9F9D8"/>
            </w:tcBorders>
            <w:shd w:val="clear" w:color="auto" w:fill="E9F9D8"/>
          </w:tcPr>
          <w:p>
            <w:pPr>
              <w:spacing w:after="0"/>
              <w:rPr>
                <w:sz w:val="5"/>
                <w:szCs w:val="5"/>
                <w:color w:val="auto"/>
              </w:rPr>
            </w:pPr>
          </w:p>
        </w:tc>
        <w:tc>
          <w:tcPr>
            <w:tcW w:w="380" w:type="dxa"/>
            <w:vAlign w:val="bottom"/>
            <w:tcBorders>
              <w:top w:val="single" w:sz="8" w:color="E9F9D8"/>
            </w:tcBorders>
            <w:shd w:val="clear" w:color="auto" w:fill="E9F9D8"/>
          </w:tcPr>
          <w:p>
            <w:pPr>
              <w:spacing w:after="0"/>
              <w:rPr>
                <w:sz w:val="5"/>
                <w:szCs w:val="5"/>
                <w:color w:val="auto"/>
              </w:rPr>
            </w:pPr>
          </w:p>
        </w:tc>
        <w:tc>
          <w:tcPr>
            <w:tcW w:w="120" w:type="dxa"/>
            <w:vAlign w:val="bottom"/>
            <w:tcBorders>
              <w:top w:val="single" w:sz="8" w:color="E9F9D8"/>
              <w:right w:val="single" w:sz="8" w:color="E9F9D8"/>
            </w:tcBorders>
            <w:shd w:val="clear" w:color="auto" w:fill="E9F9D8"/>
          </w:tcPr>
          <w:p>
            <w:pPr>
              <w:spacing w:after="0"/>
              <w:rPr>
                <w:sz w:val="5"/>
                <w:szCs w:val="5"/>
                <w:color w:val="auto"/>
              </w:rPr>
            </w:pPr>
          </w:p>
        </w:tc>
        <w:tc>
          <w:tcPr>
            <w:tcW w:w="120" w:type="dxa"/>
            <w:vAlign w:val="bottom"/>
            <w:tcBorders>
              <w:top w:val="single" w:sz="8" w:color="E9F9D8"/>
            </w:tcBorders>
            <w:shd w:val="clear" w:color="auto" w:fill="E9F9D8"/>
          </w:tcPr>
          <w:p>
            <w:pPr>
              <w:spacing w:after="0"/>
              <w:rPr>
                <w:sz w:val="5"/>
                <w:szCs w:val="5"/>
                <w:color w:val="auto"/>
              </w:rPr>
            </w:pPr>
          </w:p>
        </w:tc>
        <w:tc>
          <w:tcPr>
            <w:tcW w:w="60" w:type="dxa"/>
            <w:vAlign w:val="bottom"/>
            <w:vMerge w:val="restart"/>
          </w:tcPr>
          <w:p>
            <w:pPr>
              <w:spacing w:after="0"/>
              <w:rPr>
                <w:sz w:val="20"/>
                <w:szCs w:val="20"/>
                <w:color w:val="auto"/>
              </w:rPr>
            </w:pPr>
            <w:r>
              <w:rPr>
                <w:rFonts w:ascii="Arial" w:cs="Arial" w:eastAsia="Arial" w:hAnsi="Arial"/>
                <w:sz w:val="16"/>
                <w:szCs w:val="16"/>
                <w:b w:val="1"/>
                <w:bCs w:val="1"/>
                <w:color w:val="1F2668"/>
              </w:rPr>
              <w:t>​</w:t>
            </w:r>
          </w:p>
        </w:tc>
        <w:tc>
          <w:tcPr>
            <w:tcW w:w="0" w:type="dxa"/>
            <w:vAlign w:val="bottom"/>
          </w:tcPr>
          <w:p>
            <w:pPr>
              <w:spacing w:after="0"/>
              <w:rPr>
                <w:sz w:val="1"/>
                <w:szCs w:val="1"/>
                <w:color w:val="auto"/>
              </w:rPr>
            </w:pPr>
          </w:p>
        </w:tc>
      </w:tr>
      <w:tr>
        <w:trPr>
          <w:trHeight w:val="149"/>
        </w:trPr>
        <w:tc>
          <w:tcPr>
            <w:tcW w:w="700" w:type="dxa"/>
            <w:vAlign w:val="bottom"/>
            <w:gridSpan w:val="3"/>
          </w:tcPr>
          <w:p>
            <w:pPr>
              <w:spacing w:after="0" w:line="148" w:lineRule="exact"/>
              <w:rPr>
                <w:sz w:val="20"/>
                <w:szCs w:val="20"/>
                <w:color w:val="auto"/>
              </w:rPr>
            </w:pPr>
            <w:r>
              <w:rPr>
                <w:rFonts w:ascii="Arial" w:cs="Arial" w:eastAsia="Arial" w:hAnsi="Arial"/>
                <w:sz w:val="16"/>
                <w:szCs w:val="16"/>
                <w:b w:val="1"/>
                <w:bCs w:val="1"/>
                <w:color w:val="1F2668"/>
              </w:rPr>
              <w:t>​</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gridSpan w:val="2"/>
          </w:tcPr>
          <w:p>
            <w:pPr>
              <w:jc w:val="right"/>
              <w:ind w:right="100"/>
              <w:spacing w:after="0" w:line="148" w:lineRule="exact"/>
              <w:rPr>
                <w:sz w:val="20"/>
                <w:szCs w:val="20"/>
                <w:color w:val="auto"/>
              </w:rPr>
            </w:pPr>
            <w:r>
              <w:rPr>
                <w:rFonts w:ascii="Arial" w:cs="Arial" w:eastAsia="Arial" w:hAnsi="Arial"/>
                <w:sz w:val="16"/>
                <w:szCs w:val="16"/>
                <w:b w:val="1"/>
                <w:bCs w:val="1"/>
                <w:color w:val="1F2668"/>
              </w:rPr>
              <w:t>​ ​​</w:t>
            </w:r>
          </w:p>
        </w:tc>
        <w:tc>
          <w:tcPr>
            <w:tcW w:w="12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20" w:type="dxa"/>
            <w:vAlign w:val="bottom"/>
            <w:gridSpan w:val="19"/>
          </w:tcPr>
          <w:p>
            <w:pPr>
              <w:spacing w:after="0" w:line="81" w:lineRule="exact"/>
              <w:rPr>
                <w:sz w:val="20"/>
                <w:szCs w:val="20"/>
                <w:color w:val="auto"/>
              </w:rPr>
            </w:pPr>
            <w:r>
              <w:rPr>
                <w:rFonts w:ascii="Arial" w:cs="Arial" w:eastAsia="Arial" w:hAnsi="Arial"/>
                <w:sz w:val="9"/>
                <w:szCs w:val="9"/>
                <w:b w:val="1"/>
                <w:bCs w:val="1"/>
                <w:color w:val="1F2668"/>
              </w:rPr>
              <w:t>Pre-Approval Policies And Procedures of our</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gridSpan w:val="2"/>
          </w:tcPr>
          <w:p>
            <w:pPr>
              <w:jc w:val="right"/>
              <w:ind w:right="100"/>
              <w:spacing w:after="0" w:line="81" w:lineRule="exact"/>
              <w:rPr>
                <w:sz w:val="20"/>
                <w:szCs w:val="20"/>
                <w:color w:val="auto"/>
              </w:rPr>
            </w:pPr>
            <w:r>
              <w:rPr>
                <w:rFonts w:ascii="Arial" w:cs="Arial" w:eastAsia="Arial" w:hAnsi="Arial"/>
                <w:sz w:val="9"/>
                <w:szCs w:val="9"/>
                <w:b w:val="1"/>
                <w:bCs w:val="1"/>
                <w:color w:val="1F2668"/>
              </w:rPr>
              <w:t>​</w:t>
            </w:r>
          </w:p>
        </w:tc>
        <w:tc>
          <w:tcPr>
            <w:tcW w:w="180" w:type="dxa"/>
            <w:vAlign w:val="bottom"/>
            <w:gridSpan w:val="2"/>
          </w:tcPr>
          <w:p>
            <w:pPr>
              <w:jc w:val="right"/>
              <w:spacing w:after="0" w:line="81" w:lineRule="exact"/>
              <w:rPr>
                <w:sz w:val="20"/>
                <w:szCs w:val="20"/>
                <w:color w:val="auto"/>
              </w:rPr>
            </w:pPr>
            <w:r>
              <w:rPr>
                <w:rFonts w:ascii="Arial" w:cs="Arial" w:eastAsia="Arial" w:hAnsi="Arial"/>
                <w:sz w:val="9"/>
                <w:szCs w:val="9"/>
                <w:b w:val="1"/>
                <w:bCs w:val="1"/>
                <w:color w:val="1F2668"/>
                <w:w w:val="99"/>
              </w:rPr>
              <w:t>85</w:t>
            </w:r>
          </w:p>
        </w:tc>
        <w:tc>
          <w:tcPr>
            <w:tcW w:w="0" w:type="dxa"/>
            <w:vAlign w:val="bottom"/>
          </w:tcPr>
          <w:p>
            <w:pPr>
              <w:spacing w:after="0"/>
              <w:rPr>
                <w:sz w:val="1"/>
                <w:szCs w:val="1"/>
                <w:color w:val="auto"/>
              </w:rPr>
            </w:pPr>
          </w:p>
        </w:tc>
      </w:tr>
      <w:tr>
        <w:trPr>
          <w:trHeight w:val="183"/>
        </w:trPr>
        <w:tc>
          <w:tcPr>
            <w:tcW w:w="3280" w:type="dxa"/>
            <w:vAlign w:val="bottom"/>
            <w:tcBorders>
              <w:top w:val="single" w:sz="8" w:color="1F2668"/>
            </w:tcBorders>
            <w:gridSpan w:val="17"/>
          </w:tcPr>
          <w:p>
            <w:pPr>
              <w:spacing w:after="0" w:line="183" w:lineRule="exact"/>
              <w:rPr>
                <w:sz w:val="20"/>
                <w:szCs w:val="20"/>
                <w:color w:val="auto"/>
              </w:rPr>
            </w:pPr>
            <w:r>
              <w:rPr>
                <w:rFonts w:ascii="Arial" w:cs="Arial" w:eastAsia="Arial" w:hAnsi="Arial"/>
                <w:sz w:val="16"/>
                <w:szCs w:val="16"/>
                <w:b w:val="1"/>
                <w:bCs w:val="1"/>
                <w:color w:val="1F2668"/>
              </w:rPr>
              <w:t>Audit Committee</w:t>
            </w:r>
          </w:p>
        </w:tc>
        <w:tc>
          <w:tcPr>
            <w:tcW w:w="120" w:type="dxa"/>
            <w:vAlign w:val="bottom"/>
            <w:tcBorders>
              <w:top w:val="single" w:sz="8" w:color="1F2668"/>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1F2668"/>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00" w:type="dxa"/>
            <w:vAlign w:val="bottom"/>
            <w:tcBorders>
              <w:top w:val="single" w:sz="8" w:color="1F2668"/>
            </w:tcBorders>
            <w:gridSpan w:val="3"/>
          </w:tcPr>
          <w:p>
            <w:pPr>
              <w:spacing w:after="0"/>
              <w:rPr>
                <w:sz w:val="20"/>
                <w:szCs w:val="20"/>
                <w:color w:val="auto"/>
              </w:rPr>
            </w:pPr>
            <w:r>
              <w:rPr>
                <w:rFonts w:ascii="Arial" w:cs="Arial" w:eastAsia="Arial" w:hAnsi="Arial"/>
                <w:sz w:val="16"/>
                <w:szCs w:val="16"/>
                <w:b w:val="1"/>
                <w:bCs w:val="1"/>
                <w:color w:val="1F2668"/>
              </w:rPr>
              <w:t>​</w:t>
            </w:r>
          </w:p>
        </w:tc>
        <w:tc>
          <w:tcPr>
            <w:tcW w:w="420" w:type="dxa"/>
            <w:vAlign w:val="bottom"/>
            <w:tcBorders>
              <w:top w:val="single" w:sz="8" w:color="1F2668"/>
            </w:tcBorders>
          </w:tcPr>
          <w:p>
            <w:pPr>
              <w:spacing w:after="0"/>
              <w:rPr>
                <w:sz w:val="18"/>
                <w:szCs w:val="18"/>
                <w:color w:val="auto"/>
              </w:rPr>
            </w:pPr>
          </w:p>
        </w:tc>
        <w:tc>
          <w:tcPr>
            <w:tcW w:w="140" w:type="dxa"/>
            <w:vAlign w:val="bottom"/>
            <w:tcBorders>
              <w:top w:val="single" w:sz="8" w:color="1F2668"/>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1F2668"/>
              </w:rPr>
              <w:t>​ ​​</w:t>
            </w:r>
          </w:p>
        </w:tc>
        <w:tc>
          <w:tcPr>
            <w:tcW w:w="120" w:type="dxa"/>
            <w:vAlign w:val="bottom"/>
          </w:tcPr>
          <w:p>
            <w:pPr>
              <w:spacing w:after="0"/>
              <w:rPr>
                <w:sz w:val="18"/>
                <w:szCs w:val="18"/>
                <w:color w:val="auto"/>
              </w:rPr>
            </w:pPr>
          </w:p>
        </w:tc>
        <w:tc>
          <w:tcPr>
            <w:tcW w:w="60" w:type="dxa"/>
            <w:vAlign w:val="bottom"/>
          </w:tcPr>
          <w:p>
            <w:pPr>
              <w:spacing w:after="0"/>
              <w:rPr>
                <w:sz w:val="20"/>
                <w:szCs w:val="20"/>
                <w:color w:val="auto"/>
              </w:rPr>
            </w:pPr>
            <w:r>
              <w:rPr>
                <w:rFonts w:ascii="Arial" w:cs="Arial" w:eastAsia="Arial" w:hAnsi="Arial"/>
                <w:sz w:val="16"/>
                <w:szCs w:val="16"/>
                <w:b w:val="1"/>
                <w:bCs w:val="1"/>
                <w:color w:val="1F2668"/>
              </w:rPr>
              <w:t>​</w:t>
            </w:r>
          </w:p>
        </w:tc>
        <w:tc>
          <w:tcPr>
            <w:tcW w:w="0" w:type="dxa"/>
            <w:vAlign w:val="bottom"/>
          </w:tcPr>
          <w:p>
            <w:pPr>
              <w:spacing w:after="0"/>
              <w:rPr>
                <w:sz w:val="1"/>
                <w:szCs w:val="1"/>
                <w:color w:val="auto"/>
              </w:rPr>
            </w:pPr>
          </w:p>
        </w:tc>
      </w:tr>
      <w:tr>
        <w:trPr>
          <w:trHeight w:val="108"/>
        </w:trPr>
        <w:tc>
          <w:tcPr>
            <w:tcW w:w="3280" w:type="dxa"/>
            <w:vAlign w:val="bottom"/>
            <w:gridSpan w:val="17"/>
          </w:tcPr>
          <w:p>
            <w:pPr>
              <w:spacing w:after="0" w:line="108" w:lineRule="exact"/>
              <w:rPr>
                <w:sz w:val="20"/>
                <w:szCs w:val="20"/>
                <w:color w:val="auto"/>
              </w:rPr>
            </w:pPr>
            <w:r>
              <w:rPr>
                <w:rFonts w:ascii="Arial" w:cs="Arial" w:eastAsia="Arial" w:hAnsi="Arial"/>
                <w:sz w:val="12"/>
                <w:szCs w:val="12"/>
                <w:b w:val="1"/>
                <w:bCs w:val="1"/>
                <w:color w:val="1F2668"/>
              </w:rPr>
              <w:t>Fee Disclosure</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gridSpan w:val="2"/>
          </w:tcPr>
          <w:p>
            <w:pPr>
              <w:jc w:val="right"/>
              <w:ind w:right="100"/>
              <w:spacing w:after="0" w:line="108" w:lineRule="exact"/>
              <w:rPr>
                <w:sz w:val="20"/>
                <w:szCs w:val="20"/>
                <w:color w:val="auto"/>
              </w:rPr>
            </w:pPr>
            <w:r>
              <w:rPr>
                <w:rFonts w:ascii="Arial" w:cs="Arial" w:eastAsia="Arial" w:hAnsi="Arial"/>
                <w:sz w:val="12"/>
                <w:szCs w:val="12"/>
                <w:b w:val="1"/>
                <w:bCs w:val="1"/>
                <w:color w:val="1F2668"/>
              </w:rPr>
              <w:t>​</w:t>
            </w:r>
          </w:p>
        </w:tc>
        <w:tc>
          <w:tcPr>
            <w:tcW w:w="180" w:type="dxa"/>
            <w:vAlign w:val="bottom"/>
            <w:gridSpan w:val="2"/>
          </w:tcPr>
          <w:p>
            <w:pPr>
              <w:jc w:val="right"/>
              <w:spacing w:after="0" w:line="108" w:lineRule="exact"/>
              <w:rPr>
                <w:sz w:val="20"/>
                <w:szCs w:val="20"/>
                <w:color w:val="auto"/>
              </w:rPr>
            </w:pPr>
            <w:r>
              <w:rPr>
                <w:rFonts w:ascii="Arial" w:cs="Arial" w:eastAsia="Arial" w:hAnsi="Arial"/>
                <w:sz w:val="12"/>
                <w:szCs w:val="12"/>
                <w:b w:val="1"/>
                <w:bCs w:val="1"/>
                <w:color w:val="1F2668"/>
                <w:w w:val="74"/>
              </w:rPr>
              <w:t>85</w:t>
            </w:r>
          </w:p>
        </w:tc>
        <w:tc>
          <w:tcPr>
            <w:tcW w:w="0" w:type="dxa"/>
            <w:vAlign w:val="bottom"/>
          </w:tcPr>
          <w:p>
            <w:pPr>
              <w:spacing w:after="0"/>
              <w:rPr>
                <w:sz w:val="1"/>
                <w:szCs w:val="1"/>
                <w:color w:val="auto"/>
              </w:rPr>
            </w:pPr>
          </w:p>
        </w:tc>
      </w:tr>
      <w:tr>
        <w:trPr>
          <w:trHeight w:val="20"/>
        </w:trPr>
        <w:tc>
          <w:tcPr>
            <w:tcW w:w="340" w:type="dxa"/>
            <w:vAlign w:val="bottom"/>
            <w:shd w:val="clear" w:color="auto" w:fill="1F2668"/>
          </w:tcPr>
          <w:p>
            <w:pPr>
              <w:spacing w:after="0" w:line="20" w:lineRule="exact"/>
              <w:rPr>
                <w:sz w:val="1"/>
                <w:szCs w:val="1"/>
                <w:color w:val="auto"/>
              </w:rPr>
            </w:pPr>
          </w:p>
        </w:tc>
        <w:tc>
          <w:tcPr>
            <w:tcW w:w="260" w:type="dxa"/>
            <w:vAlign w:val="bottom"/>
            <w:shd w:val="clear" w:color="auto" w:fill="1F2668"/>
          </w:tcPr>
          <w:p>
            <w:pPr>
              <w:spacing w:after="0" w:line="20" w:lineRule="exact"/>
              <w:rPr>
                <w:sz w:val="1"/>
                <w:szCs w:val="1"/>
                <w:color w:val="auto"/>
              </w:rPr>
            </w:pPr>
          </w:p>
        </w:tc>
        <w:tc>
          <w:tcPr>
            <w:tcW w:w="100" w:type="dxa"/>
            <w:vAlign w:val="bottom"/>
            <w:shd w:val="clear" w:color="auto" w:fill="1F2668"/>
          </w:tcPr>
          <w:p>
            <w:pPr>
              <w:spacing w:after="0" w:line="20" w:lineRule="exact"/>
              <w:rPr>
                <w:sz w:val="1"/>
                <w:szCs w:val="1"/>
                <w:color w:val="auto"/>
              </w:rPr>
            </w:pPr>
          </w:p>
        </w:tc>
        <w:tc>
          <w:tcPr>
            <w:tcW w:w="420" w:type="dxa"/>
            <w:vAlign w:val="bottom"/>
            <w:shd w:val="clear" w:color="auto" w:fill="1F266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right w:val="single" w:sz="8" w:color="1F2668"/>
            </w:tcBorders>
          </w:tcPr>
          <w:p>
            <w:pPr>
              <w:spacing w:after="0" w:line="20" w:lineRule="exact"/>
              <w:rPr>
                <w:sz w:val="1"/>
                <w:szCs w:val="1"/>
                <w:color w:val="auto"/>
              </w:rPr>
            </w:pPr>
          </w:p>
        </w:tc>
        <w:tc>
          <w:tcPr>
            <w:tcW w:w="120" w:type="dxa"/>
            <w:vAlign w:val="bottom"/>
            <w:shd w:val="clear" w:color="auto" w:fill="1F2668"/>
          </w:tcPr>
          <w:p>
            <w:pPr>
              <w:spacing w:after="0" w:line="20" w:lineRule="exact"/>
              <w:rPr>
                <w:sz w:val="1"/>
                <w:szCs w:val="1"/>
                <w:color w:val="auto"/>
              </w:rPr>
            </w:pPr>
          </w:p>
        </w:tc>
        <w:tc>
          <w:tcPr>
            <w:tcW w:w="60" w:type="dxa"/>
            <w:vAlign w:val="bottom"/>
            <w:tcBorders>
              <w:left w:val="single" w:sz="8" w:color="1F266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655955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518160</wp:posOffset>
            </wp:positionH>
            <wp:positionV relativeFrom="paragraph">
              <wp:posOffset>-4988560</wp:posOffset>
            </wp:positionV>
            <wp:extent cx="186118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61185" cy="8890"/>
                    </a:xfrm>
                    <a:prstGeom prst="rect">
                      <a:avLst/>
                    </a:prstGeom>
                    <a:noFill/>
                  </pic:spPr>
                </pic:pic>
              </a:graphicData>
            </a:graphic>
          </wp:anchor>
        </w:drawing>
        <w:drawing>
          <wp:anchor simplePos="0" relativeHeight="251657728" behindDoc="1" locked="0" layoutInCell="0" allowOverlap="1">
            <wp:simplePos x="0" y="0"/>
            <wp:positionH relativeFrom="column">
              <wp:posOffset>518160</wp:posOffset>
            </wp:positionH>
            <wp:positionV relativeFrom="paragraph">
              <wp:posOffset>-3196590</wp:posOffset>
            </wp:positionV>
            <wp:extent cx="14839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83995" cy="8255"/>
                    </a:xfrm>
                    <a:prstGeom prst="rect">
                      <a:avLst/>
                    </a:prstGeom>
                    <a:noFill/>
                  </pic:spPr>
                </pic:pic>
              </a:graphicData>
            </a:graphic>
          </wp:anchor>
        </w:drawing>
        <w:drawing>
          <wp:anchor simplePos="0" relativeHeight="251657728" behindDoc="1" locked="0" layoutInCell="0" allowOverlap="1">
            <wp:simplePos x="0" y="0"/>
            <wp:positionH relativeFrom="column">
              <wp:posOffset>518160</wp:posOffset>
            </wp:positionH>
            <wp:positionV relativeFrom="paragraph">
              <wp:posOffset>-2767965</wp:posOffset>
            </wp:positionV>
            <wp:extent cx="189547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95475" cy="8255"/>
                    </a:xfrm>
                    <a:prstGeom prst="rect">
                      <a:avLst/>
                    </a:prstGeom>
                    <a:noFill/>
                  </pic:spPr>
                </pic:pic>
              </a:graphicData>
            </a:graphic>
          </wp:anchor>
        </w:drawing>
        <w:drawing>
          <wp:anchor simplePos="0" relativeHeight="251657728" behindDoc="1" locked="0" layoutInCell="0" allowOverlap="1">
            <wp:simplePos x="0" y="0"/>
            <wp:positionH relativeFrom="column">
              <wp:posOffset>518160</wp:posOffset>
            </wp:positionH>
            <wp:positionV relativeFrom="paragraph">
              <wp:posOffset>-1250950</wp:posOffset>
            </wp:positionV>
            <wp:extent cx="19392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939290" cy="8890"/>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-4851400</wp:posOffset>
            </wp:positionV>
            <wp:extent cx="205740" cy="2057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-2562860</wp:posOffset>
            </wp:positionV>
            <wp:extent cx="205740" cy="2057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-839470</wp:posOffset>
            </wp:positionV>
            <wp:extent cx="205740" cy="2057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599"/>
        </w:trPr>
        <w:tc>
          <w:tcPr>
            <w:tcW w:w="3840" w:type="dxa"/>
            <w:vAlign w:val="bottom"/>
            <w:gridSpan w:val="12"/>
          </w:tcPr>
          <w:p>
            <w:pPr>
              <w:spacing w:after="0"/>
              <w:rPr>
                <w:sz w:val="20"/>
                <w:szCs w:val="20"/>
                <w:color w:val="auto"/>
              </w:rPr>
            </w:pPr>
            <w:r>
              <w:rPr>
                <w:rFonts w:ascii="Arial" w:cs="Arial" w:eastAsia="Arial" w:hAnsi="Arial"/>
                <w:sz w:val="22"/>
                <w:szCs w:val="22"/>
                <w:b w:val="1"/>
                <w:bCs w:val="1"/>
                <w:color w:val="83AD40"/>
                <w:w w:val="98"/>
              </w:rPr>
              <w:t>OTHER MANAGEMENT PROPOSALS</w:t>
            </w:r>
          </w:p>
        </w:tc>
        <w:tc>
          <w:tcPr>
            <w:tcW w:w="540" w:type="dxa"/>
            <w:vAlign w:val="bottom"/>
            <w:gridSpan w:val="4"/>
          </w:tcPr>
          <w:p>
            <w:pPr>
              <w:jc w:val="right"/>
              <w:spacing w:after="0"/>
              <w:rPr>
                <w:sz w:val="20"/>
                <w:szCs w:val="20"/>
                <w:color w:val="auto"/>
              </w:rPr>
            </w:pPr>
            <w:r>
              <w:rPr>
                <w:rFonts w:ascii="Arial" w:cs="Arial" w:eastAsia="Arial" w:hAnsi="Arial"/>
                <w:sz w:val="43"/>
                <w:szCs w:val="43"/>
                <w:b w:val="1"/>
                <w:bCs w:val="1"/>
                <w:color w:val="83AD40"/>
                <w:vertAlign w:val="subscript"/>
              </w:rPr>
              <w:t>​</w:t>
            </w:r>
            <w:r>
              <w:rPr>
                <w:rFonts w:ascii="Arial" w:cs="Arial" w:eastAsia="Arial" w:hAnsi="Arial"/>
                <w:sz w:val="22"/>
                <w:szCs w:val="22"/>
                <w:b w:val="1"/>
                <w:bCs w:val="1"/>
                <w:color w:val="83AD40"/>
              </w:rPr>
              <w:t xml:space="preserve"> 86</w:t>
            </w:r>
          </w:p>
        </w:tc>
        <w:tc>
          <w:tcPr>
            <w:tcW w:w="0" w:type="dxa"/>
            <w:vAlign w:val="bottom"/>
          </w:tcPr>
          <w:p>
            <w:pPr>
              <w:spacing w:after="0"/>
              <w:rPr>
                <w:sz w:val="1"/>
                <w:szCs w:val="1"/>
                <w:color w:val="auto"/>
              </w:rPr>
            </w:pPr>
          </w:p>
        </w:tc>
      </w:tr>
      <w:tr>
        <w:trPr>
          <w:trHeight w:val="94"/>
        </w:trPr>
        <w:tc>
          <w:tcPr>
            <w:tcW w:w="3320" w:type="dxa"/>
            <w:vAlign w:val="bottom"/>
            <w:tcBorders>
              <w:bottom w:val="single" w:sz="8" w:color="83AD40"/>
            </w:tcBorders>
            <w:gridSpan w:val="8"/>
          </w:tcPr>
          <w:p>
            <w:pPr>
              <w:spacing w:after="0" w:line="95" w:lineRule="exact"/>
              <w:rPr>
                <w:sz w:val="20"/>
                <w:szCs w:val="20"/>
                <w:color w:val="auto"/>
              </w:rPr>
            </w:pPr>
            <w:r>
              <w:rPr>
                <w:rFonts w:ascii="Arial" w:cs="Arial" w:eastAsia="Arial" w:hAnsi="Arial"/>
                <w:sz w:val="10"/>
                <w:szCs w:val="10"/>
                <w:b w:val="1"/>
                <w:bCs w:val="1"/>
                <w:color w:val="auto"/>
              </w:rPr>
              <w:t>​</w:t>
            </w:r>
          </w:p>
        </w:tc>
        <w:tc>
          <w:tcPr>
            <w:tcW w:w="180" w:type="dxa"/>
            <w:vAlign w:val="bottom"/>
            <w:tcBorders>
              <w:bottom w:val="single" w:sz="8" w:color="83AD40"/>
            </w:tcBorders>
          </w:tcPr>
          <w:p>
            <w:pPr>
              <w:spacing w:after="0"/>
              <w:rPr>
                <w:sz w:val="8"/>
                <w:szCs w:val="8"/>
                <w:color w:val="auto"/>
              </w:rPr>
            </w:pPr>
          </w:p>
        </w:tc>
        <w:tc>
          <w:tcPr>
            <w:tcW w:w="160" w:type="dxa"/>
            <w:vAlign w:val="bottom"/>
            <w:tcBorders>
              <w:bottom w:val="single" w:sz="8" w:color="83AD40"/>
            </w:tcBorders>
          </w:tcPr>
          <w:p>
            <w:pPr>
              <w:spacing w:after="0"/>
              <w:rPr>
                <w:sz w:val="8"/>
                <w:szCs w:val="8"/>
                <w:color w:val="auto"/>
              </w:rPr>
            </w:pPr>
          </w:p>
        </w:tc>
        <w:tc>
          <w:tcPr>
            <w:tcW w:w="140" w:type="dxa"/>
            <w:vAlign w:val="bottom"/>
            <w:tcBorders>
              <w:bottom w:val="single" w:sz="8" w:color="83AD40"/>
            </w:tcBorders>
          </w:tcPr>
          <w:p>
            <w:pPr>
              <w:spacing w:after="0"/>
              <w:rPr>
                <w:sz w:val="8"/>
                <w:szCs w:val="8"/>
                <w:color w:val="auto"/>
              </w:rPr>
            </w:pPr>
          </w:p>
        </w:tc>
        <w:tc>
          <w:tcPr>
            <w:tcW w:w="40" w:type="dxa"/>
            <w:vAlign w:val="bottom"/>
            <w:tcBorders>
              <w:bottom w:val="single" w:sz="8" w:color="83AD40"/>
            </w:tcBorders>
          </w:tcPr>
          <w:p>
            <w:pPr>
              <w:spacing w:after="0"/>
              <w:rPr>
                <w:sz w:val="8"/>
                <w:szCs w:val="8"/>
                <w:color w:val="auto"/>
              </w:rPr>
            </w:pPr>
          </w:p>
        </w:tc>
        <w:tc>
          <w:tcPr>
            <w:tcW w:w="260" w:type="dxa"/>
            <w:vAlign w:val="bottom"/>
            <w:tcBorders>
              <w:bottom w:val="single" w:sz="8" w:color="83AD40"/>
            </w:tcBorders>
          </w:tcPr>
          <w:p>
            <w:pPr>
              <w:jc w:val="right"/>
              <w:ind w:right="29"/>
              <w:spacing w:after="0" w:line="95" w:lineRule="exact"/>
              <w:rPr>
                <w:sz w:val="20"/>
                <w:szCs w:val="20"/>
                <w:color w:val="auto"/>
              </w:rPr>
            </w:pPr>
            <w:r>
              <w:rPr>
                <w:rFonts w:ascii="Arial" w:cs="Arial" w:eastAsia="Arial" w:hAnsi="Arial"/>
                <w:sz w:val="10"/>
                <w:szCs w:val="10"/>
                <w:b w:val="1"/>
                <w:bCs w:val="1"/>
                <w:color w:val="auto"/>
              </w:rPr>
              <w:t>​​</w:t>
            </w:r>
          </w:p>
        </w:tc>
        <w:tc>
          <w:tcPr>
            <w:tcW w:w="60" w:type="dxa"/>
            <w:vAlign w:val="bottom"/>
            <w:tcBorders>
              <w:top w:val="single" w:sz="8" w:color="83AD40"/>
              <w:bottom w:val="single" w:sz="8" w:color="83AD40"/>
            </w:tcBorders>
          </w:tcPr>
          <w:p>
            <w:pPr>
              <w:spacing w:after="0"/>
              <w:rPr>
                <w:sz w:val="8"/>
                <w:szCs w:val="8"/>
                <w:color w:val="auto"/>
              </w:rPr>
            </w:pPr>
          </w:p>
        </w:tc>
        <w:tc>
          <w:tcPr>
            <w:tcW w:w="160" w:type="dxa"/>
            <w:vAlign w:val="bottom"/>
            <w:tcBorders>
              <w:top w:val="single" w:sz="8" w:color="83AD40"/>
              <w:bottom w:val="single" w:sz="8" w:color="83AD40"/>
            </w:tcBorders>
          </w:tcPr>
          <w:p>
            <w:pPr>
              <w:spacing w:after="0"/>
              <w:rPr>
                <w:sz w:val="8"/>
                <w:szCs w:val="8"/>
                <w:color w:val="auto"/>
              </w:rPr>
            </w:pPr>
          </w:p>
        </w:tc>
        <w:tc>
          <w:tcPr>
            <w:tcW w:w="60" w:type="dxa"/>
            <w:vAlign w:val="bottom"/>
          </w:tcPr>
          <w:p>
            <w:pPr>
              <w:jc w:val="right"/>
              <w:spacing w:after="0" w:line="95" w:lineRule="exact"/>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42"/>
        </w:trPr>
        <w:tc>
          <w:tcPr>
            <w:tcW w:w="3320" w:type="dxa"/>
            <w:vAlign w:val="bottom"/>
            <w:gridSpan w:val="8"/>
            <w:shd w:val="clear" w:color="auto" w:fill="E9F9D8"/>
          </w:tcPr>
          <w:p>
            <w:pPr>
              <w:spacing w:after="0" w:line="142" w:lineRule="exact"/>
              <w:rPr>
                <w:sz w:val="20"/>
                <w:szCs w:val="20"/>
                <w:color w:val="auto"/>
              </w:rPr>
            </w:pPr>
            <w:r>
              <w:rPr>
                <w:rFonts w:ascii="Arial" w:cs="Arial" w:eastAsia="Arial" w:hAnsi="Arial"/>
                <w:sz w:val="16"/>
                <w:szCs w:val="16"/>
                <w:b w:val="1"/>
                <w:bCs w:val="1"/>
                <w:color w:val="1F2668"/>
              </w:rPr>
              <w:t>​</w:t>
            </w:r>
          </w:p>
        </w:tc>
        <w:tc>
          <w:tcPr>
            <w:tcW w:w="520" w:type="dxa"/>
            <w:vAlign w:val="bottom"/>
            <w:gridSpan w:val="4"/>
            <w:shd w:val="clear" w:color="auto" w:fill="E9F9D8"/>
          </w:tcPr>
          <w:p>
            <w:pPr>
              <w:ind w:left="60"/>
              <w:spacing w:after="0" w:line="142" w:lineRule="exact"/>
              <w:rPr>
                <w:sz w:val="20"/>
                <w:szCs w:val="20"/>
                <w:color w:val="auto"/>
              </w:rPr>
            </w:pPr>
            <w:r>
              <w:rPr>
                <w:rFonts w:ascii="Arial" w:cs="Arial" w:eastAsia="Arial" w:hAnsi="Arial"/>
                <w:sz w:val="16"/>
                <w:szCs w:val="16"/>
                <w:b w:val="1"/>
                <w:bCs w:val="1"/>
                <w:color w:val="1F2668"/>
              </w:rPr>
              <w:t>​ ​</w:t>
            </w:r>
          </w:p>
        </w:tc>
        <w:tc>
          <w:tcPr>
            <w:tcW w:w="260" w:type="dxa"/>
            <w:vAlign w:val="bottom"/>
            <w:shd w:val="clear" w:color="auto" w:fill="E9F9D8"/>
          </w:tcPr>
          <w:p>
            <w:pPr>
              <w:jc w:val="right"/>
              <w:ind w:right="29"/>
              <w:spacing w:after="0" w:line="142" w:lineRule="exact"/>
              <w:rPr>
                <w:sz w:val="20"/>
                <w:szCs w:val="20"/>
                <w:color w:val="auto"/>
              </w:rPr>
            </w:pPr>
            <w:r>
              <w:rPr>
                <w:rFonts w:ascii="Arial" w:cs="Arial" w:eastAsia="Arial" w:hAnsi="Arial"/>
                <w:sz w:val="16"/>
                <w:szCs w:val="16"/>
                <w:b w:val="1"/>
                <w:bCs w:val="1"/>
                <w:color w:val="1F2668"/>
              </w:rPr>
              <w:t>​​​</w:t>
            </w:r>
          </w:p>
        </w:tc>
        <w:tc>
          <w:tcPr>
            <w:tcW w:w="220" w:type="dxa"/>
            <w:vAlign w:val="bottom"/>
            <w:gridSpan w:val="2"/>
            <w:vMerge w:val="restart"/>
            <w:shd w:val="clear" w:color="auto" w:fill="E9F9D8"/>
          </w:tcPr>
          <w:p>
            <w:pPr>
              <w:jc w:val="right"/>
              <w:spacing w:after="0"/>
              <w:rPr>
                <w:sz w:val="20"/>
                <w:szCs w:val="20"/>
                <w:color w:val="auto"/>
              </w:rPr>
            </w:pPr>
            <w:r>
              <w:rPr>
                <w:rFonts w:ascii="Arial" w:cs="Arial" w:eastAsia="Arial" w:hAnsi="Arial"/>
                <w:sz w:val="16"/>
                <w:szCs w:val="16"/>
                <w:b w:val="1"/>
                <w:bCs w:val="1"/>
                <w:color w:val="1F2668"/>
              </w:rPr>
              <w:t>86</w:t>
            </w:r>
          </w:p>
        </w:tc>
        <w:tc>
          <w:tcPr>
            <w:tcW w:w="60" w:type="dxa"/>
            <w:vAlign w:val="bottom"/>
          </w:tcPr>
          <w:p>
            <w:pPr>
              <w:jc w:val="right"/>
              <w:spacing w:after="0" w:line="142" w:lineRule="exact"/>
              <w:rPr>
                <w:sz w:val="20"/>
                <w:szCs w:val="20"/>
                <w:color w:val="auto"/>
              </w:rPr>
            </w:pPr>
            <w:r>
              <w:rPr>
                <w:rFonts w:ascii="Arial" w:cs="Arial" w:eastAsia="Arial" w:hAnsi="Arial"/>
                <w:sz w:val="16"/>
                <w:szCs w:val="16"/>
                <w:b w:val="1"/>
                <w:bCs w:val="1"/>
                <w:color w:val="1F2668"/>
              </w:rPr>
              <w:t>​</w:t>
            </w:r>
          </w:p>
        </w:tc>
        <w:tc>
          <w:tcPr>
            <w:tcW w:w="0" w:type="dxa"/>
            <w:vAlign w:val="bottom"/>
          </w:tcPr>
          <w:p>
            <w:pPr>
              <w:spacing w:after="0"/>
              <w:rPr>
                <w:sz w:val="1"/>
                <w:szCs w:val="1"/>
                <w:color w:val="auto"/>
              </w:rPr>
            </w:pPr>
          </w:p>
        </w:tc>
      </w:tr>
      <w:tr>
        <w:trPr>
          <w:trHeight w:val="108"/>
        </w:trPr>
        <w:tc>
          <w:tcPr>
            <w:tcW w:w="3320" w:type="dxa"/>
            <w:vAlign w:val="bottom"/>
            <w:gridSpan w:val="8"/>
            <w:shd w:val="clear" w:color="auto" w:fill="E9F9D8"/>
          </w:tcPr>
          <w:p>
            <w:pPr>
              <w:spacing w:after="0" w:line="108" w:lineRule="exact"/>
              <w:rPr>
                <w:sz w:val="20"/>
                <w:szCs w:val="20"/>
                <w:color w:val="auto"/>
              </w:rPr>
            </w:pPr>
            <w:r>
              <w:rPr>
                <w:rFonts w:ascii="Arial" w:cs="Arial" w:eastAsia="Arial" w:hAnsi="Arial"/>
                <w:sz w:val="12"/>
                <w:szCs w:val="12"/>
                <w:b w:val="1"/>
                <w:bCs w:val="1"/>
                <w:color w:val="1F2668"/>
              </w:rPr>
              <w:t>Proposal 4: Approval of the Sixth Amended</w:t>
            </w:r>
          </w:p>
        </w:tc>
        <w:tc>
          <w:tcPr>
            <w:tcW w:w="180" w:type="dxa"/>
            <w:vAlign w:val="bottom"/>
            <w:shd w:val="clear" w:color="auto" w:fill="E9F9D8"/>
          </w:tcPr>
          <w:p>
            <w:pPr>
              <w:spacing w:after="0"/>
              <w:rPr>
                <w:sz w:val="9"/>
                <w:szCs w:val="9"/>
                <w:color w:val="auto"/>
              </w:rPr>
            </w:pPr>
          </w:p>
        </w:tc>
        <w:tc>
          <w:tcPr>
            <w:tcW w:w="160" w:type="dxa"/>
            <w:vAlign w:val="bottom"/>
            <w:shd w:val="clear" w:color="auto" w:fill="E9F9D8"/>
          </w:tcPr>
          <w:p>
            <w:pPr>
              <w:spacing w:after="0"/>
              <w:rPr>
                <w:sz w:val="9"/>
                <w:szCs w:val="9"/>
                <w:color w:val="auto"/>
              </w:rPr>
            </w:pPr>
          </w:p>
        </w:tc>
        <w:tc>
          <w:tcPr>
            <w:tcW w:w="140" w:type="dxa"/>
            <w:vAlign w:val="bottom"/>
            <w:shd w:val="clear" w:color="auto" w:fill="E9F9D8"/>
          </w:tcPr>
          <w:p>
            <w:pPr>
              <w:spacing w:after="0"/>
              <w:rPr>
                <w:sz w:val="9"/>
                <w:szCs w:val="9"/>
                <w:color w:val="auto"/>
              </w:rPr>
            </w:pPr>
          </w:p>
        </w:tc>
        <w:tc>
          <w:tcPr>
            <w:tcW w:w="40" w:type="dxa"/>
            <w:vAlign w:val="bottom"/>
            <w:shd w:val="clear" w:color="auto" w:fill="E9F9D8"/>
          </w:tcPr>
          <w:p>
            <w:pPr>
              <w:spacing w:after="0"/>
              <w:rPr>
                <w:sz w:val="9"/>
                <w:szCs w:val="9"/>
                <w:color w:val="auto"/>
              </w:rPr>
            </w:pPr>
          </w:p>
        </w:tc>
        <w:tc>
          <w:tcPr>
            <w:tcW w:w="260" w:type="dxa"/>
            <w:vAlign w:val="bottom"/>
            <w:shd w:val="clear" w:color="auto" w:fill="E9F9D8"/>
          </w:tcPr>
          <w:p>
            <w:pPr>
              <w:jc w:val="right"/>
              <w:ind w:right="29"/>
              <w:spacing w:after="0" w:line="108" w:lineRule="exact"/>
              <w:rPr>
                <w:sz w:val="20"/>
                <w:szCs w:val="20"/>
                <w:color w:val="auto"/>
              </w:rPr>
            </w:pPr>
            <w:r>
              <w:rPr>
                <w:rFonts w:ascii="Arial" w:cs="Arial" w:eastAsia="Arial" w:hAnsi="Arial"/>
                <w:sz w:val="12"/>
                <w:szCs w:val="12"/>
                <w:b w:val="1"/>
                <w:bCs w:val="1"/>
                <w:color w:val="1F2668"/>
              </w:rPr>
              <w:t>​</w:t>
            </w:r>
          </w:p>
        </w:tc>
        <w:tc>
          <w:tcPr>
            <w:tcW w:w="220" w:type="dxa"/>
            <w:vAlign w:val="bottom"/>
            <w:gridSpan w:val="2"/>
            <w:vMerge w:val="continue"/>
            <w:shd w:val="clear" w:color="auto" w:fill="E9F9D8"/>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800" w:type="dxa"/>
            <w:vAlign w:val="bottom"/>
            <w:tcBorders>
              <w:top w:val="single" w:sz="8" w:color="1F2668"/>
              <w:bottom w:val="single" w:sz="8" w:color="1F2668"/>
            </w:tcBorders>
            <w:gridSpan w:val="7"/>
            <w:shd w:val="clear" w:color="auto" w:fill="E9F9D8"/>
          </w:tcPr>
          <w:p>
            <w:pPr>
              <w:spacing w:after="0" w:line="183" w:lineRule="exact"/>
              <w:rPr>
                <w:sz w:val="20"/>
                <w:szCs w:val="20"/>
                <w:color w:val="auto"/>
              </w:rPr>
            </w:pPr>
            <w:r>
              <w:rPr>
                <w:rFonts w:ascii="Arial" w:cs="Arial" w:eastAsia="Arial" w:hAnsi="Arial"/>
                <w:sz w:val="16"/>
                <w:szCs w:val="16"/>
                <w:b w:val="1"/>
                <w:bCs w:val="1"/>
                <w:color w:val="1F2668"/>
              </w:rPr>
              <w:t>and Restated 2005 Stock Option and</w:t>
            </w:r>
          </w:p>
        </w:tc>
        <w:tc>
          <w:tcPr>
            <w:tcW w:w="520" w:type="dxa"/>
            <w:vAlign w:val="bottom"/>
            <w:tcBorders>
              <w:top w:val="single" w:sz="8" w:color="1F2668"/>
              <w:bottom w:val="single" w:sz="8" w:color="E9F9D8"/>
            </w:tcBorders>
            <w:shd w:val="clear" w:color="auto" w:fill="E9F9D8"/>
          </w:tcPr>
          <w:p>
            <w:pPr>
              <w:spacing w:after="0"/>
              <w:rPr>
                <w:sz w:val="15"/>
                <w:szCs w:val="15"/>
                <w:color w:val="auto"/>
              </w:rPr>
            </w:pPr>
          </w:p>
        </w:tc>
        <w:tc>
          <w:tcPr>
            <w:tcW w:w="180" w:type="dxa"/>
            <w:vAlign w:val="bottom"/>
            <w:tcBorders>
              <w:top w:val="single" w:sz="8" w:color="E9F9D8"/>
              <w:bottom w:val="single" w:sz="8" w:color="E9F9D8"/>
            </w:tcBorders>
            <w:shd w:val="clear" w:color="auto" w:fill="E9F9D8"/>
          </w:tcPr>
          <w:p>
            <w:pPr>
              <w:spacing w:after="0"/>
              <w:rPr>
                <w:sz w:val="15"/>
                <w:szCs w:val="15"/>
                <w:color w:val="auto"/>
              </w:rPr>
            </w:pPr>
          </w:p>
        </w:tc>
        <w:tc>
          <w:tcPr>
            <w:tcW w:w="160" w:type="dxa"/>
            <w:vAlign w:val="bottom"/>
            <w:tcBorders>
              <w:top w:val="single" w:sz="8" w:color="E9F9D8"/>
              <w:bottom w:val="single" w:sz="8" w:color="E9F9D8"/>
            </w:tcBorders>
            <w:shd w:val="clear" w:color="auto" w:fill="E9F9D8"/>
          </w:tcPr>
          <w:p>
            <w:pPr>
              <w:spacing w:after="0"/>
              <w:rPr>
                <w:sz w:val="15"/>
                <w:szCs w:val="15"/>
                <w:color w:val="auto"/>
              </w:rPr>
            </w:pPr>
          </w:p>
        </w:tc>
        <w:tc>
          <w:tcPr>
            <w:tcW w:w="140" w:type="dxa"/>
            <w:vAlign w:val="bottom"/>
            <w:tcBorders>
              <w:top w:val="single" w:sz="8" w:color="E9F9D8"/>
              <w:bottom w:val="single" w:sz="8" w:color="E9F9D8"/>
            </w:tcBorders>
            <w:shd w:val="clear" w:color="auto" w:fill="E9F9D8"/>
          </w:tcPr>
          <w:p>
            <w:pPr>
              <w:spacing w:after="0"/>
              <w:rPr>
                <w:sz w:val="15"/>
                <w:szCs w:val="15"/>
                <w:color w:val="auto"/>
              </w:rPr>
            </w:pPr>
          </w:p>
        </w:tc>
        <w:tc>
          <w:tcPr>
            <w:tcW w:w="40" w:type="dxa"/>
            <w:vAlign w:val="bottom"/>
            <w:tcBorders>
              <w:top w:val="single" w:sz="8" w:color="E9F9D8"/>
              <w:bottom w:val="single" w:sz="8" w:color="E9F9D8"/>
            </w:tcBorders>
            <w:shd w:val="clear" w:color="auto" w:fill="E9F9D8"/>
          </w:tcPr>
          <w:p>
            <w:pPr>
              <w:spacing w:after="0"/>
              <w:rPr>
                <w:sz w:val="15"/>
                <w:szCs w:val="15"/>
                <w:color w:val="auto"/>
              </w:rPr>
            </w:pPr>
          </w:p>
        </w:tc>
        <w:tc>
          <w:tcPr>
            <w:tcW w:w="260" w:type="dxa"/>
            <w:vAlign w:val="bottom"/>
            <w:tcBorders>
              <w:top w:val="single" w:sz="8" w:color="E9F9D8"/>
              <w:bottom w:val="single" w:sz="8" w:color="E9F9D8"/>
            </w:tcBorders>
            <w:shd w:val="clear" w:color="auto" w:fill="E9F9D8"/>
          </w:tcPr>
          <w:p>
            <w:pPr>
              <w:spacing w:after="0"/>
              <w:rPr>
                <w:sz w:val="15"/>
                <w:szCs w:val="15"/>
                <w:color w:val="auto"/>
              </w:rPr>
            </w:pPr>
          </w:p>
        </w:tc>
        <w:tc>
          <w:tcPr>
            <w:tcW w:w="60" w:type="dxa"/>
            <w:vAlign w:val="bottom"/>
            <w:tcBorders>
              <w:top w:val="single" w:sz="8" w:color="E9F9D8"/>
              <w:bottom w:val="single" w:sz="8" w:color="E9F9D8"/>
            </w:tcBorders>
            <w:shd w:val="clear" w:color="auto" w:fill="E9F9D8"/>
          </w:tcPr>
          <w:p>
            <w:pPr>
              <w:spacing w:after="0"/>
              <w:rPr>
                <w:sz w:val="15"/>
                <w:szCs w:val="15"/>
                <w:color w:val="auto"/>
              </w:rPr>
            </w:pPr>
          </w:p>
        </w:tc>
        <w:tc>
          <w:tcPr>
            <w:tcW w:w="160" w:type="dxa"/>
            <w:vAlign w:val="bottom"/>
            <w:tcBorders>
              <w:top w:val="single" w:sz="8" w:color="1F2668"/>
              <w:bottom w:val="single" w:sz="8" w:color="E9F9D8"/>
            </w:tcBorders>
            <w:shd w:val="clear" w:color="auto" w:fill="E9F9D8"/>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20" w:type="dxa"/>
            <w:vAlign w:val="bottom"/>
            <w:gridSpan w:val="8"/>
            <w:shd w:val="clear" w:color="auto" w:fill="E9F9D8"/>
          </w:tcPr>
          <w:p>
            <w:pPr>
              <w:spacing w:after="0" w:line="183" w:lineRule="exact"/>
              <w:rPr>
                <w:sz w:val="20"/>
                <w:szCs w:val="20"/>
                <w:color w:val="auto"/>
              </w:rPr>
            </w:pPr>
            <w:r>
              <w:rPr>
                <w:rFonts w:ascii="Arial" w:cs="Arial" w:eastAsia="Arial" w:hAnsi="Arial"/>
                <w:sz w:val="16"/>
                <w:szCs w:val="16"/>
                <w:b w:val="1"/>
                <w:bCs w:val="1"/>
                <w:color w:val="1F2668"/>
              </w:rPr>
              <w:t>Incentive Plan</w:t>
            </w:r>
          </w:p>
        </w:tc>
        <w:tc>
          <w:tcPr>
            <w:tcW w:w="180" w:type="dxa"/>
            <w:vAlign w:val="bottom"/>
            <w:shd w:val="clear" w:color="auto" w:fill="E9F9D8"/>
          </w:tcPr>
          <w:p>
            <w:pPr>
              <w:spacing w:after="0"/>
              <w:rPr>
                <w:sz w:val="15"/>
                <w:szCs w:val="15"/>
                <w:color w:val="auto"/>
              </w:rPr>
            </w:pPr>
          </w:p>
        </w:tc>
        <w:tc>
          <w:tcPr>
            <w:tcW w:w="160" w:type="dxa"/>
            <w:vAlign w:val="bottom"/>
            <w:shd w:val="clear" w:color="auto" w:fill="E9F9D8"/>
          </w:tcPr>
          <w:p>
            <w:pPr>
              <w:spacing w:after="0"/>
              <w:rPr>
                <w:sz w:val="15"/>
                <w:szCs w:val="15"/>
                <w:color w:val="auto"/>
              </w:rPr>
            </w:pPr>
          </w:p>
        </w:tc>
        <w:tc>
          <w:tcPr>
            <w:tcW w:w="140" w:type="dxa"/>
            <w:vAlign w:val="bottom"/>
            <w:shd w:val="clear" w:color="auto" w:fill="E9F9D8"/>
          </w:tcPr>
          <w:p>
            <w:pPr>
              <w:spacing w:after="0"/>
              <w:rPr>
                <w:sz w:val="15"/>
                <w:szCs w:val="15"/>
                <w:color w:val="auto"/>
              </w:rPr>
            </w:pPr>
          </w:p>
        </w:tc>
        <w:tc>
          <w:tcPr>
            <w:tcW w:w="40" w:type="dxa"/>
            <w:vAlign w:val="bottom"/>
            <w:shd w:val="clear" w:color="auto" w:fill="E9F9D8"/>
          </w:tcPr>
          <w:p>
            <w:pPr>
              <w:spacing w:after="0"/>
              <w:rPr>
                <w:sz w:val="15"/>
                <w:szCs w:val="15"/>
                <w:color w:val="auto"/>
              </w:rPr>
            </w:pPr>
          </w:p>
        </w:tc>
        <w:tc>
          <w:tcPr>
            <w:tcW w:w="260" w:type="dxa"/>
            <w:vAlign w:val="bottom"/>
            <w:shd w:val="clear" w:color="auto" w:fill="E9F9D8"/>
          </w:tcPr>
          <w:p>
            <w:pPr>
              <w:spacing w:after="0"/>
              <w:rPr>
                <w:sz w:val="15"/>
                <w:szCs w:val="15"/>
                <w:color w:val="auto"/>
              </w:rPr>
            </w:pPr>
          </w:p>
        </w:tc>
        <w:tc>
          <w:tcPr>
            <w:tcW w:w="60" w:type="dxa"/>
            <w:vAlign w:val="bottom"/>
            <w:shd w:val="clear" w:color="auto" w:fill="E9F9D8"/>
          </w:tcPr>
          <w:p>
            <w:pPr>
              <w:spacing w:after="0"/>
              <w:rPr>
                <w:sz w:val="15"/>
                <w:szCs w:val="15"/>
                <w:color w:val="auto"/>
              </w:rPr>
            </w:pPr>
          </w:p>
        </w:tc>
        <w:tc>
          <w:tcPr>
            <w:tcW w:w="160" w:type="dxa"/>
            <w:vAlign w:val="bottom"/>
            <w:shd w:val="clear" w:color="auto" w:fill="E9F9D8"/>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340" w:type="dxa"/>
            <w:vAlign w:val="bottom"/>
            <w:tcBorders>
              <w:top w:val="single" w:sz="8" w:color="1F2668"/>
            </w:tcBorders>
            <w:shd w:val="clear" w:color="auto" w:fill="E9F9D8"/>
          </w:tcPr>
          <w:p>
            <w:pPr>
              <w:spacing w:after="0"/>
              <w:rPr>
                <w:sz w:val="5"/>
                <w:szCs w:val="5"/>
                <w:color w:val="auto"/>
              </w:rPr>
            </w:pPr>
          </w:p>
        </w:tc>
        <w:tc>
          <w:tcPr>
            <w:tcW w:w="420" w:type="dxa"/>
            <w:vAlign w:val="bottom"/>
            <w:tcBorders>
              <w:top w:val="single" w:sz="8" w:color="1F2668"/>
            </w:tcBorders>
            <w:shd w:val="clear" w:color="auto" w:fill="E9F9D8"/>
          </w:tcPr>
          <w:p>
            <w:pPr>
              <w:spacing w:after="0"/>
              <w:rPr>
                <w:sz w:val="5"/>
                <w:szCs w:val="5"/>
                <w:color w:val="auto"/>
              </w:rPr>
            </w:pPr>
          </w:p>
        </w:tc>
        <w:tc>
          <w:tcPr>
            <w:tcW w:w="320" w:type="dxa"/>
            <w:vAlign w:val="bottom"/>
            <w:tcBorders>
              <w:top w:val="single" w:sz="8" w:color="1F2668"/>
            </w:tcBorders>
            <w:shd w:val="clear" w:color="auto" w:fill="E9F9D8"/>
          </w:tcPr>
          <w:p>
            <w:pPr>
              <w:spacing w:after="0"/>
              <w:rPr>
                <w:sz w:val="5"/>
                <w:szCs w:val="5"/>
                <w:color w:val="auto"/>
              </w:rPr>
            </w:pPr>
          </w:p>
        </w:tc>
        <w:tc>
          <w:tcPr>
            <w:tcW w:w="300" w:type="dxa"/>
            <w:vAlign w:val="bottom"/>
            <w:tcBorders>
              <w:top w:val="single" w:sz="8" w:color="E9F9D8"/>
            </w:tcBorders>
            <w:shd w:val="clear" w:color="auto" w:fill="E9F9D8"/>
          </w:tcPr>
          <w:p>
            <w:pPr>
              <w:spacing w:after="0"/>
              <w:rPr>
                <w:sz w:val="5"/>
                <w:szCs w:val="5"/>
                <w:color w:val="auto"/>
              </w:rPr>
            </w:pPr>
          </w:p>
        </w:tc>
        <w:tc>
          <w:tcPr>
            <w:tcW w:w="880" w:type="dxa"/>
            <w:vAlign w:val="bottom"/>
            <w:tcBorders>
              <w:top w:val="single" w:sz="8" w:color="E9F9D8"/>
            </w:tcBorders>
            <w:shd w:val="clear" w:color="auto" w:fill="E9F9D8"/>
          </w:tcPr>
          <w:p>
            <w:pPr>
              <w:spacing w:after="0"/>
              <w:rPr>
                <w:sz w:val="5"/>
                <w:szCs w:val="5"/>
                <w:color w:val="auto"/>
              </w:rPr>
            </w:pPr>
          </w:p>
        </w:tc>
        <w:tc>
          <w:tcPr>
            <w:tcW w:w="360" w:type="dxa"/>
            <w:vAlign w:val="bottom"/>
            <w:tcBorders>
              <w:top w:val="single" w:sz="8" w:color="E9F9D8"/>
            </w:tcBorders>
            <w:shd w:val="clear" w:color="auto" w:fill="E9F9D8"/>
          </w:tcPr>
          <w:p>
            <w:pPr>
              <w:spacing w:after="0"/>
              <w:rPr>
                <w:sz w:val="5"/>
                <w:szCs w:val="5"/>
                <w:color w:val="auto"/>
              </w:rPr>
            </w:pPr>
          </w:p>
        </w:tc>
        <w:tc>
          <w:tcPr>
            <w:tcW w:w="180" w:type="dxa"/>
            <w:vAlign w:val="bottom"/>
            <w:tcBorders>
              <w:top w:val="single" w:sz="8" w:color="E9F9D8"/>
            </w:tcBorders>
            <w:shd w:val="clear" w:color="auto" w:fill="E9F9D8"/>
          </w:tcPr>
          <w:p>
            <w:pPr>
              <w:spacing w:after="0"/>
              <w:rPr>
                <w:sz w:val="5"/>
                <w:szCs w:val="5"/>
                <w:color w:val="auto"/>
              </w:rPr>
            </w:pPr>
          </w:p>
        </w:tc>
        <w:tc>
          <w:tcPr>
            <w:tcW w:w="520" w:type="dxa"/>
            <w:vAlign w:val="bottom"/>
            <w:tcBorders>
              <w:top w:val="single" w:sz="8" w:color="E9F9D8"/>
            </w:tcBorders>
            <w:shd w:val="clear" w:color="auto" w:fill="E9F9D8"/>
          </w:tcPr>
          <w:p>
            <w:pPr>
              <w:spacing w:after="0"/>
              <w:rPr>
                <w:sz w:val="5"/>
                <w:szCs w:val="5"/>
                <w:color w:val="auto"/>
              </w:rPr>
            </w:pPr>
          </w:p>
        </w:tc>
        <w:tc>
          <w:tcPr>
            <w:tcW w:w="180" w:type="dxa"/>
            <w:vAlign w:val="bottom"/>
            <w:tcBorders>
              <w:top w:val="single" w:sz="8" w:color="E9F9D8"/>
            </w:tcBorders>
            <w:shd w:val="clear" w:color="auto" w:fill="E9F9D8"/>
          </w:tcPr>
          <w:p>
            <w:pPr>
              <w:spacing w:after="0"/>
              <w:rPr>
                <w:sz w:val="5"/>
                <w:szCs w:val="5"/>
                <w:color w:val="auto"/>
              </w:rPr>
            </w:pPr>
          </w:p>
        </w:tc>
        <w:tc>
          <w:tcPr>
            <w:tcW w:w="160" w:type="dxa"/>
            <w:vAlign w:val="bottom"/>
            <w:tcBorders>
              <w:top w:val="single" w:sz="8" w:color="E9F9D8"/>
            </w:tcBorders>
            <w:shd w:val="clear" w:color="auto" w:fill="E9F9D8"/>
          </w:tcPr>
          <w:p>
            <w:pPr>
              <w:spacing w:after="0"/>
              <w:rPr>
                <w:sz w:val="5"/>
                <w:szCs w:val="5"/>
                <w:color w:val="auto"/>
              </w:rPr>
            </w:pPr>
          </w:p>
        </w:tc>
        <w:tc>
          <w:tcPr>
            <w:tcW w:w="140" w:type="dxa"/>
            <w:vAlign w:val="bottom"/>
            <w:tcBorders>
              <w:top w:val="single" w:sz="8" w:color="E9F9D8"/>
            </w:tcBorders>
            <w:shd w:val="clear" w:color="auto" w:fill="E9F9D8"/>
          </w:tcPr>
          <w:p>
            <w:pPr>
              <w:spacing w:after="0"/>
              <w:rPr>
                <w:sz w:val="5"/>
                <w:szCs w:val="5"/>
                <w:color w:val="auto"/>
              </w:rPr>
            </w:pPr>
          </w:p>
        </w:tc>
        <w:tc>
          <w:tcPr>
            <w:tcW w:w="40" w:type="dxa"/>
            <w:vAlign w:val="bottom"/>
            <w:tcBorders>
              <w:top w:val="single" w:sz="8" w:color="E9F9D8"/>
            </w:tcBorders>
            <w:shd w:val="clear" w:color="auto" w:fill="E9F9D8"/>
          </w:tcPr>
          <w:p>
            <w:pPr>
              <w:spacing w:after="0"/>
              <w:rPr>
                <w:sz w:val="5"/>
                <w:szCs w:val="5"/>
                <w:color w:val="auto"/>
              </w:rPr>
            </w:pPr>
          </w:p>
        </w:tc>
        <w:tc>
          <w:tcPr>
            <w:tcW w:w="260" w:type="dxa"/>
            <w:vAlign w:val="bottom"/>
            <w:tcBorders>
              <w:top w:val="single" w:sz="8" w:color="E9F9D8"/>
            </w:tcBorders>
            <w:shd w:val="clear" w:color="auto" w:fill="E9F9D8"/>
          </w:tcPr>
          <w:p>
            <w:pPr>
              <w:spacing w:after="0"/>
              <w:rPr>
                <w:sz w:val="5"/>
                <w:szCs w:val="5"/>
                <w:color w:val="auto"/>
              </w:rPr>
            </w:pPr>
          </w:p>
        </w:tc>
        <w:tc>
          <w:tcPr>
            <w:tcW w:w="60" w:type="dxa"/>
            <w:vAlign w:val="bottom"/>
            <w:tcBorders>
              <w:top w:val="single" w:sz="8" w:color="E9F9D8"/>
            </w:tcBorders>
            <w:shd w:val="clear" w:color="auto" w:fill="E9F9D8"/>
          </w:tcPr>
          <w:p>
            <w:pPr>
              <w:spacing w:after="0"/>
              <w:rPr>
                <w:sz w:val="5"/>
                <w:szCs w:val="5"/>
                <w:color w:val="auto"/>
              </w:rPr>
            </w:pPr>
          </w:p>
        </w:tc>
        <w:tc>
          <w:tcPr>
            <w:tcW w:w="160" w:type="dxa"/>
            <w:vAlign w:val="bottom"/>
            <w:tcBorders>
              <w:top w:val="single" w:sz="8" w:color="E9F9D8"/>
            </w:tcBorders>
            <w:shd w:val="clear" w:color="auto" w:fill="E9F9D8"/>
          </w:tcPr>
          <w:p>
            <w:pPr>
              <w:spacing w:after="0"/>
              <w:rPr>
                <w:sz w:val="5"/>
                <w:szCs w:val="5"/>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b w:val="1"/>
                <w:bCs w:val="1"/>
                <w:color w:val="1F2668"/>
              </w:rPr>
              <w:t>​</w:t>
            </w:r>
          </w:p>
        </w:tc>
        <w:tc>
          <w:tcPr>
            <w:tcW w:w="0" w:type="dxa"/>
            <w:vAlign w:val="bottom"/>
          </w:tcPr>
          <w:p>
            <w:pPr>
              <w:spacing w:after="0"/>
              <w:rPr>
                <w:sz w:val="1"/>
                <w:szCs w:val="1"/>
                <w:color w:val="auto"/>
              </w:rPr>
            </w:pPr>
          </w:p>
        </w:tc>
      </w:tr>
      <w:tr>
        <w:trPr>
          <w:trHeight w:val="135"/>
        </w:trPr>
        <w:tc>
          <w:tcPr>
            <w:tcW w:w="3320" w:type="dxa"/>
            <w:vAlign w:val="bottom"/>
            <w:gridSpan w:val="8"/>
          </w:tcPr>
          <w:p>
            <w:pPr>
              <w:spacing w:after="0" w:line="135" w:lineRule="exact"/>
              <w:rPr>
                <w:sz w:val="20"/>
                <w:szCs w:val="20"/>
                <w:color w:val="auto"/>
              </w:rPr>
            </w:pPr>
            <w:r>
              <w:rPr>
                <w:rFonts w:ascii="Arial" w:cs="Arial" w:eastAsia="Arial" w:hAnsi="Arial"/>
                <w:sz w:val="15"/>
                <w:szCs w:val="15"/>
                <w:b w:val="1"/>
                <w:bCs w:val="1"/>
                <w:color w:val="1F2668"/>
              </w:rPr>
              <w:t>​</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jc w:val="right"/>
              <w:ind w:right="29"/>
              <w:spacing w:after="0" w:line="135" w:lineRule="exact"/>
              <w:rPr>
                <w:sz w:val="20"/>
                <w:szCs w:val="20"/>
                <w:color w:val="auto"/>
              </w:rPr>
            </w:pPr>
            <w:r>
              <w:rPr>
                <w:rFonts w:ascii="Arial" w:cs="Arial" w:eastAsia="Arial" w:hAnsi="Arial"/>
                <w:sz w:val="15"/>
                <w:szCs w:val="15"/>
                <w:b w:val="1"/>
                <w:bCs w:val="1"/>
                <w:color w:val="1F2668"/>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260" w:type="dxa"/>
            <w:vAlign w:val="bottom"/>
            <w:gridSpan w:val="5"/>
          </w:tcPr>
          <w:p>
            <w:pPr>
              <w:spacing w:after="0" w:line="108" w:lineRule="exact"/>
              <w:rPr>
                <w:sz w:val="20"/>
                <w:szCs w:val="20"/>
                <w:color w:val="auto"/>
              </w:rPr>
            </w:pPr>
            <w:r>
              <w:rPr>
                <w:rFonts w:ascii="Arial" w:cs="Arial" w:eastAsia="Arial" w:hAnsi="Arial"/>
                <w:sz w:val="12"/>
                <w:szCs w:val="12"/>
                <w:b w:val="1"/>
                <w:bCs w:val="1"/>
                <w:color w:val="1F2668"/>
              </w:rPr>
              <w:t>Shares Available for Issuance</w:t>
            </w:r>
          </w:p>
        </w:tc>
        <w:tc>
          <w:tcPr>
            <w:tcW w:w="1060" w:type="dxa"/>
            <w:vAlign w:val="bottom"/>
            <w:gridSpan w:val="3"/>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jc w:val="right"/>
              <w:ind w:right="29"/>
              <w:spacing w:after="0" w:line="108" w:lineRule="exact"/>
              <w:rPr>
                <w:sz w:val="20"/>
                <w:szCs w:val="20"/>
                <w:color w:val="auto"/>
              </w:rPr>
            </w:pPr>
            <w:r>
              <w:rPr>
                <w:rFonts w:ascii="Arial" w:cs="Arial" w:eastAsia="Arial" w:hAnsi="Arial"/>
                <w:sz w:val="12"/>
                <w:szCs w:val="12"/>
                <w:b w:val="1"/>
                <w:bCs w:val="1"/>
                <w:color w:val="1F2668"/>
              </w:rPr>
              <w:t>​</w:t>
            </w:r>
          </w:p>
        </w:tc>
        <w:tc>
          <w:tcPr>
            <w:tcW w:w="280" w:type="dxa"/>
            <w:vAlign w:val="bottom"/>
            <w:gridSpan w:val="3"/>
          </w:tcPr>
          <w:p>
            <w:pPr>
              <w:jc w:val="right"/>
              <w:spacing w:after="0" w:line="108" w:lineRule="exact"/>
              <w:rPr>
                <w:sz w:val="20"/>
                <w:szCs w:val="20"/>
                <w:color w:val="auto"/>
              </w:rPr>
            </w:pPr>
            <w:r>
              <w:rPr>
                <w:rFonts w:ascii="Arial" w:cs="Arial" w:eastAsia="Arial" w:hAnsi="Arial"/>
                <w:sz w:val="12"/>
                <w:szCs w:val="12"/>
                <w:b w:val="1"/>
                <w:bCs w:val="1"/>
                <w:color w:val="1F2668"/>
              </w:rPr>
              <w:t>88</w:t>
            </w:r>
          </w:p>
        </w:tc>
        <w:tc>
          <w:tcPr>
            <w:tcW w:w="0" w:type="dxa"/>
            <w:vAlign w:val="bottom"/>
          </w:tcPr>
          <w:p>
            <w:pPr>
              <w:spacing w:after="0"/>
              <w:rPr>
                <w:sz w:val="1"/>
                <w:szCs w:val="1"/>
                <w:color w:val="auto"/>
              </w:rPr>
            </w:pPr>
          </w:p>
        </w:tc>
      </w:tr>
      <w:tr>
        <w:trPr>
          <w:trHeight w:val="196"/>
        </w:trPr>
        <w:tc>
          <w:tcPr>
            <w:tcW w:w="2260" w:type="dxa"/>
            <w:vAlign w:val="bottom"/>
            <w:tcBorders>
              <w:top w:val="single" w:sz="8" w:color="1F2668"/>
            </w:tcBorders>
            <w:gridSpan w:val="5"/>
          </w:tcPr>
          <w:p>
            <w:pPr>
              <w:spacing w:after="0"/>
              <w:rPr>
                <w:sz w:val="20"/>
                <w:szCs w:val="20"/>
                <w:color w:val="auto"/>
              </w:rPr>
            </w:pPr>
            <w:r>
              <w:rPr>
                <w:rFonts w:ascii="Arial" w:cs="Arial" w:eastAsia="Arial" w:hAnsi="Arial"/>
                <w:sz w:val="16"/>
                <w:szCs w:val="16"/>
                <w:b w:val="1"/>
                <w:bCs w:val="1"/>
                <w:color w:val="1F2668"/>
              </w:rPr>
              <w:t>​</w:t>
            </w:r>
          </w:p>
        </w:tc>
        <w:tc>
          <w:tcPr>
            <w:tcW w:w="106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jc w:val="right"/>
              <w:ind w:right="29"/>
              <w:spacing w:after="0"/>
              <w:rPr>
                <w:sz w:val="20"/>
                <w:szCs w:val="20"/>
                <w:color w:val="auto"/>
              </w:rPr>
            </w:pPr>
            <w:r>
              <w:rPr>
                <w:rFonts w:ascii="Arial" w:cs="Arial" w:eastAsia="Arial" w:hAnsi="Arial"/>
                <w:sz w:val="16"/>
                <w:szCs w:val="16"/>
                <w:b w:val="1"/>
                <w:bCs w:val="1"/>
                <w:color w:val="1F2668"/>
              </w:rPr>
              <w:t>​​​</w:t>
            </w:r>
          </w:p>
        </w:tc>
        <w:tc>
          <w:tcPr>
            <w:tcW w:w="60" w:type="dxa"/>
            <w:vAlign w:val="bottom"/>
          </w:tcPr>
          <w:p>
            <w:pPr>
              <w:spacing w:after="0"/>
              <w:rPr>
                <w:sz w:val="17"/>
                <w:szCs w:val="17"/>
                <w:color w:val="auto"/>
              </w:rPr>
            </w:pPr>
          </w:p>
        </w:tc>
        <w:tc>
          <w:tcPr>
            <w:tcW w:w="160" w:type="dxa"/>
            <w:vAlign w:val="bottom"/>
            <w:tcBorders>
              <w:top w:val="single" w:sz="8" w:color="1F2668"/>
            </w:tcBorders>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6"/>
                <w:szCs w:val="16"/>
                <w:b w:val="1"/>
                <w:bCs w:val="1"/>
                <w:color w:val="1F2668"/>
              </w:rPr>
              <w:t>​</w:t>
            </w:r>
          </w:p>
        </w:tc>
        <w:tc>
          <w:tcPr>
            <w:tcW w:w="0" w:type="dxa"/>
            <w:vAlign w:val="bottom"/>
          </w:tcPr>
          <w:p>
            <w:pPr>
              <w:spacing w:after="0"/>
              <w:rPr>
                <w:sz w:val="1"/>
                <w:szCs w:val="1"/>
                <w:color w:val="auto"/>
              </w:rPr>
            </w:pPr>
          </w:p>
        </w:tc>
      </w:tr>
      <w:tr>
        <w:trPr>
          <w:trHeight w:val="108"/>
        </w:trPr>
        <w:tc>
          <w:tcPr>
            <w:tcW w:w="3320" w:type="dxa"/>
            <w:vAlign w:val="bottom"/>
            <w:gridSpan w:val="8"/>
          </w:tcPr>
          <w:p>
            <w:pPr>
              <w:spacing w:after="0" w:line="108" w:lineRule="exact"/>
              <w:rPr>
                <w:sz w:val="20"/>
                <w:szCs w:val="20"/>
                <w:color w:val="auto"/>
              </w:rPr>
            </w:pPr>
            <w:r>
              <w:rPr>
                <w:rFonts w:ascii="Arial" w:cs="Arial" w:eastAsia="Arial" w:hAnsi="Arial"/>
                <w:sz w:val="12"/>
                <w:szCs w:val="12"/>
                <w:b w:val="1"/>
                <w:bCs w:val="1"/>
                <w:color w:val="1F2668"/>
              </w:rPr>
              <w:t>Burn Rate</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jc w:val="right"/>
              <w:ind w:right="29"/>
              <w:spacing w:after="0" w:line="108" w:lineRule="exact"/>
              <w:rPr>
                <w:sz w:val="20"/>
                <w:szCs w:val="20"/>
                <w:color w:val="auto"/>
              </w:rPr>
            </w:pPr>
            <w:r>
              <w:rPr>
                <w:rFonts w:ascii="Arial" w:cs="Arial" w:eastAsia="Arial" w:hAnsi="Arial"/>
                <w:sz w:val="12"/>
                <w:szCs w:val="12"/>
                <w:b w:val="1"/>
                <w:bCs w:val="1"/>
                <w:color w:val="1F2668"/>
              </w:rPr>
              <w:t>​</w:t>
            </w:r>
          </w:p>
        </w:tc>
        <w:tc>
          <w:tcPr>
            <w:tcW w:w="280" w:type="dxa"/>
            <w:vAlign w:val="bottom"/>
            <w:gridSpan w:val="3"/>
          </w:tcPr>
          <w:p>
            <w:pPr>
              <w:jc w:val="right"/>
              <w:spacing w:after="0" w:line="108" w:lineRule="exact"/>
              <w:rPr>
                <w:sz w:val="20"/>
                <w:szCs w:val="20"/>
                <w:color w:val="auto"/>
              </w:rPr>
            </w:pPr>
            <w:r>
              <w:rPr>
                <w:rFonts w:ascii="Arial" w:cs="Arial" w:eastAsia="Arial" w:hAnsi="Arial"/>
                <w:sz w:val="12"/>
                <w:szCs w:val="12"/>
                <w:b w:val="1"/>
                <w:bCs w:val="1"/>
                <w:color w:val="1F2668"/>
              </w:rPr>
              <w:t>88</w:t>
            </w:r>
          </w:p>
        </w:tc>
        <w:tc>
          <w:tcPr>
            <w:tcW w:w="0" w:type="dxa"/>
            <w:vAlign w:val="bottom"/>
          </w:tcPr>
          <w:p>
            <w:pPr>
              <w:spacing w:after="0"/>
              <w:rPr>
                <w:sz w:val="1"/>
                <w:szCs w:val="1"/>
                <w:color w:val="auto"/>
              </w:rPr>
            </w:pPr>
          </w:p>
        </w:tc>
      </w:tr>
      <w:tr>
        <w:trPr>
          <w:trHeight w:val="196"/>
        </w:trPr>
        <w:tc>
          <w:tcPr>
            <w:tcW w:w="760" w:type="dxa"/>
            <w:vAlign w:val="bottom"/>
            <w:tcBorders>
              <w:top w:val="single" w:sz="8" w:color="1F2668"/>
            </w:tcBorders>
            <w:gridSpan w:val="2"/>
          </w:tcPr>
          <w:p>
            <w:pPr>
              <w:spacing w:after="0"/>
              <w:rPr>
                <w:sz w:val="20"/>
                <w:szCs w:val="20"/>
                <w:color w:val="auto"/>
              </w:rPr>
            </w:pPr>
            <w:r>
              <w:rPr>
                <w:rFonts w:ascii="Arial" w:cs="Arial" w:eastAsia="Arial" w:hAnsi="Arial"/>
                <w:sz w:val="16"/>
                <w:szCs w:val="16"/>
                <w:b w:val="1"/>
                <w:bCs w:val="1"/>
                <w:color w:val="1F2668"/>
              </w:rPr>
              <w:t>​</w:t>
            </w:r>
          </w:p>
        </w:tc>
        <w:tc>
          <w:tcPr>
            <w:tcW w:w="2560" w:type="dxa"/>
            <w:vAlign w:val="bottom"/>
            <w:gridSpan w:val="6"/>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jc w:val="right"/>
              <w:ind w:right="29"/>
              <w:spacing w:after="0"/>
              <w:rPr>
                <w:sz w:val="20"/>
                <w:szCs w:val="20"/>
                <w:color w:val="auto"/>
              </w:rPr>
            </w:pPr>
            <w:r>
              <w:rPr>
                <w:rFonts w:ascii="Arial" w:cs="Arial" w:eastAsia="Arial" w:hAnsi="Arial"/>
                <w:sz w:val="16"/>
                <w:szCs w:val="16"/>
                <w:b w:val="1"/>
                <w:bCs w:val="1"/>
                <w:color w:val="1F2668"/>
              </w:rPr>
              <w:t>​​​</w:t>
            </w:r>
          </w:p>
        </w:tc>
        <w:tc>
          <w:tcPr>
            <w:tcW w:w="60" w:type="dxa"/>
            <w:vAlign w:val="bottom"/>
          </w:tcPr>
          <w:p>
            <w:pPr>
              <w:spacing w:after="0"/>
              <w:rPr>
                <w:sz w:val="17"/>
                <w:szCs w:val="17"/>
                <w:color w:val="auto"/>
              </w:rPr>
            </w:pPr>
          </w:p>
        </w:tc>
        <w:tc>
          <w:tcPr>
            <w:tcW w:w="160" w:type="dxa"/>
            <w:vAlign w:val="bottom"/>
            <w:tcBorders>
              <w:top w:val="single" w:sz="8" w:color="1F2668"/>
            </w:tcBorders>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6"/>
                <w:szCs w:val="16"/>
                <w:b w:val="1"/>
                <w:bCs w:val="1"/>
                <w:color w:val="1F2668"/>
              </w:rPr>
              <w:t>​</w:t>
            </w:r>
          </w:p>
        </w:tc>
        <w:tc>
          <w:tcPr>
            <w:tcW w:w="0" w:type="dxa"/>
            <w:vAlign w:val="bottom"/>
          </w:tcPr>
          <w:p>
            <w:pPr>
              <w:spacing w:after="0"/>
              <w:rPr>
                <w:sz w:val="1"/>
                <w:szCs w:val="1"/>
                <w:color w:val="auto"/>
              </w:rPr>
            </w:pPr>
          </w:p>
        </w:tc>
      </w:tr>
      <w:tr>
        <w:trPr>
          <w:trHeight w:val="108"/>
        </w:trPr>
        <w:tc>
          <w:tcPr>
            <w:tcW w:w="3320" w:type="dxa"/>
            <w:vAlign w:val="bottom"/>
            <w:gridSpan w:val="8"/>
          </w:tcPr>
          <w:p>
            <w:pPr>
              <w:spacing w:after="0" w:line="108" w:lineRule="exact"/>
              <w:rPr>
                <w:sz w:val="20"/>
                <w:szCs w:val="20"/>
                <w:color w:val="auto"/>
              </w:rPr>
            </w:pPr>
            <w:r>
              <w:rPr>
                <w:rFonts w:ascii="Arial" w:cs="Arial" w:eastAsia="Arial" w:hAnsi="Arial"/>
                <w:sz w:val="12"/>
                <w:szCs w:val="12"/>
                <w:b w:val="1"/>
                <w:bCs w:val="1"/>
                <w:color w:val="1F2668"/>
              </w:rPr>
              <w:t>Summary of Material Amendments</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jc w:val="right"/>
              <w:ind w:right="29"/>
              <w:spacing w:after="0" w:line="108" w:lineRule="exact"/>
              <w:rPr>
                <w:sz w:val="20"/>
                <w:szCs w:val="20"/>
                <w:color w:val="auto"/>
              </w:rPr>
            </w:pPr>
            <w:r>
              <w:rPr>
                <w:rFonts w:ascii="Arial" w:cs="Arial" w:eastAsia="Arial" w:hAnsi="Arial"/>
                <w:sz w:val="12"/>
                <w:szCs w:val="12"/>
                <w:b w:val="1"/>
                <w:bCs w:val="1"/>
                <w:color w:val="1F2668"/>
              </w:rPr>
              <w:t>​</w:t>
            </w:r>
          </w:p>
        </w:tc>
        <w:tc>
          <w:tcPr>
            <w:tcW w:w="280" w:type="dxa"/>
            <w:vAlign w:val="bottom"/>
            <w:gridSpan w:val="3"/>
          </w:tcPr>
          <w:p>
            <w:pPr>
              <w:jc w:val="right"/>
              <w:spacing w:after="0" w:line="108" w:lineRule="exact"/>
              <w:rPr>
                <w:sz w:val="20"/>
                <w:szCs w:val="20"/>
                <w:color w:val="auto"/>
              </w:rPr>
            </w:pPr>
            <w:r>
              <w:rPr>
                <w:rFonts w:ascii="Arial" w:cs="Arial" w:eastAsia="Arial" w:hAnsi="Arial"/>
                <w:sz w:val="12"/>
                <w:szCs w:val="12"/>
                <w:b w:val="1"/>
                <w:bCs w:val="1"/>
                <w:color w:val="1F2668"/>
              </w:rPr>
              <w:t>89</w:t>
            </w:r>
          </w:p>
        </w:tc>
        <w:tc>
          <w:tcPr>
            <w:tcW w:w="0" w:type="dxa"/>
            <w:vAlign w:val="bottom"/>
          </w:tcPr>
          <w:p>
            <w:pPr>
              <w:spacing w:after="0"/>
              <w:rPr>
                <w:sz w:val="1"/>
                <w:szCs w:val="1"/>
                <w:color w:val="auto"/>
              </w:rPr>
            </w:pPr>
          </w:p>
        </w:tc>
      </w:tr>
      <w:tr>
        <w:trPr>
          <w:trHeight w:val="210"/>
        </w:trPr>
        <w:tc>
          <w:tcPr>
            <w:tcW w:w="2620" w:type="dxa"/>
            <w:vAlign w:val="bottom"/>
            <w:tcBorders>
              <w:top w:val="single" w:sz="8" w:color="1F2668"/>
            </w:tcBorders>
            <w:gridSpan w:val="6"/>
          </w:tcPr>
          <w:p>
            <w:pPr>
              <w:spacing w:after="0"/>
              <w:rPr>
                <w:sz w:val="20"/>
                <w:szCs w:val="20"/>
                <w:color w:val="auto"/>
              </w:rPr>
            </w:pPr>
            <w:r>
              <w:rPr>
                <w:rFonts w:ascii="Arial" w:cs="Arial" w:eastAsia="Arial" w:hAnsi="Arial"/>
                <w:sz w:val="16"/>
                <w:szCs w:val="16"/>
                <w:b w:val="1"/>
                <w:bCs w:val="1"/>
                <w:color w:val="1F2668"/>
              </w:rPr>
              <w:t>​</w:t>
            </w:r>
          </w:p>
        </w:tc>
        <w:tc>
          <w:tcPr>
            <w:tcW w:w="7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jc w:val="right"/>
              <w:ind w:right="29"/>
              <w:spacing w:after="0"/>
              <w:rPr>
                <w:sz w:val="20"/>
                <w:szCs w:val="20"/>
                <w:color w:val="auto"/>
              </w:rPr>
            </w:pPr>
            <w:r>
              <w:rPr>
                <w:rFonts w:ascii="Arial" w:cs="Arial" w:eastAsia="Arial" w:hAnsi="Arial"/>
                <w:sz w:val="16"/>
                <w:szCs w:val="16"/>
                <w:b w:val="1"/>
                <w:bCs w:val="1"/>
                <w:color w:val="1F2668"/>
              </w:rPr>
              <w:t>​​​</w:t>
            </w:r>
          </w:p>
        </w:tc>
        <w:tc>
          <w:tcPr>
            <w:tcW w:w="60" w:type="dxa"/>
            <w:vAlign w:val="bottom"/>
          </w:tcPr>
          <w:p>
            <w:pPr>
              <w:spacing w:after="0"/>
              <w:rPr>
                <w:sz w:val="18"/>
                <w:szCs w:val="18"/>
                <w:color w:val="auto"/>
              </w:rPr>
            </w:pPr>
          </w:p>
        </w:tc>
        <w:tc>
          <w:tcPr>
            <w:tcW w:w="160" w:type="dxa"/>
            <w:vAlign w:val="bottom"/>
            <w:tcBorders>
              <w:top w:val="single" w:sz="8" w:color="1F2668"/>
            </w:tcBorders>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b w:val="1"/>
                <w:bCs w:val="1"/>
                <w:color w:val="1F2668"/>
              </w:rPr>
              <w:t>​</w:t>
            </w:r>
          </w:p>
        </w:tc>
        <w:tc>
          <w:tcPr>
            <w:tcW w:w="0" w:type="dxa"/>
            <w:vAlign w:val="bottom"/>
          </w:tcPr>
          <w:p>
            <w:pPr>
              <w:spacing w:after="0"/>
              <w:rPr>
                <w:sz w:val="1"/>
                <w:szCs w:val="1"/>
                <w:color w:val="auto"/>
              </w:rPr>
            </w:pPr>
          </w:p>
        </w:tc>
      </w:tr>
      <w:tr>
        <w:trPr>
          <w:trHeight w:val="81"/>
        </w:trPr>
        <w:tc>
          <w:tcPr>
            <w:tcW w:w="3840" w:type="dxa"/>
            <w:vAlign w:val="bottom"/>
            <w:gridSpan w:val="12"/>
          </w:tcPr>
          <w:p>
            <w:pPr>
              <w:spacing w:after="0" w:line="81" w:lineRule="exact"/>
              <w:rPr>
                <w:sz w:val="20"/>
                <w:szCs w:val="20"/>
                <w:color w:val="auto"/>
              </w:rPr>
            </w:pPr>
            <w:r>
              <w:rPr>
                <w:rFonts w:ascii="Arial" w:cs="Arial" w:eastAsia="Arial" w:hAnsi="Arial"/>
                <w:sz w:val="9"/>
                <w:szCs w:val="9"/>
                <w:b w:val="1"/>
                <w:bCs w:val="1"/>
                <w:color w:val="1F2668"/>
              </w:rPr>
              <w:t>Summary of The Provisions of our Sixth Amended</w:t>
            </w:r>
          </w:p>
        </w:tc>
        <w:tc>
          <w:tcPr>
            <w:tcW w:w="260" w:type="dxa"/>
            <w:vAlign w:val="bottom"/>
          </w:tcPr>
          <w:p>
            <w:pPr>
              <w:jc w:val="right"/>
              <w:ind w:right="29"/>
              <w:spacing w:after="0" w:line="81" w:lineRule="exact"/>
              <w:rPr>
                <w:sz w:val="20"/>
                <w:szCs w:val="20"/>
                <w:color w:val="auto"/>
              </w:rPr>
            </w:pPr>
            <w:r>
              <w:rPr>
                <w:rFonts w:ascii="Arial" w:cs="Arial" w:eastAsia="Arial" w:hAnsi="Arial"/>
                <w:sz w:val="9"/>
                <w:szCs w:val="9"/>
                <w:b w:val="1"/>
                <w:bCs w:val="1"/>
                <w:color w:val="1F2668"/>
              </w:rPr>
              <w:t>​</w:t>
            </w:r>
          </w:p>
        </w:tc>
        <w:tc>
          <w:tcPr>
            <w:tcW w:w="280" w:type="dxa"/>
            <w:vAlign w:val="bottom"/>
            <w:gridSpan w:val="3"/>
          </w:tcPr>
          <w:p>
            <w:pPr>
              <w:jc w:val="right"/>
              <w:spacing w:after="0" w:line="81" w:lineRule="exact"/>
              <w:rPr>
                <w:sz w:val="20"/>
                <w:szCs w:val="20"/>
                <w:color w:val="auto"/>
              </w:rPr>
            </w:pPr>
            <w:r>
              <w:rPr>
                <w:rFonts w:ascii="Arial" w:cs="Arial" w:eastAsia="Arial" w:hAnsi="Arial"/>
                <w:sz w:val="9"/>
                <w:szCs w:val="9"/>
                <w:b w:val="1"/>
                <w:bCs w:val="1"/>
                <w:color w:val="1F2668"/>
              </w:rPr>
              <w:t>89</w:t>
            </w:r>
          </w:p>
        </w:tc>
        <w:tc>
          <w:tcPr>
            <w:tcW w:w="0" w:type="dxa"/>
            <w:vAlign w:val="bottom"/>
          </w:tcPr>
          <w:p>
            <w:pPr>
              <w:spacing w:after="0"/>
              <w:rPr>
                <w:sz w:val="1"/>
                <w:szCs w:val="1"/>
                <w:color w:val="auto"/>
              </w:rPr>
            </w:pPr>
          </w:p>
        </w:tc>
      </w:tr>
      <w:tr>
        <w:trPr>
          <w:trHeight w:val="183"/>
        </w:trPr>
        <w:tc>
          <w:tcPr>
            <w:tcW w:w="3800" w:type="dxa"/>
            <w:vAlign w:val="bottom"/>
            <w:tcBorders>
              <w:top w:val="single" w:sz="8" w:color="1F2668"/>
            </w:tcBorders>
            <w:gridSpan w:val="11"/>
          </w:tcPr>
          <w:p>
            <w:pPr>
              <w:spacing w:after="0" w:line="183" w:lineRule="exact"/>
              <w:rPr>
                <w:sz w:val="20"/>
                <w:szCs w:val="20"/>
                <w:color w:val="auto"/>
              </w:rPr>
            </w:pPr>
            <w:r>
              <w:rPr>
                <w:rFonts w:ascii="Arial" w:cs="Arial" w:eastAsia="Arial" w:hAnsi="Arial"/>
                <w:sz w:val="16"/>
                <w:szCs w:val="16"/>
                <w:b w:val="1"/>
                <w:bCs w:val="1"/>
                <w:color w:val="1F2668"/>
              </w:rPr>
              <w:t>and Restated 2005 Stock Option and Incentive</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1F2668"/>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20" w:type="dxa"/>
            <w:vAlign w:val="bottom"/>
            <w:tcBorders>
              <w:top w:val="single" w:sz="8" w:color="1F2668"/>
            </w:tcBorders>
            <w:gridSpan w:val="8"/>
          </w:tcPr>
          <w:p>
            <w:pPr>
              <w:spacing w:after="0" w:line="183" w:lineRule="exact"/>
              <w:rPr>
                <w:sz w:val="20"/>
                <w:szCs w:val="20"/>
                <w:color w:val="auto"/>
              </w:rPr>
            </w:pPr>
            <w:r>
              <w:rPr>
                <w:rFonts w:ascii="Arial" w:cs="Arial" w:eastAsia="Arial" w:hAnsi="Arial"/>
                <w:sz w:val="16"/>
                <w:szCs w:val="16"/>
                <w:b w:val="1"/>
                <w:bCs w:val="1"/>
                <w:color w:val="1F2668"/>
              </w:rPr>
              <w:t>Plan</w:t>
            </w:r>
          </w:p>
        </w:tc>
        <w:tc>
          <w:tcPr>
            <w:tcW w:w="180" w:type="dxa"/>
            <w:vAlign w:val="bottom"/>
            <w:tcBorders>
              <w:top w:val="single" w:sz="8" w:color="1F2668"/>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40" w:type="dxa"/>
            <w:vAlign w:val="bottom"/>
            <w:tcBorders>
              <w:top w:val="single" w:sz="8" w:color="1F2668"/>
            </w:tcBorders>
          </w:tcPr>
          <w:p>
            <w:pPr>
              <w:spacing w:after="0"/>
              <w:rPr>
                <w:sz w:val="20"/>
                <w:szCs w:val="20"/>
                <w:color w:val="auto"/>
              </w:rPr>
            </w:pPr>
            <w:r>
              <w:rPr>
                <w:rFonts w:ascii="Arial" w:cs="Arial" w:eastAsia="Arial" w:hAnsi="Arial"/>
                <w:sz w:val="16"/>
                <w:szCs w:val="16"/>
                <w:b w:val="1"/>
                <w:bCs w:val="1"/>
                <w:color w:val="1F2668"/>
              </w:rPr>
              <w:t>​</w:t>
            </w:r>
          </w:p>
        </w:tc>
        <w:tc>
          <w:tcPr>
            <w:tcW w:w="2980" w:type="dxa"/>
            <w:vAlign w:val="bottom"/>
            <w:gridSpan w:val="7"/>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jc w:val="right"/>
              <w:ind w:right="29"/>
              <w:spacing w:after="0"/>
              <w:rPr>
                <w:sz w:val="20"/>
                <w:szCs w:val="20"/>
                <w:color w:val="auto"/>
              </w:rPr>
            </w:pPr>
            <w:r>
              <w:rPr>
                <w:rFonts w:ascii="Arial" w:cs="Arial" w:eastAsia="Arial" w:hAnsi="Arial"/>
                <w:sz w:val="16"/>
                <w:szCs w:val="16"/>
                <w:b w:val="1"/>
                <w:bCs w:val="1"/>
                <w:color w:val="1F2668"/>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6"/>
                <w:szCs w:val="16"/>
                <w:b w:val="1"/>
                <w:bCs w:val="1"/>
                <w:color w:val="1F2668"/>
              </w:rPr>
              <w:t>​</w:t>
            </w:r>
          </w:p>
        </w:tc>
        <w:tc>
          <w:tcPr>
            <w:tcW w:w="0" w:type="dxa"/>
            <w:vAlign w:val="bottom"/>
          </w:tcPr>
          <w:p>
            <w:pPr>
              <w:spacing w:after="0"/>
              <w:rPr>
                <w:sz w:val="1"/>
                <w:szCs w:val="1"/>
                <w:color w:val="auto"/>
              </w:rPr>
            </w:pPr>
          </w:p>
        </w:tc>
      </w:tr>
      <w:tr>
        <w:trPr>
          <w:trHeight w:val="108"/>
        </w:trPr>
        <w:tc>
          <w:tcPr>
            <w:tcW w:w="3840" w:type="dxa"/>
            <w:vAlign w:val="bottom"/>
            <w:gridSpan w:val="12"/>
          </w:tcPr>
          <w:p>
            <w:pPr>
              <w:spacing w:after="0" w:line="108" w:lineRule="exact"/>
              <w:rPr>
                <w:sz w:val="20"/>
                <w:szCs w:val="20"/>
                <w:color w:val="auto"/>
              </w:rPr>
            </w:pPr>
            <w:r>
              <w:rPr>
                <w:rFonts w:ascii="Arial" w:cs="Arial" w:eastAsia="Arial" w:hAnsi="Arial"/>
                <w:sz w:val="12"/>
                <w:szCs w:val="12"/>
                <w:b w:val="1"/>
                <w:bCs w:val="1"/>
                <w:color w:val="1F2668"/>
              </w:rPr>
              <w:t>Material U.S. Federal Income Tax Consequences</w:t>
            </w:r>
          </w:p>
        </w:tc>
        <w:tc>
          <w:tcPr>
            <w:tcW w:w="260" w:type="dxa"/>
            <w:vAlign w:val="bottom"/>
          </w:tcPr>
          <w:p>
            <w:pPr>
              <w:jc w:val="right"/>
              <w:ind w:right="29"/>
              <w:spacing w:after="0" w:line="108" w:lineRule="exact"/>
              <w:rPr>
                <w:sz w:val="20"/>
                <w:szCs w:val="20"/>
                <w:color w:val="auto"/>
              </w:rPr>
            </w:pPr>
            <w:r>
              <w:rPr>
                <w:rFonts w:ascii="Arial" w:cs="Arial" w:eastAsia="Arial" w:hAnsi="Arial"/>
                <w:sz w:val="12"/>
                <w:szCs w:val="12"/>
                <w:b w:val="1"/>
                <w:bCs w:val="1"/>
                <w:color w:val="1F2668"/>
              </w:rPr>
              <w:t>​</w:t>
            </w:r>
          </w:p>
        </w:tc>
        <w:tc>
          <w:tcPr>
            <w:tcW w:w="280" w:type="dxa"/>
            <w:vAlign w:val="bottom"/>
            <w:gridSpan w:val="3"/>
          </w:tcPr>
          <w:p>
            <w:pPr>
              <w:jc w:val="right"/>
              <w:spacing w:after="0" w:line="108" w:lineRule="exact"/>
              <w:rPr>
                <w:sz w:val="20"/>
                <w:szCs w:val="20"/>
                <w:color w:val="auto"/>
              </w:rPr>
            </w:pPr>
            <w:r>
              <w:rPr>
                <w:rFonts w:ascii="Arial" w:cs="Arial" w:eastAsia="Arial" w:hAnsi="Arial"/>
                <w:sz w:val="12"/>
                <w:szCs w:val="12"/>
                <w:b w:val="1"/>
                <w:bCs w:val="1"/>
                <w:color w:val="1F2668"/>
              </w:rPr>
              <w:t>93</w:t>
            </w:r>
          </w:p>
        </w:tc>
        <w:tc>
          <w:tcPr>
            <w:tcW w:w="0" w:type="dxa"/>
            <w:vAlign w:val="bottom"/>
          </w:tcPr>
          <w:p>
            <w:pPr>
              <w:spacing w:after="0"/>
              <w:rPr>
                <w:sz w:val="1"/>
                <w:szCs w:val="1"/>
                <w:color w:val="auto"/>
              </w:rPr>
            </w:pPr>
          </w:p>
        </w:tc>
      </w:tr>
      <w:tr>
        <w:trPr>
          <w:trHeight w:val="196"/>
        </w:trPr>
        <w:tc>
          <w:tcPr>
            <w:tcW w:w="3320" w:type="dxa"/>
            <w:vAlign w:val="bottom"/>
            <w:tcBorders>
              <w:top w:val="single" w:sz="8" w:color="1F2668"/>
            </w:tcBorders>
            <w:gridSpan w:val="8"/>
          </w:tcPr>
          <w:p>
            <w:pPr>
              <w:spacing w:after="0"/>
              <w:rPr>
                <w:sz w:val="20"/>
                <w:szCs w:val="20"/>
                <w:color w:val="auto"/>
              </w:rPr>
            </w:pPr>
            <w:r>
              <w:rPr>
                <w:rFonts w:ascii="Arial" w:cs="Arial" w:eastAsia="Arial" w:hAnsi="Arial"/>
                <w:sz w:val="16"/>
                <w:szCs w:val="16"/>
                <w:b w:val="1"/>
                <w:bCs w:val="1"/>
                <w:color w:val="1F2668"/>
              </w:rPr>
              <w:t>​</w:t>
            </w:r>
          </w:p>
        </w:tc>
        <w:tc>
          <w:tcPr>
            <w:tcW w:w="180" w:type="dxa"/>
            <w:vAlign w:val="bottom"/>
            <w:tcBorders>
              <w:top w:val="single" w:sz="8" w:color="1F2668"/>
            </w:tcBorders>
          </w:tcPr>
          <w:p>
            <w:pPr>
              <w:spacing w:after="0"/>
              <w:rPr>
                <w:sz w:val="17"/>
                <w:szCs w:val="17"/>
                <w:color w:val="auto"/>
              </w:rPr>
            </w:pPr>
          </w:p>
        </w:tc>
        <w:tc>
          <w:tcPr>
            <w:tcW w:w="160" w:type="dxa"/>
            <w:vAlign w:val="bottom"/>
            <w:tcBorders>
              <w:top w:val="single" w:sz="8" w:color="1F2668"/>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jc w:val="right"/>
              <w:ind w:right="29"/>
              <w:spacing w:after="0"/>
              <w:rPr>
                <w:sz w:val="20"/>
                <w:szCs w:val="20"/>
                <w:color w:val="auto"/>
              </w:rPr>
            </w:pPr>
            <w:r>
              <w:rPr>
                <w:rFonts w:ascii="Arial" w:cs="Arial" w:eastAsia="Arial" w:hAnsi="Arial"/>
                <w:sz w:val="16"/>
                <w:szCs w:val="16"/>
                <w:b w:val="1"/>
                <w:bCs w:val="1"/>
                <w:color w:val="1F2668"/>
              </w:rPr>
              <w:t>​​​</w:t>
            </w:r>
          </w:p>
        </w:tc>
        <w:tc>
          <w:tcPr>
            <w:tcW w:w="60" w:type="dxa"/>
            <w:vAlign w:val="bottom"/>
          </w:tcPr>
          <w:p>
            <w:pPr>
              <w:spacing w:after="0"/>
              <w:rPr>
                <w:sz w:val="17"/>
                <w:szCs w:val="17"/>
                <w:color w:val="auto"/>
              </w:rPr>
            </w:pPr>
          </w:p>
        </w:tc>
        <w:tc>
          <w:tcPr>
            <w:tcW w:w="160" w:type="dxa"/>
            <w:vAlign w:val="bottom"/>
            <w:tcBorders>
              <w:top w:val="single" w:sz="8" w:color="1F2668"/>
            </w:tcBorders>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6"/>
                <w:szCs w:val="16"/>
                <w:b w:val="1"/>
                <w:bCs w:val="1"/>
                <w:color w:val="1F2668"/>
              </w:rPr>
              <w:t>​</w:t>
            </w:r>
          </w:p>
        </w:tc>
        <w:tc>
          <w:tcPr>
            <w:tcW w:w="0" w:type="dxa"/>
            <w:vAlign w:val="bottom"/>
          </w:tcPr>
          <w:p>
            <w:pPr>
              <w:spacing w:after="0"/>
              <w:rPr>
                <w:sz w:val="1"/>
                <w:szCs w:val="1"/>
                <w:color w:val="auto"/>
              </w:rPr>
            </w:pPr>
          </w:p>
        </w:tc>
      </w:tr>
      <w:tr>
        <w:trPr>
          <w:trHeight w:val="108"/>
        </w:trPr>
        <w:tc>
          <w:tcPr>
            <w:tcW w:w="3320" w:type="dxa"/>
            <w:vAlign w:val="bottom"/>
            <w:gridSpan w:val="8"/>
          </w:tcPr>
          <w:p>
            <w:pPr>
              <w:spacing w:after="0" w:line="108" w:lineRule="exact"/>
              <w:rPr>
                <w:sz w:val="20"/>
                <w:szCs w:val="20"/>
                <w:color w:val="auto"/>
              </w:rPr>
            </w:pPr>
            <w:r>
              <w:rPr>
                <w:rFonts w:ascii="Arial" w:cs="Arial" w:eastAsia="Arial" w:hAnsi="Arial"/>
                <w:sz w:val="12"/>
                <w:szCs w:val="12"/>
                <w:b w:val="1"/>
                <w:bCs w:val="1"/>
                <w:color w:val="1F2668"/>
              </w:rPr>
              <w:t>New Plan Benefits</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jc w:val="right"/>
              <w:ind w:right="29"/>
              <w:spacing w:after="0" w:line="108" w:lineRule="exact"/>
              <w:rPr>
                <w:sz w:val="20"/>
                <w:szCs w:val="20"/>
                <w:color w:val="auto"/>
              </w:rPr>
            </w:pPr>
            <w:r>
              <w:rPr>
                <w:rFonts w:ascii="Arial" w:cs="Arial" w:eastAsia="Arial" w:hAnsi="Arial"/>
                <w:sz w:val="12"/>
                <w:szCs w:val="12"/>
                <w:b w:val="1"/>
                <w:bCs w:val="1"/>
                <w:color w:val="1F2668"/>
              </w:rPr>
              <w:t>​</w:t>
            </w:r>
          </w:p>
        </w:tc>
        <w:tc>
          <w:tcPr>
            <w:tcW w:w="280" w:type="dxa"/>
            <w:vAlign w:val="bottom"/>
            <w:gridSpan w:val="3"/>
          </w:tcPr>
          <w:p>
            <w:pPr>
              <w:jc w:val="right"/>
              <w:spacing w:after="0" w:line="108" w:lineRule="exact"/>
              <w:rPr>
                <w:sz w:val="20"/>
                <w:szCs w:val="20"/>
                <w:color w:val="auto"/>
              </w:rPr>
            </w:pPr>
            <w:r>
              <w:rPr>
                <w:rFonts w:ascii="Arial" w:cs="Arial" w:eastAsia="Arial" w:hAnsi="Arial"/>
                <w:sz w:val="12"/>
                <w:szCs w:val="12"/>
                <w:b w:val="1"/>
                <w:bCs w:val="1"/>
                <w:color w:val="1F2668"/>
              </w:rPr>
              <w:t>93</w:t>
            </w:r>
          </w:p>
        </w:tc>
        <w:tc>
          <w:tcPr>
            <w:tcW w:w="0" w:type="dxa"/>
            <w:vAlign w:val="bottom"/>
          </w:tcPr>
          <w:p>
            <w:pPr>
              <w:spacing w:after="0"/>
              <w:rPr>
                <w:sz w:val="1"/>
                <w:szCs w:val="1"/>
                <w:color w:val="auto"/>
              </w:rPr>
            </w:pPr>
          </w:p>
        </w:tc>
      </w:tr>
      <w:tr>
        <w:trPr>
          <w:trHeight w:val="20"/>
        </w:trPr>
        <w:tc>
          <w:tcPr>
            <w:tcW w:w="340" w:type="dxa"/>
            <w:vAlign w:val="bottom"/>
            <w:shd w:val="clear" w:color="auto" w:fill="1F2668"/>
          </w:tcPr>
          <w:p>
            <w:pPr>
              <w:spacing w:after="0" w:line="20" w:lineRule="exact"/>
              <w:rPr>
                <w:sz w:val="1"/>
                <w:szCs w:val="1"/>
                <w:color w:val="auto"/>
              </w:rPr>
            </w:pPr>
          </w:p>
        </w:tc>
        <w:tc>
          <w:tcPr>
            <w:tcW w:w="420" w:type="dxa"/>
            <w:vAlign w:val="bottom"/>
            <w:shd w:val="clear" w:color="auto" w:fill="1F2668"/>
          </w:tcPr>
          <w:p>
            <w:pPr>
              <w:spacing w:after="0" w:line="20" w:lineRule="exact"/>
              <w:rPr>
                <w:sz w:val="1"/>
                <w:szCs w:val="1"/>
                <w:color w:val="auto"/>
              </w:rPr>
            </w:pPr>
          </w:p>
        </w:tc>
        <w:tc>
          <w:tcPr>
            <w:tcW w:w="320" w:type="dxa"/>
            <w:vAlign w:val="bottom"/>
            <w:shd w:val="clear" w:color="auto" w:fill="1F2668"/>
          </w:tcPr>
          <w:p>
            <w:pPr>
              <w:spacing w:after="0" w:line="20" w:lineRule="exact"/>
              <w:rPr>
                <w:sz w:val="1"/>
                <w:szCs w:val="1"/>
                <w:color w:val="auto"/>
              </w:rPr>
            </w:pPr>
          </w:p>
        </w:tc>
        <w:tc>
          <w:tcPr>
            <w:tcW w:w="300" w:type="dxa"/>
            <w:vAlign w:val="bottom"/>
            <w:shd w:val="clear" w:color="auto" w:fill="1F2668"/>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1F2668"/>
          </w:tcPr>
          <w:p>
            <w:pPr>
              <w:spacing w:after="0" w:line="20" w:lineRule="exact"/>
              <w:rPr>
                <w:sz w:val="1"/>
                <w:szCs w:val="1"/>
                <w:color w:val="auto"/>
              </w:rPr>
            </w:pPr>
          </w:p>
        </w:tc>
        <w:tc>
          <w:tcPr>
            <w:tcW w:w="60" w:type="dxa"/>
            <w:vAlign w:val="bottom"/>
            <w:tcBorders>
              <w:left w:val="single" w:sz="8" w:color="1F266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-1988185</wp:posOffset>
            </wp:positionV>
            <wp:extent cx="2379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379980" cy="8890"/>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-1782445</wp:posOffset>
            </wp:positionV>
            <wp:extent cx="205740" cy="2057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3840" w:type="dxa"/>
            <w:vAlign w:val="bottom"/>
            <w:gridSpan w:val="7"/>
          </w:tcPr>
          <w:p>
            <w:pPr>
              <w:spacing w:after="0"/>
              <w:rPr>
                <w:sz w:val="20"/>
                <w:szCs w:val="20"/>
                <w:color w:val="auto"/>
              </w:rPr>
            </w:pPr>
            <w:r>
              <w:rPr>
                <w:rFonts w:ascii="Arial" w:cs="Arial" w:eastAsia="Arial" w:hAnsi="Arial"/>
                <w:sz w:val="22"/>
                <w:szCs w:val="22"/>
                <w:b w:val="1"/>
                <w:bCs w:val="1"/>
                <w:color w:val="83AD40"/>
              </w:rPr>
              <w:t>STOCK OWNERSHIP INFORMATION</w:t>
            </w:r>
          </w:p>
        </w:tc>
        <w:tc>
          <w:tcPr>
            <w:tcW w:w="200" w:type="dxa"/>
            <w:vAlign w:val="bottom"/>
            <w:gridSpan w:val="2"/>
          </w:tcPr>
          <w:p>
            <w:pPr>
              <w:ind w:left="120"/>
              <w:spacing w:after="0"/>
              <w:rPr>
                <w:sz w:val="20"/>
                <w:szCs w:val="20"/>
                <w:color w:val="auto"/>
              </w:rPr>
            </w:pPr>
            <w:r>
              <w:rPr>
                <w:rFonts w:ascii="Arial" w:cs="Arial" w:eastAsia="Arial" w:hAnsi="Arial"/>
                <w:sz w:val="22"/>
                <w:szCs w:val="22"/>
                <w:b w:val="1"/>
                <w:bCs w:val="1"/>
                <w:color w:val="83AD40"/>
              </w:rPr>
              <w:t>​</w:t>
            </w:r>
          </w:p>
        </w:tc>
        <w:tc>
          <w:tcPr>
            <w:tcW w:w="340" w:type="dxa"/>
            <w:vAlign w:val="bottom"/>
            <w:gridSpan w:val="5"/>
          </w:tcPr>
          <w:p>
            <w:pPr>
              <w:jc w:val="right"/>
              <w:spacing w:after="0"/>
              <w:rPr>
                <w:sz w:val="20"/>
                <w:szCs w:val="20"/>
                <w:color w:val="auto"/>
              </w:rPr>
            </w:pPr>
            <w:r>
              <w:rPr>
                <w:rFonts w:ascii="Arial" w:cs="Arial" w:eastAsia="Arial" w:hAnsi="Arial"/>
                <w:sz w:val="22"/>
                <w:szCs w:val="22"/>
                <w:b w:val="1"/>
                <w:bCs w:val="1"/>
                <w:color w:val="83AD40"/>
              </w:rPr>
              <w:t>95</w:t>
            </w:r>
          </w:p>
        </w:tc>
        <w:tc>
          <w:tcPr>
            <w:tcW w:w="0" w:type="dxa"/>
            <w:vAlign w:val="bottom"/>
          </w:tcPr>
          <w:p>
            <w:pPr>
              <w:spacing w:after="0"/>
              <w:rPr>
                <w:sz w:val="1"/>
                <w:szCs w:val="1"/>
                <w:color w:val="auto"/>
              </w:rPr>
            </w:pPr>
          </w:p>
        </w:tc>
      </w:tr>
      <w:tr>
        <w:trPr>
          <w:trHeight w:val="94"/>
        </w:trPr>
        <w:tc>
          <w:tcPr>
            <w:tcW w:w="3700" w:type="dxa"/>
            <w:vAlign w:val="bottom"/>
            <w:tcBorders>
              <w:bottom w:val="single" w:sz="8" w:color="83AD40"/>
            </w:tcBorders>
            <w:gridSpan w:val="5"/>
          </w:tcPr>
          <w:p>
            <w:pPr>
              <w:spacing w:after="0" w:line="95" w:lineRule="exact"/>
              <w:rPr>
                <w:sz w:val="20"/>
                <w:szCs w:val="20"/>
                <w:color w:val="auto"/>
              </w:rPr>
            </w:pPr>
            <w:r>
              <w:rPr>
                <w:rFonts w:ascii="Arial" w:cs="Arial" w:eastAsia="Arial" w:hAnsi="Arial"/>
                <w:sz w:val="10"/>
                <w:szCs w:val="10"/>
                <w:b w:val="1"/>
                <w:bCs w:val="1"/>
                <w:color w:val="auto"/>
              </w:rPr>
              <w:t>​</w:t>
            </w:r>
          </w:p>
        </w:tc>
        <w:tc>
          <w:tcPr>
            <w:tcW w:w="100" w:type="dxa"/>
            <w:vAlign w:val="bottom"/>
            <w:tcBorders>
              <w:bottom w:val="single" w:sz="8" w:color="83AD40"/>
            </w:tcBorders>
          </w:tcPr>
          <w:p>
            <w:pPr>
              <w:spacing w:after="0"/>
              <w:rPr>
                <w:sz w:val="8"/>
                <w:szCs w:val="8"/>
                <w:color w:val="auto"/>
              </w:rPr>
            </w:pPr>
          </w:p>
        </w:tc>
        <w:tc>
          <w:tcPr>
            <w:tcW w:w="40" w:type="dxa"/>
            <w:vAlign w:val="bottom"/>
            <w:tcBorders>
              <w:bottom w:val="single" w:sz="8" w:color="83AD40"/>
            </w:tcBorders>
          </w:tcPr>
          <w:p>
            <w:pPr>
              <w:spacing w:after="0"/>
              <w:rPr>
                <w:sz w:val="8"/>
                <w:szCs w:val="8"/>
                <w:color w:val="auto"/>
              </w:rPr>
            </w:pPr>
          </w:p>
        </w:tc>
        <w:tc>
          <w:tcPr>
            <w:tcW w:w="200" w:type="dxa"/>
            <w:vAlign w:val="bottom"/>
            <w:tcBorders>
              <w:bottom w:val="single" w:sz="8" w:color="83AD40"/>
            </w:tcBorders>
            <w:gridSpan w:val="2"/>
          </w:tcPr>
          <w:p>
            <w:pPr>
              <w:ind w:left="40"/>
              <w:spacing w:after="0" w:line="95" w:lineRule="exact"/>
              <w:rPr>
                <w:sz w:val="20"/>
                <w:szCs w:val="20"/>
                <w:color w:val="auto"/>
              </w:rPr>
            </w:pPr>
            <w:r>
              <w:rPr>
                <w:rFonts w:ascii="Arial" w:cs="Arial" w:eastAsia="Arial" w:hAnsi="Arial"/>
                <w:sz w:val="10"/>
                <w:szCs w:val="10"/>
                <w:b w:val="1"/>
                <w:bCs w:val="1"/>
                <w:color w:val="auto"/>
              </w:rPr>
              <w:t>​​</w:t>
            </w:r>
          </w:p>
        </w:tc>
        <w:tc>
          <w:tcPr>
            <w:tcW w:w="20" w:type="dxa"/>
            <w:vAlign w:val="bottom"/>
            <w:tcBorders>
              <w:bottom w:val="single" w:sz="8" w:color="83AD40"/>
            </w:tcBorders>
          </w:tcPr>
          <w:p>
            <w:pPr>
              <w:spacing w:after="0"/>
              <w:rPr>
                <w:sz w:val="8"/>
                <w:szCs w:val="8"/>
                <w:color w:val="auto"/>
              </w:rPr>
            </w:pPr>
          </w:p>
        </w:tc>
        <w:tc>
          <w:tcPr>
            <w:tcW w:w="40" w:type="dxa"/>
            <w:vAlign w:val="bottom"/>
            <w:tcBorders>
              <w:bottom w:val="single" w:sz="8" w:color="83AD40"/>
            </w:tcBorders>
          </w:tcPr>
          <w:p>
            <w:pPr>
              <w:spacing w:after="0"/>
              <w:rPr>
                <w:sz w:val="8"/>
                <w:szCs w:val="8"/>
                <w:color w:val="auto"/>
              </w:rPr>
            </w:pPr>
          </w:p>
        </w:tc>
        <w:tc>
          <w:tcPr>
            <w:tcW w:w="60" w:type="dxa"/>
            <w:vAlign w:val="bottom"/>
            <w:tcBorders>
              <w:top w:val="single" w:sz="8" w:color="83AD40"/>
              <w:bottom w:val="single" w:sz="8" w:color="83AD40"/>
            </w:tcBorders>
          </w:tcPr>
          <w:p>
            <w:pPr>
              <w:spacing w:after="0"/>
              <w:rPr>
                <w:sz w:val="8"/>
                <w:szCs w:val="8"/>
                <w:color w:val="auto"/>
              </w:rPr>
            </w:pPr>
          </w:p>
        </w:tc>
        <w:tc>
          <w:tcPr>
            <w:tcW w:w="180" w:type="dxa"/>
            <w:vAlign w:val="bottom"/>
            <w:tcBorders>
              <w:top w:val="single" w:sz="8" w:color="83AD40"/>
              <w:bottom w:val="single" w:sz="8" w:color="83AD40"/>
            </w:tcBorders>
          </w:tcPr>
          <w:p>
            <w:pPr>
              <w:spacing w:after="0"/>
              <w:rPr>
                <w:sz w:val="8"/>
                <w:szCs w:val="8"/>
                <w:color w:val="auto"/>
              </w:rPr>
            </w:pPr>
          </w:p>
        </w:tc>
        <w:tc>
          <w:tcPr>
            <w:tcW w:w="40" w:type="dxa"/>
            <w:vAlign w:val="bottom"/>
          </w:tcPr>
          <w:p>
            <w:pPr>
              <w:spacing w:after="0" w:line="95" w:lineRule="exact"/>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42"/>
        </w:trPr>
        <w:tc>
          <w:tcPr>
            <w:tcW w:w="3840" w:type="dxa"/>
            <w:vAlign w:val="bottom"/>
            <w:gridSpan w:val="7"/>
          </w:tcPr>
          <w:p>
            <w:pPr>
              <w:spacing w:after="0" w:line="142" w:lineRule="exact"/>
              <w:rPr>
                <w:sz w:val="20"/>
                <w:szCs w:val="20"/>
                <w:color w:val="auto"/>
              </w:rPr>
            </w:pPr>
            <w:r>
              <w:rPr>
                <w:rFonts w:ascii="Arial" w:cs="Arial" w:eastAsia="Arial" w:hAnsi="Arial"/>
                <w:sz w:val="16"/>
                <w:szCs w:val="16"/>
                <w:b w:val="1"/>
                <w:bCs w:val="1"/>
                <w:color w:val="1F2668"/>
              </w:rPr>
              <w:t>​</w:t>
            </w:r>
          </w:p>
        </w:tc>
        <w:tc>
          <w:tcPr>
            <w:tcW w:w="200" w:type="dxa"/>
            <w:vAlign w:val="bottom"/>
            <w:gridSpan w:val="2"/>
          </w:tcPr>
          <w:p>
            <w:pPr>
              <w:ind w:left="40"/>
              <w:spacing w:after="0" w:line="142" w:lineRule="exact"/>
              <w:rPr>
                <w:sz w:val="20"/>
                <w:szCs w:val="20"/>
                <w:color w:val="auto"/>
              </w:rPr>
            </w:pPr>
            <w:r>
              <w:rPr>
                <w:rFonts w:ascii="Arial" w:cs="Arial" w:eastAsia="Arial" w:hAnsi="Arial"/>
                <w:sz w:val="16"/>
                <w:szCs w:val="16"/>
                <w:b w:val="1"/>
                <w:bCs w:val="1"/>
                <w:color w:val="1F2668"/>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line="142" w:lineRule="exact"/>
              <w:rPr>
                <w:sz w:val="20"/>
                <w:szCs w:val="20"/>
                <w:color w:val="auto"/>
              </w:rPr>
            </w:pPr>
            <w:r>
              <w:rPr>
                <w:rFonts w:ascii="Arial" w:cs="Arial" w:eastAsia="Arial" w:hAnsi="Arial"/>
                <w:sz w:val="16"/>
                <w:szCs w:val="16"/>
                <w:b w:val="1"/>
                <w:bCs w:val="1"/>
                <w:color w:val="1F2668"/>
              </w:rPr>
              <w:t>​</w:t>
            </w:r>
          </w:p>
        </w:tc>
        <w:tc>
          <w:tcPr>
            <w:tcW w:w="0" w:type="dxa"/>
            <w:vAlign w:val="bottom"/>
          </w:tcPr>
          <w:p>
            <w:pPr>
              <w:spacing w:after="0"/>
              <w:rPr>
                <w:sz w:val="1"/>
                <w:szCs w:val="1"/>
                <w:color w:val="auto"/>
              </w:rPr>
            </w:pPr>
          </w:p>
        </w:tc>
      </w:tr>
      <w:tr>
        <w:trPr>
          <w:trHeight w:val="81"/>
        </w:trPr>
        <w:tc>
          <w:tcPr>
            <w:tcW w:w="3840" w:type="dxa"/>
            <w:vAlign w:val="bottom"/>
            <w:gridSpan w:val="7"/>
          </w:tcPr>
          <w:p>
            <w:pPr>
              <w:spacing w:after="0" w:line="81" w:lineRule="exact"/>
              <w:rPr>
                <w:sz w:val="20"/>
                <w:szCs w:val="20"/>
                <w:color w:val="auto"/>
              </w:rPr>
            </w:pPr>
            <w:r>
              <w:rPr>
                <w:rFonts w:ascii="Arial" w:cs="Arial" w:eastAsia="Arial" w:hAnsi="Arial"/>
                <w:sz w:val="9"/>
                <w:szCs w:val="9"/>
                <w:b w:val="1"/>
                <w:bCs w:val="1"/>
                <w:color w:val="1F2668"/>
              </w:rPr>
              <w:t>Security Ownership of Certain Beneficial Owners</w:t>
            </w:r>
          </w:p>
        </w:tc>
        <w:tc>
          <w:tcPr>
            <w:tcW w:w="200" w:type="dxa"/>
            <w:vAlign w:val="bottom"/>
            <w:gridSpan w:val="2"/>
          </w:tcPr>
          <w:p>
            <w:pPr>
              <w:ind w:left="120"/>
              <w:spacing w:after="0" w:line="81" w:lineRule="exact"/>
              <w:rPr>
                <w:sz w:val="20"/>
                <w:szCs w:val="20"/>
                <w:color w:val="auto"/>
              </w:rPr>
            </w:pPr>
            <w:r>
              <w:rPr>
                <w:rFonts w:ascii="Arial" w:cs="Arial" w:eastAsia="Arial" w:hAnsi="Arial"/>
                <w:sz w:val="9"/>
                <w:szCs w:val="9"/>
                <w:b w:val="1"/>
                <w:bCs w:val="1"/>
                <w:color w:val="1F2668"/>
              </w:rPr>
              <w:t>​</w:t>
            </w:r>
          </w:p>
        </w:tc>
        <w:tc>
          <w:tcPr>
            <w:tcW w:w="340" w:type="dxa"/>
            <w:vAlign w:val="bottom"/>
            <w:gridSpan w:val="5"/>
          </w:tcPr>
          <w:p>
            <w:pPr>
              <w:jc w:val="right"/>
              <w:spacing w:after="0" w:line="81" w:lineRule="exact"/>
              <w:rPr>
                <w:sz w:val="20"/>
                <w:szCs w:val="20"/>
                <w:color w:val="auto"/>
              </w:rPr>
            </w:pPr>
            <w:r>
              <w:rPr>
                <w:rFonts w:ascii="Arial" w:cs="Arial" w:eastAsia="Arial" w:hAnsi="Arial"/>
                <w:sz w:val="9"/>
                <w:szCs w:val="9"/>
                <w:b w:val="1"/>
                <w:bCs w:val="1"/>
                <w:color w:val="1F2668"/>
              </w:rPr>
              <w:t>95</w:t>
            </w:r>
          </w:p>
        </w:tc>
        <w:tc>
          <w:tcPr>
            <w:tcW w:w="0" w:type="dxa"/>
            <w:vAlign w:val="bottom"/>
          </w:tcPr>
          <w:p>
            <w:pPr>
              <w:spacing w:after="0"/>
              <w:rPr>
                <w:sz w:val="1"/>
                <w:szCs w:val="1"/>
                <w:color w:val="auto"/>
              </w:rPr>
            </w:pPr>
          </w:p>
        </w:tc>
      </w:tr>
      <w:tr>
        <w:trPr>
          <w:trHeight w:val="183"/>
        </w:trPr>
        <w:tc>
          <w:tcPr>
            <w:tcW w:w="3700" w:type="dxa"/>
            <w:vAlign w:val="bottom"/>
            <w:tcBorders>
              <w:top w:val="single" w:sz="8" w:color="1F2668"/>
            </w:tcBorders>
            <w:gridSpan w:val="5"/>
          </w:tcPr>
          <w:p>
            <w:pPr>
              <w:spacing w:after="0" w:line="183" w:lineRule="exact"/>
              <w:rPr>
                <w:sz w:val="20"/>
                <w:szCs w:val="20"/>
                <w:color w:val="auto"/>
              </w:rPr>
            </w:pPr>
            <w:r>
              <w:rPr>
                <w:rFonts w:ascii="Arial" w:cs="Arial" w:eastAsia="Arial" w:hAnsi="Arial"/>
                <w:sz w:val="16"/>
                <w:szCs w:val="16"/>
                <w:b w:val="1"/>
                <w:bCs w:val="1"/>
                <w:color w:val="1F2668"/>
              </w:rPr>
              <w:t>and Management</w:t>
            </w:r>
          </w:p>
        </w:tc>
        <w:tc>
          <w:tcPr>
            <w:tcW w:w="14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1F2668"/>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00" w:type="dxa"/>
            <w:vAlign w:val="bottom"/>
            <w:tcBorders>
              <w:top w:val="single" w:sz="8" w:color="1F2668"/>
            </w:tcBorders>
            <w:gridSpan w:val="2"/>
          </w:tcPr>
          <w:p>
            <w:pPr>
              <w:spacing w:after="0"/>
              <w:rPr>
                <w:sz w:val="20"/>
                <w:szCs w:val="20"/>
                <w:color w:val="auto"/>
              </w:rPr>
            </w:pPr>
            <w:r>
              <w:rPr>
                <w:rFonts w:ascii="Arial" w:cs="Arial" w:eastAsia="Arial" w:hAnsi="Arial"/>
                <w:sz w:val="16"/>
                <w:szCs w:val="16"/>
                <w:b w:val="1"/>
                <w:bCs w:val="1"/>
                <w:color w:val="1F2668"/>
              </w:rPr>
              <w:t>​</w:t>
            </w:r>
          </w:p>
        </w:tc>
        <w:tc>
          <w:tcPr>
            <w:tcW w:w="2540" w:type="dxa"/>
            <w:vAlign w:val="bottom"/>
            <w:gridSpan w:val="5"/>
          </w:tcPr>
          <w:p>
            <w:pPr>
              <w:spacing w:after="0"/>
              <w:rPr>
                <w:sz w:val="17"/>
                <w:szCs w:val="17"/>
                <w:color w:val="auto"/>
              </w:rPr>
            </w:pPr>
          </w:p>
        </w:tc>
        <w:tc>
          <w:tcPr>
            <w:tcW w:w="200" w:type="dxa"/>
            <w:vAlign w:val="bottom"/>
            <w:gridSpan w:val="2"/>
          </w:tcPr>
          <w:p>
            <w:pPr>
              <w:ind w:left="40"/>
              <w:spacing w:after="0"/>
              <w:rPr>
                <w:sz w:val="20"/>
                <w:szCs w:val="20"/>
                <w:color w:val="auto"/>
              </w:rPr>
            </w:pPr>
            <w:r>
              <w:rPr>
                <w:rFonts w:ascii="Arial" w:cs="Arial" w:eastAsia="Arial" w:hAnsi="Arial"/>
                <w:sz w:val="16"/>
                <w:szCs w:val="16"/>
                <w:b w:val="1"/>
                <w:bCs w:val="1"/>
                <w:color w:val="1F2668"/>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20"/>
                <w:szCs w:val="20"/>
                <w:color w:val="auto"/>
              </w:rPr>
            </w:pPr>
            <w:r>
              <w:rPr>
                <w:rFonts w:ascii="Arial" w:cs="Arial" w:eastAsia="Arial" w:hAnsi="Arial"/>
                <w:sz w:val="16"/>
                <w:szCs w:val="16"/>
                <w:b w:val="1"/>
                <w:bCs w:val="1"/>
                <w:color w:val="1F2668"/>
              </w:rPr>
              <w:t>​</w:t>
            </w:r>
          </w:p>
        </w:tc>
        <w:tc>
          <w:tcPr>
            <w:tcW w:w="0" w:type="dxa"/>
            <w:vAlign w:val="bottom"/>
          </w:tcPr>
          <w:p>
            <w:pPr>
              <w:spacing w:after="0"/>
              <w:rPr>
                <w:sz w:val="1"/>
                <w:szCs w:val="1"/>
                <w:color w:val="auto"/>
              </w:rPr>
            </w:pPr>
          </w:p>
        </w:tc>
      </w:tr>
      <w:tr>
        <w:trPr>
          <w:trHeight w:val="108"/>
        </w:trPr>
        <w:tc>
          <w:tcPr>
            <w:tcW w:w="3840" w:type="dxa"/>
            <w:vAlign w:val="bottom"/>
            <w:gridSpan w:val="7"/>
          </w:tcPr>
          <w:p>
            <w:pPr>
              <w:spacing w:after="0" w:line="108" w:lineRule="exact"/>
              <w:rPr>
                <w:sz w:val="20"/>
                <w:szCs w:val="20"/>
                <w:color w:val="auto"/>
              </w:rPr>
            </w:pPr>
            <w:r>
              <w:rPr>
                <w:rFonts w:ascii="Arial" w:cs="Arial" w:eastAsia="Arial" w:hAnsi="Arial"/>
                <w:sz w:val="12"/>
                <w:szCs w:val="12"/>
                <w:b w:val="1"/>
                <w:bCs w:val="1"/>
                <w:color w:val="1F2668"/>
              </w:rPr>
              <w:t>Delinquent Section 16(a) Reports</w:t>
            </w:r>
          </w:p>
        </w:tc>
        <w:tc>
          <w:tcPr>
            <w:tcW w:w="200" w:type="dxa"/>
            <w:vAlign w:val="bottom"/>
            <w:gridSpan w:val="2"/>
          </w:tcPr>
          <w:p>
            <w:pPr>
              <w:ind w:left="120"/>
              <w:spacing w:after="0" w:line="108" w:lineRule="exact"/>
              <w:rPr>
                <w:sz w:val="20"/>
                <w:szCs w:val="20"/>
                <w:color w:val="auto"/>
              </w:rPr>
            </w:pPr>
            <w:r>
              <w:rPr>
                <w:rFonts w:ascii="Arial" w:cs="Arial" w:eastAsia="Arial" w:hAnsi="Arial"/>
                <w:sz w:val="12"/>
                <w:szCs w:val="12"/>
                <w:b w:val="1"/>
                <w:bCs w:val="1"/>
                <w:color w:val="1F2668"/>
              </w:rPr>
              <w:t>​</w:t>
            </w:r>
          </w:p>
        </w:tc>
        <w:tc>
          <w:tcPr>
            <w:tcW w:w="340" w:type="dxa"/>
            <w:vAlign w:val="bottom"/>
            <w:gridSpan w:val="5"/>
          </w:tcPr>
          <w:p>
            <w:pPr>
              <w:jc w:val="right"/>
              <w:spacing w:after="0" w:line="108" w:lineRule="exact"/>
              <w:rPr>
                <w:sz w:val="20"/>
                <w:szCs w:val="20"/>
                <w:color w:val="auto"/>
              </w:rPr>
            </w:pPr>
            <w:r>
              <w:rPr>
                <w:rFonts w:ascii="Arial" w:cs="Arial" w:eastAsia="Arial" w:hAnsi="Arial"/>
                <w:sz w:val="12"/>
                <w:szCs w:val="12"/>
                <w:b w:val="1"/>
                <w:bCs w:val="1"/>
                <w:color w:val="1F2668"/>
              </w:rPr>
              <w:t>97</w:t>
            </w:r>
          </w:p>
        </w:tc>
        <w:tc>
          <w:tcPr>
            <w:tcW w:w="0" w:type="dxa"/>
            <w:vAlign w:val="bottom"/>
          </w:tcPr>
          <w:p>
            <w:pPr>
              <w:spacing w:after="0"/>
              <w:rPr>
                <w:sz w:val="1"/>
                <w:szCs w:val="1"/>
                <w:color w:val="auto"/>
              </w:rPr>
            </w:pPr>
          </w:p>
        </w:tc>
      </w:tr>
      <w:tr>
        <w:trPr>
          <w:trHeight w:val="20"/>
        </w:trPr>
        <w:tc>
          <w:tcPr>
            <w:tcW w:w="1040" w:type="dxa"/>
            <w:vAlign w:val="bottom"/>
            <w:shd w:val="clear" w:color="auto" w:fill="1F2668"/>
          </w:tcPr>
          <w:p>
            <w:pPr>
              <w:spacing w:after="0" w:line="20" w:lineRule="exact"/>
              <w:rPr>
                <w:sz w:val="1"/>
                <w:szCs w:val="1"/>
                <w:color w:val="auto"/>
              </w:rPr>
            </w:pPr>
          </w:p>
        </w:tc>
        <w:tc>
          <w:tcPr>
            <w:tcW w:w="1460" w:type="dxa"/>
            <w:vAlign w:val="bottom"/>
            <w:gridSpan w:val="2"/>
            <w:shd w:val="clear" w:color="auto" w:fill="1F2668"/>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1F2668"/>
            </w:tcBorders>
            <w:shd w:val="clear" w:color="auto" w:fill="1F266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3840" w:type="dxa"/>
            <w:vAlign w:val="bottom"/>
            <w:gridSpan w:val="7"/>
          </w:tcPr>
          <w:p>
            <w:pPr>
              <w:spacing w:after="0"/>
              <w:rPr>
                <w:sz w:val="20"/>
                <w:szCs w:val="20"/>
                <w:color w:val="auto"/>
              </w:rPr>
            </w:pPr>
            <w:r>
              <w:rPr>
                <w:rFonts w:ascii="Arial" w:cs="Arial" w:eastAsia="Arial" w:hAnsi="Arial"/>
                <w:sz w:val="22"/>
                <w:szCs w:val="22"/>
                <w:b w:val="1"/>
                <w:bCs w:val="1"/>
                <w:color w:val="83AD40"/>
              </w:rPr>
              <w:t>CERTAIN RELATIONSHIPS AND</w:t>
            </w:r>
          </w:p>
        </w:tc>
        <w:tc>
          <w:tcPr>
            <w:tcW w:w="200" w:type="dxa"/>
            <w:vAlign w:val="bottom"/>
            <w:gridSpan w:val="2"/>
            <w:vMerge w:val="restart"/>
          </w:tcPr>
          <w:p>
            <w:pPr>
              <w:ind w:left="120"/>
              <w:spacing w:after="0"/>
              <w:rPr>
                <w:sz w:val="20"/>
                <w:szCs w:val="20"/>
                <w:color w:val="auto"/>
              </w:rPr>
            </w:pPr>
            <w:r>
              <w:rPr>
                <w:rFonts w:ascii="Arial" w:cs="Arial" w:eastAsia="Arial" w:hAnsi="Arial"/>
                <w:sz w:val="22"/>
                <w:szCs w:val="22"/>
                <w:b w:val="1"/>
                <w:bCs w:val="1"/>
                <w:color w:val="83AD40"/>
              </w:rPr>
              <w:t>​</w:t>
            </w:r>
          </w:p>
        </w:tc>
        <w:tc>
          <w:tcPr>
            <w:tcW w:w="340" w:type="dxa"/>
            <w:vAlign w:val="bottom"/>
            <w:gridSpan w:val="5"/>
            <w:vMerge w:val="restart"/>
          </w:tcPr>
          <w:p>
            <w:pPr>
              <w:jc w:val="right"/>
              <w:spacing w:after="0"/>
              <w:rPr>
                <w:sz w:val="20"/>
                <w:szCs w:val="20"/>
                <w:color w:val="auto"/>
              </w:rPr>
            </w:pPr>
            <w:r>
              <w:rPr>
                <w:rFonts w:ascii="Arial" w:cs="Arial" w:eastAsia="Arial" w:hAnsi="Arial"/>
                <w:sz w:val="22"/>
                <w:szCs w:val="22"/>
                <w:b w:val="1"/>
                <w:bCs w:val="1"/>
                <w:color w:val="83AD40"/>
              </w:rPr>
              <w:t>98</w:t>
            </w:r>
          </w:p>
        </w:tc>
        <w:tc>
          <w:tcPr>
            <w:tcW w:w="0" w:type="dxa"/>
            <w:vAlign w:val="bottom"/>
          </w:tcPr>
          <w:p>
            <w:pPr>
              <w:spacing w:after="0"/>
              <w:rPr>
                <w:sz w:val="1"/>
                <w:szCs w:val="1"/>
                <w:color w:val="auto"/>
              </w:rPr>
            </w:pPr>
          </w:p>
        </w:tc>
      </w:tr>
      <w:tr>
        <w:trPr>
          <w:trHeight w:val="20"/>
        </w:trPr>
        <w:tc>
          <w:tcPr>
            <w:tcW w:w="1040" w:type="dxa"/>
            <w:vAlign w:val="bottom"/>
            <w:shd w:val="clear" w:color="auto" w:fill="83AD40"/>
          </w:tcPr>
          <w:p>
            <w:pPr>
              <w:spacing w:after="0" w:line="20" w:lineRule="exact"/>
              <w:rPr>
                <w:sz w:val="1"/>
                <w:szCs w:val="1"/>
                <w:color w:val="auto"/>
              </w:rPr>
            </w:pPr>
          </w:p>
        </w:tc>
        <w:tc>
          <w:tcPr>
            <w:tcW w:w="1460" w:type="dxa"/>
            <w:vAlign w:val="bottom"/>
            <w:gridSpan w:val="2"/>
            <w:shd w:val="clear" w:color="auto" w:fill="83AD40"/>
          </w:tcPr>
          <w:p>
            <w:pPr>
              <w:spacing w:after="0" w:line="20" w:lineRule="exact"/>
              <w:rPr>
                <w:sz w:val="1"/>
                <w:szCs w:val="1"/>
                <w:color w:val="auto"/>
              </w:rPr>
            </w:pPr>
          </w:p>
        </w:tc>
        <w:tc>
          <w:tcPr>
            <w:tcW w:w="720" w:type="dxa"/>
            <w:vAlign w:val="bottom"/>
            <w:shd w:val="clear" w:color="auto" w:fill="83AD4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3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40" w:type="dxa"/>
            <w:vAlign w:val="bottom"/>
            <w:gridSpan w:val="7"/>
          </w:tcPr>
          <w:p>
            <w:pPr>
              <w:spacing w:after="0" w:line="209" w:lineRule="exact"/>
              <w:rPr>
                <w:sz w:val="20"/>
                <w:szCs w:val="20"/>
                <w:color w:val="auto"/>
              </w:rPr>
            </w:pPr>
            <w:r>
              <w:rPr>
                <w:rFonts w:ascii="Arial" w:cs="Arial" w:eastAsia="Arial" w:hAnsi="Arial"/>
                <w:sz w:val="22"/>
                <w:szCs w:val="22"/>
                <w:b w:val="1"/>
                <w:bCs w:val="1"/>
                <w:color w:val="83AD40"/>
              </w:rPr>
              <w:t>RELATED PARTY TRANSACTIONS</w:t>
            </w:r>
          </w:p>
        </w:tc>
        <w:tc>
          <w:tcPr>
            <w:tcW w:w="200" w:type="dxa"/>
            <w:vAlign w:val="bottom"/>
            <w:gridSpan w:val="2"/>
            <w:vMerge w:val="continue"/>
          </w:tcPr>
          <w:p>
            <w:pPr>
              <w:spacing w:after="0"/>
              <w:rPr>
                <w:sz w:val="19"/>
                <w:szCs w:val="19"/>
                <w:color w:val="auto"/>
              </w:rPr>
            </w:pPr>
          </w:p>
        </w:tc>
        <w:tc>
          <w:tcPr>
            <w:tcW w:w="34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3700" w:type="dxa"/>
            <w:vAlign w:val="bottom"/>
            <w:tcBorders>
              <w:bottom w:val="single" w:sz="8" w:color="83AD40"/>
            </w:tcBorders>
            <w:gridSpan w:val="5"/>
          </w:tcPr>
          <w:p>
            <w:pPr>
              <w:spacing w:after="0" w:line="88" w:lineRule="exact"/>
              <w:rPr>
                <w:sz w:val="20"/>
                <w:szCs w:val="20"/>
                <w:color w:val="auto"/>
              </w:rPr>
            </w:pPr>
            <w:r>
              <w:rPr>
                <w:rFonts w:ascii="Arial" w:cs="Arial" w:eastAsia="Arial" w:hAnsi="Arial"/>
                <w:sz w:val="9"/>
                <w:szCs w:val="9"/>
                <w:b w:val="1"/>
                <w:bCs w:val="1"/>
                <w:color w:val="83AD40"/>
              </w:rPr>
              <w:t>​</w:t>
            </w:r>
          </w:p>
        </w:tc>
        <w:tc>
          <w:tcPr>
            <w:tcW w:w="100" w:type="dxa"/>
            <w:vAlign w:val="bottom"/>
            <w:tcBorders>
              <w:bottom w:val="single" w:sz="8" w:color="83AD40"/>
            </w:tcBorders>
          </w:tcPr>
          <w:p>
            <w:pPr>
              <w:spacing w:after="0"/>
              <w:rPr>
                <w:sz w:val="7"/>
                <w:szCs w:val="7"/>
                <w:color w:val="auto"/>
              </w:rPr>
            </w:pPr>
          </w:p>
        </w:tc>
        <w:tc>
          <w:tcPr>
            <w:tcW w:w="40" w:type="dxa"/>
            <w:vAlign w:val="bottom"/>
            <w:tcBorders>
              <w:bottom w:val="single" w:sz="8" w:color="83AD40"/>
            </w:tcBorders>
          </w:tcPr>
          <w:p>
            <w:pPr>
              <w:spacing w:after="0"/>
              <w:rPr>
                <w:sz w:val="7"/>
                <w:szCs w:val="7"/>
                <w:color w:val="auto"/>
              </w:rPr>
            </w:pPr>
          </w:p>
        </w:tc>
        <w:tc>
          <w:tcPr>
            <w:tcW w:w="200" w:type="dxa"/>
            <w:vAlign w:val="bottom"/>
            <w:tcBorders>
              <w:bottom w:val="single" w:sz="8" w:color="83AD40"/>
            </w:tcBorders>
            <w:gridSpan w:val="2"/>
          </w:tcPr>
          <w:p>
            <w:pPr>
              <w:ind w:left="40"/>
              <w:spacing w:after="0" w:line="88" w:lineRule="exact"/>
              <w:rPr>
                <w:sz w:val="20"/>
                <w:szCs w:val="20"/>
                <w:color w:val="auto"/>
              </w:rPr>
            </w:pPr>
            <w:r>
              <w:rPr>
                <w:rFonts w:ascii="Arial" w:cs="Arial" w:eastAsia="Arial" w:hAnsi="Arial"/>
                <w:sz w:val="9"/>
                <w:szCs w:val="9"/>
                <w:b w:val="1"/>
                <w:bCs w:val="1"/>
                <w:color w:val="83AD40"/>
              </w:rPr>
              <w:t>​​</w:t>
            </w:r>
          </w:p>
        </w:tc>
        <w:tc>
          <w:tcPr>
            <w:tcW w:w="20" w:type="dxa"/>
            <w:vAlign w:val="bottom"/>
            <w:tcBorders>
              <w:bottom w:val="single" w:sz="8" w:color="83AD40"/>
            </w:tcBorders>
          </w:tcPr>
          <w:p>
            <w:pPr>
              <w:spacing w:after="0"/>
              <w:rPr>
                <w:sz w:val="7"/>
                <w:szCs w:val="7"/>
                <w:color w:val="auto"/>
              </w:rPr>
            </w:pPr>
          </w:p>
        </w:tc>
        <w:tc>
          <w:tcPr>
            <w:tcW w:w="40" w:type="dxa"/>
            <w:vAlign w:val="bottom"/>
            <w:tcBorders>
              <w:bottom w:val="single" w:sz="8" w:color="83AD40"/>
            </w:tcBorders>
          </w:tcPr>
          <w:p>
            <w:pPr>
              <w:spacing w:after="0"/>
              <w:rPr>
                <w:sz w:val="7"/>
                <w:szCs w:val="7"/>
                <w:color w:val="auto"/>
              </w:rPr>
            </w:pPr>
          </w:p>
        </w:tc>
        <w:tc>
          <w:tcPr>
            <w:tcW w:w="60" w:type="dxa"/>
            <w:vAlign w:val="bottom"/>
            <w:tcBorders>
              <w:top w:val="single" w:sz="8" w:color="83AD40"/>
              <w:bottom w:val="single" w:sz="8" w:color="83AD40"/>
            </w:tcBorders>
          </w:tcPr>
          <w:p>
            <w:pPr>
              <w:spacing w:after="0"/>
              <w:rPr>
                <w:sz w:val="7"/>
                <w:szCs w:val="7"/>
                <w:color w:val="auto"/>
              </w:rPr>
            </w:pPr>
          </w:p>
        </w:tc>
        <w:tc>
          <w:tcPr>
            <w:tcW w:w="180" w:type="dxa"/>
            <w:vAlign w:val="bottom"/>
            <w:tcBorders>
              <w:top w:val="single" w:sz="8" w:color="83AD40"/>
              <w:bottom w:val="single" w:sz="8" w:color="83AD40"/>
            </w:tcBorders>
          </w:tcPr>
          <w:p>
            <w:pPr>
              <w:spacing w:after="0"/>
              <w:rPr>
                <w:sz w:val="7"/>
                <w:szCs w:val="7"/>
                <w:color w:val="auto"/>
              </w:rPr>
            </w:pPr>
          </w:p>
        </w:tc>
        <w:tc>
          <w:tcPr>
            <w:tcW w:w="40" w:type="dxa"/>
            <w:vAlign w:val="bottom"/>
          </w:tcPr>
          <w:p>
            <w:pPr>
              <w:spacing w:after="0" w:line="88" w:lineRule="exact"/>
              <w:rPr>
                <w:sz w:val="20"/>
                <w:szCs w:val="20"/>
                <w:color w:val="auto"/>
              </w:rPr>
            </w:pPr>
            <w:r>
              <w:rPr>
                <w:rFonts w:ascii="Arial" w:cs="Arial" w:eastAsia="Arial" w:hAnsi="Arial"/>
                <w:sz w:val="9"/>
                <w:szCs w:val="9"/>
                <w:b w:val="1"/>
                <w:bCs w:val="1"/>
                <w:color w:val="83AD40"/>
              </w:rPr>
              <w:t>​</w:t>
            </w:r>
          </w:p>
        </w:tc>
        <w:tc>
          <w:tcPr>
            <w:tcW w:w="0" w:type="dxa"/>
            <w:vAlign w:val="bottom"/>
          </w:tcPr>
          <w:p>
            <w:pPr>
              <w:spacing w:after="0"/>
              <w:rPr>
                <w:sz w:val="1"/>
                <w:szCs w:val="1"/>
                <w:color w:val="auto"/>
              </w:rPr>
            </w:pPr>
          </w:p>
        </w:tc>
      </w:tr>
      <w:tr>
        <w:trPr>
          <w:trHeight w:val="533"/>
        </w:trPr>
        <w:tc>
          <w:tcPr>
            <w:tcW w:w="3840" w:type="dxa"/>
            <w:vAlign w:val="bottom"/>
            <w:gridSpan w:val="7"/>
          </w:tcPr>
          <w:p>
            <w:pPr>
              <w:spacing w:after="0"/>
              <w:rPr>
                <w:sz w:val="20"/>
                <w:szCs w:val="20"/>
                <w:color w:val="auto"/>
              </w:rPr>
            </w:pPr>
            <w:r>
              <w:rPr>
                <w:rFonts w:ascii="Arial" w:cs="Arial" w:eastAsia="Arial" w:hAnsi="Arial"/>
                <w:sz w:val="22"/>
                <w:szCs w:val="22"/>
                <w:b w:val="1"/>
                <w:bCs w:val="1"/>
                <w:color w:val="83AD40"/>
              </w:rPr>
              <w:t>OTHER INFORMATION</w:t>
            </w:r>
            <w:r>
              <w:rPr>
                <w:rFonts w:ascii="Arial" w:cs="Arial" w:eastAsia="Arial" w:hAnsi="Arial"/>
                <w:sz w:val="16"/>
                <w:szCs w:val="16"/>
                <w:color w:val="1F2668"/>
              </w:rPr>
              <w:t>​</w:t>
            </w:r>
          </w:p>
        </w:tc>
        <w:tc>
          <w:tcPr>
            <w:tcW w:w="540" w:type="dxa"/>
            <w:vAlign w:val="bottom"/>
            <w:gridSpan w:val="7"/>
          </w:tcPr>
          <w:p>
            <w:pPr>
              <w:ind w:left="120"/>
              <w:spacing w:after="0"/>
              <w:rPr>
                <w:sz w:val="20"/>
                <w:szCs w:val="20"/>
                <w:color w:val="auto"/>
              </w:rPr>
            </w:pPr>
            <w:r>
              <w:rPr>
                <w:rFonts w:ascii="Arial" w:cs="Arial" w:eastAsia="Arial" w:hAnsi="Arial"/>
                <w:sz w:val="22"/>
                <w:szCs w:val="22"/>
                <w:b w:val="1"/>
                <w:bCs w:val="1"/>
                <w:u w:val="single" w:color="auto"/>
                <w:color w:val="83AD40"/>
                <w:strike w:val="1"/>
              </w:rPr>
              <w:t>​101</w:t>
            </w:r>
          </w:p>
        </w:tc>
        <w:tc>
          <w:tcPr>
            <w:tcW w:w="0" w:type="dxa"/>
            <w:vAlign w:val="bottom"/>
          </w:tcPr>
          <w:p>
            <w:pPr>
              <w:spacing w:after="0"/>
              <w:rPr>
                <w:sz w:val="1"/>
                <w:szCs w:val="1"/>
                <w:color w:val="auto"/>
              </w:rPr>
            </w:pPr>
          </w:p>
        </w:tc>
      </w:tr>
      <w:tr>
        <w:trPr>
          <w:trHeight w:val="122"/>
        </w:trPr>
        <w:tc>
          <w:tcPr>
            <w:tcW w:w="2500" w:type="dxa"/>
            <w:vAlign w:val="bottom"/>
            <w:tcBorders>
              <w:bottom w:val="single" w:sz="8" w:color="83AD40"/>
            </w:tcBorders>
            <w:gridSpan w:val="3"/>
          </w:tcPr>
          <w:p>
            <w:pPr>
              <w:spacing w:after="0" w:line="122" w:lineRule="exact"/>
              <w:rPr>
                <w:sz w:val="20"/>
                <w:szCs w:val="20"/>
                <w:color w:val="auto"/>
              </w:rPr>
            </w:pPr>
            <w:r>
              <w:rPr>
                <w:rFonts w:ascii="Arial" w:cs="Arial" w:eastAsia="Arial" w:hAnsi="Arial"/>
                <w:sz w:val="14"/>
                <w:szCs w:val="14"/>
                <w:b w:val="1"/>
                <w:bCs w:val="1"/>
                <w:color w:val="83AD40"/>
              </w:rPr>
              <w:t>​</w:t>
            </w:r>
          </w:p>
        </w:tc>
        <w:tc>
          <w:tcPr>
            <w:tcW w:w="720" w:type="dxa"/>
            <w:vAlign w:val="bottom"/>
            <w:tcBorders>
              <w:bottom w:val="single" w:sz="8" w:color="83AD40"/>
            </w:tcBorders>
          </w:tcPr>
          <w:p>
            <w:pPr>
              <w:spacing w:after="0"/>
              <w:rPr>
                <w:sz w:val="10"/>
                <w:szCs w:val="10"/>
                <w:color w:val="auto"/>
              </w:rPr>
            </w:pPr>
          </w:p>
        </w:tc>
        <w:tc>
          <w:tcPr>
            <w:tcW w:w="480" w:type="dxa"/>
            <w:vAlign w:val="bottom"/>
            <w:tcBorders>
              <w:bottom w:val="single" w:sz="8" w:color="83AD40"/>
            </w:tcBorders>
          </w:tcPr>
          <w:p>
            <w:pPr>
              <w:spacing w:after="0"/>
              <w:rPr>
                <w:sz w:val="10"/>
                <w:szCs w:val="10"/>
                <w:color w:val="auto"/>
              </w:rPr>
            </w:pPr>
          </w:p>
        </w:tc>
        <w:tc>
          <w:tcPr>
            <w:tcW w:w="100" w:type="dxa"/>
            <w:vAlign w:val="bottom"/>
            <w:tcBorders>
              <w:bottom w:val="single" w:sz="8" w:color="83AD40"/>
            </w:tcBorders>
          </w:tcPr>
          <w:p>
            <w:pPr>
              <w:spacing w:after="0"/>
              <w:rPr>
                <w:sz w:val="10"/>
                <w:szCs w:val="10"/>
                <w:color w:val="auto"/>
              </w:rPr>
            </w:pPr>
          </w:p>
        </w:tc>
        <w:tc>
          <w:tcPr>
            <w:tcW w:w="40" w:type="dxa"/>
            <w:vAlign w:val="bottom"/>
            <w:tcBorders>
              <w:bottom w:val="single" w:sz="8" w:color="83AD40"/>
            </w:tcBorders>
          </w:tcPr>
          <w:p>
            <w:pPr>
              <w:spacing w:after="0"/>
              <w:rPr>
                <w:sz w:val="10"/>
                <w:szCs w:val="10"/>
                <w:color w:val="auto"/>
              </w:rPr>
            </w:pPr>
          </w:p>
        </w:tc>
        <w:tc>
          <w:tcPr>
            <w:tcW w:w="140" w:type="dxa"/>
            <w:vAlign w:val="bottom"/>
            <w:tcBorders>
              <w:bottom w:val="single" w:sz="8" w:color="83AD40"/>
            </w:tcBorders>
          </w:tcPr>
          <w:p>
            <w:pPr>
              <w:ind w:left="40"/>
              <w:spacing w:after="0" w:line="122" w:lineRule="exact"/>
              <w:rPr>
                <w:sz w:val="20"/>
                <w:szCs w:val="20"/>
                <w:color w:val="auto"/>
              </w:rPr>
            </w:pPr>
            <w:r>
              <w:rPr>
                <w:rFonts w:ascii="Arial" w:cs="Arial" w:eastAsia="Arial" w:hAnsi="Arial"/>
                <w:sz w:val="14"/>
                <w:szCs w:val="14"/>
                <w:b w:val="1"/>
                <w:bCs w:val="1"/>
                <w:color w:val="83AD40"/>
              </w:rPr>
              <w:t>​​</w:t>
            </w:r>
          </w:p>
        </w:tc>
        <w:tc>
          <w:tcPr>
            <w:tcW w:w="60" w:type="dxa"/>
            <w:vAlign w:val="bottom"/>
            <w:tcBorders>
              <w:bottom w:val="single" w:sz="8" w:color="83AD40"/>
            </w:tcBorders>
          </w:tcPr>
          <w:p>
            <w:pPr>
              <w:spacing w:after="0" w:line="122" w:lineRule="exact"/>
              <w:rPr>
                <w:sz w:val="20"/>
                <w:szCs w:val="20"/>
                <w:color w:val="auto"/>
              </w:rPr>
            </w:pPr>
            <w:r>
              <w:rPr>
                <w:rFonts w:ascii="Arial" w:cs="Arial" w:eastAsia="Arial" w:hAnsi="Arial"/>
                <w:sz w:val="14"/>
                <w:szCs w:val="14"/>
                <w:b w:val="1"/>
                <w:bCs w:val="1"/>
                <w:color w:val="83AD40"/>
                <w:strike w:val="1"/>
              </w:rPr>
              <w:t>​</w:t>
            </w:r>
          </w:p>
        </w:tc>
        <w:tc>
          <w:tcPr>
            <w:tcW w:w="20" w:type="dxa"/>
            <w:vAlign w:val="bottom"/>
            <w:tcBorders>
              <w:bottom w:val="single" w:sz="8" w:color="83AD40"/>
            </w:tcBorders>
          </w:tcPr>
          <w:p>
            <w:pPr>
              <w:spacing w:after="0"/>
              <w:rPr>
                <w:sz w:val="10"/>
                <w:szCs w:val="10"/>
                <w:color w:val="auto"/>
              </w:rPr>
            </w:pPr>
          </w:p>
        </w:tc>
        <w:tc>
          <w:tcPr>
            <w:tcW w:w="40" w:type="dxa"/>
            <w:vAlign w:val="bottom"/>
            <w:tcBorders>
              <w:bottom w:val="single" w:sz="8" w:color="83AD40"/>
            </w:tcBorders>
          </w:tcPr>
          <w:p>
            <w:pPr>
              <w:spacing w:after="0"/>
              <w:rPr>
                <w:sz w:val="10"/>
                <w:szCs w:val="10"/>
                <w:color w:val="auto"/>
              </w:rPr>
            </w:pPr>
          </w:p>
        </w:tc>
        <w:tc>
          <w:tcPr>
            <w:tcW w:w="60" w:type="dxa"/>
            <w:vAlign w:val="bottom"/>
            <w:tcBorders>
              <w:bottom w:val="single" w:sz="8" w:color="83AD40"/>
            </w:tcBorders>
          </w:tcPr>
          <w:p>
            <w:pPr>
              <w:spacing w:after="0"/>
              <w:rPr>
                <w:sz w:val="10"/>
                <w:szCs w:val="10"/>
                <w:color w:val="auto"/>
              </w:rPr>
            </w:pPr>
          </w:p>
        </w:tc>
        <w:tc>
          <w:tcPr>
            <w:tcW w:w="180" w:type="dxa"/>
            <w:vAlign w:val="bottom"/>
            <w:tcBorders>
              <w:bottom w:val="single" w:sz="8" w:color="83AD40"/>
            </w:tcBorders>
          </w:tcPr>
          <w:p>
            <w:pPr>
              <w:spacing w:after="0"/>
              <w:rPr>
                <w:sz w:val="10"/>
                <w:szCs w:val="10"/>
                <w:color w:val="auto"/>
              </w:rPr>
            </w:pPr>
          </w:p>
        </w:tc>
        <w:tc>
          <w:tcPr>
            <w:tcW w:w="40" w:type="dxa"/>
            <w:vAlign w:val="bottom"/>
          </w:tcPr>
          <w:p>
            <w:pPr>
              <w:spacing w:after="0" w:line="122" w:lineRule="exact"/>
              <w:rPr>
                <w:sz w:val="20"/>
                <w:szCs w:val="20"/>
                <w:color w:val="auto"/>
              </w:rPr>
            </w:pPr>
            <w:r>
              <w:rPr>
                <w:rFonts w:ascii="Arial" w:cs="Arial" w:eastAsia="Arial" w:hAnsi="Arial"/>
                <w:sz w:val="14"/>
                <w:szCs w:val="14"/>
                <w:b w:val="1"/>
                <w:bCs w:val="1"/>
                <w:color w:val="83AD40"/>
              </w:rPr>
              <w:t>​</w:t>
            </w:r>
          </w:p>
        </w:tc>
        <w:tc>
          <w:tcPr>
            <w:tcW w:w="0" w:type="dxa"/>
            <w:vAlign w:val="bottom"/>
          </w:tcPr>
          <w:p>
            <w:pPr>
              <w:spacing w:after="0"/>
              <w:rPr>
                <w:sz w:val="1"/>
                <w:szCs w:val="1"/>
                <w:color w:val="auto"/>
              </w:rPr>
            </w:pPr>
          </w:p>
        </w:tc>
      </w:tr>
      <w:tr>
        <w:trPr>
          <w:trHeight w:val="128"/>
        </w:trPr>
        <w:tc>
          <w:tcPr>
            <w:tcW w:w="3840" w:type="dxa"/>
            <w:vAlign w:val="bottom"/>
            <w:gridSpan w:val="7"/>
          </w:tcPr>
          <w:p>
            <w:pPr>
              <w:spacing w:after="0" w:line="129" w:lineRule="exact"/>
              <w:rPr>
                <w:sz w:val="20"/>
                <w:szCs w:val="20"/>
                <w:color w:val="auto"/>
              </w:rPr>
            </w:pPr>
            <w:r>
              <w:rPr>
                <w:rFonts w:ascii="Arial" w:cs="Arial" w:eastAsia="Arial" w:hAnsi="Arial"/>
                <w:sz w:val="14"/>
                <w:szCs w:val="14"/>
                <w:b w:val="1"/>
                <w:bCs w:val="1"/>
                <w:color w:val="1F2668"/>
              </w:rPr>
              <w:t>​</w:t>
            </w:r>
          </w:p>
        </w:tc>
        <w:tc>
          <w:tcPr>
            <w:tcW w:w="20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1F2668"/>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line="129" w:lineRule="exact"/>
              <w:rPr>
                <w:sz w:val="20"/>
                <w:szCs w:val="20"/>
                <w:color w:val="auto"/>
              </w:rPr>
            </w:pPr>
            <w:r>
              <w:rPr>
                <w:rFonts w:ascii="Arial" w:cs="Arial" w:eastAsia="Arial" w:hAnsi="Arial"/>
                <w:sz w:val="14"/>
                <w:szCs w:val="14"/>
                <w:b w:val="1"/>
                <w:bCs w:val="1"/>
                <w:color w:val="1F2668"/>
              </w:rPr>
              <w:t>​</w:t>
            </w:r>
          </w:p>
        </w:tc>
        <w:tc>
          <w:tcPr>
            <w:tcW w:w="0" w:type="dxa"/>
            <w:vAlign w:val="bottom"/>
          </w:tcPr>
          <w:p>
            <w:pPr>
              <w:spacing w:after="0"/>
              <w:rPr>
                <w:sz w:val="1"/>
                <w:szCs w:val="1"/>
                <w:color w:val="auto"/>
              </w:rPr>
            </w:pPr>
          </w:p>
        </w:tc>
      </w:tr>
      <w:tr>
        <w:trPr>
          <w:trHeight w:val="108"/>
        </w:trPr>
        <w:tc>
          <w:tcPr>
            <w:tcW w:w="3840" w:type="dxa"/>
            <w:vAlign w:val="bottom"/>
            <w:gridSpan w:val="7"/>
          </w:tcPr>
          <w:p>
            <w:pPr>
              <w:spacing w:after="0" w:line="108" w:lineRule="exact"/>
              <w:rPr>
                <w:sz w:val="20"/>
                <w:szCs w:val="20"/>
                <w:color w:val="auto"/>
              </w:rPr>
            </w:pPr>
            <w:r>
              <w:rPr>
                <w:rFonts w:ascii="Arial" w:cs="Arial" w:eastAsia="Arial" w:hAnsi="Arial"/>
                <w:sz w:val="12"/>
                <w:szCs w:val="12"/>
                <w:b w:val="1"/>
                <w:bCs w:val="1"/>
                <w:color w:val="1F2668"/>
              </w:rPr>
              <w:t>Questions and Answers about the Annual Meeting</w:t>
            </w:r>
          </w:p>
        </w:tc>
        <w:tc>
          <w:tcPr>
            <w:tcW w:w="200" w:type="dxa"/>
            <w:vAlign w:val="bottom"/>
            <w:gridSpan w:val="2"/>
          </w:tcPr>
          <w:p>
            <w:pPr>
              <w:ind w:left="120"/>
              <w:spacing w:after="0" w:line="108" w:lineRule="exact"/>
              <w:rPr>
                <w:sz w:val="20"/>
                <w:szCs w:val="20"/>
                <w:color w:val="auto"/>
              </w:rPr>
            </w:pPr>
            <w:r>
              <w:rPr>
                <w:rFonts w:ascii="Arial" w:cs="Arial" w:eastAsia="Arial" w:hAnsi="Arial"/>
                <w:sz w:val="12"/>
                <w:szCs w:val="12"/>
                <w:b w:val="1"/>
                <w:bCs w:val="1"/>
                <w:color w:val="1F2668"/>
              </w:rPr>
              <w:t>​</w:t>
            </w:r>
          </w:p>
        </w:tc>
        <w:tc>
          <w:tcPr>
            <w:tcW w:w="340" w:type="dxa"/>
            <w:vAlign w:val="bottom"/>
            <w:gridSpan w:val="5"/>
          </w:tcPr>
          <w:p>
            <w:pPr>
              <w:jc w:val="right"/>
              <w:spacing w:after="0" w:line="108" w:lineRule="exact"/>
              <w:rPr>
                <w:sz w:val="20"/>
                <w:szCs w:val="20"/>
                <w:color w:val="auto"/>
              </w:rPr>
            </w:pPr>
            <w:r>
              <w:rPr>
                <w:rFonts w:ascii="Arial" w:cs="Arial" w:eastAsia="Arial" w:hAnsi="Arial"/>
                <w:sz w:val="12"/>
                <w:szCs w:val="12"/>
                <w:b w:val="1"/>
                <w:bCs w:val="1"/>
                <w:color w:val="1F2668"/>
              </w:rPr>
              <w:t>101</w:t>
            </w:r>
          </w:p>
        </w:tc>
        <w:tc>
          <w:tcPr>
            <w:tcW w:w="0" w:type="dxa"/>
            <w:vAlign w:val="bottom"/>
          </w:tcPr>
          <w:p>
            <w:pPr>
              <w:spacing w:after="0"/>
              <w:rPr>
                <w:sz w:val="1"/>
                <w:szCs w:val="1"/>
                <w:color w:val="auto"/>
              </w:rPr>
            </w:pPr>
          </w:p>
        </w:tc>
      </w:tr>
      <w:tr>
        <w:trPr>
          <w:trHeight w:val="183"/>
        </w:trPr>
        <w:tc>
          <w:tcPr>
            <w:tcW w:w="3800" w:type="dxa"/>
            <w:vAlign w:val="bottom"/>
            <w:tcBorders>
              <w:top w:val="single" w:sz="8" w:color="1F2668"/>
            </w:tcBorders>
            <w:gridSpan w:val="6"/>
          </w:tcPr>
          <w:p>
            <w:pPr>
              <w:spacing w:after="0" w:line="183" w:lineRule="exact"/>
              <w:rPr>
                <w:sz w:val="20"/>
                <w:szCs w:val="20"/>
                <w:color w:val="auto"/>
              </w:rPr>
            </w:pPr>
            <w:r>
              <w:rPr>
                <w:rFonts w:ascii="Arial" w:cs="Arial" w:eastAsia="Arial" w:hAnsi="Arial"/>
                <w:sz w:val="16"/>
                <w:szCs w:val="16"/>
                <w:b w:val="1"/>
                <w:bCs w:val="1"/>
                <w:color w:val="1F2668"/>
              </w:rPr>
              <w:t>​</w:t>
            </w:r>
          </w:p>
        </w:tc>
        <w:tc>
          <w:tcPr>
            <w:tcW w:w="40" w:type="dxa"/>
            <w:vAlign w:val="bottom"/>
          </w:tcPr>
          <w:p>
            <w:pPr>
              <w:spacing w:after="0"/>
              <w:rPr>
                <w:sz w:val="15"/>
                <w:szCs w:val="15"/>
                <w:color w:val="auto"/>
              </w:rPr>
            </w:pPr>
          </w:p>
        </w:tc>
        <w:tc>
          <w:tcPr>
            <w:tcW w:w="200" w:type="dxa"/>
            <w:vAlign w:val="bottom"/>
            <w:gridSpan w:val="2"/>
          </w:tcPr>
          <w:p>
            <w:pPr>
              <w:ind w:left="40"/>
              <w:spacing w:after="0" w:line="183" w:lineRule="exact"/>
              <w:rPr>
                <w:sz w:val="20"/>
                <w:szCs w:val="20"/>
                <w:color w:val="auto"/>
              </w:rPr>
            </w:pPr>
            <w:r>
              <w:rPr>
                <w:rFonts w:ascii="Arial" w:cs="Arial" w:eastAsia="Arial" w:hAnsi="Arial"/>
                <w:sz w:val="16"/>
                <w:szCs w:val="16"/>
                <w:b w:val="1"/>
                <w:bCs w:val="1"/>
                <w:color w:val="1F2668"/>
              </w:rPr>
              <w:t>​​​</w:t>
            </w:r>
          </w:p>
        </w:tc>
        <w:tc>
          <w:tcPr>
            <w:tcW w:w="20" w:type="dxa"/>
            <w:vAlign w:val="bottom"/>
          </w:tcPr>
          <w:p>
            <w:pPr>
              <w:spacing w:after="0"/>
              <w:rPr>
                <w:sz w:val="15"/>
                <w:szCs w:val="15"/>
                <w:color w:val="auto"/>
              </w:rPr>
            </w:pPr>
          </w:p>
        </w:tc>
        <w:tc>
          <w:tcPr>
            <w:tcW w:w="40" w:type="dxa"/>
            <w:vAlign w:val="bottom"/>
            <w:tcBorders>
              <w:top w:val="single" w:sz="8" w:color="1F2668"/>
            </w:tcBorders>
          </w:tcPr>
          <w:p>
            <w:pPr>
              <w:spacing w:after="0"/>
              <w:rPr>
                <w:sz w:val="15"/>
                <w:szCs w:val="15"/>
                <w:color w:val="auto"/>
              </w:rPr>
            </w:pPr>
          </w:p>
        </w:tc>
        <w:tc>
          <w:tcPr>
            <w:tcW w:w="60" w:type="dxa"/>
            <w:vAlign w:val="bottom"/>
            <w:tcBorders>
              <w:top w:val="single" w:sz="8" w:color="1F2668"/>
            </w:tcBorders>
          </w:tcPr>
          <w:p>
            <w:pPr>
              <w:spacing w:after="0"/>
              <w:rPr>
                <w:sz w:val="15"/>
                <w:szCs w:val="15"/>
                <w:color w:val="auto"/>
              </w:rPr>
            </w:pPr>
          </w:p>
        </w:tc>
        <w:tc>
          <w:tcPr>
            <w:tcW w:w="180" w:type="dxa"/>
            <w:vAlign w:val="bottom"/>
            <w:tcBorders>
              <w:top w:val="single" w:sz="8" w:color="1F2668"/>
            </w:tcBorders>
          </w:tcPr>
          <w:p>
            <w:pPr>
              <w:spacing w:after="0"/>
              <w:rPr>
                <w:sz w:val="15"/>
                <w:szCs w:val="15"/>
                <w:color w:val="auto"/>
              </w:rPr>
            </w:pPr>
          </w:p>
        </w:tc>
        <w:tc>
          <w:tcPr>
            <w:tcW w:w="40" w:type="dxa"/>
            <w:vAlign w:val="bottom"/>
          </w:tcPr>
          <w:p>
            <w:pPr>
              <w:spacing w:after="0" w:line="183" w:lineRule="exact"/>
              <w:rPr>
                <w:sz w:val="20"/>
                <w:szCs w:val="20"/>
                <w:color w:val="auto"/>
              </w:rPr>
            </w:pPr>
            <w:r>
              <w:rPr>
                <w:rFonts w:ascii="Arial" w:cs="Arial" w:eastAsia="Arial" w:hAnsi="Arial"/>
                <w:sz w:val="16"/>
                <w:szCs w:val="16"/>
                <w:b w:val="1"/>
                <w:bCs w:val="1"/>
                <w:color w:val="1F2668"/>
              </w:rPr>
              <w:t>​</w:t>
            </w:r>
          </w:p>
        </w:tc>
        <w:tc>
          <w:tcPr>
            <w:tcW w:w="0" w:type="dxa"/>
            <w:vAlign w:val="bottom"/>
          </w:tcPr>
          <w:p>
            <w:pPr>
              <w:spacing w:after="0"/>
              <w:rPr>
                <w:sz w:val="1"/>
                <w:szCs w:val="1"/>
                <w:color w:val="auto"/>
              </w:rPr>
            </w:pPr>
          </w:p>
        </w:tc>
      </w:tr>
      <w:tr>
        <w:trPr>
          <w:trHeight w:val="108"/>
        </w:trPr>
        <w:tc>
          <w:tcPr>
            <w:tcW w:w="3840" w:type="dxa"/>
            <w:vAlign w:val="bottom"/>
            <w:gridSpan w:val="7"/>
          </w:tcPr>
          <w:p>
            <w:pPr>
              <w:spacing w:after="0" w:line="108" w:lineRule="exact"/>
              <w:rPr>
                <w:sz w:val="20"/>
                <w:szCs w:val="20"/>
                <w:color w:val="auto"/>
              </w:rPr>
            </w:pPr>
            <w:r>
              <w:rPr>
                <w:rFonts w:ascii="Arial" w:cs="Arial" w:eastAsia="Arial" w:hAnsi="Arial"/>
                <w:sz w:val="12"/>
                <w:szCs w:val="12"/>
                <w:b w:val="1"/>
                <w:bCs w:val="1"/>
                <w:color w:val="1F2668"/>
              </w:rPr>
              <w:t>Other Matters</w:t>
            </w:r>
          </w:p>
        </w:tc>
        <w:tc>
          <w:tcPr>
            <w:tcW w:w="200" w:type="dxa"/>
            <w:vAlign w:val="bottom"/>
            <w:gridSpan w:val="2"/>
          </w:tcPr>
          <w:p>
            <w:pPr>
              <w:ind w:left="120"/>
              <w:spacing w:after="0" w:line="108" w:lineRule="exact"/>
              <w:rPr>
                <w:sz w:val="20"/>
                <w:szCs w:val="20"/>
                <w:color w:val="auto"/>
              </w:rPr>
            </w:pPr>
            <w:r>
              <w:rPr>
                <w:rFonts w:ascii="Arial" w:cs="Arial" w:eastAsia="Arial" w:hAnsi="Arial"/>
                <w:sz w:val="12"/>
                <w:szCs w:val="12"/>
                <w:b w:val="1"/>
                <w:bCs w:val="1"/>
                <w:color w:val="1F2668"/>
              </w:rPr>
              <w:t>​</w:t>
            </w:r>
          </w:p>
        </w:tc>
        <w:tc>
          <w:tcPr>
            <w:tcW w:w="340" w:type="dxa"/>
            <w:vAlign w:val="bottom"/>
            <w:gridSpan w:val="5"/>
          </w:tcPr>
          <w:p>
            <w:pPr>
              <w:jc w:val="right"/>
              <w:spacing w:after="0" w:line="108" w:lineRule="exact"/>
              <w:rPr>
                <w:sz w:val="20"/>
                <w:szCs w:val="20"/>
                <w:color w:val="auto"/>
              </w:rPr>
            </w:pPr>
            <w:r>
              <w:rPr>
                <w:rFonts w:ascii="Arial" w:cs="Arial" w:eastAsia="Arial" w:hAnsi="Arial"/>
                <w:sz w:val="12"/>
                <w:szCs w:val="12"/>
                <w:b w:val="1"/>
                <w:bCs w:val="1"/>
                <w:color w:val="1F2668"/>
              </w:rPr>
              <w:t>104</w:t>
            </w:r>
          </w:p>
        </w:tc>
        <w:tc>
          <w:tcPr>
            <w:tcW w:w="0" w:type="dxa"/>
            <w:vAlign w:val="bottom"/>
          </w:tcPr>
          <w:p>
            <w:pPr>
              <w:spacing w:after="0"/>
              <w:rPr>
                <w:sz w:val="1"/>
                <w:szCs w:val="1"/>
                <w:color w:val="auto"/>
              </w:rPr>
            </w:pPr>
          </w:p>
        </w:tc>
      </w:tr>
      <w:tr>
        <w:trPr>
          <w:trHeight w:val="20"/>
        </w:trPr>
        <w:tc>
          <w:tcPr>
            <w:tcW w:w="1040" w:type="dxa"/>
            <w:vAlign w:val="bottom"/>
            <w:shd w:val="clear" w:color="auto" w:fill="1F2668"/>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tcBorders>
              <w:right w:val="single" w:sz="8" w:color="1F2668"/>
            </w:tcBorders>
            <w:gridSpan w:val="3"/>
            <w:shd w:val="clear" w:color="auto" w:fill="1F266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3840" w:type="dxa"/>
            <w:vAlign w:val="bottom"/>
            <w:gridSpan w:val="7"/>
          </w:tcPr>
          <w:p>
            <w:pPr>
              <w:spacing w:after="0"/>
              <w:rPr>
                <w:sz w:val="20"/>
                <w:szCs w:val="20"/>
                <w:color w:val="auto"/>
              </w:rPr>
            </w:pPr>
            <w:r>
              <w:rPr>
                <w:rFonts w:ascii="Arial" w:cs="Arial" w:eastAsia="Arial" w:hAnsi="Arial"/>
                <w:sz w:val="22"/>
                <w:szCs w:val="22"/>
                <w:b w:val="1"/>
                <w:bCs w:val="1"/>
                <w:color w:val="83AD40"/>
              </w:rPr>
              <w:t>APPENDIX A:</w:t>
            </w:r>
            <w:r>
              <w:rPr>
                <w:rFonts w:ascii="Arial" w:cs="Arial" w:eastAsia="Arial" w:hAnsi="Arial"/>
                <w:sz w:val="16"/>
                <w:szCs w:val="16"/>
                <w:color w:val="1F2668"/>
              </w:rPr>
              <w:t>​</w:t>
            </w:r>
          </w:p>
        </w:tc>
        <w:tc>
          <w:tcPr>
            <w:tcW w:w="540" w:type="dxa"/>
            <w:vAlign w:val="bottom"/>
            <w:gridSpan w:val="7"/>
          </w:tcPr>
          <w:p>
            <w:pPr>
              <w:ind w:left="120"/>
              <w:spacing w:after="0"/>
              <w:rPr>
                <w:sz w:val="20"/>
                <w:szCs w:val="20"/>
                <w:color w:val="auto"/>
              </w:rPr>
            </w:pPr>
            <w:r>
              <w:rPr>
                <w:rFonts w:ascii="Arial" w:cs="Arial" w:eastAsia="Arial" w:hAnsi="Arial"/>
                <w:sz w:val="22"/>
                <w:szCs w:val="22"/>
                <w:b w:val="1"/>
                <w:bCs w:val="1"/>
                <w:u w:val="single" w:color="auto"/>
                <w:color w:val="83AD40"/>
              </w:rPr>
              <w:t>​A-1</w:t>
            </w:r>
          </w:p>
        </w:tc>
        <w:tc>
          <w:tcPr>
            <w:tcW w:w="0" w:type="dxa"/>
            <w:vAlign w:val="bottom"/>
          </w:tcPr>
          <w:p>
            <w:pPr>
              <w:spacing w:after="0"/>
              <w:rPr>
                <w:sz w:val="1"/>
                <w:szCs w:val="1"/>
                <w:color w:val="auto"/>
              </w:rPr>
            </w:pPr>
          </w:p>
        </w:tc>
      </w:tr>
      <w:tr>
        <w:trPr>
          <w:trHeight w:val="108"/>
        </w:trPr>
        <w:tc>
          <w:tcPr>
            <w:tcW w:w="2500" w:type="dxa"/>
            <w:vAlign w:val="bottom"/>
            <w:tcBorders>
              <w:bottom w:val="single" w:sz="8" w:color="83AD40"/>
            </w:tcBorders>
            <w:gridSpan w:val="3"/>
          </w:tcPr>
          <w:p>
            <w:pPr>
              <w:spacing w:after="0" w:line="108" w:lineRule="exact"/>
              <w:rPr>
                <w:sz w:val="20"/>
                <w:szCs w:val="20"/>
                <w:color w:val="auto"/>
              </w:rPr>
            </w:pPr>
            <w:r>
              <w:rPr>
                <w:rFonts w:ascii="Arial" w:cs="Arial" w:eastAsia="Arial" w:hAnsi="Arial"/>
                <w:sz w:val="12"/>
                <w:szCs w:val="12"/>
                <w:b w:val="1"/>
                <w:bCs w:val="1"/>
                <w:color w:val="auto"/>
              </w:rPr>
              <w:t>​</w:t>
            </w:r>
          </w:p>
        </w:tc>
        <w:tc>
          <w:tcPr>
            <w:tcW w:w="720" w:type="dxa"/>
            <w:vAlign w:val="bottom"/>
            <w:tcBorders>
              <w:bottom w:val="single" w:sz="8" w:color="83AD40"/>
            </w:tcBorders>
          </w:tcPr>
          <w:p>
            <w:pPr>
              <w:spacing w:after="0"/>
              <w:rPr>
                <w:sz w:val="9"/>
                <w:szCs w:val="9"/>
                <w:color w:val="auto"/>
              </w:rPr>
            </w:pPr>
          </w:p>
        </w:tc>
        <w:tc>
          <w:tcPr>
            <w:tcW w:w="480" w:type="dxa"/>
            <w:vAlign w:val="bottom"/>
            <w:tcBorders>
              <w:bottom w:val="single" w:sz="8" w:color="83AD40"/>
            </w:tcBorders>
          </w:tcPr>
          <w:p>
            <w:pPr>
              <w:spacing w:after="0"/>
              <w:rPr>
                <w:sz w:val="9"/>
                <w:szCs w:val="9"/>
                <w:color w:val="auto"/>
              </w:rPr>
            </w:pPr>
          </w:p>
        </w:tc>
        <w:tc>
          <w:tcPr>
            <w:tcW w:w="100" w:type="dxa"/>
            <w:vAlign w:val="bottom"/>
            <w:tcBorders>
              <w:bottom w:val="single" w:sz="8" w:color="83AD40"/>
            </w:tcBorders>
          </w:tcPr>
          <w:p>
            <w:pPr>
              <w:spacing w:after="0"/>
              <w:rPr>
                <w:sz w:val="9"/>
                <w:szCs w:val="9"/>
                <w:color w:val="auto"/>
              </w:rPr>
            </w:pPr>
          </w:p>
        </w:tc>
        <w:tc>
          <w:tcPr>
            <w:tcW w:w="40" w:type="dxa"/>
            <w:vAlign w:val="bottom"/>
            <w:tcBorders>
              <w:bottom w:val="single" w:sz="8" w:color="83AD40"/>
            </w:tcBorders>
          </w:tcPr>
          <w:p>
            <w:pPr>
              <w:spacing w:after="0"/>
              <w:rPr>
                <w:sz w:val="9"/>
                <w:szCs w:val="9"/>
                <w:color w:val="auto"/>
              </w:rPr>
            </w:pPr>
          </w:p>
        </w:tc>
        <w:tc>
          <w:tcPr>
            <w:tcW w:w="200" w:type="dxa"/>
            <w:vAlign w:val="bottom"/>
            <w:tcBorders>
              <w:bottom w:val="single" w:sz="8" w:color="83AD40"/>
            </w:tcBorders>
            <w:gridSpan w:val="2"/>
          </w:tcPr>
          <w:p>
            <w:pPr>
              <w:ind w:left="40"/>
              <w:spacing w:after="0" w:line="108" w:lineRule="exact"/>
              <w:rPr>
                <w:sz w:val="20"/>
                <w:szCs w:val="20"/>
                <w:color w:val="auto"/>
              </w:rPr>
            </w:pPr>
            <w:r>
              <w:rPr>
                <w:rFonts w:ascii="Arial" w:cs="Arial" w:eastAsia="Arial" w:hAnsi="Arial"/>
                <w:sz w:val="12"/>
                <w:szCs w:val="12"/>
                <w:b w:val="1"/>
                <w:bCs w:val="1"/>
                <w:color w:val="auto"/>
              </w:rPr>
              <w:t>​​​</w:t>
            </w:r>
          </w:p>
        </w:tc>
        <w:tc>
          <w:tcPr>
            <w:tcW w:w="20" w:type="dxa"/>
            <w:vAlign w:val="bottom"/>
            <w:tcBorders>
              <w:bottom w:val="single" w:sz="8" w:color="83AD40"/>
            </w:tcBorders>
          </w:tcPr>
          <w:p>
            <w:pPr>
              <w:spacing w:after="0"/>
              <w:rPr>
                <w:sz w:val="9"/>
                <w:szCs w:val="9"/>
                <w:color w:val="auto"/>
              </w:rPr>
            </w:pPr>
          </w:p>
        </w:tc>
        <w:tc>
          <w:tcPr>
            <w:tcW w:w="40" w:type="dxa"/>
            <w:vAlign w:val="bottom"/>
            <w:tcBorders>
              <w:bottom w:val="single" w:sz="8" w:color="83AD40"/>
            </w:tcBorders>
          </w:tcPr>
          <w:p>
            <w:pPr>
              <w:spacing w:after="0"/>
              <w:rPr>
                <w:sz w:val="9"/>
                <w:szCs w:val="9"/>
                <w:color w:val="auto"/>
              </w:rPr>
            </w:pPr>
          </w:p>
        </w:tc>
        <w:tc>
          <w:tcPr>
            <w:tcW w:w="60" w:type="dxa"/>
            <w:vAlign w:val="bottom"/>
            <w:tcBorders>
              <w:bottom w:val="single" w:sz="8" w:color="83AD40"/>
            </w:tcBorders>
          </w:tcPr>
          <w:p>
            <w:pPr>
              <w:spacing w:after="0"/>
              <w:rPr>
                <w:sz w:val="9"/>
                <w:szCs w:val="9"/>
                <w:color w:val="auto"/>
              </w:rPr>
            </w:pPr>
          </w:p>
        </w:tc>
        <w:tc>
          <w:tcPr>
            <w:tcW w:w="180" w:type="dxa"/>
            <w:vAlign w:val="bottom"/>
            <w:tcBorders>
              <w:bottom w:val="single" w:sz="8" w:color="83AD40"/>
            </w:tcBorders>
          </w:tcPr>
          <w:p>
            <w:pPr>
              <w:spacing w:after="0"/>
              <w:rPr>
                <w:sz w:val="9"/>
                <w:szCs w:val="9"/>
                <w:color w:val="auto"/>
              </w:rPr>
            </w:pPr>
          </w:p>
        </w:tc>
        <w:tc>
          <w:tcPr>
            <w:tcW w:w="40" w:type="dxa"/>
            <w:vAlign w:val="bottom"/>
          </w:tcPr>
          <w:p>
            <w:pPr>
              <w:spacing w:after="0" w:line="108"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547"/>
        </w:trPr>
        <w:tc>
          <w:tcPr>
            <w:tcW w:w="3840" w:type="dxa"/>
            <w:vAlign w:val="bottom"/>
            <w:gridSpan w:val="7"/>
          </w:tcPr>
          <w:p>
            <w:pPr>
              <w:spacing w:after="0"/>
              <w:rPr>
                <w:sz w:val="20"/>
                <w:szCs w:val="20"/>
                <w:color w:val="auto"/>
              </w:rPr>
            </w:pPr>
            <w:r>
              <w:rPr>
                <w:rFonts w:ascii="Arial" w:cs="Arial" w:eastAsia="Arial" w:hAnsi="Arial"/>
                <w:sz w:val="22"/>
                <w:szCs w:val="22"/>
                <w:b w:val="1"/>
                <w:bCs w:val="1"/>
                <w:color w:val="83AD40"/>
              </w:rPr>
              <w:t>APPENDIX B:</w:t>
            </w:r>
            <w:r>
              <w:rPr>
                <w:rFonts w:ascii="Arial" w:cs="Arial" w:eastAsia="Arial" w:hAnsi="Arial"/>
                <w:sz w:val="16"/>
                <w:szCs w:val="16"/>
                <w:color w:val="1F2668"/>
              </w:rPr>
              <w:t>​</w:t>
            </w:r>
          </w:p>
        </w:tc>
        <w:tc>
          <w:tcPr>
            <w:tcW w:w="540" w:type="dxa"/>
            <w:vAlign w:val="bottom"/>
            <w:gridSpan w:val="7"/>
          </w:tcPr>
          <w:p>
            <w:pPr>
              <w:ind w:left="120"/>
              <w:spacing w:after="0"/>
              <w:rPr>
                <w:sz w:val="20"/>
                <w:szCs w:val="20"/>
                <w:color w:val="auto"/>
              </w:rPr>
            </w:pPr>
            <w:r>
              <w:rPr>
                <w:rFonts w:ascii="Arial" w:cs="Arial" w:eastAsia="Arial" w:hAnsi="Arial"/>
                <w:sz w:val="22"/>
                <w:szCs w:val="22"/>
                <w:b w:val="1"/>
                <w:bCs w:val="1"/>
                <w:u w:val="single" w:color="auto"/>
                <w:color w:val="83AD40"/>
                <w:strike w:val="1"/>
              </w:rPr>
              <w:t>​B-1</w:t>
            </w:r>
          </w:p>
        </w:tc>
        <w:tc>
          <w:tcPr>
            <w:tcW w:w="0" w:type="dxa"/>
            <w:vAlign w:val="bottom"/>
          </w:tcPr>
          <w:p>
            <w:pPr>
              <w:spacing w:after="0"/>
              <w:rPr>
                <w:sz w:val="1"/>
                <w:szCs w:val="1"/>
                <w:color w:val="auto"/>
              </w:rPr>
            </w:pPr>
          </w:p>
        </w:tc>
      </w:tr>
      <w:tr>
        <w:trPr>
          <w:trHeight w:val="108"/>
        </w:trPr>
        <w:tc>
          <w:tcPr>
            <w:tcW w:w="2500" w:type="dxa"/>
            <w:vAlign w:val="bottom"/>
            <w:tcBorders>
              <w:bottom w:val="single" w:sz="8" w:color="83AD40"/>
            </w:tcBorders>
            <w:gridSpan w:val="3"/>
          </w:tcPr>
          <w:p>
            <w:pPr>
              <w:spacing w:after="0" w:line="108" w:lineRule="exact"/>
              <w:rPr>
                <w:sz w:val="20"/>
                <w:szCs w:val="20"/>
                <w:color w:val="auto"/>
              </w:rPr>
            </w:pPr>
            <w:r>
              <w:rPr>
                <w:rFonts w:ascii="Arial" w:cs="Arial" w:eastAsia="Arial" w:hAnsi="Arial"/>
                <w:sz w:val="12"/>
                <w:szCs w:val="12"/>
                <w:b w:val="1"/>
                <w:bCs w:val="1"/>
                <w:color w:val="83AD40"/>
              </w:rPr>
              <w:t>​</w:t>
            </w:r>
          </w:p>
        </w:tc>
        <w:tc>
          <w:tcPr>
            <w:tcW w:w="720" w:type="dxa"/>
            <w:vAlign w:val="bottom"/>
            <w:tcBorders>
              <w:bottom w:val="single" w:sz="8" w:color="83AD40"/>
            </w:tcBorders>
          </w:tcPr>
          <w:p>
            <w:pPr>
              <w:spacing w:after="0"/>
              <w:rPr>
                <w:sz w:val="9"/>
                <w:szCs w:val="9"/>
                <w:color w:val="auto"/>
              </w:rPr>
            </w:pPr>
          </w:p>
        </w:tc>
        <w:tc>
          <w:tcPr>
            <w:tcW w:w="480" w:type="dxa"/>
            <w:vAlign w:val="bottom"/>
            <w:tcBorders>
              <w:bottom w:val="single" w:sz="8" w:color="83AD40"/>
            </w:tcBorders>
          </w:tcPr>
          <w:p>
            <w:pPr>
              <w:spacing w:after="0"/>
              <w:rPr>
                <w:sz w:val="9"/>
                <w:szCs w:val="9"/>
                <w:color w:val="auto"/>
              </w:rPr>
            </w:pPr>
          </w:p>
        </w:tc>
        <w:tc>
          <w:tcPr>
            <w:tcW w:w="100" w:type="dxa"/>
            <w:vAlign w:val="bottom"/>
            <w:tcBorders>
              <w:bottom w:val="single" w:sz="8" w:color="83AD40"/>
            </w:tcBorders>
          </w:tcPr>
          <w:p>
            <w:pPr>
              <w:spacing w:after="0"/>
              <w:rPr>
                <w:sz w:val="9"/>
                <w:szCs w:val="9"/>
                <w:color w:val="auto"/>
              </w:rPr>
            </w:pPr>
          </w:p>
        </w:tc>
        <w:tc>
          <w:tcPr>
            <w:tcW w:w="40" w:type="dxa"/>
            <w:vAlign w:val="bottom"/>
            <w:tcBorders>
              <w:bottom w:val="single" w:sz="8" w:color="83AD40"/>
            </w:tcBorders>
          </w:tcPr>
          <w:p>
            <w:pPr>
              <w:spacing w:after="0"/>
              <w:rPr>
                <w:sz w:val="9"/>
                <w:szCs w:val="9"/>
                <w:color w:val="auto"/>
              </w:rPr>
            </w:pPr>
          </w:p>
        </w:tc>
        <w:tc>
          <w:tcPr>
            <w:tcW w:w="200" w:type="dxa"/>
            <w:vAlign w:val="bottom"/>
            <w:tcBorders>
              <w:bottom w:val="single" w:sz="8" w:color="83AD40"/>
            </w:tcBorders>
            <w:gridSpan w:val="2"/>
          </w:tcPr>
          <w:p>
            <w:pPr>
              <w:ind w:left="40"/>
              <w:spacing w:after="0" w:line="108" w:lineRule="exact"/>
              <w:rPr>
                <w:sz w:val="20"/>
                <w:szCs w:val="20"/>
                <w:color w:val="auto"/>
              </w:rPr>
            </w:pPr>
            <w:r>
              <w:rPr>
                <w:rFonts w:ascii="Arial" w:cs="Arial" w:eastAsia="Arial" w:hAnsi="Arial"/>
                <w:sz w:val="12"/>
                <w:szCs w:val="12"/>
                <w:b w:val="1"/>
                <w:bCs w:val="1"/>
                <w:color w:val="83AD40"/>
              </w:rPr>
              <w:t>​​</w:t>
            </w:r>
            <w:r>
              <w:rPr>
                <w:rFonts w:ascii="Arial" w:cs="Arial" w:eastAsia="Arial" w:hAnsi="Arial"/>
                <w:sz w:val="12"/>
                <w:szCs w:val="12"/>
                <w:b w:val="1"/>
                <w:bCs w:val="1"/>
                <w:color w:val="83AD40"/>
                <w:strike w:val="1"/>
              </w:rPr>
              <w:t>​</w:t>
            </w:r>
          </w:p>
        </w:tc>
        <w:tc>
          <w:tcPr>
            <w:tcW w:w="20" w:type="dxa"/>
            <w:vAlign w:val="bottom"/>
            <w:tcBorders>
              <w:bottom w:val="single" w:sz="8" w:color="83AD40"/>
            </w:tcBorders>
          </w:tcPr>
          <w:p>
            <w:pPr>
              <w:spacing w:after="0"/>
              <w:rPr>
                <w:sz w:val="9"/>
                <w:szCs w:val="9"/>
                <w:color w:val="auto"/>
              </w:rPr>
            </w:pPr>
          </w:p>
        </w:tc>
        <w:tc>
          <w:tcPr>
            <w:tcW w:w="40" w:type="dxa"/>
            <w:vAlign w:val="bottom"/>
            <w:tcBorders>
              <w:bottom w:val="single" w:sz="8" w:color="83AD40"/>
            </w:tcBorders>
          </w:tcPr>
          <w:p>
            <w:pPr>
              <w:spacing w:after="0"/>
              <w:rPr>
                <w:sz w:val="9"/>
                <w:szCs w:val="9"/>
                <w:color w:val="auto"/>
              </w:rPr>
            </w:pPr>
          </w:p>
        </w:tc>
        <w:tc>
          <w:tcPr>
            <w:tcW w:w="60" w:type="dxa"/>
            <w:vAlign w:val="bottom"/>
            <w:tcBorders>
              <w:bottom w:val="single" w:sz="8" w:color="83AD40"/>
            </w:tcBorders>
          </w:tcPr>
          <w:p>
            <w:pPr>
              <w:spacing w:after="0"/>
              <w:rPr>
                <w:sz w:val="9"/>
                <w:szCs w:val="9"/>
                <w:color w:val="auto"/>
              </w:rPr>
            </w:pPr>
          </w:p>
        </w:tc>
        <w:tc>
          <w:tcPr>
            <w:tcW w:w="180" w:type="dxa"/>
            <w:vAlign w:val="bottom"/>
            <w:tcBorders>
              <w:bottom w:val="single" w:sz="8" w:color="83AD40"/>
            </w:tcBorders>
          </w:tcPr>
          <w:p>
            <w:pPr>
              <w:spacing w:after="0"/>
              <w:rPr>
                <w:sz w:val="9"/>
                <w:szCs w:val="9"/>
                <w:color w:val="auto"/>
              </w:rPr>
            </w:pPr>
          </w:p>
        </w:tc>
        <w:tc>
          <w:tcPr>
            <w:tcW w:w="40" w:type="dxa"/>
            <w:vAlign w:val="bottom"/>
          </w:tcPr>
          <w:p>
            <w:pPr>
              <w:spacing w:after="0" w:line="108" w:lineRule="exact"/>
              <w:rPr>
                <w:sz w:val="20"/>
                <w:szCs w:val="20"/>
                <w:color w:val="auto"/>
              </w:rPr>
            </w:pPr>
            <w:r>
              <w:rPr>
                <w:rFonts w:ascii="Arial" w:cs="Arial" w:eastAsia="Arial" w:hAnsi="Arial"/>
                <w:sz w:val="12"/>
                <w:szCs w:val="12"/>
                <w:b w:val="1"/>
                <w:bCs w:val="1"/>
                <w:color w:val="83AD40"/>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-2870835</wp:posOffset>
            </wp:positionV>
            <wp:extent cx="23202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3202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-1756410</wp:posOffset>
            </wp:positionV>
            <wp:extent cx="22231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2231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-1336675</wp:posOffset>
            </wp:positionV>
            <wp:extent cx="145224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522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-504825</wp:posOffset>
            </wp:positionV>
            <wp:extent cx="8686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686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wp:posOffset>
            </wp:positionV>
            <wp:extent cx="8686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ectPr>
          <w:pgSz w:w="11900" w:h="16838" w:orient="portrait"/>
          <w:cols w:equalWidth="0" w:num="2">
            <w:col w:w="5200" w:space="360"/>
            <w:col w:w="4380"/>
          </w:cols>
          <w:pgMar w:left="580" w:top="97" w:right="1379"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91"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1F2668"/>
        </w:rPr>
        <w:t>10</w:t>
      </w:r>
    </w:p>
    <w:p>
      <w:pPr>
        <w:spacing w:after="0" w:line="12" w:lineRule="exact"/>
        <w:rPr>
          <w:sz w:val="20"/>
          <w:szCs w:val="20"/>
          <w:color w:val="auto"/>
        </w:rPr>
      </w:pPr>
    </w:p>
    <w:p>
      <w:pPr>
        <w:ind w:left="820"/>
        <w:spacing w:after="0"/>
        <w:tabs>
          <w:tab w:leader="none" w:pos="1440" w:val="left"/>
          <w:tab w:leader="none" w:pos="9860" w:val="left"/>
        </w:tabs>
        <w:rPr>
          <w:sz w:val="20"/>
          <w:szCs w:val="20"/>
          <w:color w:val="auto"/>
        </w:rPr>
      </w:pPr>
      <w:r>
        <w:rPr>
          <w:rFonts w:ascii="Arial" w:cs="Arial" w:eastAsia="Arial" w:hAnsi="Arial"/>
          <w:sz w:val="22"/>
          <w:szCs w:val="22"/>
          <w:b w:val="1"/>
          <w:bCs w:val="1"/>
          <w:color w:val="1F2668"/>
        </w:rPr>
        <w:t>​</w:t>
      </w:r>
      <w:r>
        <w:rPr>
          <w:sz w:val="20"/>
          <w:szCs w:val="20"/>
          <w:color w:val="auto"/>
        </w:rPr>
        <w:tab/>
      </w:r>
      <w:r>
        <w:rPr>
          <w:rFonts w:ascii="Arial" w:cs="Arial" w:eastAsia="Arial" w:hAnsi="Arial"/>
          <w:sz w:val="22"/>
          <w:szCs w:val="22"/>
          <w:b w:val="1"/>
          <w:bCs w:val="1"/>
          <w:color w:val="1F2668"/>
        </w:rPr>
        <w:t>​ ​</w:t>
      </w:r>
      <w:r>
        <w:rPr>
          <w:sz w:val="20"/>
          <w:szCs w:val="20"/>
          <w:color w:val="auto"/>
        </w:rPr>
        <w:tab/>
      </w:r>
      <w:r>
        <w:rPr>
          <w:rFonts w:ascii="Arial" w:cs="Arial" w:eastAsia="Arial" w:hAnsi="Arial"/>
          <w:sz w:val="22"/>
          <w:szCs w:val="22"/>
          <w:b w:val="1"/>
          <w:bCs w:val="1"/>
          <w:color w:val="1F2668"/>
        </w:rPr>
        <w:t>​</w:t>
      </w:r>
    </w:p>
    <w:p>
      <w:pPr>
        <w:spacing w:after="0" w:line="200" w:lineRule="exact"/>
        <w:rPr>
          <w:sz w:val="20"/>
          <w:szCs w:val="20"/>
          <w:color w:val="auto"/>
        </w:rPr>
      </w:pPr>
    </w:p>
    <w:p>
      <w:pPr>
        <w:spacing w:after="0" w:line="280" w:lineRule="exact"/>
        <w:rPr>
          <w:sz w:val="20"/>
          <w:szCs w:val="20"/>
          <w:color w:val="auto"/>
        </w:rPr>
      </w:pPr>
    </w:p>
    <w:p>
      <w:pPr>
        <w:ind w:left="820" w:right="600"/>
        <w:spacing w:after="0" w:line="305" w:lineRule="auto"/>
        <w:rPr>
          <w:sz w:val="20"/>
          <w:szCs w:val="20"/>
          <w:color w:val="auto"/>
        </w:rPr>
      </w:pPr>
      <w:r>
        <w:rPr>
          <w:rFonts w:ascii="Arial" w:cs="Arial" w:eastAsia="Arial" w:hAnsi="Arial"/>
          <w:sz w:val="38"/>
          <w:szCs w:val="38"/>
          <w:b w:val="1"/>
          <w:bCs w:val="1"/>
          <w:color w:val="1F2668"/>
        </w:rPr>
        <w:t>OUR 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118745</wp:posOffset>
            </wp:positionV>
            <wp:extent cx="6789420" cy="548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89420" cy="54864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83AD40"/>
        </w:rPr>
        <w:t>PROPOSAL 1</w:t>
      </w:r>
      <w:r>
        <w:rPr>
          <w:rFonts w:ascii="Arial" w:cs="Arial" w:eastAsia="Arial" w:hAnsi="Arial"/>
          <w:sz w:val="16"/>
          <w:szCs w:val="16"/>
          <w:color w:val="000000"/>
        </w:rPr>
        <w:t>​</w:t>
      </w:r>
    </w:p>
    <w:p>
      <w:pPr>
        <w:sectPr>
          <w:pgSz w:w="11900" w:h="16838" w:orient="portrait"/>
          <w:cols w:equalWidth="0" w:num="1">
            <w:col w:w="9980"/>
          </w:cols>
          <w:pgMar w:left="580" w:top="97" w:right="1339" w:bottom="1440" w:gutter="0" w:footer="0" w:header="0"/>
        </w:sectPr>
      </w:pPr>
    </w:p>
    <w:p>
      <w:pPr>
        <w:spacing w:after="0" w:line="312" w:lineRule="exact"/>
        <w:rPr>
          <w:sz w:val="20"/>
          <w:szCs w:val="20"/>
          <w:color w:val="auto"/>
        </w:rPr>
      </w:pPr>
    </w:p>
    <w:p>
      <w:pPr>
        <w:spacing w:after="0"/>
        <w:tabs>
          <w:tab w:leader="none" w:pos="820" w:val="left"/>
        </w:tabs>
        <w:rPr>
          <w:sz w:val="20"/>
          <w:szCs w:val="20"/>
          <w:color w:val="auto"/>
        </w:rPr>
      </w:pPr>
      <w:r>
        <w:rPr>
          <w:rFonts w:ascii="Arial" w:cs="Arial" w:eastAsia="Arial" w:hAnsi="Arial"/>
          <w:sz w:val="32"/>
          <w:szCs w:val="32"/>
          <w:b w:val="1"/>
          <w:bCs w:val="1"/>
          <w:color w:val="1F2668"/>
        </w:rPr>
        <w:t>​</w:t>
      </w:r>
      <w:r>
        <w:rPr>
          <w:sz w:val="20"/>
          <w:szCs w:val="20"/>
          <w:color w:val="auto"/>
        </w:rPr>
        <w:tab/>
      </w:r>
      <w:r>
        <w:rPr>
          <w:rFonts w:ascii="Arial" w:cs="Arial" w:eastAsia="Arial" w:hAnsi="Arial"/>
          <w:sz w:val="32"/>
          <w:szCs w:val="32"/>
          <w:b w:val="1"/>
          <w:bCs w:val="1"/>
          <w:color w:val="1F2668"/>
        </w:rPr>
        <w:t>ELECTION OF DIRECTORS</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-213995</wp:posOffset>
            </wp:positionV>
            <wp:extent cx="6789420" cy="43719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89420" cy="437197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ind w:left="820"/>
        <w:spacing w:after="0" w:line="299" w:lineRule="auto"/>
        <w:rPr>
          <w:sz w:val="20"/>
          <w:szCs w:val="20"/>
          <w:color w:val="auto"/>
        </w:rPr>
      </w:pPr>
      <w:r>
        <w:rPr>
          <w:rFonts w:ascii="Arial" w:cs="Arial" w:eastAsia="Arial" w:hAnsi="Arial"/>
          <w:sz w:val="15"/>
          <w:szCs w:val="15"/>
          <w:color w:val="auto"/>
        </w:rPr>
        <w:t>The Board, upon the recommendation of the Nominating and Corporate Governance Committee, has nominated eight directors for election to serve until the 2026 Annual Meeting of stockholders and until their successors are duly elected and qualify.</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435"/>
        </w:trPr>
        <w:tc>
          <w:tcPr>
            <w:tcW w:w="440" w:type="dxa"/>
            <w:vAlign w:val="bottom"/>
          </w:tcPr>
          <w:p>
            <w:pPr>
              <w:spacing w:after="0"/>
              <w:rPr>
                <w:sz w:val="20"/>
                <w:szCs w:val="20"/>
                <w:color w:val="auto"/>
              </w:rPr>
            </w:pPr>
            <w:r>
              <w:rPr>
                <w:rFonts w:ascii="Arial" w:cs="Arial" w:eastAsia="Arial" w:hAnsi="Arial"/>
                <w:sz w:val="16"/>
                <w:szCs w:val="16"/>
                <w:color w:val="auto"/>
              </w:rPr>
              <w:t>​</w:t>
            </w:r>
          </w:p>
        </w:tc>
        <w:tc>
          <w:tcPr>
            <w:tcW w:w="500" w:type="dxa"/>
            <w:vAlign w:val="bottom"/>
          </w:tcPr>
          <w:p>
            <w:pPr>
              <w:ind w:left="380"/>
              <w:spacing w:after="0"/>
              <w:rPr>
                <w:sz w:val="20"/>
                <w:szCs w:val="20"/>
                <w:color w:val="auto"/>
              </w:rPr>
            </w:pPr>
            <w:r>
              <w:rPr>
                <w:rFonts w:ascii="Arial" w:cs="Arial" w:eastAsia="Arial" w:hAnsi="Arial"/>
                <w:sz w:val="16"/>
                <w:szCs w:val="16"/>
                <w:color w:val="auto"/>
              </w:rPr>
              <w:t>•</w:t>
            </w:r>
          </w:p>
        </w:tc>
        <w:tc>
          <w:tcPr>
            <w:tcW w:w="2040" w:type="dxa"/>
            <w:vAlign w:val="bottom"/>
          </w:tcPr>
          <w:p>
            <w:pPr>
              <w:ind w:left="60"/>
              <w:spacing w:after="0"/>
              <w:rPr>
                <w:sz w:val="20"/>
                <w:szCs w:val="20"/>
                <w:color w:val="auto"/>
              </w:rPr>
            </w:pPr>
            <w:r>
              <w:rPr>
                <w:rFonts w:ascii="Arial" w:cs="Arial" w:eastAsia="Arial" w:hAnsi="Arial"/>
                <w:sz w:val="16"/>
                <w:szCs w:val="16"/>
                <w:color w:val="auto"/>
              </w:rPr>
              <w:t>John H. Alschuler</w:t>
            </w:r>
          </w:p>
        </w:tc>
        <w:tc>
          <w:tcPr>
            <w:tcW w:w="1060" w:type="dxa"/>
            <w:vAlign w:val="bottom"/>
          </w:tcPr>
          <w:p>
            <w:pPr>
              <w:jc w:val="right"/>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32"/>
                <w:szCs w:val="32"/>
                <w:color w:val="auto"/>
                <w:vertAlign w:val="subscript"/>
              </w:rPr>
              <w:t>•</w:t>
            </w:r>
          </w:p>
        </w:tc>
        <w:tc>
          <w:tcPr>
            <w:tcW w:w="2020" w:type="dxa"/>
            <w:vAlign w:val="bottom"/>
          </w:tcPr>
          <w:p>
            <w:pPr>
              <w:ind w:left="40"/>
              <w:spacing w:after="0"/>
              <w:rPr>
                <w:sz w:val="20"/>
                <w:szCs w:val="20"/>
                <w:color w:val="auto"/>
              </w:rPr>
            </w:pPr>
            <w:r>
              <w:rPr>
                <w:rFonts w:ascii="Arial" w:cs="Arial" w:eastAsia="Arial" w:hAnsi="Arial"/>
                <w:sz w:val="16"/>
                <w:szCs w:val="16"/>
                <w:color w:val="auto"/>
              </w:rPr>
              <w:t>Stephen L. Green</w:t>
            </w:r>
          </w:p>
        </w:tc>
        <w:tc>
          <w:tcPr>
            <w:tcW w:w="1060" w:type="dxa"/>
            <w:vAlign w:val="bottom"/>
          </w:tcPr>
          <w:p>
            <w:pPr>
              <w:jc w:val="right"/>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32"/>
                <w:szCs w:val="32"/>
                <w:color w:val="auto"/>
                <w:vertAlign w:val="subscript"/>
              </w:rPr>
              <w:t>•</w:t>
            </w:r>
          </w:p>
        </w:tc>
        <w:tc>
          <w:tcPr>
            <w:tcW w:w="1420" w:type="dxa"/>
            <w:vAlign w:val="bottom"/>
          </w:tcPr>
          <w:p>
            <w:pPr>
              <w:ind w:left="60"/>
              <w:spacing w:after="0"/>
              <w:rPr>
                <w:sz w:val="20"/>
                <w:szCs w:val="20"/>
                <w:color w:val="auto"/>
              </w:rPr>
            </w:pPr>
            <w:r>
              <w:rPr>
                <w:rFonts w:ascii="Arial" w:cs="Arial" w:eastAsia="Arial" w:hAnsi="Arial"/>
                <w:sz w:val="16"/>
                <w:szCs w:val="16"/>
                <w:color w:val="auto"/>
              </w:rPr>
              <w:t>Peggy Lamb</w:t>
            </w: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500" w:type="dxa"/>
            <w:vAlign w:val="bottom"/>
          </w:tcPr>
          <w:p>
            <w:pPr>
              <w:ind w:left="380"/>
              <w:spacing w:after="0"/>
              <w:rPr>
                <w:sz w:val="20"/>
                <w:szCs w:val="20"/>
                <w:color w:val="auto"/>
              </w:rPr>
            </w:pPr>
            <w:r>
              <w:rPr>
                <w:rFonts w:ascii="Arial" w:cs="Arial" w:eastAsia="Arial" w:hAnsi="Arial"/>
                <w:sz w:val="16"/>
                <w:szCs w:val="16"/>
                <w:color w:val="auto"/>
              </w:rPr>
              <w:t>•</w:t>
            </w:r>
          </w:p>
        </w:tc>
        <w:tc>
          <w:tcPr>
            <w:tcW w:w="2040" w:type="dxa"/>
            <w:vAlign w:val="bottom"/>
          </w:tcPr>
          <w:p>
            <w:pPr>
              <w:ind w:left="60"/>
              <w:spacing w:after="0"/>
              <w:rPr>
                <w:sz w:val="20"/>
                <w:szCs w:val="20"/>
                <w:color w:val="auto"/>
              </w:rPr>
            </w:pPr>
            <w:r>
              <w:rPr>
                <w:rFonts w:ascii="Arial" w:cs="Arial" w:eastAsia="Arial" w:hAnsi="Arial"/>
                <w:sz w:val="16"/>
                <w:szCs w:val="16"/>
                <w:color w:val="auto"/>
              </w:rPr>
              <w:t>Carol N. Brown</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020" w:type="dxa"/>
            <w:vAlign w:val="bottom"/>
          </w:tcPr>
          <w:p>
            <w:pPr>
              <w:ind w:left="40"/>
              <w:spacing w:after="0"/>
              <w:rPr>
                <w:sz w:val="20"/>
                <w:szCs w:val="20"/>
                <w:color w:val="auto"/>
              </w:rPr>
            </w:pPr>
            <w:r>
              <w:rPr>
                <w:rFonts w:ascii="Arial" w:cs="Arial" w:eastAsia="Arial" w:hAnsi="Arial"/>
                <w:sz w:val="16"/>
                <w:szCs w:val="16"/>
                <w:color w:val="auto"/>
              </w:rPr>
              <w:t>Craig M. Hatkoff</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ind w:left="60"/>
              <w:spacing w:after="0"/>
              <w:rPr>
                <w:sz w:val="20"/>
                <w:szCs w:val="20"/>
                <w:color w:val="auto"/>
              </w:rPr>
            </w:pPr>
            <w:r>
              <w:rPr>
                <w:rFonts w:ascii="Arial" w:cs="Arial" w:eastAsia="Arial" w:hAnsi="Arial"/>
                <w:sz w:val="16"/>
                <w:szCs w:val="16"/>
                <w:color w:val="auto"/>
                <w:w w:val="96"/>
              </w:rPr>
              <w:t>Andrew W. Mathias</w:t>
            </w:r>
          </w:p>
        </w:tc>
        <w:tc>
          <w:tcPr>
            <w:tcW w:w="0" w:type="dxa"/>
            <w:vAlign w:val="bottom"/>
          </w:tcPr>
          <w:p>
            <w:pPr>
              <w:spacing w:after="0"/>
              <w:rPr>
                <w:sz w:val="1"/>
                <w:szCs w:val="1"/>
                <w:color w:val="auto"/>
              </w:rPr>
            </w:pPr>
          </w:p>
        </w:tc>
      </w:tr>
      <w:tr>
        <w:trPr>
          <w:trHeight w:val="257"/>
        </w:trPr>
        <w:tc>
          <w:tcPr>
            <w:tcW w:w="440" w:type="dxa"/>
            <w:vAlign w:val="bottom"/>
          </w:tcPr>
          <w:p>
            <w:pPr>
              <w:spacing w:after="0"/>
              <w:rPr>
                <w:sz w:val="22"/>
                <w:szCs w:val="22"/>
                <w:color w:val="auto"/>
              </w:rPr>
            </w:pPr>
          </w:p>
        </w:tc>
        <w:tc>
          <w:tcPr>
            <w:tcW w:w="500" w:type="dxa"/>
            <w:vAlign w:val="bottom"/>
          </w:tcPr>
          <w:p>
            <w:pPr>
              <w:ind w:left="380"/>
              <w:spacing w:after="0"/>
              <w:rPr>
                <w:sz w:val="20"/>
                <w:szCs w:val="20"/>
                <w:color w:val="auto"/>
              </w:rPr>
            </w:pPr>
            <w:r>
              <w:rPr>
                <w:rFonts w:ascii="Arial" w:cs="Arial" w:eastAsia="Arial" w:hAnsi="Arial"/>
                <w:sz w:val="16"/>
                <w:szCs w:val="16"/>
                <w:color w:val="auto"/>
              </w:rPr>
              <w:t>•</w:t>
            </w:r>
          </w:p>
        </w:tc>
        <w:tc>
          <w:tcPr>
            <w:tcW w:w="2040" w:type="dxa"/>
            <w:vAlign w:val="bottom"/>
          </w:tcPr>
          <w:p>
            <w:pPr>
              <w:ind w:left="60"/>
              <w:spacing w:after="0"/>
              <w:rPr>
                <w:sz w:val="20"/>
                <w:szCs w:val="20"/>
                <w:color w:val="auto"/>
              </w:rPr>
            </w:pPr>
            <w:r>
              <w:rPr>
                <w:rFonts w:ascii="Arial" w:cs="Arial" w:eastAsia="Arial" w:hAnsi="Arial"/>
                <w:sz w:val="16"/>
                <w:szCs w:val="16"/>
                <w:color w:val="auto"/>
              </w:rPr>
              <w:t>Lauren B. Dillard</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20" w:type="dxa"/>
            <w:vAlign w:val="bottom"/>
            <w:vMerge w:val="restart"/>
          </w:tcPr>
          <w:p>
            <w:pPr>
              <w:ind w:left="40"/>
              <w:spacing w:after="0"/>
              <w:rPr>
                <w:sz w:val="20"/>
                <w:szCs w:val="20"/>
                <w:color w:val="auto"/>
              </w:rPr>
            </w:pPr>
            <w:r>
              <w:rPr>
                <w:rFonts w:ascii="Arial" w:cs="Arial" w:eastAsia="Arial" w:hAnsi="Arial"/>
                <w:sz w:val="16"/>
                <w:szCs w:val="16"/>
                <w:color w:val="auto"/>
              </w:rPr>
              <w:t>Marc Holliday</w:t>
            </w:r>
          </w:p>
        </w:tc>
        <w:tc>
          <w:tcPr>
            <w:tcW w:w="10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4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202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rPr>
          <w:sz w:val="20"/>
          <w:szCs w:val="20"/>
          <w:color w:val="auto"/>
        </w:rPr>
      </w:pPr>
      <w:r>
        <w:rPr>
          <w:rFonts w:ascii="Arial" w:cs="Arial" w:eastAsia="Arial" w:hAnsi="Arial"/>
          <w:sz w:val="32"/>
          <w:szCs w:val="32"/>
          <w:b w:val="1"/>
          <w:bCs w:val="1"/>
          <w:color w:val="1F2668"/>
        </w:rPr>
        <w:t>​</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693" w:lineRule="exact"/>
        <w:rPr>
          <w:sz w:val="20"/>
          <w:szCs w:val="20"/>
          <w:color w:val="auto"/>
        </w:rPr>
      </w:pPr>
    </w:p>
    <w:p>
      <w:pPr>
        <w:sectPr>
          <w:pgSz w:w="11900" w:h="16838" w:orient="portrait"/>
          <w:cols w:equalWidth="0" w:num="2">
            <w:col w:w="9740" w:space="140"/>
            <w:col w:w="100"/>
          </w:cols>
          <w:pgMar w:left="580" w:top="97" w:right="1339" w:bottom="1440" w:gutter="0" w:footer="0" w:header="0"/>
          <w:type w:val="continuous"/>
        </w:sectPr>
      </w:pPr>
    </w:p>
    <w:p>
      <w:pPr>
        <w:spacing w:after="0"/>
        <w:tabs>
          <w:tab w:leader="none" w:pos="800" w:val="left"/>
          <w:tab w:leader="none" w:pos="9860" w:val="left"/>
        </w:tabs>
        <w:rPr>
          <w:sz w:val="20"/>
          <w:szCs w:val="20"/>
          <w:color w:val="auto"/>
        </w:rPr>
      </w:pPr>
      <w:r>
        <w:rPr>
          <w:rFonts w:ascii="Arial" w:cs="Arial" w:eastAsia="Arial" w:hAnsi="Arial"/>
          <w:sz w:val="32"/>
          <w:szCs w:val="32"/>
          <w:color w:val="auto"/>
          <w:vertAlign w:val="superscript"/>
        </w:rPr>
        <w:t>​</w:t>
      </w:r>
      <w:r>
        <w:rPr>
          <w:sz w:val="20"/>
          <w:szCs w:val="20"/>
          <w:color w:val="auto"/>
        </w:rPr>
        <w:tab/>
      </w:r>
      <w:r>
        <w:rPr>
          <w:rFonts w:ascii="Arial" w:cs="Arial" w:eastAsia="Arial" w:hAnsi="Arial"/>
          <w:sz w:val="16"/>
          <w:szCs w:val="16"/>
          <w:color w:val="auto"/>
        </w:rPr>
        <w:t>Each of the nominees is currently serving as a director, and has consented to being named in this proxy statement and to serve</w:t>
      </w:r>
      <w:r>
        <w:rPr>
          <w:sz w:val="20"/>
          <w:szCs w:val="20"/>
          <w:color w:val="auto"/>
        </w:rPr>
        <w:tab/>
      </w:r>
      <w:r>
        <w:rPr>
          <w:rFonts w:ascii="Arial" w:cs="Arial" w:eastAsia="Arial" w:hAnsi="Arial"/>
          <w:sz w:val="32"/>
          <w:szCs w:val="32"/>
          <w:color w:val="auto"/>
          <w:vertAlign w:val="superscript"/>
        </w:rPr>
        <w:t>​</w:t>
      </w:r>
    </w:p>
    <w:p>
      <w:pPr>
        <w:ind w:left="820" w:right="240"/>
        <w:spacing w:after="0" w:line="283" w:lineRule="auto"/>
        <w:rPr>
          <w:sz w:val="20"/>
          <w:szCs w:val="20"/>
          <w:color w:val="auto"/>
        </w:rPr>
      </w:pPr>
      <w:r>
        <w:rPr>
          <w:rFonts w:ascii="Arial" w:cs="Arial" w:eastAsia="Arial" w:hAnsi="Arial"/>
          <w:sz w:val="16"/>
          <w:szCs w:val="16"/>
          <w:color w:val="auto"/>
        </w:rPr>
        <w:t>as a director if elected. However, if any of the nominees is unable to accept election, proxies voted in favor of such nominee will be voted for the election of such other person as the Board nominates or the Board may reduce the size of the Board.</w:t>
      </w:r>
    </w:p>
    <w:p>
      <w:pPr>
        <w:spacing w:after="0" w:line="273"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Majority Voting Standard</w:t>
      </w:r>
      <w:r>
        <w:rPr>
          <w:rFonts w:ascii="Arial" w:cs="Arial" w:eastAsia="Arial" w:hAnsi="Arial"/>
          <w:sz w:val="16"/>
          <w:szCs w:val="16"/>
          <w:color w:val="000000"/>
        </w:rPr>
        <w:t>​</w:t>
      </w:r>
    </w:p>
    <w:p>
      <w:pPr>
        <w:spacing w:after="0" w:line="146" w:lineRule="exact"/>
        <w:rPr>
          <w:sz w:val="20"/>
          <w:szCs w:val="20"/>
          <w:color w:val="auto"/>
        </w:rPr>
      </w:pPr>
    </w:p>
    <w:p>
      <w:pPr>
        <w:ind w:left="820" w:right="140"/>
        <w:spacing w:after="0" w:line="265" w:lineRule="auto"/>
        <w:rPr>
          <w:sz w:val="20"/>
          <w:szCs w:val="20"/>
          <w:color w:val="auto"/>
        </w:rPr>
      </w:pPr>
      <w:r>
        <w:rPr>
          <w:rFonts w:ascii="Arial" w:cs="Arial" w:eastAsia="Arial" w:hAnsi="Arial"/>
          <w:sz w:val="16"/>
          <w:szCs w:val="16"/>
          <w:color w:val="auto"/>
        </w:rPr>
        <w:t>A majority of all the votes cast with respect to a nominee’s election is required for such nominee to be elected to serve on the Board. This means that the number of votes cast “for” a nominee must exceed the number of votes cast “against” such nominee, with abstentions and broker non-votes not counted as a vote cast either “for” or “against” a nominee. For more information on the operation of our majority voting standard in director elections, see the section entitled “Our Board of Directors and Corporate Governance—Corporate Governance—Majority Voting Standard and Director Resignation Policy.”</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
        </w:trPr>
        <w:tc>
          <w:tcPr>
            <w:tcW w:w="820" w:type="dxa"/>
            <w:vAlign w:val="bottom"/>
          </w:tcPr>
          <w:p>
            <w:pPr>
              <w:spacing w:after="0"/>
              <w:rPr>
                <w:sz w:val="2"/>
                <w:szCs w:val="2"/>
                <w:color w:val="auto"/>
              </w:rPr>
            </w:pPr>
          </w:p>
        </w:tc>
        <w:tc>
          <w:tcPr>
            <w:tcW w:w="160" w:type="dxa"/>
            <w:vAlign w:val="bottom"/>
            <w:vMerge w:val="restart"/>
          </w:tcPr>
          <w:p>
            <w:pPr>
              <w:spacing w:after="0"/>
              <w:rPr>
                <w:sz w:val="20"/>
                <w:szCs w:val="20"/>
                <w:color w:val="auto"/>
              </w:rPr>
            </w:pPr>
            <w:r>
              <w:rPr>
                <w:rFonts w:ascii="Arial" w:cs="Arial" w:eastAsia="Arial" w:hAnsi="Arial"/>
                <w:sz w:val="20"/>
                <w:szCs w:val="20"/>
                <w:b w:val="1"/>
                <w:bCs w:val="1"/>
                <w:color w:val="1F2668"/>
              </w:rPr>
              <w:t>​</w:t>
            </w:r>
          </w:p>
        </w:tc>
        <w:tc>
          <w:tcPr>
            <w:tcW w:w="7680" w:type="dxa"/>
            <w:vAlign w:val="bottom"/>
            <w:vMerge w:val="restart"/>
          </w:tcPr>
          <w:p>
            <w:pPr>
              <w:ind w:left="6620"/>
              <w:spacing w:after="0"/>
              <w:rPr>
                <w:sz w:val="20"/>
                <w:szCs w:val="20"/>
                <w:color w:val="auto"/>
              </w:rPr>
            </w:pPr>
            <w:r>
              <w:rPr>
                <w:rFonts w:ascii="Arial" w:cs="Arial" w:eastAsia="Arial" w:hAnsi="Arial"/>
                <w:sz w:val="20"/>
                <w:szCs w:val="20"/>
                <w:b w:val="1"/>
                <w:bCs w:val="1"/>
                <w:color w:val="1F2668"/>
              </w:rPr>
              <w:t>​  ​</w:t>
            </w:r>
          </w:p>
        </w:tc>
        <w:tc>
          <w:tcPr>
            <w:tcW w:w="1220" w:type="dxa"/>
            <w:vAlign w:val="bottom"/>
            <w:vMerge w:val="restart"/>
          </w:tcPr>
          <w:p>
            <w:pPr>
              <w:ind w:left="760"/>
              <w:spacing w:after="0"/>
              <w:rPr>
                <w:sz w:val="20"/>
                <w:szCs w:val="20"/>
                <w:color w:val="auto"/>
              </w:rPr>
            </w:pPr>
            <w:r>
              <w:rPr>
                <w:rFonts w:ascii="Arial" w:cs="Arial" w:eastAsia="Arial" w:hAnsi="Arial"/>
                <w:sz w:val="20"/>
                <w:szCs w:val="20"/>
                <w:b w:val="1"/>
                <w:bCs w:val="1"/>
                <w:color w:val="1F2668"/>
              </w:rPr>
              <w:t>​</w:t>
            </w:r>
          </w:p>
        </w:tc>
        <w:tc>
          <w:tcPr>
            <w:tcW w:w="0" w:type="dxa"/>
            <w:vAlign w:val="bottom"/>
          </w:tcPr>
          <w:p>
            <w:pPr>
              <w:spacing w:after="0" w:line="20" w:lineRule="exact"/>
              <w:rPr>
                <w:sz w:val="1"/>
                <w:szCs w:val="1"/>
                <w:color w:val="auto"/>
              </w:rPr>
            </w:pPr>
          </w:p>
        </w:tc>
      </w:tr>
      <w:tr>
        <w:trPr>
          <w:trHeight w:val="250"/>
        </w:trPr>
        <w:tc>
          <w:tcPr>
            <w:tcW w:w="820" w:type="dxa"/>
            <w:vAlign w:val="bottom"/>
            <w:shd w:val="clear" w:color="auto" w:fill="E9F9D8"/>
          </w:tcPr>
          <w:p>
            <w:pPr>
              <w:spacing w:after="0"/>
              <w:rPr>
                <w:sz w:val="21"/>
                <w:szCs w:val="21"/>
                <w:color w:val="auto"/>
              </w:rPr>
            </w:pPr>
          </w:p>
        </w:tc>
        <w:tc>
          <w:tcPr>
            <w:tcW w:w="160" w:type="dxa"/>
            <w:vAlign w:val="bottom"/>
            <w:vMerge w:val="continue"/>
          </w:tcPr>
          <w:p>
            <w:pPr>
              <w:spacing w:after="0"/>
              <w:rPr>
                <w:sz w:val="21"/>
                <w:szCs w:val="21"/>
                <w:color w:val="auto"/>
              </w:rPr>
            </w:pPr>
          </w:p>
        </w:tc>
        <w:tc>
          <w:tcPr>
            <w:tcW w:w="7680" w:type="dxa"/>
            <w:vAlign w:val="bottom"/>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820" w:type="dxa"/>
            <w:vAlign w:val="bottom"/>
            <w:shd w:val="clear" w:color="auto" w:fill="E9F9D8"/>
          </w:tcPr>
          <w:p>
            <w:pPr>
              <w:spacing w:after="0"/>
              <w:rPr>
                <w:sz w:val="24"/>
                <w:szCs w:val="24"/>
                <w:color w:val="auto"/>
              </w:rPr>
            </w:pPr>
          </w:p>
        </w:tc>
        <w:tc>
          <w:tcPr>
            <w:tcW w:w="160" w:type="dxa"/>
            <w:vAlign w:val="bottom"/>
          </w:tcPr>
          <w:p>
            <w:pPr>
              <w:spacing w:after="0"/>
              <w:rPr>
                <w:sz w:val="24"/>
                <w:szCs w:val="24"/>
                <w:color w:val="auto"/>
              </w:rPr>
            </w:pPr>
          </w:p>
        </w:tc>
        <w:tc>
          <w:tcPr>
            <w:tcW w:w="7680" w:type="dxa"/>
            <w:vAlign w:val="bottom"/>
          </w:tcPr>
          <w:p>
            <w:pPr>
              <w:ind w:left="100"/>
              <w:spacing w:after="0"/>
              <w:rPr>
                <w:sz w:val="20"/>
                <w:szCs w:val="20"/>
                <w:color w:val="auto"/>
              </w:rPr>
            </w:pPr>
            <w:r>
              <w:rPr>
                <w:rFonts w:ascii="Arial" w:cs="Arial" w:eastAsia="Arial" w:hAnsi="Arial"/>
                <w:sz w:val="20"/>
                <w:szCs w:val="20"/>
                <w:b w:val="1"/>
                <w:bCs w:val="1"/>
                <w:color w:val="1F2668"/>
              </w:rPr>
              <w:t xml:space="preserve">The Board unanimously recommends a vote </w:t>
            </w:r>
            <w:r>
              <w:rPr>
                <w:rFonts w:ascii="Arial" w:cs="Arial" w:eastAsia="Arial" w:hAnsi="Arial"/>
                <w:sz w:val="20"/>
                <w:szCs w:val="20"/>
                <w:b w:val="1"/>
                <w:bCs w:val="1"/>
                <w:color w:val="83AD40"/>
              </w:rPr>
              <w:t>“FOR”</w:t>
            </w:r>
            <w:r>
              <w:rPr>
                <w:rFonts w:ascii="Arial" w:cs="Arial" w:eastAsia="Arial" w:hAnsi="Arial"/>
                <w:sz w:val="20"/>
                <w:szCs w:val="20"/>
                <w:b w:val="1"/>
                <w:bCs w:val="1"/>
                <w:color w:val="1F2668"/>
              </w:rPr>
              <w:t xml:space="preserve"> the election of</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shd w:val="clear" w:color="auto" w:fill="E9F9D8"/>
          </w:tcPr>
          <w:p>
            <w:pPr>
              <w:spacing w:after="0"/>
              <w:rPr>
                <w:sz w:val="19"/>
                <w:szCs w:val="19"/>
                <w:color w:val="auto"/>
              </w:rPr>
            </w:pPr>
          </w:p>
        </w:tc>
        <w:tc>
          <w:tcPr>
            <w:tcW w:w="160" w:type="dxa"/>
            <w:vAlign w:val="bottom"/>
          </w:tcPr>
          <w:p>
            <w:pPr>
              <w:spacing w:after="0"/>
              <w:rPr>
                <w:sz w:val="19"/>
                <w:szCs w:val="19"/>
                <w:color w:val="auto"/>
              </w:rPr>
            </w:pPr>
          </w:p>
        </w:tc>
        <w:tc>
          <w:tcPr>
            <w:tcW w:w="7680" w:type="dxa"/>
            <w:vAlign w:val="bottom"/>
          </w:tcPr>
          <w:p>
            <w:pPr>
              <w:ind w:left="100"/>
              <w:spacing w:after="0"/>
              <w:rPr>
                <w:sz w:val="20"/>
                <w:szCs w:val="20"/>
                <w:color w:val="auto"/>
              </w:rPr>
            </w:pPr>
            <w:r>
              <w:rPr>
                <w:rFonts w:ascii="Arial" w:cs="Arial" w:eastAsia="Arial" w:hAnsi="Arial"/>
                <w:sz w:val="20"/>
                <w:szCs w:val="20"/>
                <w:b w:val="1"/>
                <w:bCs w:val="1"/>
                <w:color w:val="1F2668"/>
              </w:rPr>
              <w:t>Messrs. Alschuler, Green, Hatkoff, Holliday and Mathias and Mses.</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820" w:type="dxa"/>
            <w:vAlign w:val="bottom"/>
            <w:shd w:val="clear" w:color="auto" w:fill="E9F9D8"/>
          </w:tcPr>
          <w:p>
            <w:pPr>
              <w:spacing w:after="0"/>
              <w:rPr>
                <w:sz w:val="23"/>
                <w:szCs w:val="23"/>
                <w:color w:val="auto"/>
              </w:rPr>
            </w:pPr>
          </w:p>
        </w:tc>
        <w:tc>
          <w:tcPr>
            <w:tcW w:w="160" w:type="dxa"/>
            <w:vAlign w:val="bottom"/>
          </w:tcPr>
          <w:p>
            <w:pPr>
              <w:spacing w:after="0"/>
              <w:rPr>
                <w:sz w:val="23"/>
                <w:szCs w:val="23"/>
                <w:color w:val="auto"/>
              </w:rPr>
            </w:pPr>
          </w:p>
        </w:tc>
        <w:tc>
          <w:tcPr>
            <w:tcW w:w="7680" w:type="dxa"/>
            <w:vAlign w:val="bottom"/>
          </w:tcPr>
          <w:p>
            <w:pPr>
              <w:ind w:left="100"/>
              <w:spacing w:after="0"/>
              <w:rPr>
                <w:sz w:val="20"/>
                <w:szCs w:val="20"/>
                <w:color w:val="auto"/>
              </w:rPr>
            </w:pPr>
            <w:r>
              <w:rPr>
                <w:rFonts w:ascii="Arial" w:cs="Arial" w:eastAsia="Arial" w:hAnsi="Arial"/>
                <w:sz w:val="20"/>
                <w:szCs w:val="20"/>
                <w:b w:val="1"/>
                <w:bCs w:val="1"/>
                <w:color w:val="1F2668"/>
              </w:rPr>
              <w:t>Brown, Dillard and Lamb.</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8"/>
        </w:trPr>
        <w:tc>
          <w:tcPr>
            <w:tcW w:w="820" w:type="dxa"/>
            <w:vAlign w:val="bottom"/>
            <w:shd w:val="clear" w:color="auto" w:fill="E9F9D8"/>
          </w:tcPr>
          <w:p>
            <w:pPr>
              <w:spacing w:after="0"/>
              <w:rPr>
                <w:sz w:val="24"/>
                <w:szCs w:val="24"/>
                <w:color w:val="auto"/>
              </w:rPr>
            </w:pPr>
          </w:p>
        </w:tc>
        <w:tc>
          <w:tcPr>
            <w:tcW w:w="16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0" w:type="dxa"/>
            <w:vAlign w:val="bottom"/>
            <w:shd w:val="clear" w:color="auto" w:fill="E9F9D8"/>
          </w:tcPr>
          <w:p>
            <w:pPr>
              <w:spacing w:after="0"/>
              <w:rPr>
                <w:sz w:val="23"/>
                <w:szCs w:val="23"/>
                <w:color w:val="auto"/>
              </w:rPr>
            </w:pPr>
          </w:p>
        </w:tc>
        <w:tc>
          <w:tcPr>
            <w:tcW w:w="160" w:type="dxa"/>
            <w:vAlign w:val="bottom"/>
            <w:shd w:val="clear" w:color="auto" w:fill="E9F9D8"/>
          </w:tcPr>
          <w:p>
            <w:pPr>
              <w:spacing w:after="0"/>
              <w:rPr>
                <w:sz w:val="23"/>
                <w:szCs w:val="23"/>
                <w:color w:val="auto"/>
              </w:rPr>
            </w:pPr>
          </w:p>
        </w:tc>
        <w:tc>
          <w:tcPr>
            <w:tcW w:w="7680" w:type="dxa"/>
            <w:vAlign w:val="bottom"/>
            <w:shd w:val="clear" w:color="auto" w:fill="E9F9D8"/>
          </w:tcPr>
          <w:p>
            <w:pPr>
              <w:spacing w:after="0"/>
              <w:rPr>
                <w:sz w:val="23"/>
                <w:szCs w:val="23"/>
                <w:color w:val="auto"/>
              </w:rPr>
            </w:pPr>
          </w:p>
        </w:tc>
        <w:tc>
          <w:tcPr>
            <w:tcW w:w="1220" w:type="dxa"/>
            <w:vAlign w:val="bottom"/>
            <w:shd w:val="clear" w:color="auto" w:fill="E9F9D8"/>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2430145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80"/>
          </w:cols>
          <w:pgMar w:left="580" w:top="97" w:right="1339"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6260" w:type="dxa"/>
            <w:vAlign w:val="bottom"/>
          </w:tcPr>
          <w:p>
            <w:pPr>
              <w:spacing w:after="0"/>
              <w:rPr>
                <w:sz w:val="20"/>
                <w:szCs w:val="20"/>
                <w:color w:val="auto"/>
              </w:rPr>
            </w:pPr>
            <w:r>
              <w:rPr>
                <w:rFonts w:ascii="Arial" w:cs="Arial" w:eastAsia="Arial" w:hAnsi="Arial"/>
                <w:sz w:val="14"/>
                <w:szCs w:val="14"/>
                <w:b w:val="1"/>
                <w:bCs w:val="1"/>
                <w:color w:val="auto"/>
              </w:rPr>
              <w:t>​</w:t>
            </w:r>
          </w:p>
        </w:tc>
        <w:tc>
          <w:tcPr>
            <w:tcW w:w="2340" w:type="dxa"/>
            <w:vAlign w:val="bottom"/>
          </w:tcPr>
          <w:p>
            <w:pPr>
              <w:ind w:left="1940"/>
              <w:spacing w:after="0"/>
              <w:rPr>
                <w:sz w:val="20"/>
                <w:szCs w:val="20"/>
                <w:color w:val="auto"/>
              </w:rPr>
            </w:pPr>
            <w:r>
              <w:rPr>
                <w:rFonts w:ascii="Arial" w:cs="Arial" w:eastAsia="Arial" w:hAnsi="Arial"/>
                <w:sz w:val="14"/>
                <w:szCs w:val="14"/>
                <w:b w:val="1"/>
                <w:bCs w:val="1"/>
                <w:color w:val="auto"/>
              </w:rPr>
              <w:t>​ ​</w:t>
            </w:r>
          </w:p>
        </w:tc>
        <w:tc>
          <w:tcPr>
            <w:tcW w:w="460" w:type="dxa"/>
            <w:vAlign w:val="bottom"/>
            <w:vMerge w:val="restart"/>
          </w:tcPr>
          <w:p>
            <w:pPr>
              <w:jc w:val="right"/>
              <w:spacing w:after="0"/>
              <w:rPr>
                <w:sz w:val="20"/>
                <w:szCs w:val="20"/>
                <w:color w:val="auto"/>
              </w:rPr>
            </w:pPr>
            <w:r>
              <w:rPr>
                <w:rFonts w:ascii="Arial" w:cs="Arial" w:eastAsia="Arial" w:hAnsi="Arial"/>
                <w:sz w:val="22"/>
                <w:szCs w:val="22"/>
                <w:b w:val="1"/>
                <w:bCs w:val="1"/>
                <w:color w:val="1F2668"/>
              </w:rPr>
              <w:t>11</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6260" w:type="dxa"/>
            <w:vAlign w:val="bottom"/>
          </w:tcPr>
          <w:p>
            <w:pPr>
              <w:spacing w:after="0"/>
              <w:rPr>
                <w:sz w:val="20"/>
                <w:szCs w:val="20"/>
                <w:color w:val="auto"/>
              </w:rPr>
            </w:pPr>
            <w:r>
              <w:rPr>
                <w:rFonts w:ascii="Arial" w:cs="Arial" w:eastAsia="Arial" w:hAnsi="Arial"/>
                <w:sz w:val="14"/>
                <w:szCs w:val="14"/>
                <w:b w:val="1"/>
                <w:bCs w:val="1"/>
                <w:color w:val="auto"/>
              </w:rPr>
              <w:t>OUR BOARD OF DIRECTORS AND CORPORATE GOVERNANCE</w:t>
            </w:r>
          </w:p>
        </w:tc>
        <w:tc>
          <w:tcPr>
            <w:tcW w:w="234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820"/>
        <w:spacing w:after="0"/>
        <w:rPr>
          <w:sz w:val="20"/>
          <w:szCs w:val="20"/>
          <w:color w:val="auto"/>
        </w:rPr>
      </w:pPr>
      <w:r>
        <w:rPr>
          <w:rFonts w:ascii="Arial" w:cs="Arial" w:eastAsia="Arial" w:hAnsi="Arial"/>
          <w:sz w:val="29"/>
          <w:szCs w:val="29"/>
          <w:b w:val="1"/>
          <w:bCs w:val="1"/>
          <w:color w:val="83AD40"/>
        </w:rPr>
        <w:t>INFORMATION REGARDING THE DIRECTOR NOMINEES</w:t>
      </w:r>
    </w:p>
    <w:p>
      <w:pPr>
        <w:spacing w:after="0" w:line="173" w:lineRule="exact"/>
        <w:rPr>
          <w:sz w:val="20"/>
          <w:szCs w:val="20"/>
          <w:color w:val="auto"/>
        </w:rPr>
      </w:pPr>
    </w:p>
    <w:p>
      <w:pPr>
        <w:ind w:left="820" w:right="140"/>
        <w:spacing w:after="0" w:line="321" w:lineRule="auto"/>
        <w:rPr>
          <w:sz w:val="20"/>
          <w:szCs w:val="20"/>
          <w:color w:val="auto"/>
        </w:rPr>
      </w:pPr>
      <w:r>
        <w:rPr>
          <w:rFonts w:ascii="Arial" w:cs="Arial" w:eastAsia="Arial" w:hAnsi="Arial"/>
          <w:sz w:val="16"/>
          <w:szCs w:val="16"/>
          <w:color w:val="auto"/>
        </w:rPr>
        <w:t>The following table, matrix and biographical descriptions set forth certain information with respect to the nominees for election as directors at the 2025 Annual Meeting, based upon information furnished by each director.</w:t>
      </w:r>
    </w:p>
    <w:p>
      <w:pPr>
        <w:spacing w:after="0" w:line="88" w:lineRule="exact"/>
        <w:rPr>
          <w:sz w:val="20"/>
          <w:szCs w:val="20"/>
          <w:color w:val="auto"/>
        </w:rPr>
      </w:pPr>
    </w:p>
    <w:p>
      <w:pPr>
        <w:ind w:left="820" w:right="680"/>
        <w:spacing w:after="0" w:line="321" w:lineRule="auto"/>
        <w:rPr>
          <w:sz w:val="20"/>
          <w:szCs w:val="20"/>
          <w:color w:val="auto"/>
        </w:rPr>
      </w:pPr>
      <w:r>
        <w:rPr>
          <w:rFonts w:ascii="Arial" w:cs="Arial" w:eastAsia="Arial" w:hAnsi="Arial"/>
          <w:sz w:val="16"/>
          <w:szCs w:val="16"/>
          <w:color w:val="auto"/>
        </w:rPr>
        <w:t>The table below reflects anticipated committee memberships if our full slate of director nominees is elected at the Annual Meeting.</w:t>
      </w:r>
    </w:p>
    <w:p>
      <w:pPr>
        <w:spacing w:after="0" w:line="120" w:lineRule="exact"/>
        <w:rPr>
          <w:sz w:val="20"/>
          <w:szCs w:val="20"/>
          <w:color w:val="auto"/>
        </w:rPr>
      </w:pPr>
    </w:p>
    <w:tbl>
      <w:tblPr>
        <w:tblLayout w:type="fixed"/>
        <w:tblInd w:w="820" w:type="dxa"/>
        <w:tblCellMar>
          <w:top w:w="0" w:type="dxa"/>
          <w:left w:w="0" w:type="dxa"/>
          <w:bottom w:w="0" w:type="dxa"/>
          <w:right w:w="0" w:type="dxa"/>
        </w:tblCellMar>
      </w:tblPr>
      <w:tr>
        <w:trPr>
          <w:trHeight w:val="212"/>
        </w:trPr>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8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1F2668"/>
              </w:rPr>
              <w:t>Other Current Public Board</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gridSpan w:val="5"/>
          </w:tcPr>
          <w:p>
            <w:pPr>
              <w:ind w:left="180"/>
              <w:spacing w:after="0"/>
              <w:rPr>
                <w:sz w:val="20"/>
                <w:szCs w:val="20"/>
                <w:color w:val="auto"/>
              </w:rPr>
            </w:pPr>
            <w:r>
              <w:rPr>
                <w:rFonts w:ascii="Arial" w:cs="Arial" w:eastAsia="Arial" w:hAnsi="Arial"/>
                <w:sz w:val="14"/>
                <w:szCs w:val="14"/>
                <w:b w:val="1"/>
                <w:bCs w:val="1"/>
                <w:color w:val="1F2668"/>
              </w:rPr>
              <w:t>Committee Memberships</w:t>
            </w:r>
            <w:r>
              <w:rPr>
                <w:rFonts w:ascii="Arial" w:cs="Arial" w:eastAsia="Arial" w:hAnsi="Arial"/>
                <w:sz w:val="17"/>
                <w:szCs w:val="17"/>
                <w:b w:val="1"/>
                <w:bCs w:val="1"/>
                <w:color w:val="1F2668"/>
                <w:vertAlign w:val="superscript"/>
              </w:rPr>
              <w:t>(1)</w:t>
            </w:r>
          </w:p>
        </w:tc>
        <w:tc>
          <w:tcPr>
            <w:tcW w:w="0" w:type="dxa"/>
            <w:vAlign w:val="bottom"/>
          </w:tcPr>
          <w:p>
            <w:pPr>
              <w:spacing w:after="0"/>
              <w:rPr>
                <w:sz w:val="1"/>
                <w:szCs w:val="1"/>
                <w:color w:val="auto"/>
              </w:rPr>
            </w:pPr>
          </w:p>
        </w:tc>
      </w:tr>
      <w:tr>
        <w:trPr>
          <w:trHeight w:val="25"/>
        </w:trPr>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80" w:type="dxa"/>
            <w:vAlign w:val="bottom"/>
            <w:gridSpan w:val="4"/>
            <w:vMerge w:val="continue"/>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top w:val="single" w:sz="8" w:color="1F2668"/>
            </w:tcBorders>
          </w:tcPr>
          <w:p>
            <w:pPr>
              <w:spacing w:after="0"/>
              <w:rPr>
                <w:sz w:val="2"/>
                <w:szCs w:val="2"/>
                <w:color w:val="auto"/>
              </w:rPr>
            </w:pPr>
          </w:p>
        </w:tc>
        <w:tc>
          <w:tcPr>
            <w:tcW w:w="560" w:type="dxa"/>
            <w:vAlign w:val="bottom"/>
            <w:tcBorders>
              <w:top w:val="single" w:sz="8" w:color="1F2668"/>
            </w:tcBorders>
          </w:tcPr>
          <w:p>
            <w:pPr>
              <w:spacing w:after="0"/>
              <w:rPr>
                <w:sz w:val="2"/>
                <w:szCs w:val="2"/>
                <w:color w:val="auto"/>
              </w:rPr>
            </w:pPr>
          </w:p>
        </w:tc>
        <w:tc>
          <w:tcPr>
            <w:tcW w:w="580" w:type="dxa"/>
            <w:vAlign w:val="bottom"/>
            <w:tcBorders>
              <w:top w:val="single" w:sz="8" w:color="1F2668"/>
            </w:tcBorders>
          </w:tcPr>
          <w:p>
            <w:pPr>
              <w:spacing w:after="0"/>
              <w:rPr>
                <w:sz w:val="2"/>
                <w:szCs w:val="2"/>
                <w:color w:val="auto"/>
              </w:rPr>
            </w:pPr>
          </w:p>
        </w:tc>
        <w:tc>
          <w:tcPr>
            <w:tcW w:w="440" w:type="dxa"/>
            <w:vAlign w:val="bottom"/>
            <w:tcBorders>
              <w:top w:val="single" w:sz="8" w:color="1F2668"/>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20"/>
                <w:szCs w:val="20"/>
                <w:color w:val="auto"/>
              </w:rPr>
            </w:pPr>
            <w:r>
              <w:rPr>
                <w:rFonts w:ascii="Arial" w:cs="Arial" w:eastAsia="Arial" w:hAnsi="Arial"/>
                <w:sz w:val="14"/>
                <w:szCs w:val="14"/>
                <w:b w:val="1"/>
                <w:bCs w:val="1"/>
                <w:color w:val="1F2668"/>
              </w:rPr>
              <w:t>Name</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gridSpan w:val="2"/>
          </w:tcPr>
          <w:p>
            <w:pPr>
              <w:ind w:left="80"/>
              <w:spacing w:after="0"/>
              <w:rPr>
                <w:sz w:val="20"/>
                <w:szCs w:val="20"/>
                <w:color w:val="auto"/>
              </w:rPr>
            </w:pPr>
            <w:r>
              <w:rPr>
                <w:rFonts w:ascii="Arial" w:cs="Arial" w:eastAsia="Arial" w:hAnsi="Arial"/>
                <w:sz w:val="14"/>
                <w:szCs w:val="14"/>
                <w:b w:val="1"/>
                <w:bCs w:val="1"/>
                <w:color w:val="1F2668"/>
              </w:rPr>
              <w:t>Directorships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1F2668"/>
              </w:rPr>
              <w:t>Age</w:t>
            </w:r>
          </w:p>
        </w:tc>
        <w:tc>
          <w:tcPr>
            <w:tcW w:w="80" w:type="dxa"/>
            <w:vAlign w:val="bottom"/>
          </w:tcPr>
          <w:p>
            <w:pPr>
              <w:spacing w:after="0"/>
              <w:rPr>
                <w:sz w:val="17"/>
                <w:szCs w:val="17"/>
                <w:color w:val="auto"/>
              </w:rPr>
            </w:pPr>
          </w:p>
        </w:tc>
        <w:tc>
          <w:tcPr>
            <w:tcW w:w="2120" w:type="dxa"/>
            <w:vAlign w:val="bottom"/>
            <w:gridSpan w:val="4"/>
          </w:tcPr>
          <w:p>
            <w:pPr>
              <w:ind w:left="40"/>
              <w:spacing w:after="0"/>
              <w:rPr>
                <w:sz w:val="20"/>
                <w:szCs w:val="20"/>
                <w:color w:val="auto"/>
              </w:rPr>
            </w:pPr>
            <w:r>
              <w:rPr>
                <w:rFonts w:ascii="Arial" w:cs="Arial" w:eastAsia="Arial" w:hAnsi="Arial"/>
                <w:sz w:val="14"/>
                <w:szCs w:val="14"/>
                <w:b w:val="1"/>
                <w:bCs w:val="1"/>
                <w:color w:val="1F2668"/>
              </w:rPr>
              <w:t>Independent  Director Since</w:t>
            </w:r>
          </w:p>
        </w:tc>
        <w:tc>
          <w:tcPr>
            <w:tcW w:w="540" w:type="dxa"/>
            <w:vAlign w:val="bottom"/>
          </w:tcPr>
          <w:p>
            <w:pPr>
              <w:ind w:left="160"/>
              <w:spacing w:after="0"/>
              <w:rPr>
                <w:sz w:val="20"/>
                <w:szCs w:val="20"/>
                <w:color w:val="auto"/>
              </w:rPr>
            </w:pPr>
            <w:r>
              <w:rPr>
                <w:rFonts w:ascii="Arial" w:cs="Arial" w:eastAsia="Arial" w:hAnsi="Arial"/>
                <w:sz w:val="14"/>
                <w:szCs w:val="14"/>
                <w:b w:val="1"/>
                <w:bCs w:val="1"/>
                <w:color w:val="1F2668"/>
              </w:rPr>
              <w:t>AC</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1F2668"/>
              </w:rPr>
              <w:t>CC</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1F2668"/>
              </w:rPr>
              <w:t>NCGC</w:t>
            </w:r>
          </w:p>
        </w:tc>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1F2668"/>
              </w:rPr>
              <w:t>EC</w:t>
            </w:r>
          </w:p>
        </w:tc>
        <w:tc>
          <w:tcPr>
            <w:tcW w:w="0" w:type="dxa"/>
            <w:vAlign w:val="bottom"/>
          </w:tcPr>
          <w:p>
            <w:pPr>
              <w:spacing w:after="0"/>
              <w:rPr>
                <w:sz w:val="1"/>
                <w:szCs w:val="1"/>
                <w:color w:val="auto"/>
              </w:rPr>
            </w:pPr>
          </w:p>
        </w:tc>
      </w:tr>
      <w:tr>
        <w:trPr>
          <w:trHeight w:val="438"/>
        </w:trPr>
        <w:tc>
          <w:tcPr>
            <w:tcW w:w="640" w:type="dxa"/>
            <w:vAlign w:val="bottom"/>
            <w:tcBorders>
              <w:top w:val="single" w:sz="8" w:color="1F2668"/>
            </w:tcBorders>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Borders>
              <w:top w:val="single" w:sz="8" w:color="1F2668"/>
            </w:tcBorders>
            <w:gridSpan w:val="3"/>
            <w:vMerge w:val="restart"/>
          </w:tcPr>
          <w:p>
            <w:pPr>
              <w:ind w:left="20"/>
              <w:spacing w:after="0"/>
              <w:rPr>
                <w:sz w:val="20"/>
                <w:szCs w:val="20"/>
                <w:color w:val="auto"/>
              </w:rPr>
            </w:pPr>
            <w:r>
              <w:rPr>
                <w:rFonts w:ascii="Arial" w:cs="Arial" w:eastAsia="Arial" w:hAnsi="Arial"/>
                <w:sz w:val="16"/>
                <w:szCs w:val="16"/>
                <w:b w:val="1"/>
                <w:bCs w:val="1"/>
                <w:color w:val="1F2668"/>
              </w:rPr>
              <w:t>John H. Alschuler</w:t>
            </w:r>
          </w:p>
        </w:tc>
        <w:tc>
          <w:tcPr>
            <w:tcW w:w="1860" w:type="dxa"/>
            <w:vAlign w:val="bottom"/>
            <w:tcBorders>
              <w:top w:val="single" w:sz="8" w:color="1F2668"/>
            </w:tcBorders>
            <w:gridSpan w:val="2"/>
          </w:tcPr>
          <w:p>
            <w:pPr>
              <w:ind w:left="80"/>
              <w:spacing w:after="0"/>
              <w:rPr>
                <w:sz w:val="20"/>
                <w:szCs w:val="20"/>
                <w:color w:val="auto"/>
              </w:rPr>
            </w:pPr>
            <w:r>
              <w:rPr>
                <w:rFonts w:ascii="Arial" w:cs="Arial" w:eastAsia="Arial" w:hAnsi="Arial"/>
                <w:sz w:val="14"/>
                <w:szCs w:val="14"/>
                <w:color w:val="auto"/>
              </w:rPr>
              <w:t>• Xenia Hotels and Resorts</w:t>
            </w:r>
          </w:p>
        </w:tc>
        <w:tc>
          <w:tcPr>
            <w:tcW w:w="140" w:type="dxa"/>
            <w:vAlign w:val="bottom"/>
            <w:tcBorders>
              <w:top w:val="single" w:sz="8" w:color="1F2668"/>
            </w:tcBorders>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Borders>
              <w:top w:val="single" w:sz="8" w:color="1F2668"/>
            </w:tcBorders>
            <w:vMerge w:val="restart"/>
          </w:tcPr>
          <w:p>
            <w:pPr>
              <w:jc w:val="center"/>
              <w:spacing w:after="0"/>
              <w:rPr>
                <w:sz w:val="20"/>
                <w:szCs w:val="20"/>
                <w:color w:val="auto"/>
              </w:rPr>
            </w:pPr>
            <w:r>
              <w:rPr>
                <w:rFonts w:ascii="Arial" w:cs="Arial" w:eastAsia="Arial" w:hAnsi="Arial"/>
                <w:sz w:val="16"/>
                <w:szCs w:val="16"/>
                <w:color w:val="auto"/>
                <w:w w:val="89"/>
              </w:rPr>
              <w:t>77</w:t>
            </w:r>
          </w:p>
        </w:tc>
        <w:tc>
          <w:tcPr>
            <w:tcW w:w="80" w:type="dxa"/>
            <w:vAlign w:val="bottom"/>
          </w:tcPr>
          <w:p>
            <w:pPr>
              <w:spacing w:after="0"/>
              <w:rPr>
                <w:sz w:val="24"/>
                <w:szCs w:val="24"/>
                <w:color w:val="auto"/>
              </w:rPr>
            </w:pPr>
          </w:p>
        </w:tc>
        <w:tc>
          <w:tcPr>
            <w:tcW w:w="920" w:type="dxa"/>
            <w:vAlign w:val="bottom"/>
            <w:tcBorders>
              <w:top w:val="single" w:sz="8" w:color="1F2668"/>
            </w:tcBorders>
            <w:vMerge w:val="restart"/>
          </w:tcPr>
          <w:p>
            <w:pPr>
              <w:spacing w:after="0"/>
              <w:rPr>
                <w:sz w:val="24"/>
                <w:szCs w:val="24"/>
                <w:color w:val="auto"/>
              </w:rPr>
            </w:pPr>
          </w:p>
        </w:tc>
        <w:tc>
          <w:tcPr>
            <w:tcW w:w="80" w:type="dxa"/>
            <w:vAlign w:val="bottom"/>
            <w:vMerge w:val="restart"/>
          </w:tcPr>
          <w:p>
            <w:pPr>
              <w:spacing w:after="0"/>
              <w:rPr>
                <w:sz w:val="24"/>
                <w:szCs w:val="24"/>
                <w:color w:val="auto"/>
              </w:rPr>
            </w:pPr>
          </w:p>
        </w:tc>
        <w:tc>
          <w:tcPr>
            <w:tcW w:w="1040" w:type="dxa"/>
            <w:vAlign w:val="bottom"/>
            <w:tcBorders>
              <w:top w:val="single" w:sz="8" w:color="1F2668"/>
            </w:tcBorders>
            <w:vMerge w:val="restart"/>
          </w:tcPr>
          <w:p>
            <w:pPr>
              <w:jc w:val="center"/>
              <w:spacing w:after="0"/>
              <w:rPr>
                <w:sz w:val="20"/>
                <w:szCs w:val="20"/>
                <w:color w:val="auto"/>
              </w:rPr>
            </w:pPr>
            <w:r>
              <w:rPr>
                <w:rFonts w:ascii="Arial" w:cs="Arial" w:eastAsia="Arial" w:hAnsi="Arial"/>
                <w:sz w:val="16"/>
                <w:szCs w:val="16"/>
                <w:color w:val="auto"/>
                <w:w w:val="95"/>
              </w:rPr>
              <w:t>1997</w:t>
            </w:r>
          </w:p>
        </w:tc>
        <w:tc>
          <w:tcPr>
            <w:tcW w:w="80" w:type="dxa"/>
            <w:vAlign w:val="bottom"/>
          </w:tcPr>
          <w:p>
            <w:pPr>
              <w:spacing w:after="0"/>
              <w:rPr>
                <w:sz w:val="24"/>
                <w:szCs w:val="24"/>
                <w:color w:val="auto"/>
              </w:rPr>
            </w:pPr>
          </w:p>
        </w:tc>
        <w:tc>
          <w:tcPr>
            <w:tcW w:w="540" w:type="dxa"/>
            <w:vAlign w:val="bottom"/>
            <w:tcBorders>
              <w:top w:val="single" w:sz="8" w:color="1F2668"/>
              <w:right w:val="single" w:sz="8" w:color="4B5088"/>
            </w:tcBorders>
          </w:tcPr>
          <w:p>
            <w:pPr>
              <w:spacing w:after="0"/>
              <w:rPr>
                <w:sz w:val="24"/>
                <w:szCs w:val="24"/>
                <w:color w:val="auto"/>
              </w:rPr>
            </w:pPr>
          </w:p>
        </w:tc>
        <w:tc>
          <w:tcPr>
            <w:tcW w:w="560" w:type="dxa"/>
            <w:vAlign w:val="bottom"/>
            <w:tcBorders>
              <w:top w:val="single" w:sz="8" w:color="1F2668"/>
              <w:right w:val="single" w:sz="8" w:color="4B5088"/>
            </w:tcBorders>
            <w:vMerge w:val="restart"/>
          </w:tcPr>
          <w:p>
            <w:pPr>
              <w:jc w:val="center"/>
              <w:spacing w:after="0"/>
              <w:rPr>
                <w:sz w:val="20"/>
                <w:szCs w:val="20"/>
                <w:color w:val="auto"/>
              </w:rPr>
            </w:pPr>
            <w:r>
              <w:rPr>
                <w:rFonts w:ascii="Arial" w:cs="Arial" w:eastAsia="Arial" w:hAnsi="Arial"/>
                <w:sz w:val="20"/>
                <w:szCs w:val="20"/>
                <w:b w:val="1"/>
                <w:bCs w:val="1"/>
                <w:color w:val="1F2668"/>
                <w:w w:val="95"/>
              </w:rPr>
              <w:t>M</w:t>
            </w:r>
          </w:p>
        </w:tc>
        <w:tc>
          <w:tcPr>
            <w:tcW w:w="580" w:type="dxa"/>
            <w:vAlign w:val="bottom"/>
            <w:tcBorders>
              <w:top w:val="single" w:sz="8" w:color="1F2668"/>
              <w:right w:val="single" w:sz="8" w:color="4B5088"/>
            </w:tcBorders>
            <w:vMerge w:val="restart"/>
          </w:tcPr>
          <w:p>
            <w:pPr>
              <w:jc w:val="center"/>
              <w:spacing w:after="0"/>
              <w:rPr>
                <w:sz w:val="20"/>
                <w:szCs w:val="20"/>
                <w:color w:val="auto"/>
              </w:rPr>
            </w:pPr>
            <w:r>
              <w:rPr>
                <w:rFonts w:ascii="Arial" w:cs="Arial" w:eastAsia="Arial" w:hAnsi="Arial"/>
                <w:sz w:val="20"/>
                <w:szCs w:val="20"/>
                <w:b w:val="1"/>
                <w:bCs w:val="1"/>
                <w:color w:val="1F2668"/>
                <w:w w:val="95"/>
              </w:rPr>
              <w:t>M</w:t>
            </w:r>
          </w:p>
        </w:tc>
        <w:tc>
          <w:tcPr>
            <w:tcW w:w="440" w:type="dxa"/>
            <w:vAlign w:val="bottom"/>
            <w:tcBorders>
              <w:top w:val="single" w:sz="8" w:color="1F2668"/>
            </w:tcBorders>
            <w:vMerge w:val="restart"/>
          </w:tcPr>
          <w:p>
            <w:pPr>
              <w:jc w:val="center"/>
              <w:spacing w:after="0"/>
              <w:rPr>
                <w:sz w:val="20"/>
                <w:szCs w:val="20"/>
                <w:color w:val="auto"/>
              </w:rPr>
            </w:pPr>
            <w:r>
              <w:rPr>
                <w:rFonts w:ascii="Arial" w:cs="Arial" w:eastAsia="Arial" w:hAnsi="Arial"/>
                <w:sz w:val="20"/>
                <w:szCs w:val="20"/>
                <w:b w:val="1"/>
                <w:bCs w:val="1"/>
                <w:color w:val="1F2668"/>
                <w:w w:val="95"/>
              </w:rPr>
              <w:t>M</w:t>
            </w:r>
          </w:p>
        </w:tc>
        <w:tc>
          <w:tcPr>
            <w:tcW w:w="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18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1680" w:type="dxa"/>
            <w:vAlign w:val="bottom"/>
            <w:vMerge w:val="restart"/>
          </w:tcPr>
          <w:p>
            <w:pPr>
              <w:ind w:left="40"/>
              <w:spacing w:after="0"/>
              <w:rPr>
                <w:sz w:val="20"/>
                <w:szCs w:val="20"/>
                <w:color w:val="auto"/>
              </w:rPr>
            </w:pPr>
            <w:r>
              <w:rPr>
                <w:rFonts w:ascii="Arial" w:cs="Arial" w:eastAsia="Arial" w:hAnsi="Arial"/>
                <w:sz w:val="14"/>
                <w:szCs w:val="14"/>
                <w:color w:val="auto"/>
              </w:rPr>
              <w:t>The Macerich Company</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right w:val="single" w:sz="8" w:color="4B5088"/>
            </w:tcBorders>
          </w:tcPr>
          <w:p>
            <w:pPr>
              <w:spacing w:after="0"/>
              <w:rPr>
                <w:sz w:val="14"/>
                <w:szCs w:val="14"/>
                <w:color w:val="auto"/>
              </w:rPr>
            </w:pPr>
          </w:p>
        </w:tc>
        <w:tc>
          <w:tcPr>
            <w:tcW w:w="560" w:type="dxa"/>
            <w:vAlign w:val="bottom"/>
            <w:tcBorders>
              <w:right w:val="single" w:sz="8" w:color="4B5088"/>
            </w:tcBorders>
            <w:vMerge w:val="continue"/>
          </w:tcPr>
          <w:p>
            <w:pPr>
              <w:spacing w:after="0"/>
              <w:rPr>
                <w:sz w:val="14"/>
                <w:szCs w:val="14"/>
                <w:color w:val="auto"/>
              </w:rPr>
            </w:pPr>
          </w:p>
        </w:tc>
        <w:tc>
          <w:tcPr>
            <w:tcW w:w="580" w:type="dxa"/>
            <w:vAlign w:val="bottom"/>
            <w:tcBorders>
              <w:right w:val="single" w:sz="8" w:color="4B5088"/>
            </w:tcBorders>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6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right w:val="single" w:sz="8" w:color="4B5088"/>
            </w:tcBorders>
          </w:tcPr>
          <w:p>
            <w:pPr>
              <w:spacing w:after="0"/>
              <w:rPr>
                <w:sz w:val="6"/>
                <w:szCs w:val="6"/>
                <w:color w:val="auto"/>
              </w:rPr>
            </w:pPr>
          </w:p>
        </w:tc>
        <w:tc>
          <w:tcPr>
            <w:tcW w:w="560" w:type="dxa"/>
            <w:vAlign w:val="bottom"/>
            <w:tcBorders>
              <w:right w:val="single" w:sz="8" w:color="4B5088"/>
            </w:tcBorders>
          </w:tcPr>
          <w:p>
            <w:pPr>
              <w:spacing w:after="0"/>
              <w:rPr>
                <w:sz w:val="6"/>
                <w:szCs w:val="6"/>
                <w:color w:val="auto"/>
              </w:rPr>
            </w:pPr>
          </w:p>
        </w:tc>
        <w:tc>
          <w:tcPr>
            <w:tcW w:w="580" w:type="dxa"/>
            <w:vAlign w:val="bottom"/>
            <w:tcBorders>
              <w:right w:val="single" w:sz="8" w:color="4B5088"/>
            </w:tcBorders>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640" w:type="dxa"/>
            <w:vAlign w:val="bottom"/>
            <w:tcBorders>
              <w:bottom w:val="single" w:sz="8" w:color="4B5088"/>
            </w:tcBorders>
          </w:tcPr>
          <w:p>
            <w:pPr>
              <w:spacing w:after="0"/>
              <w:rPr>
                <w:sz w:val="21"/>
                <w:szCs w:val="21"/>
                <w:color w:val="auto"/>
              </w:rPr>
            </w:pPr>
          </w:p>
        </w:tc>
        <w:tc>
          <w:tcPr>
            <w:tcW w:w="60" w:type="dxa"/>
            <w:vAlign w:val="bottom"/>
          </w:tcPr>
          <w:p>
            <w:pPr>
              <w:spacing w:after="0"/>
              <w:rPr>
                <w:sz w:val="21"/>
                <w:szCs w:val="21"/>
                <w:color w:val="auto"/>
              </w:rPr>
            </w:pPr>
          </w:p>
        </w:tc>
        <w:tc>
          <w:tcPr>
            <w:tcW w:w="1520" w:type="dxa"/>
            <w:vAlign w:val="bottom"/>
            <w:tcBorders>
              <w:bottom w:val="single" w:sz="8" w:color="4B5088"/>
            </w:tcBorders>
            <w:gridSpan w:val="3"/>
          </w:tcPr>
          <w:p>
            <w:pPr>
              <w:spacing w:after="0"/>
              <w:rPr>
                <w:sz w:val="21"/>
                <w:szCs w:val="21"/>
                <w:color w:val="auto"/>
              </w:rPr>
            </w:pPr>
          </w:p>
        </w:tc>
        <w:tc>
          <w:tcPr>
            <w:tcW w:w="180" w:type="dxa"/>
            <w:vAlign w:val="bottom"/>
            <w:tcBorders>
              <w:bottom w:val="single" w:sz="8" w:color="4B5088"/>
            </w:tcBorders>
          </w:tcPr>
          <w:p>
            <w:pPr>
              <w:spacing w:after="0"/>
              <w:rPr>
                <w:sz w:val="21"/>
                <w:szCs w:val="21"/>
                <w:color w:val="auto"/>
              </w:rPr>
            </w:pPr>
          </w:p>
        </w:tc>
        <w:tc>
          <w:tcPr>
            <w:tcW w:w="1680" w:type="dxa"/>
            <w:vAlign w:val="bottom"/>
            <w:tcBorders>
              <w:bottom w:val="single" w:sz="8" w:color="4B5088"/>
            </w:tcBorders>
          </w:tcPr>
          <w:p>
            <w:pPr>
              <w:spacing w:after="0"/>
              <w:rPr>
                <w:sz w:val="21"/>
                <w:szCs w:val="21"/>
                <w:color w:val="auto"/>
              </w:rPr>
            </w:pPr>
          </w:p>
        </w:tc>
        <w:tc>
          <w:tcPr>
            <w:tcW w:w="140" w:type="dxa"/>
            <w:vAlign w:val="bottom"/>
            <w:tcBorders>
              <w:bottom w:val="single" w:sz="8" w:color="4B5088"/>
            </w:tcBorders>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Borders>
              <w:bottom w:val="single" w:sz="8" w:color="4B5088"/>
            </w:tcBorders>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Borders>
              <w:bottom w:val="single" w:sz="8" w:color="4B5088"/>
            </w:tcBorders>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Borders>
              <w:bottom w:val="single" w:sz="8" w:color="4B5088"/>
            </w:tcBorders>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Borders>
              <w:bottom w:val="single" w:sz="8" w:color="4B5088"/>
              <w:right w:val="single" w:sz="8" w:color="4B5088"/>
            </w:tcBorders>
          </w:tcPr>
          <w:p>
            <w:pPr>
              <w:spacing w:after="0"/>
              <w:rPr>
                <w:sz w:val="21"/>
                <w:szCs w:val="21"/>
                <w:color w:val="auto"/>
              </w:rPr>
            </w:pPr>
          </w:p>
        </w:tc>
        <w:tc>
          <w:tcPr>
            <w:tcW w:w="560" w:type="dxa"/>
            <w:vAlign w:val="bottom"/>
            <w:tcBorders>
              <w:bottom w:val="single" w:sz="8" w:color="4B5088"/>
              <w:right w:val="single" w:sz="8" w:color="4B5088"/>
            </w:tcBorders>
          </w:tcPr>
          <w:p>
            <w:pPr>
              <w:spacing w:after="0"/>
              <w:rPr>
                <w:sz w:val="21"/>
                <w:szCs w:val="21"/>
                <w:color w:val="auto"/>
              </w:rPr>
            </w:pPr>
          </w:p>
        </w:tc>
        <w:tc>
          <w:tcPr>
            <w:tcW w:w="580" w:type="dxa"/>
            <w:vAlign w:val="bottom"/>
            <w:tcBorders>
              <w:bottom w:val="single" w:sz="8" w:color="4B5088"/>
              <w:right w:val="single" w:sz="8" w:color="4B5088"/>
            </w:tcBorders>
          </w:tcPr>
          <w:p>
            <w:pPr>
              <w:spacing w:after="0"/>
              <w:rPr>
                <w:sz w:val="21"/>
                <w:szCs w:val="21"/>
                <w:color w:val="auto"/>
              </w:rPr>
            </w:pPr>
          </w:p>
        </w:tc>
        <w:tc>
          <w:tcPr>
            <w:tcW w:w="440" w:type="dxa"/>
            <w:vAlign w:val="bottom"/>
            <w:tcBorders>
              <w:bottom w:val="single" w:sz="8" w:color="4B5088"/>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4"/>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gridSpan w:val="3"/>
          </w:tcPr>
          <w:p>
            <w:pPr>
              <w:ind w:left="20"/>
              <w:spacing w:after="0"/>
              <w:rPr>
                <w:sz w:val="20"/>
                <w:szCs w:val="20"/>
                <w:color w:val="auto"/>
              </w:rPr>
            </w:pPr>
            <w:r>
              <w:rPr>
                <w:rFonts w:ascii="Arial" w:cs="Arial" w:eastAsia="Arial" w:hAnsi="Arial"/>
                <w:sz w:val="16"/>
                <w:szCs w:val="16"/>
                <w:b w:val="1"/>
                <w:bCs w:val="1"/>
                <w:color w:val="1F2668"/>
              </w:rPr>
              <w:t>Carol N. Brown</w:t>
            </w: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6"/>
                <w:szCs w:val="16"/>
                <w:color w:val="auto"/>
                <w:w w:val="89"/>
              </w:rPr>
              <w:t>55</w:t>
            </w:r>
          </w:p>
        </w:tc>
        <w:tc>
          <w:tcPr>
            <w:tcW w:w="80" w:type="dxa"/>
            <w:vAlign w:val="bottom"/>
          </w:tcPr>
          <w:p>
            <w:pPr>
              <w:spacing w:after="0"/>
              <w:rPr>
                <w:sz w:val="24"/>
                <w:szCs w:val="24"/>
                <w:color w:val="auto"/>
              </w:rPr>
            </w:pPr>
          </w:p>
        </w:tc>
        <w:tc>
          <w:tcPr>
            <w:tcW w:w="2040" w:type="dxa"/>
            <w:vAlign w:val="bottom"/>
            <w:gridSpan w:val="3"/>
          </w:tcPr>
          <w:p>
            <w:pPr>
              <w:jc w:val="center"/>
              <w:ind w:left="940"/>
              <w:spacing w:after="0"/>
              <w:rPr>
                <w:sz w:val="20"/>
                <w:szCs w:val="20"/>
                <w:color w:val="auto"/>
              </w:rPr>
            </w:pPr>
            <w:r>
              <w:rPr>
                <w:rFonts w:ascii="Arial" w:cs="Arial" w:eastAsia="Arial" w:hAnsi="Arial"/>
                <w:sz w:val="16"/>
                <w:szCs w:val="16"/>
                <w:color w:val="auto"/>
                <w:w w:val="95"/>
              </w:rPr>
              <w:t>2022</w:t>
            </w:r>
          </w:p>
        </w:tc>
        <w:tc>
          <w:tcPr>
            <w:tcW w:w="80" w:type="dxa"/>
            <w:vAlign w:val="bottom"/>
          </w:tcPr>
          <w:p>
            <w:pPr>
              <w:spacing w:after="0"/>
              <w:rPr>
                <w:sz w:val="24"/>
                <w:szCs w:val="24"/>
                <w:color w:val="auto"/>
              </w:rPr>
            </w:pPr>
          </w:p>
        </w:tc>
        <w:tc>
          <w:tcPr>
            <w:tcW w:w="540" w:type="dxa"/>
            <w:vAlign w:val="bottom"/>
            <w:tcBorders>
              <w:right w:val="single" w:sz="8" w:color="4B5088"/>
            </w:tcBorders>
          </w:tcPr>
          <w:p>
            <w:pPr>
              <w:ind w:left="180"/>
              <w:spacing w:after="0"/>
              <w:rPr>
                <w:sz w:val="20"/>
                <w:szCs w:val="20"/>
                <w:color w:val="auto"/>
              </w:rPr>
            </w:pPr>
            <w:r>
              <w:rPr>
                <w:rFonts w:ascii="Arial" w:cs="Arial" w:eastAsia="Arial" w:hAnsi="Arial"/>
                <w:sz w:val="20"/>
                <w:szCs w:val="20"/>
                <w:b w:val="1"/>
                <w:bCs w:val="1"/>
                <w:color w:val="1F2668"/>
              </w:rPr>
              <w:t>M</w:t>
            </w:r>
          </w:p>
        </w:tc>
        <w:tc>
          <w:tcPr>
            <w:tcW w:w="560" w:type="dxa"/>
            <w:vAlign w:val="bottom"/>
            <w:tcBorders>
              <w:right w:val="single" w:sz="8" w:color="4B5088"/>
            </w:tcBorders>
          </w:tcPr>
          <w:p>
            <w:pPr>
              <w:spacing w:after="0"/>
              <w:rPr>
                <w:sz w:val="24"/>
                <w:szCs w:val="24"/>
                <w:color w:val="auto"/>
              </w:rPr>
            </w:pPr>
          </w:p>
        </w:tc>
        <w:tc>
          <w:tcPr>
            <w:tcW w:w="580" w:type="dxa"/>
            <w:vAlign w:val="bottom"/>
            <w:tcBorders>
              <w:right w:val="single" w:sz="8" w:color="4B5088"/>
            </w:tcBorders>
          </w:tcPr>
          <w:p>
            <w:pPr>
              <w:jc w:val="center"/>
              <w:spacing w:after="0"/>
              <w:rPr>
                <w:sz w:val="20"/>
                <w:szCs w:val="20"/>
                <w:color w:val="auto"/>
              </w:rPr>
            </w:pPr>
            <w:r>
              <w:rPr>
                <w:rFonts w:ascii="Arial" w:cs="Arial" w:eastAsia="Arial" w:hAnsi="Arial"/>
                <w:sz w:val="20"/>
                <w:szCs w:val="20"/>
                <w:b w:val="1"/>
                <w:bCs w:val="1"/>
                <w:color w:val="1F2668"/>
                <w:w w:val="95"/>
              </w:rPr>
              <w:t>M</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640" w:type="dxa"/>
            <w:vAlign w:val="bottom"/>
            <w:tcBorders>
              <w:bottom w:val="single" w:sz="8" w:color="4B5088"/>
            </w:tcBorders>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Borders>
              <w:bottom w:val="single" w:sz="8" w:color="4B5088"/>
            </w:tcBorders>
            <w:gridSpan w:val="3"/>
          </w:tcPr>
          <w:p>
            <w:pPr>
              <w:spacing w:after="0"/>
              <w:rPr>
                <w:sz w:val="24"/>
                <w:szCs w:val="24"/>
                <w:color w:val="auto"/>
              </w:rPr>
            </w:pPr>
          </w:p>
        </w:tc>
        <w:tc>
          <w:tcPr>
            <w:tcW w:w="180" w:type="dxa"/>
            <w:vAlign w:val="bottom"/>
            <w:tcBorders>
              <w:bottom w:val="single" w:sz="8" w:color="4B5088"/>
            </w:tcBorders>
          </w:tcPr>
          <w:p>
            <w:pPr>
              <w:spacing w:after="0"/>
              <w:rPr>
                <w:sz w:val="24"/>
                <w:szCs w:val="24"/>
                <w:color w:val="auto"/>
              </w:rPr>
            </w:pPr>
          </w:p>
        </w:tc>
        <w:tc>
          <w:tcPr>
            <w:tcW w:w="1680" w:type="dxa"/>
            <w:vAlign w:val="bottom"/>
            <w:tcBorders>
              <w:bottom w:val="single" w:sz="8" w:color="4B5088"/>
            </w:tcBorders>
          </w:tcPr>
          <w:p>
            <w:pPr>
              <w:spacing w:after="0"/>
              <w:rPr>
                <w:sz w:val="24"/>
                <w:szCs w:val="24"/>
                <w:color w:val="auto"/>
              </w:rPr>
            </w:pPr>
          </w:p>
        </w:tc>
        <w:tc>
          <w:tcPr>
            <w:tcW w:w="140" w:type="dxa"/>
            <w:vAlign w:val="bottom"/>
            <w:tcBorders>
              <w:bottom w:val="single" w:sz="8" w:color="4B5088"/>
            </w:tcBorders>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Borders>
              <w:bottom w:val="single" w:sz="8" w:color="4B5088"/>
            </w:tcBorders>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bottom w:val="single" w:sz="8" w:color="4B5088"/>
            </w:tcBorders>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Borders>
              <w:bottom w:val="single" w:sz="8" w:color="4B5088"/>
            </w:tcBorders>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Borders>
              <w:bottom w:val="single" w:sz="8" w:color="4B5088"/>
              <w:right w:val="single" w:sz="8" w:color="4B5088"/>
            </w:tcBorders>
          </w:tcPr>
          <w:p>
            <w:pPr>
              <w:spacing w:after="0"/>
              <w:rPr>
                <w:sz w:val="24"/>
                <w:szCs w:val="24"/>
                <w:color w:val="auto"/>
              </w:rPr>
            </w:pPr>
          </w:p>
        </w:tc>
        <w:tc>
          <w:tcPr>
            <w:tcW w:w="560" w:type="dxa"/>
            <w:vAlign w:val="bottom"/>
            <w:tcBorders>
              <w:bottom w:val="single" w:sz="8" w:color="4B5088"/>
              <w:right w:val="single" w:sz="8" w:color="4B5088"/>
            </w:tcBorders>
          </w:tcPr>
          <w:p>
            <w:pPr>
              <w:spacing w:after="0"/>
              <w:rPr>
                <w:sz w:val="24"/>
                <w:szCs w:val="24"/>
                <w:color w:val="auto"/>
              </w:rPr>
            </w:pPr>
          </w:p>
        </w:tc>
        <w:tc>
          <w:tcPr>
            <w:tcW w:w="580" w:type="dxa"/>
            <w:vAlign w:val="bottom"/>
            <w:tcBorders>
              <w:bottom w:val="single" w:sz="8" w:color="4B5088"/>
              <w:right w:val="single" w:sz="8" w:color="4B5088"/>
            </w:tcBorders>
          </w:tcPr>
          <w:p>
            <w:pPr>
              <w:spacing w:after="0"/>
              <w:rPr>
                <w:sz w:val="24"/>
                <w:szCs w:val="24"/>
                <w:color w:val="auto"/>
              </w:rPr>
            </w:pPr>
          </w:p>
        </w:tc>
        <w:tc>
          <w:tcPr>
            <w:tcW w:w="440" w:type="dxa"/>
            <w:vAlign w:val="bottom"/>
            <w:tcBorders>
              <w:bottom w:val="single" w:sz="8" w:color="4B5088"/>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gridSpan w:val="3"/>
          </w:tcPr>
          <w:p>
            <w:pPr>
              <w:ind w:left="20"/>
              <w:spacing w:after="0"/>
              <w:rPr>
                <w:sz w:val="20"/>
                <w:szCs w:val="20"/>
                <w:color w:val="auto"/>
              </w:rPr>
            </w:pPr>
            <w:r>
              <w:rPr>
                <w:rFonts w:ascii="Arial" w:cs="Arial" w:eastAsia="Arial" w:hAnsi="Arial"/>
                <w:sz w:val="16"/>
                <w:szCs w:val="16"/>
                <w:b w:val="1"/>
                <w:bCs w:val="1"/>
                <w:color w:val="1F2668"/>
              </w:rPr>
              <w:t>Lauren B. Dillard</w:t>
            </w: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6"/>
                <w:szCs w:val="16"/>
                <w:color w:val="auto"/>
                <w:w w:val="89"/>
              </w:rPr>
              <w:t>49</w:t>
            </w:r>
          </w:p>
        </w:tc>
        <w:tc>
          <w:tcPr>
            <w:tcW w:w="80" w:type="dxa"/>
            <w:vAlign w:val="bottom"/>
          </w:tcPr>
          <w:p>
            <w:pPr>
              <w:spacing w:after="0"/>
              <w:rPr>
                <w:sz w:val="24"/>
                <w:szCs w:val="24"/>
                <w:color w:val="auto"/>
              </w:rPr>
            </w:pPr>
          </w:p>
        </w:tc>
        <w:tc>
          <w:tcPr>
            <w:tcW w:w="2040" w:type="dxa"/>
            <w:vAlign w:val="bottom"/>
            <w:gridSpan w:val="3"/>
          </w:tcPr>
          <w:p>
            <w:pPr>
              <w:jc w:val="center"/>
              <w:ind w:left="940"/>
              <w:spacing w:after="0"/>
              <w:rPr>
                <w:sz w:val="20"/>
                <w:szCs w:val="20"/>
                <w:color w:val="auto"/>
              </w:rPr>
            </w:pPr>
            <w:r>
              <w:rPr>
                <w:rFonts w:ascii="Arial" w:cs="Arial" w:eastAsia="Arial" w:hAnsi="Arial"/>
                <w:sz w:val="16"/>
                <w:szCs w:val="16"/>
                <w:color w:val="auto"/>
                <w:w w:val="95"/>
              </w:rPr>
              <w:t>2016</w:t>
            </w:r>
          </w:p>
        </w:tc>
        <w:tc>
          <w:tcPr>
            <w:tcW w:w="80" w:type="dxa"/>
            <w:vAlign w:val="bottom"/>
          </w:tcPr>
          <w:p>
            <w:pPr>
              <w:spacing w:after="0"/>
              <w:rPr>
                <w:sz w:val="24"/>
                <w:szCs w:val="24"/>
                <w:color w:val="auto"/>
              </w:rPr>
            </w:pPr>
          </w:p>
        </w:tc>
        <w:tc>
          <w:tcPr>
            <w:tcW w:w="540" w:type="dxa"/>
            <w:vAlign w:val="bottom"/>
            <w:tcBorders>
              <w:right w:val="single" w:sz="8" w:color="4B5088"/>
            </w:tcBorders>
          </w:tcPr>
          <w:p>
            <w:pPr>
              <w:ind w:left="200"/>
              <w:spacing w:after="0"/>
              <w:rPr>
                <w:sz w:val="20"/>
                <w:szCs w:val="20"/>
                <w:color w:val="auto"/>
              </w:rPr>
            </w:pPr>
            <w:r>
              <w:rPr>
                <w:rFonts w:ascii="Arial" w:cs="Arial" w:eastAsia="Arial" w:hAnsi="Arial"/>
                <w:sz w:val="20"/>
                <w:szCs w:val="20"/>
                <w:b w:val="1"/>
                <w:bCs w:val="1"/>
                <w:color w:val="83AD40"/>
              </w:rPr>
              <w:t>C</w:t>
            </w:r>
          </w:p>
        </w:tc>
        <w:tc>
          <w:tcPr>
            <w:tcW w:w="560" w:type="dxa"/>
            <w:vAlign w:val="bottom"/>
            <w:tcBorders>
              <w:right w:val="single" w:sz="8" w:color="4B5088"/>
            </w:tcBorders>
          </w:tcPr>
          <w:p>
            <w:pPr>
              <w:jc w:val="center"/>
              <w:spacing w:after="0"/>
              <w:rPr>
                <w:sz w:val="20"/>
                <w:szCs w:val="20"/>
                <w:color w:val="auto"/>
              </w:rPr>
            </w:pPr>
            <w:r>
              <w:rPr>
                <w:rFonts w:ascii="Arial" w:cs="Arial" w:eastAsia="Arial" w:hAnsi="Arial"/>
                <w:sz w:val="20"/>
                <w:szCs w:val="20"/>
                <w:b w:val="1"/>
                <w:bCs w:val="1"/>
                <w:color w:val="1F2668"/>
                <w:w w:val="95"/>
              </w:rPr>
              <w:t>M</w:t>
            </w:r>
          </w:p>
        </w:tc>
        <w:tc>
          <w:tcPr>
            <w:tcW w:w="580" w:type="dxa"/>
            <w:vAlign w:val="bottom"/>
            <w:tcBorders>
              <w:right w:val="single" w:sz="8" w:color="4B5088"/>
            </w:tcBorders>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640" w:type="dxa"/>
            <w:vAlign w:val="bottom"/>
            <w:tcBorders>
              <w:bottom w:val="single" w:sz="8" w:color="4B5088"/>
            </w:tcBorders>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Borders>
              <w:bottom w:val="single" w:sz="8" w:color="4B5088"/>
            </w:tcBorders>
            <w:gridSpan w:val="3"/>
          </w:tcPr>
          <w:p>
            <w:pPr>
              <w:spacing w:after="0"/>
              <w:rPr>
                <w:sz w:val="24"/>
                <w:szCs w:val="24"/>
                <w:color w:val="auto"/>
              </w:rPr>
            </w:pPr>
          </w:p>
        </w:tc>
        <w:tc>
          <w:tcPr>
            <w:tcW w:w="180" w:type="dxa"/>
            <w:vAlign w:val="bottom"/>
            <w:tcBorders>
              <w:bottom w:val="single" w:sz="8" w:color="4B5088"/>
            </w:tcBorders>
          </w:tcPr>
          <w:p>
            <w:pPr>
              <w:spacing w:after="0"/>
              <w:rPr>
                <w:sz w:val="24"/>
                <w:szCs w:val="24"/>
                <w:color w:val="auto"/>
              </w:rPr>
            </w:pPr>
          </w:p>
        </w:tc>
        <w:tc>
          <w:tcPr>
            <w:tcW w:w="1680" w:type="dxa"/>
            <w:vAlign w:val="bottom"/>
            <w:tcBorders>
              <w:bottom w:val="single" w:sz="8" w:color="4B5088"/>
            </w:tcBorders>
          </w:tcPr>
          <w:p>
            <w:pPr>
              <w:spacing w:after="0"/>
              <w:rPr>
                <w:sz w:val="24"/>
                <w:szCs w:val="24"/>
                <w:color w:val="auto"/>
              </w:rPr>
            </w:pPr>
          </w:p>
        </w:tc>
        <w:tc>
          <w:tcPr>
            <w:tcW w:w="140" w:type="dxa"/>
            <w:vAlign w:val="bottom"/>
            <w:tcBorders>
              <w:bottom w:val="single" w:sz="8" w:color="4B5088"/>
            </w:tcBorders>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Borders>
              <w:bottom w:val="single" w:sz="8" w:color="4B5088"/>
            </w:tcBorders>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bottom w:val="single" w:sz="8" w:color="4B5088"/>
            </w:tcBorders>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Borders>
              <w:bottom w:val="single" w:sz="8" w:color="4B5088"/>
            </w:tcBorders>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Borders>
              <w:bottom w:val="single" w:sz="8" w:color="4B5088"/>
              <w:right w:val="single" w:sz="8" w:color="4B5088"/>
            </w:tcBorders>
          </w:tcPr>
          <w:p>
            <w:pPr>
              <w:spacing w:after="0"/>
              <w:rPr>
                <w:sz w:val="24"/>
                <w:szCs w:val="24"/>
                <w:color w:val="auto"/>
              </w:rPr>
            </w:pPr>
          </w:p>
        </w:tc>
        <w:tc>
          <w:tcPr>
            <w:tcW w:w="560" w:type="dxa"/>
            <w:vAlign w:val="bottom"/>
            <w:tcBorders>
              <w:bottom w:val="single" w:sz="8" w:color="4B5088"/>
              <w:right w:val="single" w:sz="8" w:color="4B5088"/>
            </w:tcBorders>
          </w:tcPr>
          <w:p>
            <w:pPr>
              <w:spacing w:after="0"/>
              <w:rPr>
                <w:sz w:val="24"/>
                <w:szCs w:val="24"/>
                <w:color w:val="auto"/>
              </w:rPr>
            </w:pPr>
          </w:p>
        </w:tc>
        <w:tc>
          <w:tcPr>
            <w:tcW w:w="580" w:type="dxa"/>
            <w:vAlign w:val="bottom"/>
            <w:tcBorders>
              <w:bottom w:val="single" w:sz="8" w:color="4B5088"/>
              <w:right w:val="single" w:sz="8" w:color="4B5088"/>
            </w:tcBorders>
          </w:tcPr>
          <w:p>
            <w:pPr>
              <w:spacing w:after="0"/>
              <w:rPr>
                <w:sz w:val="24"/>
                <w:szCs w:val="24"/>
                <w:color w:val="auto"/>
              </w:rPr>
            </w:pPr>
          </w:p>
        </w:tc>
        <w:tc>
          <w:tcPr>
            <w:tcW w:w="440" w:type="dxa"/>
            <w:vAlign w:val="bottom"/>
            <w:tcBorders>
              <w:bottom w:val="single" w:sz="8" w:color="4B5088"/>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gridSpan w:val="3"/>
          </w:tcPr>
          <w:p>
            <w:pPr>
              <w:ind w:left="20"/>
              <w:spacing w:after="0"/>
              <w:rPr>
                <w:sz w:val="20"/>
                <w:szCs w:val="20"/>
                <w:color w:val="auto"/>
              </w:rPr>
            </w:pPr>
            <w:r>
              <w:rPr>
                <w:rFonts w:ascii="Arial" w:cs="Arial" w:eastAsia="Arial" w:hAnsi="Arial"/>
                <w:sz w:val="16"/>
                <w:szCs w:val="16"/>
                <w:b w:val="1"/>
                <w:bCs w:val="1"/>
                <w:color w:val="1F2668"/>
              </w:rPr>
              <w:t>Stephen L. Green</w:t>
            </w: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6"/>
                <w:szCs w:val="16"/>
                <w:color w:val="auto"/>
                <w:w w:val="89"/>
              </w:rPr>
              <w:t>87</w:t>
            </w:r>
          </w:p>
        </w:tc>
        <w:tc>
          <w:tcPr>
            <w:tcW w:w="80" w:type="dxa"/>
            <w:vAlign w:val="bottom"/>
          </w:tcPr>
          <w:p>
            <w:pPr>
              <w:spacing w:after="0"/>
              <w:rPr>
                <w:sz w:val="24"/>
                <w:szCs w:val="24"/>
                <w:color w:val="auto"/>
              </w:rPr>
            </w:pPr>
          </w:p>
        </w:tc>
        <w:tc>
          <w:tcPr>
            <w:tcW w:w="2040" w:type="dxa"/>
            <w:vAlign w:val="bottom"/>
            <w:gridSpan w:val="3"/>
          </w:tcPr>
          <w:p>
            <w:pPr>
              <w:jc w:val="center"/>
              <w:ind w:left="940"/>
              <w:spacing w:after="0"/>
              <w:rPr>
                <w:sz w:val="20"/>
                <w:szCs w:val="20"/>
                <w:color w:val="auto"/>
              </w:rPr>
            </w:pPr>
            <w:r>
              <w:rPr>
                <w:rFonts w:ascii="Arial" w:cs="Arial" w:eastAsia="Arial" w:hAnsi="Arial"/>
                <w:sz w:val="16"/>
                <w:szCs w:val="16"/>
                <w:color w:val="auto"/>
                <w:w w:val="95"/>
              </w:rPr>
              <w:t>1997</w:t>
            </w:r>
          </w:p>
        </w:tc>
        <w:tc>
          <w:tcPr>
            <w:tcW w:w="80" w:type="dxa"/>
            <w:vAlign w:val="bottom"/>
          </w:tcPr>
          <w:p>
            <w:pPr>
              <w:spacing w:after="0"/>
              <w:rPr>
                <w:sz w:val="24"/>
                <w:szCs w:val="24"/>
                <w:color w:val="auto"/>
              </w:rPr>
            </w:pPr>
          </w:p>
        </w:tc>
        <w:tc>
          <w:tcPr>
            <w:tcW w:w="540" w:type="dxa"/>
            <w:vAlign w:val="bottom"/>
            <w:tcBorders>
              <w:right w:val="single" w:sz="8" w:color="4B5088"/>
            </w:tcBorders>
          </w:tcPr>
          <w:p>
            <w:pPr>
              <w:spacing w:after="0"/>
              <w:rPr>
                <w:sz w:val="24"/>
                <w:szCs w:val="24"/>
                <w:color w:val="auto"/>
              </w:rPr>
            </w:pPr>
          </w:p>
        </w:tc>
        <w:tc>
          <w:tcPr>
            <w:tcW w:w="560" w:type="dxa"/>
            <w:vAlign w:val="bottom"/>
            <w:tcBorders>
              <w:right w:val="single" w:sz="8" w:color="4B5088"/>
            </w:tcBorders>
          </w:tcPr>
          <w:p>
            <w:pPr>
              <w:spacing w:after="0"/>
              <w:rPr>
                <w:sz w:val="24"/>
                <w:szCs w:val="24"/>
                <w:color w:val="auto"/>
              </w:rPr>
            </w:pPr>
          </w:p>
        </w:tc>
        <w:tc>
          <w:tcPr>
            <w:tcW w:w="580" w:type="dxa"/>
            <w:vAlign w:val="bottom"/>
            <w:tcBorders>
              <w:right w:val="single" w:sz="8" w:color="4B5088"/>
            </w:tcBorders>
          </w:tcPr>
          <w:p>
            <w:pPr>
              <w:spacing w:after="0"/>
              <w:rPr>
                <w:sz w:val="24"/>
                <w:szCs w:val="24"/>
                <w:color w:val="auto"/>
              </w:rPr>
            </w:pPr>
          </w:p>
        </w:tc>
        <w:tc>
          <w:tcPr>
            <w:tcW w:w="500" w:type="dxa"/>
            <w:vAlign w:val="bottom"/>
            <w:gridSpan w:val="2"/>
          </w:tcPr>
          <w:p>
            <w:pPr>
              <w:jc w:val="center"/>
              <w:spacing w:after="0"/>
              <w:rPr>
                <w:sz w:val="20"/>
                <w:szCs w:val="20"/>
                <w:color w:val="auto"/>
              </w:rPr>
            </w:pPr>
            <w:r>
              <w:rPr>
                <w:rFonts w:ascii="Arial" w:cs="Arial" w:eastAsia="Arial" w:hAnsi="Arial"/>
                <w:sz w:val="20"/>
                <w:szCs w:val="20"/>
                <w:b w:val="1"/>
                <w:bCs w:val="1"/>
                <w:color w:val="1F2668"/>
                <w:w w:val="95"/>
              </w:rPr>
              <w:t>M</w:t>
            </w:r>
          </w:p>
        </w:tc>
        <w:tc>
          <w:tcPr>
            <w:tcW w:w="0" w:type="dxa"/>
            <w:vAlign w:val="bottom"/>
          </w:tcPr>
          <w:p>
            <w:pPr>
              <w:spacing w:after="0"/>
              <w:rPr>
                <w:sz w:val="1"/>
                <w:szCs w:val="1"/>
                <w:color w:val="auto"/>
              </w:rPr>
            </w:pPr>
          </w:p>
        </w:tc>
      </w:tr>
      <w:tr>
        <w:trPr>
          <w:trHeight w:val="331"/>
        </w:trPr>
        <w:tc>
          <w:tcPr>
            <w:tcW w:w="640" w:type="dxa"/>
            <w:vAlign w:val="bottom"/>
            <w:tcBorders>
              <w:bottom w:val="single" w:sz="8" w:color="4B5088"/>
            </w:tcBorders>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Borders>
              <w:bottom w:val="single" w:sz="8" w:color="4B5088"/>
            </w:tcBorders>
          </w:tcPr>
          <w:p>
            <w:pPr>
              <w:spacing w:after="0"/>
              <w:rPr>
                <w:sz w:val="24"/>
                <w:szCs w:val="24"/>
                <w:color w:val="auto"/>
              </w:rPr>
            </w:pPr>
          </w:p>
        </w:tc>
        <w:tc>
          <w:tcPr>
            <w:tcW w:w="260" w:type="dxa"/>
            <w:vAlign w:val="bottom"/>
            <w:tcBorders>
              <w:bottom w:val="single" w:sz="8" w:color="4B5088"/>
            </w:tcBorders>
          </w:tcPr>
          <w:p>
            <w:pPr>
              <w:spacing w:after="0"/>
              <w:rPr>
                <w:sz w:val="24"/>
                <w:szCs w:val="24"/>
                <w:color w:val="auto"/>
              </w:rPr>
            </w:pPr>
          </w:p>
        </w:tc>
        <w:tc>
          <w:tcPr>
            <w:tcW w:w="800" w:type="dxa"/>
            <w:vAlign w:val="bottom"/>
            <w:tcBorders>
              <w:bottom w:val="single" w:sz="8" w:color="4B5088"/>
            </w:tcBorders>
          </w:tcPr>
          <w:p>
            <w:pPr>
              <w:spacing w:after="0"/>
              <w:rPr>
                <w:sz w:val="24"/>
                <w:szCs w:val="24"/>
                <w:color w:val="auto"/>
              </w:rPr>
            </w:pPr>
          </w:p>
        </w:tc>
        <w:tc>
          <w:tcPr>
            <w:tcW w:w="180" w:type="dxa"/>
            <w:vAlign w:val="bottom"/>
            <w:tcBorders>
              <w:bottom w:val="single" w:sz="8" w:color="4B5088"/>
            </w:tcBorders>
          </w:tcPr>
          <w:p>
            <w:pPr>
              <w:spacing w:after="0"/>
              <w:rPr>
                <w:sz w:val="24"/>
                <w:szCs w:val="24"/>
                <w:color w:val="auto"/>
              </w:rPr>
            </w:pPr>
          </w:p>
        </w:tc>
        <w:tc>
          <w:tcPr>
            <w:tcW w:w="1680" w:type="dxa"/>
            <w:vAlign w:val="bottom"/>
            <w:tcBorders>
              <w:bottom w:val="single" w:sz="8" w:color="4B5088"/>
            </w:tcBorders>
          </w:tcPr>
          <w:p>
            <w:pPr>
              <w:spacing w:after="0"/>
              <w:rPr>
                <w:sz w:val="24"/>
                <w:szCs w:val="24"/>
                <w:color w:val="auto"/>
              </w:rPr>
            </w:pPr>
          </w:p>
        </w:tc>
        <w:tc>
          <w:tcPr>
            <w:tcW w:w="140" w:type="dxa"/>
            <w:vAlign w:val="bottom"/>
            <w:tcBorders>
              <w:bottom w:val="single" w:sz="8" w:color="4B5088"/>
            </w:tcBorders>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Borders>
              <w:bottom w:val="single" w:sz="8" w:color="4B5088"/>
            </w:tcBorders>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bottom w:val="single" w:sz="8" w:color="4B5088"/>
            </w:tcBorders>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Borders>
              <w:bottom w:val="single" w:sz="8" w:color="4B5088"/>
            </w:tcBorders>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Borders>
              <w:bottom w:val="single" w:sz="8" w:color="4B5088"/>
              <w:right w:val="single" w:sz="8" w:color="4B5088"/>
            </w:tcBorders>
          </w:tcPr>
          <w:p>
            <w:pPr>
              <w:spacing w:after="0"/>
              <w:rPr>
                <w:sz w:val="24"/>
                <w:szCs w:val="24"/>
                <w:color w:val="auto"/>
              </w:rPr>
            </w:pPr>
          </w:p>
        </w:tc>
        <w:tc>
          <w:tcPr>
            <w:tcW w:w="560" w:type="dxa"/>
            <w:vAlign w:val="bottom"/>
            <w:tcBorders>
              <w:bottom w:val="single" w:sz="8" w:color="4B5088"/>
              <w:right w:val="single" w:sz="8" w:color="4B5088"/>
            </w:tcBorders>
          </w:tcPr>
          <w:p>
            <w:pPr>
              <w:spacing w:after="0"/>
              <w:rPr>
                <w:sz w:val="24"/>
                <w:szCs w:val="24"/>
                <w:color w:val="auto"/>
              </w:rPr>
            </w:pPr>
          </w:p>
        </w:tc>
        <w:tc>
          <w:tcPr>
            <w:tcW w:w="580" w:type="dxa"/>
            <w:vAlign w:val="bottom"/>
            <w:tcBorders>
              <w:bottom w:val="single" w:sz="8" w:color="4B5088"/>
              <w:right w:val="single" w:sz="8" w:color="4B5088"/>
            </w:tcBorders>
          </w:tcPr>
          <w:p>
            <w:pPr>
              <w:spacing w:after="0"/>
              <w:rPr>
                <w:sz w:val="24"/>
                <w:szCs w:val="24"/>
                <w:color w:val="auto"/>
              </w:rPr>
            </w:pPr>
          </w:p>
        </w:tc>
        <w:tc>
          <w:tcPr>
            <w:tcW w:w="440" w:type="dxa"/>
            <w:vAlign w:val="bottom"/>
            <w:tcBorders>
              <w:bottom w:val="single" w:sz="8" w:color="4B5088"/>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1F2668"/>
              </w:rPr>
              <w:t>Craig M. Hatkoff</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1680" w:type="dxa"/>
            <w:vAlign w:val="bottom"/>
          </w:tcPr>
          <w:p>
            <w:pPr>
              <w:ind w:left="40"/>
              <w:spacing w:after="0"/>
              <w:rPr>
                <w:sz w:val="20"/>
                <w:szCs w:val="20"/>
                <w:color w:val="auto"/>
              </w:rPr>
            </w:pPr>
            <w:r>
              <w:rPr>
                <w:rFonts w:ascii="Arial" w:cs="Arial" w:eastAsia="Arial" w:hAnsi="Arial"/>
                <w:sz w:val="14"/>
                <w:szCs w:val="14"/>
                <w:color w:val="auto"/>
              </w:rPr>
              <w:t>Jaguar Global Growth</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vMerge w:val="restart"/>
          </w:tcPr>
          <w:p>
            <w:pPr>
              <w:jc w:val="center"/>
              <w:spacing w:after="0"/>
              <w:rPr>
                <w:sz w:val="20"/>
                <w:szCs w:val="20"/>
                <w:color w:val="auto"/>
              </w:rPr>
            </w:pPr>
            <w:r>
              <w:rPr>
                <w:rFonts w:ascii="Arial" w:cs="Arial" w:eastAsia="Arial" w:hAnsi="Arial"/>
                <w:sz w:val="16"/>
                <w:szCs w:val="16"/>
                <w:color w:val="auto"/>
                <w:w w:val="89"/>
              </w:rPr>
              <w:t>71</w:t>
            </w:r>
          </w:p>
        </w:tc>
        <w:tc>
          <w:tcPr>
            <w:tcW w:w="80" w:type="dxa"/>
            <w:vAlign w:val="bottom"/>
          </w:tcPr>
          <w:p>
            <w:pPr>
              <w:spacing w:after="0"/>
              <w:rPr>
                <w:sz w:val="24"/>
                <w:szCs w:val="24"/>
                <w:color w:val="auto"/>
              </w:rPr>
            </w:pPr>
          </w:p>
        </w:tc>
        <w:tc>
          <w:tcPr>
            <w:tcW w:w="2040" w:type="dxa"/>
            <w:vAlign w:val="bottom"/>
            <w:gridSpan w:val="3"/>
            <w:vMerge w:val="restart"/>
          </w:tcPr>
          <w:p>
            <w:pPr>
              <w:jc w:val="center"/>
              <w:ind w:left="940"/>
              <w:spacing w:after="0"/>
              <w:rPr>
                <w:sz w:val="20"/>
                <w:szCs w:val="20"/>
                <w:color w:val="auto"/>
              </w:rPr>
            </w:pPr>
            <w:r>
              <w:rPr>
                <w:rFonts w:ascii="Arial" w:cs="Arial" w:eastAsia="Arial" w:hAnsi="Arial"/>
                <w:sz w:val="16"/>
                <w:szCs w:val="16"/>
                <w:color w:val="auto"/>
                <w:w w:val="95"/>
              </w:rPr>
              <w:t>2011</w:t>
            </w:r>
          </w:p>
        </w:tc>
        <w:tc>
          <w:tcPr>
            <w:tcW w:w="80" w:type="dxa"/>
            <w:vAlign w:val="bottom"/>
          </w:tcPr>
          <w:p>
            <w:pPr>
              <w:spacing w:after="0"/>
              <w:rPr>
                <w:sz w:val="24"/>
                <w:szCs w:val="24"/>
                <w:color w:val="auto"/>
              </w:rPr>
            </w:pPr>
          </w:p>
        </w:tc>
        <w:tc>
          <w:tcPr>
            <w:tcW w:w="540" w:type="dxa"/>
            <w:vAlign w:val="bottom"/>
            <w:tcBorders>
              <w:right w:val="single" w:sz="8" w:color="4B5088"/>
            </w:tcBorders>
            <w:vMerge w:val="restart"/>
          </w:tcPr>
          <w:p>
            <w:pPr>
              <w:ind w:left="180"/>
              <w:spacing w:after="0"/>
              <w:rPr>
                <w:sz w:val="20"/>
                <w:szCs w:val="20"/>
                <w:color w:val="auto"/>
              </w:rPr>
            </w:pPr>
            <w:r>
              <w:rPr>
                <w:rFonts w:ascii="Arial" w:cs="Arial" w:eastAsia="Arial" w:hAnsi="Arial"/>
                <w:sz w:val="20"/>
                <w:szCs w:val="20"/>
                <w:b w:val="1"/>
                <w:bCs w:val="1"/>
                <w:color w:val="1F2668"/>
              </w:rPr>
              <w:t>M</w:t>
            </w:r>
          </w:p>
        </w:tc>
        <w:tc>
          <w:tcPr>
            <w:tcW w:w="560" w:type="dxa"/>
            <w:vAlign w:val="bottom"/>
            <w:tcBorders>
              <w:right w:val="single" w:sz="8" w:color="4B5088"/>
            </w:tcBorders>
          </w:tcPr>
          <w:p>
            <w:pPr>
              <w:spacing w:after="0"/>
              <w:rPr>
                <w:sz w:val="24"/>
                <w:szCs w:val="24"/>
                <w:color w:val="auto"/>
              </w:rPr>
            </w:pPr>
          </w:p>
        </w:tc>
        <w:tc>
          <w:tcPr>
            <w:tcW w:w="580" w:type="dxa"/>
            <w:vAlign w:val="bottom"/>
            <w:tcBorders>
              <w:right w:val="single" w:sz="8" w:color="4B5088"/>
            </w:tcBorders>
            <w:vMerge w:val="restart"/>
          </w:tcPr>
          <w:p>
            <w:pPr>
              <w:jc w:val="center"/>
              <w:spacing w:after="0"/>
              <w:rPr>
                <w:sz w:val="20"/>
                <w:szCs w:val="20"/>
                <w:color w:val="auto"/>
              </w:rPr>
            </w:pPr>
            <w:r>
              <w:rPr>
                <w:rFonts w:ascii="Arial" w:cs="Arial" w:eastAsia="Arial" w:hAnsi="Arial"/>
                <w:sz w:val="20"/>
                <w:szCs w:val="20"/>
                <w:b w:val="1"/>
                <w:bCs w:val="1"/>
                <w:color w:val="83AD40"/>
                <w:w w:val="96"/>
              </w:rPr>
              <w:t>C</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20" w:type="dxa"/>
            <w:vAlign w:val="bottom"/>
            <w:gridSpan w:val="3"/>
            <w:vMerge w:val="continue"/>
          </w:tcPr>
          <w:p>
            <w:pPr>
              <w:spacing w:after="0"/>
              <w:rPr>
                <w:sz w:val="22"/>
                <w:szCs w:val="22"/>
                <w:color w:val="auto"/>
              </w:rPr>
            </w:pPr>
          </w:p>
        </w:tc>
        <w:tc>
          <w:tcPr>
            <w:tcW w:w="180" w:type="dxa"/>
            <w:vAlign w:val="bottom"/>
          </w:tcPr>
          <w:p>
            <w:pPr>
              <w:spacing w:after="0"/>
              <w:rPr>
                <w:sz w:val="22"/>
                <w:szCs w:val="22"/>
                <w:color w:val="auto"/>
              </w:rPr>
            </w:pPr>
          </w:p>
        </w:tc>
        <w:tc>
          <w:tcPr>
            <w:tcW w:w="1680" w:type="dxa"/>
            <w:vAlign w:val="bottom"/>
          </w:tcPr>
          <w:p>
            <w:pPr>
              <w:ind w:left="40"/>
              <w:spacing w:after="0"/>
              <w:rPr>
                <w:sz w:val="20"/>
                <w:szCs w:val="20"/>
                <w:color w:val="auto"/>
              </w:rPr>
            </w:pPr>
            <w:r>
              <w:rPr>
                <w:rFonts w:ascii="Arial" w:cs="Arial" w:eastAsia="Arial" w:hAnsi="Arial"/>
                <w:sz w:val="14"/>
                <w:szCs w:val="14"/>
                <w:color w:val="auto"/>
              </w:rPr>
              <w:t>Corporation I</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40" w:type="dxa"/>
            <w:vAlign w:val="bottom"/>
            <w:gridSpan w:val="3"/>
            <w:vMerge w:val="continue"/>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Borders>
              <w:right w:val="single" w:sz="8" w:color="4B5088"/>
            </w:tcBorders>
            <w:vMerge w:val="continue"/>
          </w:tcPr>
          <w:p>
            <w:pPr>
              <w:spacing w:after="0"/>
              <w:rPr>
                <w:sz w:val="22"/>
                <w:szCs w:val="22"/>
                <w:color w:val="auto"/>
              </w:rPr>
            </w:pPr>
          </w:p>
        </w:tc>
        <w:tc>
          <w:tcPr>
            <w:tcW w:w="560" w:type="dxa"/>
            <w:vAlign w:val="bottom"/>
            <w:tcBorders>
              <w:right w:val="single" w:sz="8" w:color="4B5088"/>
            </w:tcBorders>
          </w:tcPr>
          <w:p>
            <w:pPr>
              <w:spacing w:after="0"/>
              <w:rPr>
                <w:sz w:val="22"/>
                <w:szCs w:val="22"/>
                <w:color w:val="auto"/>
              </w:rPr>
            </w:pPr>
          </w:p>
        </w:tc>
        <w:tc>
          <w:tcPr>
            <w:tcW w:w="580" w:type="dxa"/>
            <w:vAlign w:val="bottom"/>
            <w:tcBorders>
              <w:right w:val="single" w:sz="8" w:color="4B5088"/>
            </w:tcBorders>
            <w:vMerge w:val="continue"/>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1680" w:type="dxa"/>
            <w:vAlign w:val="bottom"/>
          </w:tcPr>
          <w:p>
            <w:pPr>
              <w:ind w:left="40"/>
              <w:spacing w:after="0"/>
              <w:rPr>
                <w:sz w:val="20"/>
                <w:szCs w:val="20"/>
                <w:color w:val="auto"/>
              </w:rPr>
            </w:pPr>
            <w:r>
              <w:rPr>
                <w:rFonts w:ascii="Arial" w:cs="Arial" w:eastAsia="Arial" w:hAnsi="Arial"/>
                <w:sz w:val="14"/>
                <w:szCs w:val="14"/>
                <w:color w:val="auto"/>
              </w:rPr>
              <w:t>Captivision Inc.</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Borders>
              <w:right w:val="single" w:sz="8" w:color="4B5088"/>
            </w:tcBorders>
          </w:tcPr>
          <w:p>
            <w:pPr>
              <w:spacing w:after="0"/>
              <w:rPr>
                <w:sz w:val="16"/>
                <w:szCs w:val="16"/>
                <w:color w:val="auto"/>
              </w:rPr>
            </w:pPr>
          </w:p>
        </w:tc>
        <w:tc>
          <w:tcPr>
            <w:tcW w:w="560" w:type="dxa"/>
            <w:vAlign w:val="bottom"/>
            <w:tcBorders>
              <w:right w:val="single" w:sz="8" w:color="4B5088"/>
            </w:tcBorders>
          </w:tcPr>
          <w:p>
            <w:pPr>
              <w:spacing w:after="0"/>
              <w:rPr>
                <w:sz w:val="16"/>
                <w:szCs w:val="16"/>
                <w:color w:val="auto"/>
              </w:rPr>
            </w:pPr>
          </w:p>
        </w:tc>
        <w:tc>
          <w:tcPr>
            <w:tcW w:w="580" w:type="dxa"/>
            <w:vAlign w:val="bottom"/>
            <w:tcBorders>
              <w:right w:val="single" w:sz="8" w:color="4B5088"/>
            </w:tcBorders>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640" w:type="dxa"/>
            <w:vAlign w:val="bottom"/>
            <w:tcBorders>
              <w:bottom w:val="single" w:sz="8" w:color="4B5088"/>
            </w:tcBorders>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Borders>
              <w:bottom w:val="single" w:sz="8" w:color="4B5088"/>
            </w:tcBorders>
            <w:gridSpan w:val="3"/>
          </w:tcPr>
          <w:p>
            <w:pPr>
              <w:spacing w:after="0"/>
              <w:rPr>
                <w:sz w:val="12"/>
                <w:szCs w:val="12"/>
                <w:color w:val="auto"/>
              </w:rPr>
            </w:pPr>
          </w:p>
        </w:tc>
        <w:tc>
          <w:tcPr>
            <w:tcW w:w="180" w:type="dxa"/>
            <w:vAlign w:val="bottom"/>
            <w:tcBorders>
              <w:bottom w:val="single" w:sz="8" w:color="4B5088"/>
            </w:tcBorders>
          </w:tcPr>
          <w:p>
            <w:pPr>
              <w:spacing w:after="0"/>
              <w:rPr>
                <w:sz w:val="12"/>
                <w:szCs w:val="12"/>
                <w:color w:val="auto"/>
              </w:rPr>
            </w:pPr>
          </w:p>
        </w:tc>
        <w:tc>
          <w:tcPr>
            <w:tcW w:w="1680" w:type="dxa"/>
            <w:vAlign w:val="bottom"/>
            <w:tcBorders>
              <w:bottom w:val="single" w:sz="8" w:color="4B5088"/>
            </w:tcBorders>
          </w:tcPr>
          <w:p>
            <w:pPr>
              <w:spacing w:after="0"/>
              <w:rPr>
                <w:sz w:val="12"/>
                <w:szCs w:val="12"/>
                <w:color w:val="auto"/>
              </w:rPr>
            </w:pPr>
          </w:p>
        </w:tc>
        <w:tc>
          <w:tcPr>
            <w:tcW w:w="140" w:type="dxa"/>
            <w:vAlign w:val="bottom"/>
            <w:tcBorders>
              <w:bottom w:val="single" w:sz="8" w:color="4B5088"/>
            </w:tcBorders>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Borders>
              <w:bottom w:val="single" w:sz="8" w:color="4B5088"/>
            </w:tcBorders>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bottom w:val="single" w:sz="8" w:color="4B5088"/>
            </w:tcBorders>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Borders>
              <w:bottom w:val="single" w:sz="8" w:color="4B5088"/>
            </w:tcBorders>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bottom w:val="single" w:sz="8" w:color="4B5088"/>
              <w:right w:val="single" w:sz="8" w:color="4B5088"/>
            </w:tcBorders>
          </w:tcPr>
          <w:p>
            <w:pPr>
              <w:spacing w:after="0"/>
              <w:rPr>
                <w:sz w:val="12"/>
                <w:szCs w:val="12"/>
                <w:color w:val="auto"/>
              </w:rPr>
            </w:pPr>
          </w:p>
        </w:tc>
        <w:tc>
          <w:tcPr>
            <w:tcW w:w="560" w:type="dxa"/>
            <w:vAlign w:val="bottom"/>
            <w:tcBorders>
              <w:bottom w:val="single" w:sz="8" w:color="4B5088"/>
              <w:right w:val="single" w:sz="8" w:color="4B5088"/>
            </w:tcBorders>
          </w:tcPr>
          <w:p>
            <w:pPr>
              <w:spacing w:after="0"/>
              <w:rPr>
                <w:sz w:val="12"/>
                <w:szCs w:val="12"/>
                <w:color w:val="auto"/>
              </w:rPr>
            </w:pPr>
          </w:p>
        </w:tc>
        <w:tc>
          <w:tcPr>
            <w:tcW w:w="580" w:type="dxa"/>
            <w:vAlign w:val="bottom"/>
            <w:tcBorders>
              <w:bottom w:val="single" w:sz="8" w:color="4B5088"/>
              <w:right w:val="single" w:sz="8" w:color="4B5088"/>
            </w:tcBorders>
          </w:tcPr>
          <w:p>
            <w:pPr>
              <w:spacing w:after="0"/>
              <w:rPr>
                <w:sz w:val="12"/>
                <w:szCs w:val="12"/>
                <w:color w:val="auto"/>
              </w:rPr>
            </w:pPr>
          </w:p>
        </w:tc>
        <w:tc>
          <w:tcPr>
            <w:tcW w:w="440" w:type="dxa"/>
            <w:vAlign w:val="bottom"/>
            <w:tcBorders>
              <w:bottom w:val="single" w:sz="8" w:color="4B5088"/>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81"/>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gridSpan w:val="3"/>
          </w:tcPr>
          <w:p>
            <w:pPr>
              <w:ind w:left="20"/>
              <w:spacing w:after="0"/>
              <w:rPr>
                <w:sz w:val="20"/>
                <w:szCs w:val="20"/>
                <w:color w:val="auto"/>
              </w:rPr>
            </w:pPr>
            <w:r>
              <w:rPr>
                <w:rFonts w:ascii="Arial" w:cs="Arial" w:eastAsia="Arial" w:hAnsi="Arial"/>
                <w:sz w:val="16"/>
                <w:szCs w:val="16"/>
                <w:b w:val="1"/>
                <w:bCs w:val="1"/>
                <w:color w:val="1F2668"/>
              </w:rPr>
              <w:t>Marc Holliday</w:t>
            </w: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6"/>
                <w:szCs w:val="16"/>
                <w:color w:val="auto"/>
                <w:w w:val="89"/>
              </w:rPr>
              <w:t>58</w:t>
            </w:r>
          </w:p>
        </w:tc>
        <w:tc>
          <w:tcPr>
            <w:tcW w:w="80" w:type="dxa"/>
            <w:vAlign w:val="bottom"/>
          </w:tcPr>
          <w:p>
            <w:pPr>
              <w:spacing w:after="0"/>
              <w:rPr>
                <w:sz w:val="24"/>
                <w:szCs w:val="24"/>
                <w:color w:val="auto"/>
              </w:rPr>
            </w:pPr>
          </w:p>
        </w:tc>
        <w:tc>
          <w:tcPr>
            <w:tcW w:w="2040" w:type="dxa"/>
            <w:vAlign w:val="bottom"/>
            <w:gridSpan w:val="3"/>
          </w:tcPr>
          <w:p>
            <w:pPr>
              <w:jc w:val="center"/>
              <w:ind w:left="940"/>
              <w:spacing w:after="0"/>
              <w:rPr>
                <w:sz w:val="20"/>
                <w:szCs w:val="20"/>
                <w:color w:val="auto"/>
              </w:rPr>
            </w:pPr>
            <w:r>
              <w:rPr>
                <w:rFonts w:ascii="Arial" w:cs="Arial" w:eastAsia="Arial" w:hAnsi="Arial"/>
                <w:sz w:val="16"/>
                <w:szCs w:val="16"/>
                <w:color w:val="auto"/>
                <w:w w:val="95"/>
              </w:rPr>
              <w:t>2001</w:t>
            </w:r>
          </w:p>
        </w:tc>
        <w:tc>
          <w:tcPr>
            <w:tcW w:w="80" w:type="dxa"/>
            <w:vAlign w:val="bottom"/>
          </w:tcPr>
          <w:p>
            <w:pPr>
              <w:spacing w:after="0"/>
              <w:rPr>
                <w:sz w:val="24"/>
                <w:szCs w:val="24"/>
                <w:color w:val="auto"/>
              </w:rPr>
            </w:pPr>
          </w:p>
        </w:tc>
        <w:tc>
          <w:tcPr>
            <w:tcW w:w="540" w:type="dxa"/>
            <w:vAlign w:val="bottom"/>
            <w:tcBorders>
              <w:right w:val="single" w:sz="8" w:color="4B5088"/>
            </w:tcBorders>
          </w:tcPr>
          <w:p>
            <w:pPr>
              <w:spacing w:after="0"/>
              <w:rPr>
                <w:sz w:val="24"/>
                <w:szCs w:val="24"/>
                <w:color w:val="auto"/>
              </w:rPr>
            </w:pPr>
          </w:p>
        </w:tc>
        <w:tc>
          <w:tcPr>
            <w:tcW w:w="560" w:type="dxa"/>
            <w:vAlign w:val="bottom"/>
            <w:tcBorders>
              <w:right w:val="single" w:sz="8" w:color="4B5088"/>
            </w:tcBorders>
          </w:tcPr>
          <w:p>
            <w:pPr>
              <w:spacing w:after="0"/>
              <w:rPr>
                <w:sz w:val="24"/>
                <w:szCs w:val="24"/>
                <w:color w:val="auto"/>
              </w:rPr>
            </w:pPr>
          </w:p>
        </w:tc>
        <w:tc>
          <w:tcPr>
            <w:tcW w:w="580" w:type="dxa"/>
            <w:vAlign w:val="bottom"/>
            <w:tcBorders>
              <w:right w:val="single" w:sz="8" w:color="4B5088"/>
            </w:tcBorders>
          </w:tcPr>
          <w:p>
            <w:pPr>
              <w:spacing w:after="0"/>
              <w:rPr>
                <w:sz w:val="24"/>
                <w:szCs w:val="24"/>
                <w:color w:val="auto"/>
              </w:rPr>
            </w:pPr>
          </w:p>
        </w:tc>
        <w:tc>
          <w:tcPr>
            <w:tcW w:w="500" w:type="dxa"/>
            <w:vAlign w:val="bottom"/>
            <w:gridSpan w:val="2"/>
          </w:tcPr>
          <w:p>
            <w:pPr>
              <w:jc w:val="center"/>
              <w:spacing w:after="0"/>
              <w:rPr>
                <w:sz w:val="20"/>
                <w:szCs w:val="20"/>
                <w:color w:val="auto"/>
              </w:rPr>
            </w:pPr>
            <w:r>
              <w:rPr>
                <w:rFonts w:ascii="Arial" w:cs="Arial" w:eastAsia="Arial" w:hAnsi="Arial"/>
                <w:sz w:val="20"/>
                <w:szCs w:val="20"/>
                <w:b w:val="1"/>
                <w:bCs w:val="1"/>
                <w:color w:val="83AD40"/>
                <w:w w:val="96"/>
              </w:rPr>
              <w:t>C</w:t>
            </w:r>
          </w:p>
        </w:tc>
        <w:tc>
          <w:tcPr>
            <w:tcW w:w="0" w:type="dxa"/>
            <w:vAlign w:val="bottom"/>
          </w:tcPr>
          <w:p>
            <w:pPr>
              <w:spacing w:after="0"/>
              <w:rPr>
                <w:sz w:val="1"/>
                <w:szCs w:val="1"/>
                <w:color w:val="auto"/>
              </w:rPr>
            </w:pPr>
          </w:p>
        </w:tc>
      </w:tr>
      <w:tr>
        <w:trPr>
          <w:trHeight w:val="317"/>
        </w:trPr>
        <w:tc>
          <w:tcPr>
            <w:tcW w:w="640" w:type="dxa"/>
            <w:vAlign w:val="bottom"/>
            <w:tcBorders>
              <w:bottom w:val="single" w:sz="8" w:color="4B5088"/>
            </w:tcBorders>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Borders>
              <w:bottom w:val="single" w:sz="8" w:color="4B5088"/>
            </w:tcBorders>
          </w:tcPr>
          <w:p>
            <w:pPr>
              <w:spacing w:after="0"/>
              <w:rPr>
                <w:sz w:val="24"/>
                <w:szCs w:val="24"/>
                <w:color w:val="auto"/>
              </w:rPr>
            </w:pPr>
          </w:p>
        </w:tc>
        <w:tc>
          <w:tcPr>
            <w:tcW w:w="260" w:type="dxa"/>
            <w:vAlign w:val="bottom"/>
            <w:tcBorders>
              <w:bottom w:val="single" w:sz="8" w:color="4B5088"/>
            </w:tcBorders>
          </w:tcPr>
          <w:p>
            <w:pPr>
              <w:spacing w:after="0"/>
              <w:rPr>
                <w:sz w:val="24"/>
                <w:szCs w:val="24"/>
                <w:color w:val="auto"/>
              </w:rPr>
            </w:pPr>
          </w:p>
        </w:tc>
        <w:tc>
          <w:tcPr>
            <w:tcW w:w="800" w:type="dxa"/>
            <w:vAlign w:val="bottom"/>
            <w:tcBorders>
              <w:bottom w:val="single" w:sz="8" w:color="4B5088"/>
            </w:tcBorders>
          </w:tcPr>
          <w:p>
            <w:pPr>
              <w:spacing w:after="0"/>
              <w:rPr>
                <w:sz w:val="24"/>
                <w:szCs w:val="24"/>
                <w:color w:val="auto"/>
              </w:rPr>
            </w:pPr>
          </w:p>
        </w:tc>
        <w:tc>
          <w:tcPr>
            <w:tcW w:w="180" w:type="dxa"/>
            <w:vAlign w:val="bottom"/>
            <w:tcBorders>
              <w:bottom w:val="single" w:sz="8" w:color="4B5088"/>
            </w:tcBorders>
          </w:tcPr>
          <w:p>
            <w:pPr>
              <w:spacing w:after="0"/>
              <w:rPr>
                <w:sz w:val="24"/>
                <w:szCs w:val="24"/>
                <w:color w:val="auto"/>
              </w:rPr>
            </w:pPr>
          </w:p>
        </w:tc>
        <w:tc>
          <w:tcPr>
            <w:tcW w:w="1680" w:type="dxa"/>
            <w:vAlign w:val="bottom"/>
            <w:tcBorders>
              <w:bottom w:val="single" w:sz="8" w:color="4B5088"/>
            </w:tcBorders>
          </w:tcPr>
          <w:p>
            <w:pPr>
              <w:spacing w:after="0"/>
              <w:rPr>
                <w:sz w:val="24"/>
                <w:szCs w:val="24"/>
                <w:color w:val="auto"/>
              </w:rPr>
            </w:pPr>
          </w:p>
        </w:tc>
        <w:tc>
          <w:tcPr>
            <w:tcW w:w="140" w:type="dxa"/>
            <w:vAlign w:val="bottom"/>
            <w:tcBorders>
              <w:bottom w:val="single" w:sz="8" w:color="4B5088"/>
            </w:tcBorders>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Borders>
              <w:bottom w:val="single" w:sz="8" w:color="4B5088"/>
            </w:tcBorders>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bottom w:val="single" w:sz="8" w:color="4B5088"/>
            </w:tcBorders>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Borders>
              <w:bottom w:val="single" w:sz="8" w:color="4B5088"/>
            </w:tcBorders>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Borders>
              <w:bottom w:val="single" w:sz="8" w:color="4B5088"/>
              <w:right w:val="single" w:sz="8" w:color="4B5088"/>
            </w:tcBorders>
          </w:tcPr>
          <w:p>
            <w:pPr>
              <w:spacing w:after="0"/>
              <w:rPr>
                <w:sz w:val="24"/>
                <w:szCs w:val="24"/>
                <w:color w:val="auto"/>
              </w:rPr>
            </w:pPr>
          </w:p>
        </w:tc>
        <w:tc>
          <w:tcPr>
            <w:tcW w:w="560" w:type="dxa"/>
            <w:vAlign w:val="bottom"/>
            <w:tcBorders>
              <w:bottom w:val="single" w:sz="8" w:color="4B5088"/>
              <w:right w:val="single" w:sz="8" w:color="4B5088"/>
            </w:tcBorders>
          </w:tcPr>
          <w:p>
            <w:pPr>
              <w:spacing w:after="0"/>
              <w:rPr>
                <w:sz w:val="24"/>
                <w:szCs w:val="24"/>
                <w:color w:val="auto"/>
              </w:rPr>
            </w:pPr>
          </w:p>
        </w:tc>
        <w:tc>
          <w:tcPr>
            <w:tcW w:w="580" w:type="dxa"/>
            <w:vAlign w:val="bottom"/>
            <w:tcBorders>
              <w:bottom w:val="single" w:sz="8" w:color="4B5088"/>
              <w:right w:val="single" w:sz="8" w:color="4B5088"/>
            </w:tcBorders>
          </w:tcPr>
          <w:p>
            <w:pPr>
              <w:spacing w:after="0"/>
              <w:rPr>
                <w:sz w:val="24"/>
                <w:szCs w:val="24"/>
                <w:color w:val="auto"/>
              </w:rPr>
            </w:pPr>
          </w:p>
        </w:tc>
        <w:tc>
          <w:tcPr>
            <w:tcW w:w="440" w:type="dxa"/>
            <w:vAlign w:val="bottom"/>
            <w:tcBorders>
              <w:bottom w:val="single" w:sz="8" w:color="4B5088"/>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1F2668"/>
              </w:rPr>
              <w:t>Peggy Lamb</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1680" w:type="dxa"/>
            <w:vAlign w:val="bottom"/>
          </w:tcPr>
          <w:p>
            <w:pPr>
              <w:ind w:left="40"/>
              <w:spacing w:after="0"/>
              <w:rPr>
                <w:sz w:val="20"/>
                <w:szCs w:val="20"/>
                <w:color w:val="auto"/>
              </w:rPr>
            </w:pPr>
            <w:r>
              <w:rPr>
                <w:rFonts w:ascii="Arial" w:cs="Arial" w:eastAsia="Arial" w:hAnsi="Arial"/>
                <w:sz w:val="14"/>
                <w:szCs w:val="14"/>
                <w:color w:val="auto"/>
              </w:rPr>
              <w:t>Starwood Real Estate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vMerge w:val="restart"/>
          </w:tcPr>
          <w:p>
            <w:pPr>
              <w:jc w:val="center"/>
              <w:spacing w:after="0"/>
              <w:rPr>
                <w:sz w:val="20"/>
                <w:szCs w:val="20"/>
                <w:color w:val="auto"/>
              </w:rPr>
            </w:pPr>
            <w:r>
              <w:rPr>
                <w:rFonts w:ascii="Arial" w:cs="Arial" w:eastAsia="Arial" w:hAnsi="Arial"/>
                <w:sz w:val="16"/>
                <w:szCs w:val="16"/>
                <w:color w:val="auto"/>
                <w:w w:val="89"/>
              </w:rPr>
              <w:t>60</w:t>
            </w:r>
          </w:p>
        </w:tc>
        <w:tc>
          <w:tcPr>
            <w:tcW w:w="80" w:type="dxa"/>
            <w:vAlign w:val="bottom"/>
          </w:tcPr>
          <w:p>
            <w:pPr>
              <w:spacing w:after="0"/>
              <w:rPr>
                <w:sz w:val="24"/>
                <w:szCs w:val="24"/>
                <w:color w:val="auto"/>
              </w:rPr>
            </w:pPr>
          </w:p>
        </w:tc>
        <w:tc>
          <w:tcPr>
            <w:tcW w:w="2040" w:type="dxa"/>
            <w:vAlign w:val="bottom"/>
            <w:gridSpan w:val="3"/>
            <w:vMerge w:val="restart"/>
          </w:tcPr>
          <w:p>
            <w:pPr>
              <w:jc w:val="center"/>
              <w:ind w:left="940"/>
              <w:spacing w:after="0"/>
              <w:rPr>
                <w:sz w:val="20"/>
                <w:szCs w:val="20"/>
                <w:color w:val="auto"/>
              </w:rPr>
            </w:pPr>
            <w:r>
              <w:rPr>
                <w:rFonts w:ascii="Arial" w:cs="Arial" w:eastAsia="Arial" w:hAnsi="Arial"/>
                <w:sz w:val="16"/>
                <w:szCs w:val="16"/>
                <w:color w:val="auto"/>
                <w:w w:val="95"/>
              </w:rPr>
              <w:t>2025</w:t>
            </w:r>
          </w:p>
        </w:tc>
        <w:tc>
          <w:tcPr>
            <w:tcW w:w="80" w:type="dxa"/>
            <w:vAlign w:val="bottom"/>
          </w:tcPr>
          <w:p>
            <w:pPr>
              <w:spacing w:after="0"/>
              <w:rPr>
                <w:sz w:val="24"/>
                <w:szCs w:val="24"/>
                <w:color w:val="auto"/>
              </w:rPr>
            </w:pPr>
          </w:p>
        </w:tc>
        <w:tc>
          <w:tcPr>
            <w:tcW w:w="540" w:type="dxa"/>
            <w:vAlign w:val="bottom"/>
            <w:tcBorders>
              <w:right w:val="single" w:sz="8" w:color="4B5088"/>
            </w:tcBorders>
          </w:tcPr>
          <w:p>
            <w:pPr>
              <w:spacing w:after="0"/>
              <w:rPr>
                <w:sz w:val="24"/>
                <w:szCs w:val="24"/>
                <w:color w:val="auto"/>
              </w:rPr>
            </w:pPr>
          </w:p>
        </w:tc>
        <w:tc>
          <w:tcPr>
            <w:tcW w:w="560" w:type="dxa"/>
            <w:vAlign w:val="bottom"/>
            <w:tcBorders>
              <w:right w:val="single" w:sz="8" w:color="4B5088"/>
            </w:tcBorders>
            <w:vMerge w:val="restart"/>
          </w:tcPr>
          <w:p>
            <w:pPr>
              <w:jc w:val="center"/>
              <w:spacing w:after="0"/>
              <w:rPr>
                <w:sz w:val="20"/>
                <w:szCs w:val="20"/>
                <w:color w:val="auto"/>
              </w:rPr>
            </w:pPr>
            <w:r>
              <w:rPr>
                <w:rFonts w:ascii="Arial" w:cs="Arial" w:eastAsia="Arial" w:hAnsi="Arial"/>
                <w:sz w:val="20"/>
                <w:szCs w:val="20"/>
                <w:b w:val="1"/>
                <w:bCs w:val="1"/>
                <w:color w:val="83AD40"/>
                <w:w w:val="96"/>
              </w:rPr>
              <w:t>C</w:t>
            </w:r>
          </w:p>
        </w:tc>
        <w:tc>
          <w:tcPr>
            <w:tcW w:w="580" w:type="dxa"/>
            <w:vAlign w:val="bottom"/>
            <w:tcBorders>
              <w:right w:val="single" w:sz="8" w:color="4B5088"/>
            </w:tcBorders>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ind w:left="40"/>
              <w:spacing w:after="0"/>
              <w:rPr>
                <w:sz w:val="20"/>
                <w:szCs w:val="20"/>
                <w:color w:val="auto"/>
              </w:rPr>
            </w:pPr>
            <w:r>
              <w:rPr>
                <w:rFonts w:ascii="Arial" w:cs="Arial" w:eastAsia="Arial" w:hAnsi="Arial"/>
                <w:sz w:val="14"/>
                <w:szCs w:val="14"/>
                <w:color w:val="auto"/>
              </w:rPr>
              <w:t>Income Trust, Inc. (non-</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Borders>
              <w:right w:val="single" w:sz="8" w:color="4B5088"/>
            </w:tcBorders>
          </w:tcPr>
          <w:p>
            <w:pPr>
              <w:spacing w:after="0"/>
              <w:rPr>
                <w:sz w:val="15"/>
                <w:szCs w:val="15"/>
                <w:color w:val="auto"/>
              </w:rPr>
            </w:pPr>
          </w:p>
        </w:tc>
        <w:tc>
          <w:tcPr>
            <w:tcW w:w="560" w:type="dxa"/>
            <w:vAlign w:val="bottom"/>
            <w:tcBorders>
              <w:right w:val="single" w:sz="8" w:color="4B5088"/>
            </w:tcBorders>
            <w:vMerge w:val="continue"/>
          </w:tcPr>
          <w:p>
            <w:pPr>
              <w:spacing w:after="0"/>
              <w:rPr>
                <w:sz w:val="15"/>
                <w:szCs w:val="15"/>
                <w:color w:val="auto"/>
              </w:rPr>
            </w:pPr>
          </w:p>
        </w:tc>
        <w:tc>
          <w:tcPr>
            <w:tcW w:w="580" w:type="dxa"/>
            <w:vAlign w:val="bottom"/>
            <w:tcBorders>
              <w:right w:val="single" w:sz="8" w:color="4B5088"/>
            </w:tcBorders>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ind w:left="40"/>
              <w:spacing w:after="0"/>
              <w:rPr>
                <w:sz w:val="20"/>
                <w:szCs w:val="20"/>
                <w:color w:val="auto"/>
              </w:rPr>
            </w:pPr>
            <w:r>
              <w:rPr>
                <w:rFonts w:ascii="Arial" w:cs="Arial" w:eastAsia="Arial" w:hAnsi="Arial"/>
                <w:sz w:val="14"/>
                <w:szCs w:val="14"/>
                <w:color w:val="auto"/>
              </w:rPr>
              <w:t>exchange traded)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Borders>
              <w:right w:val="single" w:sz="8" w:color="4B5088"/>
            </w:tcBorders>
          </w:tcPr>
          <w:p>
            <w:pPr>
              <w:spacing w:after="0"/>
              <w:rPr>
                <w:sz w:val="16"/>
                <w:szCs w:val="16"/>
                <w:color w:val="auto"/>
              </w:rPr>
            </w:pPr>
          </w:p>
        </w:tc>
        <w:tc>
          <w:tcPr>
            <w:tcW w:w="560" w:type="dxa"/>
            <w:vAlign w:val="bottom"/>
            <w:tcBorders>
              <w:right w:val="single" w:sz="8" w:color="4B5088"/>
            </w:tcBorders>
          </w:tcPr>
          <w:p>
            <w:pPr>
              <w:spacing w:after="0"/>
              <w:rPr>
                <w:sz w:val="16"/>
                <w:szCs w:val="16"/>
                <w:color w:val="auto"/>
              </w:rPr>
            </w:pPr>
          </w:p>
        </w:tc>
        <w:tc>
          <w:tcPr>
            <w:tcW w:w="580" w:type="dxa"/>
            <w:vAlign w:val="bottom"/>
            <w:tcBorders>
              <w:right w:val="single" w:sz="8" w:color="4B5088"/>
            </w:tcBorders>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40" w:type="dxa"/>
            <w:vAlign w:val="bottom"/>
            <w:tcBorders>
              <w:bottom w:val="single" w:sz="8" w:color="4B5088"/>
            </w:tcBorders>
          </w:tcPr>
          <w:p>
            <w:pPr>
              <w:spacing w:after="0"/>
              <w:rPr>
                <w:sz w:val="15"/>
                <w:szCs w:val="15"/>
                <w:color w:val="auto"/>
              </w:rPr>
            </w:pPr>
          </w:p>
        </w:tc>
        <w:tc>
          <w:tcPr>
            <w:tcW w:w="60" w:type="dxa"/>
            <w:vAlign w:val="bottom"/>
          </w:tcPr>
          <w:p>
            <w:pPr>
              <w:spacing w:after="0"/>
              <w:rPr>
                <w:sz w:val="15"/>
                <w:szCs w:val="15"/>
                <w:color w:val="auto"/>
              </w:rPr>
            </w:pPr>
          </w:p>
        </w:tc>
        <w:tc>
          <w:tcPr>
            <w:tcW w:w="1520" w:type="dxa"/>
            <w:vAlign w:val="bottom"/>
            <w:tcBorders>
              <w:bottom w:val="single" w:sz="8" w:color="4B5088"/>
            </w:tcBorders>
            <w:gridSpan w:val="3"/>
          </w:tcPr>
          <w:p>
            <w:pPr>
              <w:spacing w:after="0"/>
              <w:rPr>
                <w:sz w:val="15"/>
                <w:szCs w:val="15"/>
                <w:color w:val="auto"/>
              </w:rPr>
            </w:pPr>
          </w:p>
        </w:tc>
        <w:tc>
          <w:tcPr>
            <w:tcW w:w="180" w:type="dxa"/>
            <w:vAlign w:val="bottom"/>
            <w:tcBorders>
              <w:bottom w:val="single" w:sz="8" w:color="4B5088"/>
            </w:tcBorders>
          </w:tcPr>
          <w:p>
            <w:pPr>
              <w:spacing w:after="0"/>
              <w:rPr>
                <w:sz w:val="15"/>
                <w:szCs w:val="15"/>
                <w:color w:val="auto"/>
              </w:rPr>
            </w:pPr>
          </w:p>
        </w:tc>
        <w:tc>
          <w:tcPr>
            <w:tcW w:w="1680" w:type="dxa"/>
            <w:vAlign w:val="bottom"/>
            <w:tcBorders>
              <w:bottom w:val="single" w:sz="8" w:color="4B5088"/>
            </w:tcBorders>
          </w:tcPr>
          <w:p>
            <w:pPr>
              <w:spacing w:after="0"/>
              <w:rPr>
                <w:sz w:val="15"/>
                <w:szCs w:val="15"/>
                <w:color w:val="auto"/>
              </w:rPr>
            </w:pPr>
          </w:p>
        </w:tc>
        <w:tc>
          <w:tcPr>
            <w:tcW w:w="140" w:type="dxa"/>
            <w:vAlign w:val="bottom"/>
            <w:tcBorders>
              <w:bottom w:val="single" w:sz="8" w:color="4B5088"/>
            </w:tcBorders>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Borders>
              <w:bottom w:val="single" w:sz="8" w:color="4B5088"/>
            </w:tcBorders>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bottom w:val="single" w:sz="8" w:color="4B5088"/>
            </w:tcBorders>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Borders>
              <w:bottom w:val="single" w:sz="8" w:color="4B5088"/>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Borders>
              <w:bottom w:val="single" w:sz="8" w:color="4B5088"/>
              <w:right w:val="single" w:sz="8" w:color="4B5088"/>
            </w:tcBorders>
          </w:tcPr>
          <w:p>
            <w:pPr>
              <w:spacing w:after="0"/>
              <w:rPr>
                <w:sz w:val="15"/>
                <w:szCs w:val="15"/>
                <w:color w:val="auto"/>
              </w:rPr>
            </w:pPr>
          </w:p>
        </w:tc>
        <w:tc>
          <w:tcPr>
            <w:tcW w:w="560" w:type="dxa"/>
            <w:vAlign w:val="bottom"/>
            <w:tcBorders>
              <w:bottom w:val="single" w:sz="8" w:color="4B5088"/>
              <w:right w:val="single" w:sz="8" w:color="4B5088"/>
            </w:tcBorders>
          </w:tcPr>
          <w:p>
            <w:pPr>
              <w:spacing w:after="0"/>
              <w:rPr>
                <w:sz w:val="15"/>
                <w:szCs w:val="15"/>
                <w:color w:val="auto"/>
              </w:rPr>
            </w:pPr>
          </w:p>
        </w:tc>
        <w:tc>
          <w:tcPr>
            <w:tcW w:w="580" w:type="dxa"/>
            <w:vAlign w:val="bottom"/>
            <w:tcBorders>
              <w:bottom w:val="single" w:sz="8" w:color="4B5088"/>
              <w:right w:val="single" w:sz="8" w:color="4B5088"/>
            </w:tcBorders>
          </w:tcPr>
          <w:p>
            <w:pPr>
              <w:spacing w:after="0"/>
              <w:rPr>
                <w:sz w:val="15"/>
                <w:szCs w:val="15"/>
                <w:color w:val="auto"/>
              </w:rPr>
            </w:pPr>
          </w:p>
        </w:tc>
        <w:tc>
          <w:tcPr>
            <w:tcW w:w="440" w:type="dxa"/>
            <w:vAlign w:val="bottom"/>
            <w:tcBorders>
              <w:bottom w:val="single" w:sz="8" w:color="4B5088"/>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1"/>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gridSpan w:val="3"/>
          </w:tcPr>
          <w:p>
            <w:pPr>
              <w:ind w:left="20"/>
              <w:spacing w:after="0"/>
              <w:rPr>
                <w:sz w:val="20"/>
                <w:szCs w:val="20"/>
                <w:color w:val="auto"/>
              </w:rPr>
            </w:pPr>
            <w:r>
              <w:rPr>
                <w:rFonts w:ascii="Arial" w:cs="Arial" w:eastAsia="Arial" w:hAnsi="Arial"/>
                <w:sz w:val="16"/>
                <w:szCs w:val="16"/>
                <w:b w:val="1"/>
                <w:bCs w:val="1"/>
                <w:color w:val="1F2668"/>
              </w:rPr>
              <w:t>Andrew W. Mathias</w:t>
            </w: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6"/>
                <w:szCs w:val="16"/>
                <w:color w:val="auto"/>
                <w:w w:val="89"/>
              </w:rPr>
              <w:t>51</w:t>
            </w:r>
          </w:p>
        </w:tc>
        <w:tc>
          <w:tcPr>
            <w:tcW w:w="80" w:type="dxa"/>
            <w:vAlign w:val="bottom"/>
          </w:tcPr>
          <w:p>
            <w:pPr>
              <w:spacing w:after="0"/>
              <w:rPr>
                <w:sz w:val="24"/>
                <w:szCs w:val="24"/>
                <w:color w:val="auto"/>
              </w:rPr>
            </w:pPr>
          </w:p>
        </w:tc>
        <w:tc>
          <w:tcPr>
            <w:tcW w:w="2040" w:type="dxa"/>
            <w:vAlign w:val="bottom"/>
            <w:gridSpan w:val="3"/>
          </w:tcPr>
          <w:p>
            <w:pPr>
              <w:jc w:val="center"/>
              <w:ind w:left="940"/>
              <w:spacing w:after="0"/>
              <w:rPr>
                <w:sz w:val="20"/>
                <w:szCs w:val="20"/>
                <w:color w:val="auto"/>
              </w:rPr>
            </w:pPr>
            <w:r>
              <w:rPr>
                <w:rFonts w:ascii="Arial" w:cs="Arial" w:eastAsia="Arial" w:hAnsi="Arial"/>
                <w:sz w:val="16"/>
                <w:szCs w:val="16"/>
                <w:color w:val="auto"/>
                <w:w w:val="95"/>
              </w:rPr>
              <w:t>2014</w:t>
            </w:r>
          </w:p>
        </w:tc>
        <w:tc>
          <w:tcPr>
            <w:tcW w:w="80" w:type="dxa"/>
            <w:vAlign w:val="bottom"/>
          </w:tcPr>
          <w:p>
            <w:pPr>
              <w:spacing w:after="0"/>
              <w:rPr>
                <w:sz w:val="24"/>
                <w:szCs w:val="24"/>
                <w:color w:val="auto"/>
              </w:rPr>
            </w:pPr>
          </w:p>
        </w:tc>
        <w:tc>
          <w:tcPr>
            <w:tcW w:w="540" w:type="dxa"/>
            <w:vAlign w:val="bottom"/>
            <w:tcBorders>
              <w:right w:val="single" w:sz="8" w:color="4B5088"/>
            </w:tcBorders>
          </w:tcPr>
          <w:p>
            <w:pPr>
              <w:spacing w:after="0"/>
              <w:rPr>
                <w:sz w:val="24"/>
                <w:szCs w:val="24"/>
                <w:color w:val="auto"/>
              </w:rPr>
            </w:pPr>
          </w:p>
        </w:tc>
        <w:tc>
          <w:tcPr>
            <w:tcW w:w="560" w:type="dxa"/>
            <w:vAlign w:val="bottom"/>
            <w:tcBorders>
              <w:right w:val="single" w:sz="8" w:color="4B5088"/>
            </w:tcBorders>
          </w:tcPr>
          <w:p>
            <w:pPr>
              <w:spacing w:after="0"/>
              <w:rPr>
                <w:sz w:val="24"/>
                <w:szCs w:val="24"/>
                <w:color w:val="auto"/>
              </w:rPr>
            </w:pPr>
          </w:p>
        </w:tc>
        <w:tc>
          <w:tcPr>
            <w:tcW w:w="580" w:type="dxa"/>
            <w:vAlign w:val="bottom"/>
            <w:tcBorders>
              <w:right w:val="single" w:sz="8" w:color="4B5088"/>
            </w:tcBorders>
          </w:tcPr>
          <w:p>
            <w:pPr>
              <w:spacing w:after="0"/>
              <w:rPr>
                <w:sz w:val="24"/>
                <w:szCs w:val="24"/>
                <w:color w:val="auto"/>
              </w:rPr>
            </w:pPr>
          </w:p>
        </w:tc>
        <w:tc>
          <w:tcPr>
            <w:tcW w:w="500" w:type="dxa"/>
            <w:vAlign w:val="bottom"/>
            <w:gridSpan w:val="2"/>
          </w:tcPr>
          <w:p>
            <w:pPr>
              <w:jc w:val="center"/>
              <w:spacing w:after="0"/>
              <w:rPr>
                <w:sz w:val="20"/>
                <w:szCs w:val="20"/>
                <w:color w:val="auto"/>
              </w:rPr>
            </w:pPr>
            <w:r>
              <w:rPr>
                <w:rFonts w:ascii="Arial" w:cs="Arial" w:eastAsia="Arial" w:hAnsi="Arial"/>
                <w:sz w:val="20"/>
                <w:szCs w:val="20"/>
                <w:b w:val="1"/>
                <w:bCs w:val="1"/>
                <w:color w:val="1F2668"/>
                <w:w w:val="95"/>
              </w:rPr>
              <w:t>M</w:t>
            </w:r>
          </w:p>
        </w:tc>
        <w:tc>
          <w:tcPr>
            <w:tcW w:w="0" w:type="dxa"/>
            <w:vAlign w:val="bottom"/>
          </w:tcPr>
          <w:p>
            <w:pPr>
              <w:spacing w:after="0"/>
              <w:rPr>
                <w:sz w:val="1"/>
                <w:szCs w:val="1"/>
                <w:color w:val="auto"/>
              </w:rPr>
            </w:pPr>
          </w:p>
        </w:tc>
      </w:tr>
      <w:tr>
        <w:trPr>
          <w:trHeight w:val="304"/>
        </w:trPr>
        <w:tc>
          <w:tcPr>
            <w:tcW w:w="640" w:type="dxa"/>
            <w:vAlign w:val="bottom"/>
            <w:tcBorders>
              <w:bottom w:val="single" w:sz="8" w:color="1F2668"/>
            </w:tcBorders>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Borders>
              <w:bottom w:val="single" w:sz="8" w:color="1F2668"/>
            </w:tcBorders>
          </w:tcPr>
          <w:p>
            <w:pPr>
              <w:spacing w:after="0"/>
              <w:rPr>
                <w:sz w:val="24"/>
                <w:szCs w:val="24"/>
                <w:color w:val="auto"/>
              </w:rPr>
            </w:pPr>
          </w:p>
        </w:tc>
        <w:tc>
          <w:tcPr>
            <w:tcW w:w="2920" w:type="dxa"/>
            <w:vAlign w:val="bottom"/>
            <w:tcBorders>
              <w:bottom w:val="single" w:sz="8" w:color="1F2668"/>
            </w:tcBorders>
            <w:gridSpan w:val="4"/>
          </w:tcPr>
          <w:p>
            <w:pPr>
              <w:spacing w:after="0"/>
              <w:rPr>
                <w:sz w:val="24"/>
                <w:szCs w:val="24"/>
                <w:color w:val="auto"/>
              </w:rPr>
            </w:pPr>
          </w:p>
        </w:tc>
        <w:tc>
          <w:tcPr>
            <w:tcW w:w="140" w:type="dxa"/>
            <w:vAlign w:val="bottom"/>
            <w:tcBorders>
              <w:bottom w:val="single" w:sz="8" w:color="1F2668"/>
            </w:tcBorders>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Borders>
              <w:bottom w:val="single" w:sz="8" w:color="1F2668"/>
            </w:tcBorders>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bottom w:val="single" w:sz="8" w:color="1F2668"/>
            </w:tcBorders>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Borders>
              <w:bottom w:val="single" w:sz="8" w:color="1F2668"/>
            </w:tcBorders>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Borders>
              <w:bottom w:val="single" w:sz="8" w:color="1F2668"/>
              <w:right w:val="single" w:sz="8" w:color="4B5088"/>
            </w:tcBorders>
          </w:tcPr>
          <w:p>
            <w:pPr>
              <w:spacing w:after="0"/>
              <w:rPr>
                <w:sz w:val="24"/>
                <w:szCs w:val="24"/>
                <w:color w:val="auto"/>
              </w:rPr>
            </w:pPr>
          </w:p>
        </w:tc>
        <w:tc>
          <w:tcPr>
            <w:tcW w:w="560" w:type="dxa"/>
            <w:vAlign w:val="bottom"/>
            <w:tcBorders>
              <w:bottom w:val="single" w:sz="8" w:color="1F2668"/>
              <w:right w:val="single" w:sz="8" w:color="4B5088"/>
            </w:tcBorders>
          </w:tcPr>
          <w:p>
            <w:pPr>
              <w:spacing w:after="0"/>
              <w:rPr>
                <w:sz w:val="24"/>
                <w:szCs w:val="24"/>
                <w:color w:val="auto"/>
              </w:rPr>
            </w:pPr>
          </w:p>
        </w:tc>
        <w:tc>
          <w:tcPr>
            <w:tcW w:w="580" w:type="dxa"/>
            <w:vAlign w:val="bottom"/>
            <w:tcBorders>
              <w:bottom w:val="single" w:sz="8" w:color="1F2668"/>
              <w:right w:val="single" w:sz="8" w:color="4B5088"/>
            </w:tcBorders>
          </w:tcPr>
          <w:p>
            <w:pPr>
              <w:spacing w:after="0"/>
              <w:rPr>
                <w:sz w:val="24"/>
                <w:szCs w:val="24"/>
                <w:color w:val="auto"/>
              </w:rPr>
            </w:pPr>
          </w:p>
        </w:tc>
        <w:tc>
          <w:tcPr>
            <w:tcW w:w="440" w:type="dxa"/>
            <w:vAlign w:val="bottom"/>
            <w:tcBorders>
              <w:bottom w:val="single" w:sz="8" w:color="1F2668"/>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9"/>
        </w:trPr>
        <w:tc>
          <w:tcPr>
            <w:tcW w:w="1160" w:type="dxa"/>
            <w:vAlign w:val="bottom"/>
            <w:gridSpan w:val="3"/>
          </w:tcPr>
          <w:p>
            <w:pPr>
              <w:spacing w:after="0"/>
              <w:rPr>
                <w:sz w:val="20"/>
                <w:szCs w:val="20"/>
                <w:color w:val="auto"/>
              </w:rPr>
            </w:pPr>
            <w:r>
              <w:rPr>
                <w:rFonts w:ascii="Arial" w:cs="Arial" w:eastAsia="Arial" w:hAnsi="Arial"/>
                <w:sz w:val="16"/>
                <w:szCs w:val="16"/>
                <w:b w:val="1"/>
                <w:bCs w:val="1"/>
                <w:color w:val="83AD40"/>
              </w:rPr>
              <w:t>C</w:t>
            </w:r>
            <w:r>
              <w:rPr>
                <w:rFonts w:ascii="Arial" w:cs="Arial" w:eastAsia="Arial" w:hAnsi="Arial"/>
                <w:sz w:val="16"/>
                <w:szCs w:val="16"/>
                <w:color w:val="000000"/>
              </w:rPr>
              <w:t>​ = Chair</w:t>
            </w:r>
          </w:p>
        </w:tc>
        <w:tc>
          <w:tcPr>
            <w:tcW w:w="2920" w:type="dxa"/>
            <w:vAlign w:val="bottom"/>
            <w:gridSpan w:val="4"/>
          </w:tcPr>
          <w:p>
            <w:pPr>
              <w:ind w:left="80"/>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1F2668"/>
              </w:rPr>
              <w:t>AC</w:t>
            </w:r>
            <w:r>
              <w:rPr>
                <w:rFonts w:ascii="Arial" w:cs="Arial" w:eastAsia="Arial" w:hAnsi="Arial"/>
                <w:sz w:val="16"/>
                <w:szCs w:val="16"/>
                <w:color w:val="auto"/>
              </w:rPr>
              <w:t xml:space="preserve"> = Audit Committee</w:t>
            </w:r>
          </w:p>
        </w:tc>
        <w:tc>
          <w:tcPr>
            <w:tcW w:w="4540" w:type="dxa"/>
            <w:vAlign w:val="bottom"/>
            <w:gridSpan w:val="11"/>
          </w:tcPr>
          <w:p>
            <w:pPr>
              <w:jc w:val="center"/>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1F2668"/>
              </w:rPr>
              <w:t>NCGC</w:t>
            </w:r>
            <w:r>
              <w:rPr>
                <w:rFonts w:ascii="Arial" w:cs="Arial" w:eastAsia="Arial" w:hAnsi="Arial"/>
                <w:sz w:val="16"/>
                <w:szCs w:val="16"/>
                <w:color w:val="auto"/>
              </w:rPr>
              <w:t xml:space="preserve"> = Nominating and Corporate Governance Committee</w:t>
            </w:r>
          </w:p>
        </w:tc>
        <w:tc>
          <w:tcPr>
            <w:tcW w:w="440" w:type="dxa"/>
            <w:vAlign w:val="bottom"/>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1160" w:type="dxa"/>
            <w:vAlign w:val="bottom"/>
            <w:gridSpan w:val="3"/>
          </w:tcPr>
          <w:p>
            <w:pPr>
              <w:spacing w:after="0" w:line="163" w:lineRule="exact"/>
              <w:rPr>
                <w:sz w:val="20"/>
                <w:szCs w:val="20"/>
                <w:color w:val="auto"/>
              </w:rPr>
            </w:pPr>
            <w:r>
              <w:rPr>
                <w:rFonts w:ascii="Arial" w:cs="Arial" w:eastAsia="Arial" w:hAnsi="Arial"/>
                <w:sz w:val="16"/>
                <w:szCs w:val="16"/>
                <w:b w:val="1"/>
                <w:bCs w:val="1"/>
                <w:color w:val="auto"/>
              </w:rPr>
              <w:t>​</w:t>
            </w:r>
          </w:p>
        </w:tc>
        <w:tc>
          <w:tcPr>
            <w:tcW w:w="260" w:type="dxa"/>
            <w:vAlign w:val="bottom"/>
          </w:tcPr>
          <w:p>
            <w:pPr>
              <w:ind w:left="80"/>
              <w:spacing w:after="0" w:line="163" w:lineRule="exact"/>
              <w:rPr>
                <w:sz w:val="20"/>
                <w:szCs w:val="20"/>
                <w:color w:val="auto"/>
              </w:rPr>
            </w:pPr>
            <w:r>
              <w:rPr>
                <w:rFonts w:ascii="Arial" w:cs="Arial" w:eastAsia="Arial" w:hAnsi="Arial"/>
                <w:sz w:val="16"/>
                <w:szCs w:val="16"/>
                <w:b w:val="1"/>
                <w:bCs w:val="1"/>
                <w:color w:val="auto"/>
              </w:rPr>
              <w:t>​ ​</w:t>
            </w:r>
          </w:p>
        </w:tc>
        <w:tc>
          <w:tcPr>
            <w:tcW w:w="26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1F2668"/>
              </w:rPr>
              <w:t xml:space="preserve">CC </w:t>
            </w:r>
            <w:r>
              <w:rPr>
                <w:rFonts w:ascii="Arial" w:cs="Arial" w:eastAsia="Arial" w:hAnsi="Arial"/>
                <w:sz w:val="16"/>
                <w:szCs w:val="16"/>
                <w:color w:val="000000"/>
              </w:rPr>
              <w:t>= Compensation Committee</w:t>
            </w:r>
          </w:p>
        </w:tc>
        <w:tc>
          <w:tcPr>
            <w:tcW w:w="220" w:type="dxa"/>
            <w:vAlign w:val="bottom"/>
            <w:gridSpan w:val="2"/>
          </w:tcPr>
          <w:p>
            <w:pPr>
              <w:ind w:left="20"/>
              <w:spacing w:after="0" w:line="163" w:lineRule="exact"/>
              <w:rPr>
                <w:sz w:val="20"/>
                <w:szCs w:val="20"/>
                <w:color w:val="auto"/>
              </w:rPr>
            </w:pPr>
            <w:r>
              <w:rPr>
                <w:rFonts w:ascii="Arial" w:cs="Arial" w:eastAsia="Arial" w:hAnsi="Arial"/>
                <w:sz w:val="16"/>
                <w:szCs w:val="16"/>
                <w:b w:val="1"/>
                <w:bCs w:val="1"/>
                <w:color w:val="auto"/>
              </w:rPr>
              <w:t>​ ​</w:t>
            </w:r>
          </w:p>
        </w:tc>
        <w:tc>
          <w:tcPr>
            <w:tcW w:w="2640" w:type="dxa"/>
            <w:vAlign w:val="bottom"/>
            <w:gridSpan w:val="6"/>
            <w:vMerge w:val="restart"/>
          </w:tcPr>
          <w:p>
            <w:pPr>
              <w:ind w:left="20"/>
              <w:spacing w:after="0"/>
              <w:rPr>
                <w:sz w:val="20"/>
                <w:szCs w:val="20"/>
                <w:color w:val="auto"/>
              </w:rPr>
            </w:pPr>
            <w:r>
              <w:rPr>
                <w:rFonts w:ascii="Arial" w:cs="Arial" w:eastAsia="Arial" w:hAnsi="Arial"/>
                <w:sz w:val="16"/>
                <w:szCs w:val="16"/>
                <w:b w:val="1"/>
                <w:bCs w:val="1"/>
                <w:color w:val="1F2668"/>
              </w:rPr>
              <w:t xml:space="preserve">EC </w:t>
            </w:r>
            <w:r>
              <w:rPr>
                <w:rFonts w:ascii="Arial" w:cs="Arial" w:eastAsia="Arial" w:hAnsi="Arial"/>
                <w:sz w:val="16"/>
                <w:szCs w:val="16"/>
                <w:color w:val="000000"/>
              </w:rPr>
              <w:t>= Executive Committee</w:t>
            </w: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line="163"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1160" w:type="dxa"/>
            <w:vAlign w:val="bottom"/>
            <w:gridSpan w:val="3"/>
          </w:tcPr>
          <w:p>
            <w:pPr>
              <w:spacing w:after="0"/>
              <w:rPr>
                <w:sz w:val="20"/>
                <w:szCs w:val="20"/>
                <w:color w:val="auto"/>
              </w:rPr>
            </w:pPr>
            <w:r>
              <w:rPr>
                <w:rFonts w:ascii="Arial" w:cs="Arial" w:eastAsia="Arial" w:hAnsi="Arial"/>
                <w:sz w:val="16"/>
                <w:szCs w:val="16"/>
                <w:b w:val="1"/>
                <w:bCs w:val="1"/>
                <w:color w:val="1F2668"/>
              </w:rPr>
              <w:t xml:space="preserve">M </w:t>
            </w:r>
            <w:r>
              <w:rPr>
                <w:rFonts w:ascii="Arial" w:cs="Arial" w:eastAsia="Arial" w:hAnsi="Arial"/>
                <w:sz w:val="16"/>
                <w:szCs w:val="16"/>
                <w:color w:val="000000"/>
              </w:rPr>
              <w:t>= Member</w:t>
            </w:r>
          </w:p>
        </w:tc>
        <w:tc>
          <w:tcPr>
            <w:tcW w:w="260" w:type="dxa"/>
            <w:vAlign w:val="bottom"/>
          </w:tcPr>
          <w:p>
            <w:pPr>
              <w:spacing w:after="0"/>
              <w:rPr>
                <w:sz w:val="19"/>
                <w:szCs w:val="19"/>
                <w:color w:val="auto"/>
              </w:rPr>
            </w:pPr>
          </w:p>
        </w:tc>
        <w:tc>
          <w:tcPr>
            <w:tcW w:w="266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40" w:type="dxa"/>
            <w:vAlign w:val="bottom"/>
            <w:gridSpan w:val="6"/>
            <w:vMerge w:val="continue"/>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-5301615</wp:posOffset>
            </wp:positionV>
            <wp:extent cx="3437255" cy="46723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37255" cy="4672330"/>
                    </a:xfrm>
                    <a:prstGeom prst="rect">
                      <a:avLst/>
                    </a:prstGeom>
                    <a:noFill/>
                  </pic:spPr>
                </pic:pic>
              </a:graphicData>
            </a:graphic>
          </wp:anchor>
        </w:drawing>
      </w:r>
    </w:p>
    <w:p>
      <w:pPr>
        <w:spacing w:after="0" w:line="140" w:lineRule="exact"/>
        <w:rPr>
          <w:sz w:val="20"/>
          <w:szCs w:val="20"/>
          <w:color w:val="auto"/>
        </w:rPr>
      </w:pPr>
    </w:p>
    <w:p>
      <w:pPr>
        <w:ind w:left="1180" w:right="60" w:hanging="364"/>
        <w:spacing w:after="0" w:line="277" w:lineRule="auto"/>
        <w:tabs>
          <w:tab w:leader="none" w:pos="11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This table reflects anticipated committee memberships if our full slate of director nominees is elected at the Annual Meeting. Our current committee memberships are as follows: Audit Committee—Lauren B. Dillard (Chair), Carol N. Brown and Craig M. Hatkoff; Compensation Committee—Lauren B. Dillard (Interim Chair), John H. Alschuler, Carol N. Brown, and Peggy Lamb; Nominating and Corporate Governance Committee—Craig M. Hatkoff (Chair), John H. Alschuler and Carol N. Brown; and Executive Committee—Marc Holliday (Chair), John H. Alschuler, Steven L. Green and Andrew W. Mathias.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500380</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p>
      <w:pPr>
        <w:ind w:left="820"/>
        <w:spacing w:after="0"/>
        <w:tabs>
          <w:tab w:leader="none" w:pos="1440" w:val="left"/>
          <w:tab w:leader="none" w:pos="9860" w:val="left"/>
        </w:tabs>
        <w:rPr>
          <w:sz w:val="20"/>
          <w:szCs w:val="20"/>
          <w:color w:val="auto"/>
        </w:rPr>
      </w:pPr>
      <w:r>
        <w:rPr>
          <w:rFonts w:ascii="Arial" w:cs="Arial" w:eastAsia="Arial" w:hAnsi="Arial"/>
          <w:sz w:val="22"/>
          <w:szCs w:val="22"/>
          <w:b w:val="1"/>
          <w:bCs w:val="1"/>
          <w:color w:val="1F2668"/>
        </w:rPr>
        <w:t>​12</w:t>
      </w:r>
      <w:r>
        <w:rPr>
          <w:sz w:val="20"/>
          <w:szCs w:val="20"/>
          <w:color w:val="auto"/>
        </w:rPr>
        <w:tab/>
      </w:r>
      <w:r>
        <w:rPr>
          <w:rFonts w:ascii="Arial" w:cs="Arial" w:eastAsia="Arial" w:hAnsi="Arial"/>
          <w:sz w:val="22"/>
          <w:szCs w:val="22"/>
          <w:b w:val="1"/>
          <w:bCs w:val="1"/>
          <w:color w:val="1F2668"/>
        </w:rPr>
        <w:t xml:space="preserve">​ ​ </w:t>
      </w:r>
      <w:r>
        <w:rPr>
          <w:rFonts w:ascii="Arial" w:cs="Arial" w:eastAsia="Arial" w:hAnsi="Arial"/>
          <w:sz w:val="14"/>
          <w:szCs w:val="14"/>
          <w:b w:val="1"/>
          <w:bCs w:val="1"/>
          <w:color w:val="1F2668"/>
        </w:rPr>
        <w:t>SL GREEN REALTY CORP. 2025 PROXY STATEMENT</w:t>
      </w:r>
      <w:r>
        <w:rPr>
          <w:sz w:val="20"/>
          <w:szCs w:val="20"/>
          <w:color w:val="auto"/>
        </w:rPr>
        <w:tab/>
      </w:r>
      <w:r>
        <w:rPr>
          <w:rFonts w:ascii="Arial" w:cs="Arial" w:eastAsia="Arial" w:hAnsi="Arial"/>
          <w:sz w:val="22"/>
          <w:szCs w:val="22"/>
          <w:b w:val="1"/>
          <w:bCs w:val="1"/>
          <w:color w:val="1F2668"/>
        </w:rPr>
        <w:t>​</w:t>
      </w:r>
    </w:p>
    <w:p>
      <w:pPr>
        <w:spacing w:after="0" w:line="200" w:lineRule="exact"/>
        <w:rPr>
          <w:sz w:val="20"/>
          <w:szCs w:val="20"/>
          <w:color w:val="auto"/>
        </w:rPr>
      </w:pPr>
    </w:p>
    <w:p>
      <w:pPr>
        <w:spacing w:after="0" w:line="304" w:lineRule="exact"/>
        <w:rPr>
          <w:sz w:val="20"/>
          <w:szCs w:val="20"/>
          <w:color w:val="auto"/>
        </w:rPr>
      </w:pPr>
    </w:p>
    <w:p>
      <w:pPr>
        <w:jc w:val="both"/>
        <w:ind w:left="820" w:right="140"/>
        <w:spacing w:after="0" w:line="359" w:lineRule="auto"/>
        <w:rPr>
          <w:sz w:val="20"/>
          <w:szCs w:val="20"/>
          <w:color w:val="auto"/>
        </w:rPr>
      </w:pPr>
      <w:r>
        <w:rPr>
          <w:rFonts w:ascii="Arial" w:cs="Arial" w:eastAsia="Arial" w:hAnsi="Arial"/>
          <w:sz w:val="15"/>
          <w:szCs w:val="15"/>
          <w:color w:val="auto"/>
        </w:rPr>
        <w:t>The matrix below represents some of the key skills that our Board has identified as particularly valuable to the effective oversight of the Company and the execution of our strategy. This matrix highlights the depth and breadth of skills of our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2814320</wp:posOffset>
            </wp:positionH>
            <wp:positionV relativeFrom="paragraph">
              <wp:posOffset>75565</wp:posOffset>
            </wp:positionV>
            <wp:extent cx="8890" cy="47574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4757420"/>
                    </a:xfrm>
                    <a:prstGeom prst="rect">
                      <a:avLst/>
                    </a:prstGeom>
                    <a:noFill/>
                  </pic:spPr>
                </pic:pic>
              </a:graphicData>
            </a:graphic>
          </wp:anchor>
        </w:drawing>
      </w:r>
    </w:p>
    <w:p>
      <w:pPr>
        <w:spacing w:after="0" w:line="99" w:lineRule="exact"/>
        <w:rPr>
          <w:sz w:val="20"/>
          <w:szCs w:val="20"/>
          <w:color w:val="auto"/>
        </w:rPr>
      </w:pPr>
    </w:p>
    <w:tbl>
      <w:tblPr>
        <w:tblLayout w:type="fixed"/>
        <w:tblInd w:w="820" w:type="dxa"/>
        <w:tblCellMar>
          <w:top w:w="0" w:type="dxa"/>
          <w:left w:w="0" w:type="dxa"/>
          <w:bottom w:w="0" w:type="dxa"/>
          <w:right w:w="0" w:type="dxa"/>
        </w:tblCellMar>
      </w:tblPr>
      <w:tr>
        <w:trPr>
          <w:trHeight w:val="175"/>
        </w:trPr>
        <w:tc>
          <w:tcPr>
            <w:tcW w:w="380" w:type="dxa"/>
            <w:vAlign w:val="bottom"/>
          </w:tcPr>
          <w:p>
            <w:pPr>
              <w:spacing w:after="0"/>
              <w:rPr>
                <w:sz w:val="20"/>
                <w:szCs w:val="20"/>
                <w:color w:val="auto"/>
              </w:rPr>
            </w:pPr>
            <w:r>
              <w:rPr>
                <w:rFonts w:ascii="Arial" w:cs="Arial" w:eastAsia="Arial" w:hAnsi="Arial"/>
                <w:sz w:val="13"/>
                <w:szCs w:val="13"/>
                <w:b w:val="1"/>
                <w:bCs w:val="1"/>
                <w:color w:val="auto"/>
              </w:rPr>
              <w:t>​</w:t>
            </w:r>
          </w:p>
        </w:tc>
        <w:tc>
          <w:tcPr>
            <w:tcW w:w="2860" w:type="dxa"/>
            <w:vAlign w:val="bottom"/>
          </w:tcPr>
          <w:p>
            <w:pPr>
              <w:ind w:left="360"/>
              <w:spacing w:after="0"/>
              <w:rPr>
                <w:sz w:val="20"/>
                <w:szCs w:val="20"/>
                <w:color w:val="auto"/>
              </w:rPr>
            </w:pPr>
            <w:r>
              <w:rPr>
                <w:rFonts w:ascii="Arial" w:cs="Arial" w:eastAsia="Arial" w:hAnsi="Arial"/>
                <w:sz w:val="14"/>
                <w:szCs w:val="14"/>
                <w:b w:val="1"/>
                <w:bCs w:val="1"/>
                <w:color w:val="auto"/>
              </w:rPr>
              <w:t>Skills, Experiences and Attributes</w:t>
            </w:r>
          </w:p>
        </w:tc>
        <w:tc>
          <w:tcPr>
            <w:tcW w:w="22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160" w:type="dxa"/>
            <w:vAlign w:val="bottom"/>
            <w:vMerge w:val="restart"/>
          </w:tcPr>
          <w:p>
            <w:pPr>
              <w:spacing w:after="0"/>
              <w:rPr>
                <w:sz w:val="20"/>
                <w:szCs w:val="20"/>
                <w:color w:val="auto"/>
              </w:rPr>
            </w:pPr>
            <w:r>
              <w:rPr>
                <w:rFonts w:ascii="Arial" w:cs="Arial" w:eastAsia="Arial" w:hAnsi="Arial"/>
                <w:sz w:val="13"/>
                <w:szCs w:val="13"/>
                <w:b w:val="1"/>
                <w:bCs w:val="1"/>
                <w:color w:val="auto"/>
              </w:rPr>
              <w:t>​ ​</w:t>
            </w:r>
          </w:p>
        </w:tc>
        <w:tc>
          <w:tcPr>
            <w:tcW w:w="6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660" w:type="dxa"/>
            <w:vAlign w:val="bottom"/>
            <w:tcBorders>
              <w:right w:val="single" w:sz="8" w:color="4B5088"/>
            </w:tcBorders>
          </w:tcPr>
          <w:p>
            <w:pPr>
              <w:jc w:val="center"/>
              <w:spacing w:after="0"/>
              <w:rPr>
                <w:sz w:val="20"/>
                <w:szCs w:val="20"/>
                <w:color w:val="auto"/>
              </w:rPr>
            </w:pPr>
            <w:r>
              <w:rPr>
                <w:rFonts w:ascii="Arial" w:cs="Arial" w:eastAsia="Arial" w:hAnsi="Arial"/>
                <w:sz w:val="13"/>
                <w:szCs w:val="13"/>
                <w:b w:val="1"/>
                <w:bCs w:val="1"/>
                <w:color w:val="auto"/>
                <w:w w:val="94"/>
              </w:rPr>
              <w:t>Alschuler</w:t>
            </w:r>
          </w:p>
        </w:tc>
        <w:tc>
          <w:tcPr>
            <w:tcW w:w="10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580" w:type="dxa"/>
            <w:vAlign w:val="bottom"/>
            <w:tcBorders>
              <w:right w:val="single" w:sz="8" w:color="4B5088"/>
            </w:tcBorders>
          </w:tcPr>
          <w:p>
            <w:pPr>
              <w:jc w:val="center"/>
              <w:ind w:right="42"/>
              <w:spacing w:after="0"/>
              <w:rPr>
                <w:sz w:val="20"/>
                <w:szCs w:val="20"/>
                <w:color w:val="auto"/>
              </w:rPr>
            </w:pPr>
            <w:r>
              <w:rPr>
                <w:rFonts w:ascii="Arial" w:cs="Arial" w:eastAsia="Arial" w:hAnsi="Arial"/>
                <w:sz w:val="13"/>
                <w:szCs w:val="13"/>
                <w:b w:val="1"/>
                <w:bCs w:val="1"/>
                <w:color w:val="auto"/>
                <w:w w:val="93"/>
              </w:rPr>
              <w:t>Brown</w:t>
            </w:r>
          </w:p>
        </w:tc>
        <w:tc>
          <w:tcPr>
            <w:tcW w:w="10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580" w:type="dxa"/>
            <w:vAlign w:val="bottom"/>
            <w:tcBorders>
              <w:right w:val="single" w:sz="8" w:color="4B5088"/>
            </w:tcBorders>
          </w:tcPr>
          <w:p>
            <w:pPr>
              <w:jc w:val="center"/>
              <w:ind w:right="45"/>
              <w:spacing w:after="0"/>
              <w:rPr>
                <w:sz w:val="20"/>
                <w:szCs w:val="20"/>
                <w:color w:val="auto"/>
              </w:rPr>
            </w:pPr>
            <w:r>
              <w:rPr>
                <w:rFonts w:ascii="Arial" w:cs="Arial" w:eastAsia="Arial" w:hAnsi="Arial"/>
                <w:sz w:val="13"/>
                <w:szCs w:val="13"/>
                <w:b w:val="1"/>
                <w:bCs w:val="1"/>
                <w:color w:val="auto"/>
                <w:w w:val="93"/>
              </w:rPr>
              <w:t>Dillard</w:t>
            </w:r>
          </w:p>
        </w:tc>
        <w:tc>
          <w:tcPr>
            <w:tcW w:w="8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580" w:type="dxa"/>
            <w:vAlign w:val="bottom"/>
            <w:tcBorders>
              <w:right w:val="single" w:sz="8" w:color="4B5088"/>
            </w:tcBorders>
          </w:tcPr>
          <w:p>
            <w:pPr>
              <w:jc w:val="center"/>
              <w:ind w:right="23"/>
              <w:spacing w:after="0"/>
              <w:rPr>
                <w:sz w:val="20"/>
                <w:szCs w:val="20"/>
                <w:color w:val="auto"/>
              </w:rPr>
            </w:pPr>
            <w:r>
              <w:rPr>
                <w:rFonts w:ascii="Arial" w:cs="Arial" w:eastAsia="Arial" w:hAnsi="Arial"/>
                <w:sz w:val="13"/>
                <w:szCs w:val="13"/>
                <w:b w:val="1"/>
                <w:bCs w:val="1"/>
                <w:color w:val="auto"/>
                <w:w w:val="95"/>
              </w:rPr>
              <w:t>Green</w:t>
            </w:r>
          </w:p>
        </w:tc>
        <w:tc>
          <w:tcPr>
            <w:tcW w:w="8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600" w:type="dxa"/>
            <w:vAlign w:val="bottom"/>
            <w:tcBorders>
              <w:right w:val="single" w:sz="8" w:color="4B5088"/>
            </w:tcBorders>
          </w:tcPr>
          <w:p>
            <w:pPr>
              <w:jc w:val="center"/>
              <w:ind w:right="28"/>
              <w:spacing w:after="0"/>
              <w:rPr>
                <w:sz w:val="20"/>
                <w:szCs w:val="20"/>
                <w:color w:val="auto"/>
              </w:rPr>
            </w:pPr>
            <w:r>
              <w:rPr>
                <w:rFonts w:ascii="Arial" w:cs="Arial" w:eastAsia="Arial" w:hAnsi="Arial"/>
                <w:sz w:val="13"/>
                <w:szCs w:val="13"/>
                <w:b w:val="1"/>
                <w:bCs w:val="1"/>
                <w:color w:val="auto"/>
                <w:w w:val="93"/>
              </w:rPr>
              <w:t>Hatkoff</w:t>
            </w:r>
          </w:p>
        </w:tc>
        <w:tc>
          <w:tcPr>
            <w:tcW w:w="8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620" w:type="dxa"/>
            <w:vAlign w:val="bottom"/>
            <w:tcBorders>
              <w:right w:val="single" w:sz="8" w:color="4B5088"/>
            </w:tcBorders>
          </w:tcPr>
          <w:p>
            <w:pPr>
              <w:jc w:val="center"/>
              <w:ind w:right="23"/>
              <w:spacing w:after="0"/>
              <w:rPr>
                <w:sz w:val="20"/>
                <w:szCs w:val="20"/>
                <w:color w:val="auto"/>
              </w:rPr>
            </w:pPr>
            <w:r>
              <w:rPr>
                <w:rFonts w:ascii="Arial" w:cs="Arial" w:eastAsia="Arial" w:hAnsi="Arial"/>
                <w:sz w:val="13"/>
                <w:szCs w:val="13"/>
                <w:b w:val="1"/>
                <w:bCs w:val="1"/>
                <w:color w:val="auto"/>
                <w:w w:val="94"/>
              </w:rPr>
              <w:t>Holliday</w:t>
            </w:r>
          </w:p>
        </w:tc>
        <w:tc>
          <w:tcPr>
            <w:tcW w:w="10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580" w:type="dxa"/>
            <w:vAlign w:val="bottom"/>
            <w:tcBorders>
              <w:right w:val="single" w:sz="8" w:color="4B5088"/>
            </w:tcBorders>
          </w:tcPr>
          <w:p>
            <w:pPr>
              <w:jc w:val="center"/>
              <w:ind w:right="43"/>
              <w:spacing w:after="0"/>
              <w:rPr>
                <w:sz w:val="20"/>
                <w:szCs w:val="20"/>
                <w:color w:val="auto"/>
              </w:rPr>
            </w:pPr>
            <w:r>
              <w:rPr>
                <w:rFonts w:ascii="Arial" w:cs="Arial" w:eastAsia="Arial" w:hAnsi="Arial"/>
                <w:sz w:val="13"/>
                <w:szCs w:val="13"/>
                <w:b w:val="1"/>
                <w:bCs w:val="1"/>
                <w:color w:val="auto"/>
                <w:w w:val="97"/>
              </w:rPr>
              <w:t>Lamb</w:t>
            </w:r>
          </w:p>
        </w:tc>
        <w:tc>
          <w:tcPr>
            <w:tcW w:w="6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4"/>
              </w:rPr>
              <w:t>Mathias</w:t>
            </w:r>
          </w:p>
        </w:tc>
        <w:tc>
          <w:tcPr>
            <w:tcW w:w="4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68"/>
        </w:trPr>
        <w:tc>
          <w:tcPr>
            <w:tcW w:w="380" w:type="dxa"/>
            <w:vAlign w:val="bottom"/>
            <w:tcBorders>
              <w:bottom w:val="single" w:sz="8" w:color="1F2668"/>
            </w:tcBorders>
          </w:tcPr>
          <w:p>
            <w:pPr>
              <w:spacing w:after="0"/>
              <w:rPr>
                <w:sz w:val="5"/>
                <w:szCs w:val="5"/>
                <w:color w:val="auto"/>
              </w:rPr>
            </w:pPr>
          </w:p>
        </w:tc>
        <w:tc>
          <w:tcPr>
            <w:tcW w:w="2860" w:type="dxa"/>
            <w:vAlign w:val="bottom"/>
            <w:tcBorders>
              <w:bottom w:val="single" w:sz="8" w:color="1F2668"/>
            </w:tcBorders>
          </w:tcPr>
          <w:p>
            <w:pPr>
              <w:ind w:left="360"/>
              <w:spacing w:after="0" w:line="68" w:lineRule="exact"/>
              <w:rPr>
                <w:sz w:val="20"/>
                <w:szCs w:val="20"/>
                <w:color w:val="auto"/>
              </w:rPr>
            </w:pPr>
            <w:r>
              <w:rPr>
                <w:rFonts w:ascii="Arial" w:cs="Arial" w:eastAsia="Arial" w:hAnsi="Arial"/>
                <w:sz w:val="7"/>
                <w:szCs w:val="7"/>
                <w:b w:val="1"/>
                <w:bCs w:val="1"/>
                <w:color w:val="auto"/>
              </w:rPr>
              <w:t>​</w:t>
            </w:r>
          </w:p>
        </w:tc>
        <w:tc>
          <w:tcPr>
            <w:tcW w:w="220" w:type="dxa"/>
            <w:vAlign w:val="bottom"/>
            <w:tcBorders>
              <w:bottom w:val="single" w:sz="8" w:color="1F2668"/>
            </w:tcBorders>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60" w:type="dxa"/>
            <w:vAlign w:val="bottom"/>
            <w:tcBorders>
              <w:bottom w:val="single" w:sz="8" w:color="1F2668"/>
            </w:tcBorders>
            <w:vMerge w:val="continue"/>
          </w:tcPr>
          <w:p>
            <w:pPr>
              <w:spacing w:after="0"/>
              <w:rPr>
                <w:sz w:val="5"/>
                <w:szCs w:val="5"/>
                <w:color w:val="auto"/>
              </w:rPr>
            </w:pPr>
          </w:p>
        </w:tc>
        <w:tc>
          <w:tcPr>
            <w:tcW w:w="660" w:type="dxa"/>
            <w:vAlign w:val="bottom"/>
            <w:tcBorders>
              <w:bottom w:val="single" w:sz="8" w:color="1F2668"/>
              <w:right w:val="single" w:sz="8" w:color="4B5088"/>
            </w:tcBorders>
          </w:tcPr>
          <w:p>
            <w:pPr>
              <w:spacing w:after="0"/>
              <w:rPr>
                <w:sz w:val="5"/>
                <w:szCs w:val="5"/>
                <w:color w:val="auto"/>
              </w:rPr>
            </w:pPr>
          </w:p>
        </w:tc>
        <w:tc>
          <w:tcPr>
            <w:tcW w:w="100" w:type="dxa"/>
            <w:vAlign w:val="bottom"/>
            <w:tcBorders>
              <w:bottom w:val="single" w:sz="8" w:color="1F2668"/>
            </w:tcBorders>
            <w:vMerge w:val="continue"/>
          </w:tcPr>
          <w:p>
            <w:pPr>
              <w:spacing w:after="0"/>
              <w:rPr>
                <w:sz w:val="5"/>
                <w:szCs w:val="5"/>
                <w:color w:val="auto"/>
              </w:rPr>
            </w:pPr>
          </w:p>
        </w:tc>
        <w:tc>
          <w:tcPr>
            <w:tcW w:w="580" w:type="dxa"/>
            <w:vAlign w:val="bottom"/>
            <w:tcBorders>
              <w:bottom w:val="single" w:sz="8" w:color="1F2668"/>
              <w:right w:val="single" w:sz="8" w:color="4B5088"/>
            </w:tcBorders>
          </w:tcPr>
          <w:p>
            <w:pPr>
              <w:spacing w:after="0"/>
              <w:rPr>
                <w:sz w:val="5"/>
                <w:szCs w:val="5"/>
                <w:color w:val="auto"/>
              </w:rPr>
            </w:pPr>
          </w:p>
        </w:tc>
        <w:tc>
          <w:tcPr>
            <w:tcW w:w="100" w:type="dxa"/>
            <w:vAlign w:val="bottom"/>
            <w:tcBorders>
              <w:bottom w:val="single" w:sz="8" w:color="1F2668"/>
            </w:tcBorders>
            <w:vMerge w:val="continue"/>
          </w:tcPr>
          <w:p>
            <w:pPr>
              <w:spacing w:after="0"/>
              <w:rPr>
                <w:sz w:val="5"/>
                <w:szCs w:val="5"/>
                <w:color w:val="auto"/>
              </w:rPr>
            </w:pPr>
          </w:p>
        </w:tc>
        <w:tc>
          <w:tcPr>
            <w:tcW w:w="580" w:type="dxa"/>
            <w:vAlign w:val="bottom"/>
            <w:tcBorders>
              <w:bottom w:val="single" w:sz="8" w:color="1F2668"/>
              <w:right w:val="single" w:sz="8" w:color="4B5088"/>
            </w:tcBorders>
          </w:tcPr>
          <w:p>
            <w:pPr>
              <w:spacing w:after="0"/>
              <w:rPr>
                <w:sz w:val="5"/>
                <w:szCs w:val="5"/>
                <w:color w:val="auto"/>
              </w:rPr>
            </w:pPr>
          </w:p>
        </w:tc>
        <w:tc>
          <w:tcPr>
            <w:tcW w:w="80" w:type="dxa"/>
            <w:vAlign w:val="bottom"/>
            <w:tcBorders>
              <w:bottom w:val="single" w:sz="8" w:color="1F2668"/>
            </w:tcBorders>
            <w:vMerge w:val="continue"/>
          </w:tcPr>
          <w:p>
            <w:pPr>
              <w:spacing w:after="0"/>
              <w:rPr>
                <w:sz w:val="5"/>
                <w:szCs w:val="5"/>
                <w:color w:val="auto"/>
              </w:rPr>
            </w:pPr>
          </w:p>
        </w:tc>
        <w:tc>
          <w:tcPr>
            <w:tcW w:w="580" w:type="dxa"/>
            <w:vAlign w:val="bottom"/>
            <w:tcBorders>
              <w:bottom w:val="single" w:sz="8" w:color="1F2668"/>
              <w:right w:val="single" w:sz="8" w:color="4B5088"/>
            </w:tcBorders>
          </w:tcPr>
          <w:p>
            <w:pPr>
              <w:spacing w:after="0"/>
              <w:rPr>
                <w:sz w:val="5"/>
                <w:szCs w:val="5"/>
                <w:color w:val="auto"/>
              </w:rPr>
            </w:pPr>
          </w:p>
        </w:tc>
        <w:tc>
          <w:tcPr>
            <w:tcW w:w="80" w:type="dxa"/>
            <w:vAlign w:val="bottom"/>
            <w:tcBorders>
              <w:bottom w:val="single" w:sz="8" w:color="1F2668"/>
            </w:tcBorders>
            <w:vMerge w:val="continue"/>
          </w:tcPr>
          <w:p>
            <w:pPr>
              <w:spacing w:after="0"/>
              <w:rPr>
                <w:sz w:val="5"/>
                <w:szCs w:val="5"/>
                <w:color w:val="auto"/>
              </w:rPr>
            </w:pPr>
          </w:p>
        </w:tc>
        <w:tc>
          <w:tcPr>
            <w:tcW w:w="600" w:type="dxa"/>
            <w:vAlign w:val="bottom"/>
            <w:tcBorders>
              <w:bottom w:val="single" w:sz="8" w:color="1F2668"/>
              <w:right w:val="single" w:sz="8" w:color="4B5088"/>
            </w:tcBorders>
          </w:tcPr>
          <w:p>
            <w:pPr>
              <w:spacing w:after="0"/>
              <w:rPr>
                <w:sz w:val="5"/>
                <w:szCs w:val="5"/>
                <w:color w:val="auto"/>
              </w:rPr>
            </w:pPr>
          </w:p>
        </w:tc>
        <w:tc>
          <w:tcPr>
            <w:tcW w:w="80" w:type="dxa"/>
            <w:vAlign w:val="bottom"/>
            <w:tcBorders>
              <w:bottom w:val="single" w:sz="8" w:color="1F2668"/>
            </w:tcBorders>
            <w:vMerge w:val="continue"/>
          </w:tcPr>
          <w:p>
            <w:pPr>
              <w:spacing w:after="0"/>
              <w:rPr>
                <w:sz w:val="5"/>
                <w:szCs w:val="5"/>
                <w:color w:val="auto"/>
              </w:rPr>
            </w:pPr>
          </w:p>
        </w:tc>
        <w:tc>
          <w:tcPr>
            <w:tcW w:w="620" w:type="dxa"/>
            <w:vAlign w:val="bottom"/>
            <w:tcBorders>
              <w:bottom w:val="single" w:sz="8" w:color="1F2668"/>
              <w:right w:val="single" w:sz="8" w:color="4B5088"/>
            </w:tcBorders>
          </w:tcPr>
          <w:p>
            <w:pPr>
              <w:spacing w:after="0"/>
              <w:rPr>
                <w:sz w:val="5"/>
                <w:szCs w:val="5"/>
                <w:color w:val="auto"/>
              </w:rPr>
            </w:pPr>
          </w:p>
        </w:tc>
        <w:tc>
          <w:tcPr>
            <w:tcW w:w="100" w:type="dxa"/>
            <w:vAlign w:val="bottom"/>
            <w:tcBorders>
              <w:bottom w:val="single" w:sz="8" w:color="1F2668"/>
            </w:tcBorders>
            <w:vMerge w:val="continue"/>
          </w:tcPr>
          <w:p>
            <w:pPr>
              <w:spacing w:after="0"/>
              <w:rPr>
                <w:sz w:val="5"/>
                <w:szCs w:val="5"/>
                <w:color w:val="auto"/>
              </w:rPr>
            </w:pPr>
          </w:p>
        </w:tc>
        <w:tc>
          <w:tcPr>
            <w:tcW w:w="580" w:type="dxa"/>
            <w:vAlign w:val="bottom"/>
            <w:tcBorders>
              <w:bottom w:val="single" w:sz="8" w:color="1F2668"/>
              <w:right w:val="single" w:sz="8" w:color="4B5088"/>
            </w:tcBorders>
          </w:tcPr>
          <w:p>
            <w:pPr>
              <w:spacing w:after="0"/>
              <w:rPr>
                <w:sz w:val="5"/>
                <w:szCs w:val="5"/>
                <w:color w:val="auto"/>
              </w:rPr>
            </w:pPr>
          </w:p>
        </w:tc>
        <w:tc>
          <w:tcPr>
            <w:tcW w:w="60" w:type="dxa"/>
            <w:vAlign w:val="bottom"/>
            <w:tcBorders>
              <w:bottom w:val="single" w:sz="8" w:color="1F2668"/>
            </w:tcBorders>
            <w:vMerge w:val="continue"/>
          </w:tcPr>
          <w:p>
            <w:pPr>
              <w:spacing w:after="0"/>
              <w:rPr>
                <w:sz w:val="5"/>
                <w:szCs w:val="5"/>
                <w:color w:val="auto"/>
              </w:rPr>
            </w:pPr>
          </w:p>
        </w:tc>
        <w:tc>
          <w:tcPr>
            <w:tcW w:w="600" w:type="dxa"/>
            <w:vAlign w:val="bottom"/>
            <w:tcBorders>
              <w:bottom w:val="single" w:sz="8" w:color="1F2668"/>
            </w:tcBorders>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59"/>
        </w:trPr>
        <w:tc>
          <w:tcPr>
            <w:tcW w:w="380" w:type="dxa"/>
            <w:vAlign w:val="bottom"/>
          </w:tcPr>
          <w:p>
            <w:pPr>
              <w:spacing w:after="0"/>
              <w:rPr>
                <w:sz w:val="24"/>
                <w:szCs w:val="24"/>
                <w:color w:val="auto"/>
              </w:rPr>
            </w:pPr>
          </w:p>
        </w:tc>
        <w:tc>
          <w:tcPr>
            <w:tcW w:w="2860" w:type="dxa"/>
            <w:vAlign w:val="bottom"/>
          </w:tcPr>
          <w:p>
            <w:pPr>
              <w:ind w:left="360"/>
              <w:spacing w:after="0"/>
              <w:rPr>
                <w:sz w:val="20"/>
                <w:szCs w:val="20"/>
                <w:color w:val="auto"/>
              </w:rPr>
            </w:pPr>
            <w:r>
              <w:rPr>
                <w:rFonts w:ascii="Arial" w:cs="Arial" w:eastAsia="Arial" w:hAnsi="Arial"/>
                <w:sz w:val="16"/>
                <w:szCs w:val="16"/>
                <w:b w:val="1"/>
                <w:bCs w:val="1"/>
                <w:color w:val="1F2668"/>
              </w:rPr>
              <w:t>​Executive Leadership</w:t>
            </w:r>
          </w:p>
        </w:tc>
        <w:tc>
          <w:tcPr>
            <w:tcW w:w="220" w:type="dxa"/>
            <w:vAlign w:val="bottom"/>
          </w:tcPr>
          <w:p>
            <w:pPr>
              <w:spacing w:after="0"/>
              <w:rPr>
                <w:sz w:val="20"/>
                <w:szCs w:val="20"/>
                <w:color w:val="auto"/>
              </w:rPr>
            </w:pPr>
            <w:r>
              <w:rPr>
                <w:rFonts w:ascii="Arial" w:cs="Arial" w:eastAsia="Arial" w:hAnsi="Arial"/>
                <w:sz w:val="16"/>
                <w:szCs w:val="16"/>
                <w:b w:val="1"/>
                <w:bCs w:val="1"/>
                <w:color w:val="1F2668"/>
              </w:rPr>
              <w:t>​</w:t>
            </w:r>
          </w:p>
        </w:tc>
        <w:tc>
          <w:tcPr>
            <w:tcW w:w="160" w:type="dxa"/>
            <w:vAlign w:val="bottom"/>
          </w:tcPr>
          <w:p>
            <w:pPr>
              <w:spacing w:after="0"/>
              <w:rPr>
                <w:sz w:val="20"/>
                <w:szCs w:val="20"/>
                <w:color w:val="auto"/>
              </w:rPr>
            </w:pPr>
            <w:r>
              <w:rPr>
                <w:rFonts w:ascii="Arial" w:cs="Arial" w:eastAsia="Arial" w:hAnsi="Arial"/>
                <w:sz w:val="16"/>
                <w:szCs w:val="16"/>
                <w:b w:val="1"/>
                <w:bCs w:val="1"/>
                <w:color w:val="1F2668"/>
              </w:rPr>
              <w:t>​ ​</w:t>
            </w:r>
          </w:p>
        </w:tc>
        <w:tc>
          <w:tcPr>
            <w:tcW w:w="60" w:type="dxa"/>
            <w:vAlign w:val="bottom"/>
          </w:tcPr>
          <w:p>
            <w:pPr>
              <w:spacing w:after="0"/>
              <w:rPr>
                <w:sz w:val="20"/>
                <w:szCs w:val="20"/>
                <w:color w:val="auto"/>
              </w:rPr>
            </w:pPr>
            <w:r>
              <w:rPr>
                <w:rFonts w:ascii="Arial" w:cs="Arial" w:eastAsia="Arial" w:hAnsi="Arial"/>
                <w:sz w:val="16"/>
                <w:szCs w:val="16"/>
                <w:b w:val="1"/>
                <w:bCs w:val="1"/>
                <w:color w:val="1F2668"/>
              </w:rPr>
              <w:t>​​</w:t>
            </w:r>
          </w:p>
        </w:tc>
        <w:tc>
          <w:tcPr>
            <w:tcW w:w="660" w:type="dxa"/>
            <w:vAlign w:val="bottom"/>
            <w:tcBorders>
              <w:right w:val="single" w:sz="8" w:color="4B5088"/>
            </w:tcBorders>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6"/>
                <w:szCs w:val="16"/>
                <w:b w:val="1"/>
                <w:bCs w:val="1"/>
                <w:color w:val="1F2668"/>
              </w:rPr>
              <w:t>​</w:t>
            </w:r>
          </w:p>
        </w:tc>
        <w:tc>
          <w:tcPr>
            <w:tcW w:w="580" w:type="dxa"/>
            <w:vAlign w:val="bottom"/>
            <w:tcBorders>
              <w:right w:val="single" w:sz="8" w:color="4B5088"/>
            </w:tcBorders>
          </w:tcPr>
          <w:p>
            <w:pPr>
              <w:jc w:val="center"/>
              <w:spacing w:after="0"/>
              <w:rPr>
                <w:sz w:val="20"/>
                <w:szCs w:val="20"/>
                <w:color w:val="auto"/>
              </w:rPr>
            </w:pPr>
            <w:r>
              <w:rPr>
                <w:rFonts w:ascii="Arial" w:cs="Arial" w:eastAsia="Arial" w:hAnsi="Arial"/>
                <w:sz w:val="16"/>
                <w:szCs w:val="16"/>
                <w:b w:val="1"/>
                <w:bCs w:val="1"/>
                <w:color w:val="1F2668"/>
              </w:rPr>
              <w:t>​</w:t>
            </w:r>
          </w:p>
        </w:tc>
        <w:tc>
          <w:tcPr>
            <w:tcW w:w="100" w:type="dxa"/>
            <w:vAlign w:val="bottom"/>
          </w:tcPr>
          <w:p>
            <w:pPr>
              <w:spacing w:after="0"/>
              <w:rPr>
                <w:sz w:val="20"/>
                <w:szCs w:val="20"/>
                <w:color w:val="auto"/>
              </w:rPr>
            </w:pPr>
            <w:r>
              <w:rPr>
                <w:rFonts w:ascii="Arial" w:cs="Arial" w:eastAsia="Arial" w:hAnsi="Arial"/>
                <w:sz w:val="16"/>
                <w:szCs w:val="16"/>
                <w:b w:val="1"/>
                <w:bCs w:val="1"/>
                <w:color w:val="1F2668"/>
              </w:rPr>
              <w:t>​</w:t>
            </w:r>
          </w:p>
        </w:tc>
        <w:tc>
          <w:tcPr>
            <w:tcW w:w="580" w:type="dxa"/>
            <w:vAlign w:val="bottom"/>
            <w:tcBorders>
              <w:right w:val="single" w:sz="8" w:color="4B5088"/>
            </w:tcBorders>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6"/>
                <w:szCs w:val="16"/>
                <w:b w:val="1"/>
                <w:bCs w:val="1"/>
                <w:color w:val="1F2668"/>
              </w:rPr>
              <w:t>​</w:t>
            </w:r>
          </w:p>
        </w:tc>
        <w:tc>
          <w:tcPr>
            <w:tcW w:w="580" w:type="dxa"/>
            <w:vAlign w:val="bottom"/>
            <w:tcBorders>
              <w:right w:val="single" w:sz="8" w:color="4B5088"/>
            </w:tcBorders>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6"/>
                <w:szCs w:val="16"/>
                <w:b w:val="1"/>
                <w:bCs w:val="1"/>
                <w:color w:val="1F2668"/>
              </w:rPr>
              <w:t>​</w:t>
            </w:r>
          </w:p>
        </w:tc>
        <w:tc>
          <w:tcPr>
            <w:tcW w:w="600" w:type="dxa"/>
            <w:vAlign w:val="bottom"/>
            <w:tcBorders>
              <w:right w:val="single" w:sz="8" w:color="4B5088"/>
            </w:tcBorders>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6"/>
                <w:szCs w:val="16"/>
                <w:b w:val="1"/>
                <w:bCs w:val="1"/>
                <w:color w:val="1F2668"/>
              </w:rPr>
              <w:t>​</w:t>
            </w:r>
          </w:p>
        </w:tc>
        <w:tc>
          <w:tcPr>
            <w:tcW w:w="620" w:type="dxa"/>
            <w:vAlign w:val="bottom"/>
            <w:tcBorders>
              <w:right w:val="single" w:sz="8" w:color="4B5088"/>
            </w:tcBorders>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6"/>
                <w:szCs w:val="16"/>
                <w:b w:val="1"/>
                <w:bCs w:val="1"/>
                <w:color w:val="1F2668"/>
              </w:rPr>
              <w:t>​</w:t>
            </w:r>
          </w:p>
        </w:tc>
        <w:tc>
          <w:tcPr>
            <w:tcW w:w="580" w:type="dxa"/>
            <w:vAlign w:val="bottom"/>
            <w:tcBorders>
              <w:right w:val="single" w:sz="8" w:color="4B5088"/>
            </w:tcBorders>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6"/>
                <w:szCs w:val="16"/>
                <w:b w:val="1"/>
                <w:bCs w:val="1"/>
                <w:color w:val="1F2668"/>
              </w:rPr>
              <w:t>​</w:t>
            </w:r>
          </w:p>
        </w:tc>
        <w:tc>
          <w:tcPr>
            <w:tcW w:w="600" w:type="dxa"/>
            <w:vAlign w:val="bottom"/>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6"/>
                <w:szCs w:val="16"/>
                <w:b w:val="1"/>
                <w:bCs w:val="1"/>
                <w:color w:val="1F2668"/>
              </w:rPr>
              <w:t>​</w:t>
            </w:r>
          </w:p>
        </w:tc>
        <w:tc>
          <w:tcPr>
            <w:tcW w:w="0" w:type="dxa"/>
            <w:vAlign w:val="bottom"/>
          </w:tcPr>
          <w:p>
            <w:pPr>
              <w:spacing w:after="0"/>
              <w:rPr>
                <w:sz w:val="1"/>
                <w:szCs w:val="1"/>
                <w:color w:val="auto"/>
              </w:rPr>
            </w:pPr>
          </w:p>
        </w:tc>
      </w:tr>
      <w:tr>
        <w:trPr>
          <w:trHeight w:val="237"/>
        </w:trPr>
        <w:tc>
          <w:tcPr>
            <w:tcW w:w="380" w:type="dxa"/>
            <w:vAlign w:val="bottom"/>
            <w:tcBorders>
              <w:bottom w:val="single" w:sz="8" w:color="1F2668"/>
            </w:tcBorders>
          </w:tcPr>
          <w:p>
            <w:pPr>
              <w:spacing w:after="0"/>
              <w:rPr>
                <w:sz w:val="20"/>
                <w:szCs w:val="20"/>
                <w:color w:val="auto"/>
              </w:rPr>
            </w:pPr>
          </w:p>
        </w:tc>
        <w:tc>
          <w:tcPr>
            <w:tcW w:w="2860" w:type="dxa"/>
            <w:vAlign w:val="bottom"/>
            <w:tcBorders>
              <w:bottom w:val="single" w:sz="8" w:color="1F2668"/>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Borders>
              <w:bottom w:val="single" w:sz="8" w:color="1F2668"/>
            </w:tcBorders>
          </w:tcPr>
          <w:p>
            <w:pPr>
              <w:spacing w:after="0"/>
              <w:rPr>
                <w:sz w:val="20"/>
                <w:szCs w:val="20"/>
                <w:color w:val="auto"/>
              </w:rPr>
            </w:pPr>
          </w:p>
        </w:tc>
        <w:tc>
          <w:tcPr>
            <w:tcW w:w="660" w:type="dxa"/>
            <w:vAlign w:val="bottom"/>
            <w:tcBorders>
              <w:bottom w:val="single" w:sz="8" w:color="1F2668"/>
              <w:right w:val="single" w:sz="8" w:color="4B5088"/>
            </w:tcBorders>
          </w:tcPr>
          <w:p>
            <w:pPr>
              <w:spacing w:after="0"/>
              <w:rPr>
                <w:sz w:val="20"/>
                <w:szCs w:val="20"/>
                <w:color w:val="auto"/>
              </w:rPr>
            </w:pPr>
          </w:p>
        </w:tc>
        <w:tc>
          <w:tcPr>
            <w:tcW w:w="100" w:type="dxa"/>
            <w:vAlign w:val="bottom"/>
            <w:tcBorders>
              <w:bottom w:val="single" w:sz="8" w:color="1F2668"/>
            </w:tcBorders>
          </w:tcPr>
          <w:p>
            <w:pPr>
              <w:spacing w:after="0"/>
              <w:rPr>
                <w:sz w:val="20"/>
                <w:szCs w:val="20"/>
                <w:color w:val="auto"/>
              </w:rPr>
            </w:pPr>
          </w:p>
        </w:tc>
        <w:tc>
          <w:tcPr>
            <w:tcW w:w="580" w:type="dxa"/>
            <w:vAlign w:val="bottom"/>
            <w:tcBorders>
              <w:bottom w:val="single" w:sz="8" w:color="1F2668"/>
              <w:right w:val="single" w:sz="8" w:color="4B5088"/>
            </w:tcBorders>
          </w:tcPr>
          <w:p>
            <w:pPr>
              <w:spacing w:after="0"/>
              <w:rPr>
                <w:sz w:val="20"/>
                <w:szCs w:val="20"/>
                <w:color w:val="auto"/>
              </w:rPr>
            </w:pPr>
          </w:p>
        </w:tc>
        <w:tc>
          <w:tcPr>
            <w:tcW w:w="100" w:type="dxa"/>
            <w:vAlign w:val="bottom"/>
            <w:tcBorders>
              <w:bottom w:val="single" w:sz="8" w:color="1F2668"/>
            </w:tcBorders>
          </w:tcPr>
          <w:p>
            <w:pPr>
              <w:spacing w:after="0"/>
              <w:rPr>
                <w:sz w:val="20"/>
                <w:szCs w:val="20"/>
                <w:color w:val="auto"/>
              </w:rPr>
            </w:pPr>
          </w:p>
        </w:tc>
        <w:tc>
          <w:tcPr>
            <w:tcW w:w="580" w:type="dxa"/>
            <w:vAlign w:val="bottom"/>
            <w:tcBorders>
              <w:bottom w:val="single" w:sz="8" w:color="1F2668"/>
              <w:right w:val="single" w:sz="8" w:color="4B5088"/>
            </w:tcBorders>
          </w:tcPr>
          <w:p>
            <w:pPr>
              <w:spacing w:after="0"/>
              <w:rPr>
                <w:sz w:val="20"/>
                <w:szCs w:val="20"/>
                <w:color w:val="auto"/>
              </w:rPr>
            </w:pPr>
          </w:p>
        </w:tc>
        <w:tc>
          <w:tcPr>
            <w:tcW w:w="80" w:type="dxa"/>
            <w:vAlign w:val="bottom"/>
            <w:tcBorders>
              <w:bottom w:val="single" w:sz="8" w:color="1F2668"/>
            </w:tcBorders>
          </w:tcPr>
          <w:p>
            <w:pPr>
              <w:spacing w:after="0"/>
              <w:rPr>
                <w:sz w:val="20"/>
                <w:szCs w:val="20"/>
                <w:color w:val="auto"/>
              </w:rPr>
            </w:pPr>
          </w:p>
        </w:tc>
        <w:tc>
          <w:tcPr>
            <w:tcW w:w="580" w:type="dxa"/>
            <w:vAlign w:val="bottom"/>
            <w:tcBorders>
              <w:bottom w:val="single" w:sz="8" w:color="1F2668"/>
              <w:right w:val="single" w:sz="8" w:color="4B5088"/>
            </w:tcBorders>
          </w:tcPr>
          <w:p>
            <w:pPr>
              <w:spacing w:after="0"/>
              <w:rPr>
                <w:sz w:val="20"/>
                <w:szCs w:val="20"/>
                <w:color w:val="auto"/>
              </w:rPr>
            </w:pPr>
          </w:p>
        </w:tc>
        <w:tc>
          <w:tcPr>
            <w:tcW w:w="80" w:type="dxa"/>
            <w:vAlign w:val="bottom"/>
            <w:tcBorders>
              <w:bottom w:val="single" w:sz="8" w:color="1F2668"/>
            </w:tcBorders>
          </w:tcPr>
          <w:p>
            <w:pPr>
              <w:spacing w:after="0"/>
              <w:rPr>
                <w:sz w:val="20"/>
                <w:szCs w:val="20"/>
                <w:color w:val="auto"/>
              </w:rPr>
            </w:pPr>
          </w:p>
        </w:tc>
        <w:tc>
          <w:tcPr>
            <w:tcW w:w="600" w:type="dxa"/>
            <w:vAlign w:val="bottom"/>
            <w:tcBorders>
              <w:bottom w:val="single" w:sz="8" w:color="1F2668"/>
              <w:right w:val="single" w:sz="8" w:color="4B5088"/>
            </w:tcBorders>
          </w:tcPr>
          <w:p>
            <w:pPr>
              <w:spacing w:after="0"/>
              <w:rPr>
                <w:sz w:val="20"/>
                <w:szCs w:val="20"/>
                <w:color w:val="auto"/>
              </w:rPr>
            </w:pPr>
          </w:p>
        </w:tc>
        <w:tc>
          <w:tcPr>
            <w:tcW w:w="80" w:type="dxa"/>
            <w:vAlign w:val="bottom"/>
            <w:tcBorders>
              <w:bottom w:val="single" w:sz="8" w:color="1F2668"/>
            </w:tcBorders>
          </w:tcPr>
          <w:p>
            <w:pPr>
              <w:spacing w:after="0"/>
              <w:rPr>
                <w:sz w:val="20"/>
                <w:szCs w:val="20"/>
                <w:color w:val="auto"/>
              </w:rPr>
            </w:pPr>
          </w:p>
        </w:tc>
        <w:tc>
          <w:tcPr>
            <w:tcW w:w="620" w:type="dxa"/>
            <w:vAlign w:val="bottom"/>
            <w:tcBorders>
              <w:bottom w:val="single" w:sz="8" w:color="1F2668"/>
              <w:right w:val="single" w:sz="8" w:color="4B5088"/>
            </w:tcBorders>
          </w:tcPr>
          <w:p>
            <w:pPr>
              <w:spacing w:after="0"/>
              <w:rPr>
                <w:sz w:val="20"/>
                <w:szCs w:val="20"/>
                <w:color w:val="auto"/>
              </w:rPr>
            </w:pPr>
          </w:p>
        </w:tc>
        <w:tc>
          <w:tcPr>
            <w:tcW w:w="100" w:type="dxa"/>
            <w:vAlign w:val="bottom"/>
            <w:tcBorders>
              <w:bottom w:val="single" w:sz="8" w:color="1F2668"/>
            </w:tcBorders>
          </w:tcPr>
          <w:p>
            <w:pPr>
              <w:spacing w:after="0"/>
              <w:rPr>
                <w:sz w:val="20"/>
                <w:szCs w:val="20"/>
                <w:color w:val="auto"/>
              </w:rPr>
            </w:pPr>
          </w:p>
        </w:tc>
        <w:tc>
          <w:tcPr>
            <w:tcW w:w="580" w:type="dxa"/>
            <w:vAlign w:val="bottom"/>
            <w:tcBorders>
              <w:bottom w:val="single" w:sz="8" w:color="1F2668"/>
              <w:right w:val="single" w:sz="8" w:color="4B5088"/>
            </w:tcBorders>
          </w:tcPr>
          <w:p>
            <w:pPr>
              <w:spacing w:after="0"/>
              <w:rPr>
                <w:sz w:val="20"/>
                <w:szCs w:val="20"/>
                <w:color w:val="auto"/>
              </w:rPr>
            </w:pPr>
          </w:p>
        </w:tc>
        <w:tc>
          <w:tcPr>
            <w:tcW w:w="60" w:type="dxa"/>
            <w:vAlign w:val="bottom"/>
            <w:tcBorders>
              <w:bottom w:val="single" w:sz="8" w:color="1F2668"/>
            </w:tcBorders>
          </w:tcPr>
          <w:p>
            <w:pPr>
              <w:spacing w:after="0"/>
              <w:rPr>
                <w:sz w:val="20"/>
                <w:szCs w:val="20"/>
                <w:color w:val="auto"/>
              </w:rPr>
            </w:pPr>
          </w:p>
        </w:tc>
        <w:tc>
          <w:tcPr>
            <w:tcW w:w="600" w:type="dxa"/>
            <w:vAlign w:val="bottom"/>
            <w:tcBorders>
              <w:bottom w:val="single" w:sz="8" w:color="1F2668"/>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2860" w:type="dxa"/>
            <w:vAlign w:val="bottom"/>
          </w:tcPr>
          <w:p>
            <w:pPr>
              <w:ind w:left="360"/>
              <w:spacing w:after="0"/>
              <w:rPr>
                <w:sz w:val="20"/>
                <w:szCs w:val="20"/>
                <w:color w:val="auto"/>
              </w:rPr>
            </w:pPr>
            <w:r>
              <w:rPr>
                <w:rFonts w:ascii="Arial" w:cs="Arial" w:eastAsia="Arial" w:hAnsi="Arial"/>
                <w:sz w:val="16"/>
                <w:szCs w:val="16"/>
                <w:b w:val="1"/>
                <w:bCs w:val="1"/>
                <w:color w:val="1F2668"/>
              </w:rPr>
              <w:t>​Finance/Capital Markets</w:t>
            </w:r>
          </w:p>
        </w:tc>
        <w:tc>
          <w:tcPr>
            <w:tcW w:w="220" w:type="dxa"/>
            <w:vAlign w:val="bottom"/>
          </w:tcPr>
          <w:p>
            <w:pPr>
              <w:spacing w:after="0"/>
              <w:rPr>
                <w:sz w:val="20"/>
                <w:szCs w:val="20"/>
                <w:color w:val="auto"/>
              </w:rPr>
            </w:pPr>
            <w:r>
              <w:rPr>
                <w:rFonts w:ascii="Arial" w:cs="Arial" w:eastAsia="Arial" w:hAnsi="Arial"/>
                <w:sz w:val="16"/>
                <w:szCs w:val="16"/>
                <w:b w:val="1"/>
                <w:bCs w:val="1"/>
                <w:color w:val="1F2668"/>
              </w:rPr>
              <w:t>​</w:t>
            </w:r>
          </w:p>
        </w:tc>
        <w:tc>
          <w:tcPr>
            <w:tcW w:w="160" w:type="dxa"/>
            <w:vAlign w:val="bottom"/>
          </w:tcPr>
          <w:p>
            <w:pPr>
              <w:spacing w:after="0"/>
              <w:rPr>
                <w:sz w:val="20"/>
                <w:szCs w:val="20"/>
                <w:color w:val="auto"/>
              </w:rPr>
            </w:pPr>
            <w:r>
              <w:rPr>
                <w:rFonts w:ascii="Arial" w:cs="Arial" w:eastAsia="Arial" w:hAnsi="Arial"/>
                <w:sz w:val="16"/>
                <w:szCs w:val="16"/>
                <w:b w:val="1"/>
                <w:bCs w:val="1"/>
                <w:color w:val="1F2668"/>
              </w:rPr>
              <w:t>​ ​</w:t>
            </w:r>
          </w:p>
        </w:tc>
        <w:tc>
          <w:tcPr>
            <w:tcW w:w="60" w:type="dxa"/>
            <w:vAlign w:val="bottom"/>
          </w:tcPr>
          <w:p>
            <w:pPr>
              <w:spacing w:after="0"/>
              <w:rPr>
                <w:sz w:val="20"/>
                <w:szCs w:val="20"/>
                <w:color w:val="auto"/>
              </w:rPr>
            </w:pPr>
            <w:r>
              <w:rPr>
                <w:rFonts w:ascii="Arial" w:cs="Arial" w:eastAsia="Arial" w:hAnsi="Arial"/>
                <w:sz w:val="16"/>
                <w:szCs w:val="16"/>
                <w:b w:val="1"/>
                <w:bCs w:val="1"/>
                <w:color w:val="1F2668"/>
              </w:rPr>
              <w:t>​</w:t>
            </w:r>
          </w:p>
        </w:tc>
        <w:tc>
          <w:tcPr>
            <w:tcW w:w="660" w:type="dxa"/>
            <w:vAlign w:val="bottom"/>
            <w:tcBorders>
              <w:right w:val="single" w:sz="8" w:color="4B5088"/>
            </w:tcBorders>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6"/>
                <w:szCs w:val="16"/>
                <w:b w:val="1"/>
                <w:bCs w:val="1"/>
                <w:color w:val="1F2668"/>
              </w:rPr>
              <w:t>​</w:t>
            </w:r>
          </w:p>
        </w:tc>
        <w:tc>
          <w:tcPr>
            <w:tcW w:w="580" w:type="dxa"/>
            <w:vAlign w:val="bottom"/>
            <w:tcBorders>
              <w:right w:val="single" w:sz="8" w:color="4B5088"/>
            </w:tcBorders>
          </w:tcPr>
          <w:p>
            <w:pPr>
              <w:jc w:val="center"/>
              <w:spacing w:after="0"/>
              <w:rPr>
                <w:sz w:val="20"/>
                <w:szCs w:val="20"/>
                <w:color w:val="auto"/>
              </w:rPr>
            </w:pPr>
            <w:r>
              <w:rPr>
                <w:rFonts w:ascii="Arial" w:cs="Arial" w:eastAsia="Arial" w:hAnsi="Arial"/>
                <w:sz w:val="16"/>
                <w:szCs w:val="16"/>
                <w:b w:val="1"/>
                <w:bCs w:val="1"/>
                <w:color w:val="1F2668"/>
              </w:rPr>
              <w:t>​</w:t>
            </w:r>
          </w:p>
        </w:tc>
        <w:tc>
          <w:tcPr>
            <w:tcW w:w="100" w:type="dxa"/>
            <w:vAlign w:val="bottom"/>
          </w:tcPr>
          <w:p>
            <w:pPr>
              <w:spacing w:after="0"/>
              <w:rPr>
                <w:sz w:val="20"/>
                <w:szCs w:val="20"/>
                <w:color w:val="auto"/>
              </w:rPr>
            </w:pPr>
            <w:r>
              <w:rPr>
                <w:rFonts w:ascii="Arial" w:cs="Arial" w:eastAsia="Arial" w:hAnsi="Arial"/>
                <w:sz w:val="16"/>
                <w:szCs w:val="16"/>
                <w:b w:val="1"/>
                <w:bCs w:val="1"/>
                <w:color w:val="1F2668"/>
              </w:rPr>
              <w:t>​</w:t>
            </w:r>
          </w:p>
        </w:tc>
        <w:tc>
          <w:tcPr>
            <w:tcW w:w="580" w:type="dxa"/>
            <w:vAlign w:val="bottom"/>
            <w:tcBorders>
              <w:right w:val="single" w:sz="8" w:color="4B5088"/>
            </w:tcBorders>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6"/>
                <w:szCs w:val="16"/>
                <w:b w:val="1"/>
                <w:bCs w:val="1"/>
                <w:color w:val="1F2668"/>
              </w:rPr>
              <w:t>​</w:t>
            </w:r>
          </w:p>
        </w:tc>
        <w:tc>
          <w:tcPr>
            <w:tcW w:w="580" w:type="dxa"/>
            <w:vAlign w:val="bottom"/>
            <w:tcBorders>
              <w:right w:val="single" w:sz="8" w:color="4B5088"/>
            </w:tcBorders>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6"/>
                <w:szCs w:val="16"/>
                <w:b w:val="1"/>
                <w:bCs w:val="1"/>
                <w:color w:val="1F2668"/>
              </w:rPr>
              <w:t>​</w:t>
            </w:r>
          </w:p>
        </w:tc>
        <w:tc>
          <w:tcPr>
            <w:tcW w:w="600" w:type="dxa"/>
            <w:vAlign w:val="bottom"/>
            <w:tcBorders>
              <w:right w:val="single" w:sz="8" w:color="4B5088"/>
            </w:tcBorders>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6"/>
                <w:szCs w:val="16"/>
                <w:b w:val="1"/>
                <w:bCs w:val="1"/>
                <w:color w:val="1F2668"/>
              </w:rPr>
              <w:t>​</w:t>
            </w:r>
          </w:p>
        </w:tc>
        <w:tc>
          <w:tcPr>
            <w:tcW w:w="620" w:type="dxa"/>
            <w:vAlign w:val="bottom"/>
            <w:tcBorders>
              <w:right w:val="single" w:sz="8" w:color="4B5088"/>
            </w:tcBorders>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6"/>
                <w:szCs w:val="16"/>
                <w:b w:val="1"/>
                <w:bCs w:val="1"/>
                <w:color w:val="1F2668"/>
              </w:rPr>
              <w:t>​</w:t>
            </w:r>
          </w:p>
        </w:tc>
        <w:tc>
          <w:tcPr>
            <w:tcW w:w="580" w:type="dxa"/>
            <w:vAlign w:val="bottom"/>
            <w:tcBorders>
              <w:right w:val="single" w:sz="8" w:color="4B5088"/>
            </w:tcBorders>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6"/>
                <w:szCs w:val="16"/>
                <w:b w:val="1"/>
                <w:bCs w:val="1"/>
                <w:color w:val="1F2668"/>
              </w:rPr>
              <w:t>​</w:t>
            </w:r>
          </w:p>
        </w:tc>
        <w:tc>
          <w:tcPr>
            <w:tcW w:w="600" w:type="dxa"/>
            <w:vAlign w:val="bottom"/>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6"/>
                <w:szCs w:val="16"/>
                <w:b w:val="1"/>
                <w:bCs w:val="1"/>
                <w:color w:val="1F2668"/>
              </w:rPr>
              <w:t>​</w:t>
            </w:r>
          </w:p>
        </w:tc>
        <w:tc>
          <w:tcPr>
            <w:tcW w:w="0" w:type="dxa"/>
            <w:vAlign w:val="bottom"/>
          </w:tcPr>
          <w:p>
            <w:pPr>
              <w:spacing w:after="0"/>
              <w:rPr>
                <w:sz w:val="1"/>
                <w:szCs w:val="1"/>
                <w:color w:val="auto"/>
              </w:rPr>
            </w:pPr>
          </w:p>
        </w:tc>
      </w:tr>
      <w:tr>
        <w:trPr>
          <w:trHeight w:val="223"/>
        </w:trPr>
        <w:tc>
          <w:tcPr>
            <w:tcW w:w="380" w:type="dxa"/>
            <w:vAlign w:val="bottom"/>
            <w:tcBorders>
              <w:bottom w:val="single" w:sz="8" w:color="1F2668"/>
            </w:tcBorders>
          </w:tcPr>
          <w:p>
            <w:pPr>
              <w:spacing w:after="0"/>
              <w:rPr>
                <w:sz w:val="19"/>
                <w:szCs w:val="19"/>
                <w:color w:val="auto"/>
              </w:rPr>
            </w:pPr>
          </w:p>
        </w:tc>
        <w:tc>
          <w:tcPr>
            <w:tcW w:w="2860" w:type="dxa"/>
            <w:vAlign w:val="bottom"/>
            <w:tcBorders>
              <w:bottom w:val="single" w:sz="8" w:color="1F2668"/>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Borders>
              <w:bottom w:val="single" w:sz="8" w:color="1F2668"/>
            </w:tcBorders>
          </w:tcPr>
          <w:p>
            <w:pPr>
              <w:spacing w:after="0"/>
              <w:rPr>
                <w:sz w:val="19"/>
                <w:szCs w:val="19"/>
                <w:color w:val="auto"/>
              </w:rPr>
            </w:pPr>
          </w:p>
        </w:tc>
        <w:tc>
          <w:tcPr>
            <w:tcW w:w="660" w:type="dxa"/>
            <w:vAlign w:val="bottom"/>
            <w:tcBorders>
              <w:bottom w:val="single" w:sz="8" w:color="1F2668"/>
              <w:right w:val="single" w:sz="8" w:color="4B5088"/>
            </w:tcBorders>
          </w:tcPr>
          <w:p>
            <w:pPr>
              <w:spacing w:after="0"/>
              <w:rPr>
                <w:sz w:val="19"/>
                <w:szCs w:val="19"/>
                <w:color w:val="auto"/>
              </w:rPr>
            </w:pPr>
          </w:p>
        </w:tc>
        <w:tc>
          <w:tcPr>
            <w:tcW w:w="100" w:type="dxa"/>
            <w:vAlign w:val="bottom"/>
            <w:tcBorders>
              <w:bottom w:val="single" w:sz="8" w:color="1F2668"/>
            </w:tcBorders>
          </w:tcPr>
          <w:p>
            <w:pPr>
              <w:spacing w:after="0"/>
              <w:rPr>
                <w:sz w:val="19"/>
                <w:szCs w:val="19"/>
                <w:color w:val="auto"/>
              </w:rPr>
            </w:pPr>
          </w:p>
        </w:tc>
        <w:tc>
          <w:tcPr>
            <w:tcW w:w="580" w:type="dxa"/>
            <w:vAlign w:val="bottom"/>
            <w:tcBorders>
              <w:bottom w:val="single" w:sz="8" w:color="1F2668"/>
              <w:right w:val="single" w:sz="8" w:color="4B5088"/>
            </w:tcBorders>
          </w:tcPr>
          <w:p>
            <w:pPr>
              <w:spacing w:after="0"/>
              <w:rPr>
                <w:sz w:val="19"/>
                <w:szCs w:val="19"/>
                <w:color w:val="auto"/>
              </w:rPr>
            </w:pPr>
          </w:p>
        </w:tc>
        <w:tc>
          <w:tcPr>
            <w:tcW w:w="100" w:type="dxa"/>
            <w:vAlign w:val="bottom"/>
            <w:tcBorders>
              <w:bottom w:val="single" w:sz="8" w:color="1F2668"/>
            </w:tcBorders>
          </w:tcPr>
          <w:p>
            <w:pPr>
              <w:spacing w:after="0"/>
              <w:rPr>
                <w:sz w:val="19"/>
                <w:szCs w:val="19"/>
                <w:color w:val="auto"/>
              </w:rPr>
            </w:pPr>
          </w:p>
        </w:tc>
        <w:tc>
          <w:tcPr>
            <w:tcW w:w="580" w:type="dxa"/>
            <w:vAlign w:val="bottom"/>
            <w:tcBorders>
              <w:bottom w:val="single" w:sz="8" w:color="1F2668"/>
              <w:right w:val="single" w:sz="8" w:color="4B5088"/>
            </w:tcBorders>
          </w:tcPr>
          <w:p>
            <w:pPr>
              <w:spacing w:after="0"/>
              <w:rPr>
                <w:sz w:val="19"/>
                <w:szCs w:val="19"/>
                <w:color w:val="auto"/>
              </w:rPr>
            </w:pPr>
          </w:p>
        </w:tc>
        <w:tc>
          <w:tcPr>
            <w:tcW w:w="80" w:type="dxa"/>
            <w:vAlign w:val="bottom"/>
            <w:tcBorders>
              <w:bottom w:val="single" w:sz="8" w:color="1F2668"/>
            </w:tcBorders>
          </w:tcPr>
          <w:p>
            <w:pPr>
              <w:spacing w:after="0"/>
              <w:rPr>
                <w:sz w:val="19"/>
                <w:szCs w:val="19"/>
                <w:color w:val="auto"/>
              </w:rPr>
            </w:pPr>
          </w:p>
        </w:tc>
        <w:tc>
          <w:tcPr>
            <w:tcW w:w="580" w:type="dxa"/>
            <w:vAlign w:val="bottom"/>
            <w:tcBorders>
              <w:bottom w:val="single" w:sz="8" w:color="1F2668"/>
              <w:right w:val="single" w:sz="8" w:color="4B5088"/>
            </w:tcBorders>
          </w:tcPr>
          <w:p>
            <w:pPr>
              <w:spacing w:after="0"/>
              <w:rPr>
                <w:sz w:val="19"/>
                <w:szCs w:val="19"/>
                <w:color w:val="auto"/>
              </w:rPr>
            </w:pPr>
          </w:p>
        </w:tc>
        <w:tc>
          <w:tcPr>
            <w:tcW w:w="80" w:type="dxa"/>
            <w:vAlign w:val="bottom"/>
            <w:tcBorders>
              <w:bottom w:val="single" w:sz="8" w:color="1F2668"/>
            </w:tcBorders>
          </w:tcPr>
          <w:p>
            <w:pPr>
              <w:spacing w:after="0"/>
              <w:rPr>
                <w:sz w:val="19"/>
                <w:szCs w:val="19"/>
                <w:color w:val="auto"/>
              </w:rPr>
            </w:pPr>
          </w:p>
        </w:tc>
        <w:tc>
          <w:tcPr>
            <w:tcW w:w="600" w:type="dxa"/>
            <w:vAlign w:val="bottom"/>
            <w:tcBorders>
              <w:bottom w:val="single" w:sz="8" w:color="1F2668"/>
              <w:right w:val="single" w:sz="8" w:color="4B5088"/>
            </w:tcBorders>
          </w:tcPr>
          <w:p>
            <w:pPr>
              <w:spacing w:after="0"/>
              <w:rPr>
                <w:sz w:val="19"/>
                <w:szCs w:val="19"/>
                <w:color w:val="auto"/>
              </w:rPr>
            </w:pPr>
          </w:p>
        </w:tc>
        <w:tc>
          <w:tcPr>
            <w:tcW w:w="80" w:type="dxa"/>
            <w:vAlign w:val="bottom"/>
            <w:tcBorders>
              <w:bottom w:val="single" w:sz="8" w:color="1F2668"/>
            </w:tcBorders>
          </w:tcPr>
          <w:p>
            <w:pPr>
              <w:spacing w:after="0"/>
              <w:rPr>
                <w:sz w:val="19"/>
                <w:szCs w:val="19"/>
                <w:color w:val="auto"/>
              </w:rPr>
            </w:pPr>
          </w:p>
        </w:tc>
        <w:tc>
          <w:tcPr>
            <w:tcW w:w="620" w:type="dxa"/>
            <w:vAlign w:val="bottom"/>
            <w:tcBorders>
              <w:bottom w:val="single" w:sz="8" w:color="1F2668"/>
              <w:right w:val="single" w:sz="8" w:color="4B5088"/>
            </w:tcBorders>
          </w:tcPr>
          <w:p>
            <w:pPr>
              <w:spacing w:after="0"/>
              <w:rPr>
                <w:sz w:val="19"/>
                <w:szCs w:val="19"/>
                <w:color w:val="auto"/>
              </w:rPr>
            </w:pPr>
          </w:p>
        </w:tc>
        <w:tc>
          <w:tcPr>
            <w:tcW w:w="100" w:type="dxa"/>
            <w:vAlign w:val="bottom"/>
            <w:tcBorders>
              <w:bottom w:val="single" w:sz="8" w:color="1F2668"/>
            </w:tcBorders>
          </w:tcPr>
          <w:p>
            <w:pPr>
              <w:spacing w:after="0"/>
              <w:rPr>
                <w:sz w:val="19"/>
                <w:szCs w:val="19"/>
                <w:color w:val="auto"/>
              </w:rPr>
            </w:pPr>
          </w:p>
        </w:tc>
        <w:tc>
          <w:tcPr>
            <w:tcW w:w="580" w:type="dxa"/>
            <w:vAlign w:val="bottom"/>
            <w:tcBorders>
              <w:bottom w:val="single" w:sz="8" w:color="1F2668"/>
              <w:right w:val="single" w:sz="8" w:color="4B5088"/>
            </w:tcBorders>
          </w:tcPr>
          <w:p>
            <w:pPr>
              <w:spacing w:after="0"/>
              <w:rPr>
                <w:sz w:val="19"/>
                <w:szCs w:val="19"/>
                <w:color w:val="auto"/>
              </w:rPr>
            </w:pPr>
          </w:p>
        </w:tc>
        <w:tc>
          <w:tcPr>
            <w:tcW w:w="60" w:type="dxa"/>
            <w:vAlign w:val="bottom"/>
            <w:tcBorders>
              <w:bottom w:val="single" w:sz="8" w:color="1F2668"/>
            </w:tcBorders>
          </w:tcPr>
          <w:p>
            <w:pPr>
              <w:spacing w:after="0"/>
              <w:rPr>
                <w:sz w:val="19"/>
                <w:szCs w:val="19"/>
                <w:color w:val="auto"/>
              </w:rPr>
            </w:pPr>
          </w:p>
        </w:tc>
        <w:tc>
          <w:tcPr>
            <w:tcW w:w="600" w:type="dxa"/>
            <w:vAlign w:val="bottom"/>
            <w:tcBorders>
              <w:bottom w:val="single" w:sz="8" w:color="1F2668"/>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380" w:type="dxa"/>
            <w:vAlign w:val="bottom"/>
          </w:tcPr>
          <w:p>
            <w:pPr>
              <w:spacing w:after="0"/>
              <w:rPr>
                <w:sz w:val="24"/>
                <w:szCs w:val="24"/>
                <w:color w:val="auto"/>
              </w:rPr>
            </w:pPr>
          </w:p>
        </w:tc>
        <w:tc>
          <w:tcPr>
            <w:tcW w:w="2860" w:type="dxa"/>
            <w:vAlign w:val="bottom"/>
          </w:tcPr>
          <w:p>
            <w:pPr>
              <w:ind w:left="360"/>
              <w:spacing w:after="0"/>
              <w:rPr>
                <w:sz w:val="20"/>
                <w:szCs w:val="20"/>
                <w:color w:val="auto"/>
              </w:rPr>
            </w:pPr>
            <w:r>
              <w:rPr>
                <w:rFonts w:ascii="Arial" w:cs="Arial" w:eastAsia="Arial" w:hAnsi="Arial"/>
                <w:sz w:val="16"/>
                <w:szCs w:val="16"/>
                <w:b w:val="1"/>
                <w:bCs w:val="1"/>
                <w:color w:val="1F2668"/>
              </w:rPr>
              <w:t>​Risk Management</w:t>
            </w:r>
          </w:p>
        </w:tc>
        <w:tc>
          <w:tcPr>
            <w:tcW w:w="220" w:type="dxa"/>
            <w:vAlign w:val="bottom"/>
          </w:tcPr>
          <w:p>
            <w:pPr>
              <w:spacing w:after="0"/>
              <w:rPr>
                <w:sz w:val="20"/>
                <w:szCs w:val="20"/>
                <w:color w:val="auto"/>
              </w:rPr>
            </w:pPr>
            <w:r>
              <w:rPr>
                <w:rFonts w:ascii="Arial" w:cs="Arial" w:eastAsia="Arial" w:hAnsi="Arial"/>
                <w:sz w:val="16"/>
                <w:szCs w:val="16"/>
                <w:b w:val="1"/>
                <w:bCs w:val="1"/>
                <w:color w:val="1F2668"/>
              </w:rPr>
              <w:t>​</w:t>
            </w:r>
          </w:p>
        </w:tc>
        <w:tc>
          <w:tcPr>
            <w:tcW w:w="160" w:type="dxa"/>
            <w:vAlign w:val="bottom"/>
          </w:tcPr>
          <w:p>
            <w:pPr>
              <w:spacing w:after="0"/>
              <w:rPr>
                <w:sz w:val="20"/>
                <w:szCs w:val="20"/>
                <w:color w:val="auto"/>
              </w:rPr>
            </w:pPr>
            <w:r>
              <w:rPr>
                <w:rFonts w:ascii="Arial" w:cs="Arial" w:eastAsia="Arial" w:hAnsi="Arial"/>
                <w:sz w:val="16"/>
                <w:szCs w:val="16"/>
                <w:b w:val="1"/>
                <w:bCs w:val="1"/>
                <w:color w:val="1F2668"/>
              </w:rPr>
              <w:t>​ ​</w:t>
            </w:r>
          </w:p>
        </w:tc>
        <w:tc>
          <w:tcPr>
            <w:tcW w:w="60" w:type="dxa"/>
            <w:vAlign w:val="bottom"/>
          </w:tcPr>
          <w:p>
            <w:pPr>
              <w:spacing w:after="0"/>
              <w:rPr>
                <w:sz w:val="20"/>
                <w:szCs w:val="20"/>
                <w:color w:val="auto"/>
              </w:rPr>
            </w:pPr>
            <w:r>
              <w:rPr>
                <w:rFonts w:ascii="Arial" w:cs="Arial" w:eastAsia="Arial" w:hAnsi="Arial"/>
                <w:sz w:val="16"/>
                <w:szCs w:val="16"/>
                <w:b w:val="1"/>
                <w:bCs w:val="1"/>
                <w:color w:val="1F2668"/>
              </w:rPr>
              <w:t>​</w:t>
            </w:r>
          </w:p>
        </w:tc>
        <w:tc>
          <w:tcPr>
            <w:tcW w:w="660" w:type="dxa"/>
            <w:vAlign w:val="bottom"/>
            <w:tcBorders>
              <w:right w:val="single" w:sz="8" w:color="4B5088"/>
            </w:tcBorders>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6"/>
                <w:szCs w:val="16"/>
                <w:b w:val="1"/>
                <w:bCs w:val="1"/>
                <w:color w:val="1F2668"/>
              </w:rPr>
              <w:t>​</w:t>
            </w:r>
          </w:p>
        </w:tc>
        <w:tc>
          <w:tcPr>
            <w:tcW w:w="580" w:type="dxa"/>
            <w:vAlign w:val="bottom"/>
            <w:tcBorders>
              <w:right w:val="single" w:sz="8" w:color="4B5088"/>
            </w:tcBorders>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6"/>
                <w:szCs w:val="16"/>
                <w:b w:val="1"/>
                <w:bCs w:val="1"/>
                <w:color w:val="1F2668"/>
              </w:rPr>
              <w:t>​</w:t>
            </w:r>
          </w:p>
        </w:tc>
        <w:tc>
          <w:tcPr>
            <w:tcW w:w="580" w:type="dxa"/>
            <w:vAlign w:val="bottom"/>
            <w:tcBorders>
              <w:right w:val="single" w:sz="8" w:color="4B5088"/>
            </w:tcBorders>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6"/>
                <w:szCs w:val="16"/>
                <w:b w:val="1"/>
                <w:bCs w:val="1"/>
                <w:color w:val="1F2668"/>
              </w:rPr>
              <w:t>​</w:t>
            </w:r>
          </w:p>
        </w:tc>
        <w:tc>
          <w:tcPr>
            <w:tcW w:w="580" w:type="dxa"/>
            <w:vAlign w:val="bottom"/>
            <w:tcBorders>
              <w:right w:val="single" w:sz="8" w:color="4B5088"/>
            </w:tcBorders>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6"/>
                <w:szCs w:val="16"/>
                <w:b w:val="1"/>
                <w:bCs w:val="1"/>
                <w:color w:val="1F2668"/>
              </w:rPr>
              <w:t>​</w:t>
            </w:r>
          </w:p>
        </w:tc>
        <w:tc>
          <w:tcPr>
            <w:tcW w:w="600" w:type="dxa"/>
            <w:vAlign w:val="bottom"/>
            <w:tcBorders>
              <w:right w:val="single" w:sz="8" w:color="4B5088"/>
            </w:tcBorders>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6"/>
                <w:szCs w:val="16"/>
                <w:b w:val="1"/>
                <w:bCs w:val="1"/>
                <w:color w:val="1F2668"/>
              </w:rPr>
              <w:t>​</w:t>
            </w:r>
          </w:p>
        </w:tc>
        <w:tc>
          <w:tcPr>
            <w:tcW w:w="620" w:type="dxa"/>
            <w:vAlign w:val="bottom"/>
            <w:tcBorders>
              <w:right w:val="single" w:sz="8" w:color="4B5088"/>
            </w:tcBorders>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6"/>
                <w:szCs w:val="16"/>
                <w:b w:val="1"/>
                <w:bCs w:val="1"/>
                <w:color w:val="1F2668"/>
              </w:rPr>
              <w:t>​</w:t>
            </w:r>
          </w:p>
        </w:tc>
        <w:tc>
          <w:tcPr>
            <w:tcW w:w="580" w:type="dxa"/>
            <w:vAlign w:val="bottom"/>
            <w:tcBorders>
              <w:right w:val="single" w:sz="8" w:color="4B5088"/>
            </w:tcBorders>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6"/>
                <w:szCs w:val="16"/>
                <w:b w:val="1"/>
                <w:bCs w:val="1"/>
                <w:color w:val="1F2668"/>
              </w:rPr>
              <w:t>​</w:t>
            </w:r>
          </w:p>
        </w:tc>
        <w:tc>
          <w:tcPr>
            <w:tcW w:w="600" w:type="dxa"/>
            <w:vAlign w:val="bottom"/>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6"/>
                <w:szCs w:val="16"/>
                <w:b w:val="1"/>
                <w:bCs w:val="1"/>
                <w:color w:val="1F2668"/>
              </w:rPr>
              <w:t>​</w:t>
            </w:r>
          </w:p>
        </w:tc>
        <w:tc>
          <w:tcPr>
            <w:tcW w:w="0" w:type="dxa"/>
            <w:vAlign w:val="bottom"/>
          </w:tcPr>
          <w:p>
            <w:pPr>
              <w:spacing w:after="0"/>
              <w:rPr>
                <w:sz w:val="1"/>
                <w:szCs w:val="1"/>
                <w:color w:val="auto"/>
              </w:rPr>
            </w:pPr>
          </w:p>
        </w:tc>
      </w:tr>
      <w:tr>
        <w:trPr>
          <w:trHeight w:val="251"/>
        </w:trPr>
        <w:tc>
          <w:tcPr>
            <w:tcW w:w="380" w:type="dxa"/>
            <w:vAlign w:val="bottom"/>
            <w:tcBorders>
              <w:bottom w:val="single" w:sz="8" w:color="1F2668"/>
            </w:tcBorders>
          </w:tcPr>
          <w:p>
            <w:pPr>
              <w:spacing w:after="0"/>
              <w:rPr>
                <w:sz w:val="21"/>
                <w:szCs w:val="21"/>
                <w:color w:val="auto"/>
              </w:rPr>
            </w:pPr>
          </w:p>
        </w:tc>
        <w:tc>
          <w:tcPr>
            <w:tcW w:w="2860" w:type="dxa"/>
            <w:vAlign w:val="bottom"/>
            <w:tcBorders>
              <w:bottom w:val="single" w:sz="8" w:color="1F2668"/>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Borders>
              <w:bottom w:val="single" w:sz="8" w:color="1F2668"/>
            </w:tcBorders>
          </w:tcPr>
          <w:p>
            <w:pPr>
              <w:spacing w:after="0"/>
              <w:rPr>
                <w:sz w:val="21"/>
                <w:szCs w:val="21"/>
                <w:color w:val="auto"/>
              </w:rPr>
            </w:pPr>
          </w:p>
        </w:tc>
        <w:tc>
          <w:tcPr>
            <w:tcW w:w="660" w:type="dxa"/>
            <w:vAlign w:val="bottom"/>
            <w:tcBorders>
              <w:bottom w:val="single" w:sz="8" w:color="1F2668"/>
              <w:right w:val="single" w:sz="8" w:color="4B5088"/>
            </w:tcBorders>
          </w:tcPr>
          <w:p>
            <w:pPr>
              <w:spacing w:after="0"/>
              <w:rPr>
                <w:sz w:val="21"/>
                <w:szCs w:val="21"/>
                <w:color w:val="auto"/>
              </w:rPr>
            </w:pPr>
          </w:p>
        </w:tc>
        <w:tc>
          <w:tcPr>
            <w:tcW w:w="100" w:type="dxa"/>
            <w:vAlign w:val="bottom"/>
            <w:tcBorders>
              <w:bottom w:val="single" w:sz="8" w:color="1F2668"/>
            </w:tcBorders>
          </w:tcPr>
          <w:p>
            <w:pPr>
              <w:spacing w:after="0"/>
              <w:rPr>
                <w:sz w:val="21"/>
                <w:szCs w:val="21"/>
                <w:color w:val="auto"/>
              </w:rPr>
            </w:pPr>
          </w:p>
        </w:tc>
        <w:tc>
          <w:tcPr>
            <w:tcW w:w="580" w:type="dxa"/>
            <w:vAlign w:val="bottom"/>
            <w:tcBorders>
              <w:bottom w:val="single" w:sz="8" w:color="1F2668"/>
              <w:right w:val="single" w:sz="8" w:color="4B5088"/>
            </w:tcBorders>
          </w:tcPr>
          <w:p>
            <w:pPr>
              <w:spacing w:after="0"/>
              <w:rPr>
                <w:sz w:val="21"/>
                <w:szCs w:val="21"/>
                <w:color w:val="auto"/>
              </w:rPr>
            </w:pPr>
          </w:p>
        </w:tc>
        <w:tc>
          <w:tcPr>
            <w:tcW w:w="100" w:type="dxa"/>
            <w:vAlign w:val="bottom"/>
            <w:tcBorders>
              <w:bottom w:val="single" w:sz="8" w:color="1F2668"/>
            </w:tcBorders>
          </w:tcPr>
          <w:p>
            <w:pPr>
              <w:spacing w:after="0"/>
              <w:rPr>
                <w:sz w:val="21"/>
                <w:szCs w:val="21"/>
                <w:color w:val="auto"/>
              </w:rPr>
            </w:pPr>
          </w:p>
        </w:tc>
        <w:tc>
          <w:tcPr>
            <w:tcW w:w="580" w:type="dxa"/>
            <w:vAlign w:val="bottom"/>
            <w:tcBorders>
              <w:bottom w:val="single" w:sz="8" w:color="1F2668"/>
              <w:right w:val="single" w:sz="8" w:color="4B5088"/>
            </w:tcBorders>
          </w:tcPr>
          <w:p>
            <w:pPr>
              <w:spacing w:after="0"/>
              <w:rPr>
                <w:sz w:val="21"/>
                <w:szCs w:val="21"/>
                <w:color w:val="auto"/>
              </w:rPr>
            </w:pPr>
          </w:p>
        </w:tc>
        <w:tc>
          <w:tcPr>
            <w:tcW w:w="80" w:type="dxa"/>
            <w:vAlign w:val="bottom"/>
            <w:tcBorders>
              <w:bottom w:val="single" w:sz="8" w:color="1F2668"/>
            </w:tcBorders>
          </w:tcPr>
          <w:p>
            <w:pPr>
              <w:spacing w:after="0"/>
              <w:rPr>
                <w:sz w:val="21"/>
                <w:szCs w:val="21"/>
                <w:color w:val="auto"/>
              </w:rPr>
            </w:pPr>
          </w:p>
        </w:tc>
        <w:tc>
          <w:tcPr>
            <w:tcW w:w="580" w:type="dxa"/>
            <w:vAlign w:val="bottom"/>
            <w:tcBorders>
              <w:bottom w:val="single" w:sz="8" w:color="1F2668"/>
              <w:right w:val="single" w:sz="8" w:color="4B5088"/>
            </w:tcBorders>
          </w:tcPr>
          <w:p>
            <w:pPr>
              <w:spacing w:after="0"/>
              <w:rPr>
                <w:sz w:val="21"/>
                <w:szCs w:val="21"/>
                <w:color w:val="auto"/>
              </w:rPr>
            </w:pPr>
          </w:p>
        </w:tc>
        <w:tc>
          <w:tcPr>
            <w:tcW w:w="80" w:type="dxa"/>
            <w:vAlign w:val="bottom"/>
            <w:tcBorders>
              <w:bottom w:val="single" w:sz="8" w:color="1F2668"/>
            </w:tcBorders>
          </w:tcPr>
          <w:p>
            <w:pPr>
              <w:spacing w:after="0"/>
              <w:rPr>
                <w:sz w:val="21"/>
                <w:szCs w:val="21"/>
                <w:color w:val="auto"/>
              </w:rPr>
            </w:pPr>
          </w:p>
        </w:tc>
        <w:tc>
          <w:tcPr>
            <w:tcW w:w="600" w:type="dxa"/>
            <w:vAlign w:val="bottom"/>
            <w:tcBorders>
              <w:bottom w:val="single" w:sz="8" w:color="1F2668"/>
              <w:right w:val="single" w:sz="8" w:color="4B5088"/>
            </w:tcBorders>
          </w:tcPr>
          <w:p>
            <w:pPr>
              <w:spacing w:after="0"/>
              <w:rPr>
                <w:sz w:val="21"/>
                <w:szCs w:val="21"/>
                <w:color w:val="auto"/>
              </w:rPr>
            </w:pPr>
          </w:p>
        </w:tc>
        <w:tc>
          <w:tcPr>
            <w:tcW w:w="80" w:type="dxa"/>
            <w:vAlign w:val="bottom"/>
            <w:tcBorders>
              <w:bottom w:val="single" w:sz="8" w:color="1F2668"/>
            </w:tcBorders>
          </w:tcPr>
          <w:p>
            <w:pPr>
              <w:spacing w:after="0"/>
              <w:rPr>
                <w:sz w:val="21"/>
                <w:szCs w:val="21"/>
                <w:color w:val="auto"/>
              </w:rPr>
            </w:pPr>
          </w:p>
        </w:tc>
        <w:tc>
          <w:tcPr>
            <w:tcW w:w="620" w:type="dxa"/>
            <w:vAlign w:val="bottom"/>
            <w:tcBorders>
              <w:bottom w:val="single" w:sz="8" w:color="1F2668"/>
              <w:right w:val="single" w:sz="8" w:color="4B5088"/>
            </w:tcBorders>
          </w:tcPr>
          <w:p>
            <w:pPr>
              <w:spacing w:after="0"/>
              <w:rPr>
                <w:sz w:val="21"/>
                <w:szCs w:val="21"/>
                <w:color w:val="auto"/>
              </w:rPr>
            </w:pPr>
          </w:p>
        </w:tc>
        <w:tc>
          <w:tcPr>
            <w:tcW w:w="100" w:type="dxa"/>
            <w:vAlign w:val="bottom"/>
            <w:tcBorders>
              <w:bottom w:val="single" w:sz="8" w:color="1F2668"/>
            </w:tcBorders>
          </w:tcPr>
          <w:p>
            <w:pPr>
              <w:spacing w:after="0"/>
              <w:rPr>
                <w:sz w:val="21"/>
                <w:szCs w:val="21"/>
                <w:color w:val="auto"/>
              </w:rPr>
            </w:pPr>
          </w:p>
        </w:tc>
        <w:tc>
          <w:tcPr>
            <w:tcW w:w="580" w:type="dxa"/>
            <w:vAlign w:val="bottom"/>
            <w:tcBorders>
              <w:bottom w:val="single" w:sz="8" w:color="1F2668"/>
              <w:right w:val="single" w:sz="8" w:color="4B5088"/>
            </w:tcBorders>
          </w:tcPr>
          <w:p>
            <w:pPr>
              <w:spacing w:after="0"/>
              <w:rPr>
                <w:sz w:val="21"/>
                <w:szCs w:val="21"/>
                <w:color w:val="auto"/>
              </w:rPr>
            </w:pPr>
          </w:p>
        </w:tc>
        <w:tc>
          <w:tcPr>
            <w:tcW w:w="60" w:type="dxa"/>
            <w:vAlign w:val="bottom"/>
            <w:tcBorders>
              <w:bottom w:val="single" w:sz="8" w:color="1F2668"/>
            </w:tcBorders>
          </w:tcPr>
          <w:p>
            <w:pPr>
              <w:spacing w:after="0"/>
              <w:rPr>
                <w:sz w:val="21"/>
                <w:szCs w:val="21"/>
                <w:color w:val="auto"/>
              </w:rPr>
            </w:pPr>
          </w:p>
        </w:tc>
        <w:tc>
          <w:tcPr>
            <w:tcW w:w="600" w:type="dxa"/>
            <w:vAlign w:val="bottom"/>
            <w:tcBorders>
              <w:bottom w:val="single" w:sz="8" w:color="1F2668"/>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6"/>
        </w:trPr>
        <w:tc>
          <w:tcPr>
            <w:tcW w:w="380" w:type="dxa"/>
            <w:vAlign w:val="bottom"/>
          </w:tcPr>
          <w:p>
            <w:pPr>
              <w:spacing w:after="0"/>
              <w:rPr>
                <w:sz w:val="24"/>
                <w:szCs w:val="24"/>
                <w:color w:val="auto"/>
              </w:rPr>
            </w:pPr>
          </w:p>
        </w:tc>
        <w:tc>
          <w:tcPr>
            <w:tcW w:w="2860" w:type="dxa"/>
            <w:vAlign w:val="bottom"/>
          </w:tcPr>
          <w:p>
            <w:pPr>
              <w:ind w:left="360"/>
              <w:spacing w:after="0" w:line="345" w:lineRule="exact"/>
              <w:rPr>
                <w:sz w:val="20"/>
                <w:szCs w:val="20"/>
                <w:color w:val="auto"/>
              </w:rPr>
            </w:pPr>
            <w:r>
              <w:rPr>
                <w:rFonts w:ascii="Arial" w:cs="Arial" w:eastAsia="Arial" w:hAnsi="Arial"/>
                <w:sz w:val="32"/>
                <w:szCs w:val="32"/>
                <w:b w:val="1"/>
                <w:bCs w:val="1"/>
                <w:color w:val="1F2668"/>
                <w:vertAlign w:val="subscript"/>
              </w:rPr>
              <w:t>​</w:t>
            </w:r>
            <w:r>
              <w:rPr>
                <w:rFonts w:ascii="Arial" w:cs="Arial" w:eastAsia="Arial" w:hAnsi="Arial"/>
                <w:sz w:val="16"/>
                <w:szCs w:val="16"/>
                <w:b w:val="1"/>
                <w:bCs w:val="1"/>
                <w:color w:val="1F2668"/>
              </w:rPr>
              <w:t>Public Company Board Service/​</w:t>
            </w:r>
          </w:p>
        </w:tc>
        <w:tc>
          <w:tcPr>
            <w:tcW w:w="220" w:type="dxa"/>
            <w:vAlign w:val="bottom"/>
          </w:tcPr>
          <w:p>
            <w:pPr>
              <w:spacing w:after="0"/>
              <w:rPr>
                <w:sz w:val="20"/>
                <w:szCs w:val="20"/>
                <w:color w:val="auto"/>
              </w:rPr>
            </w:pPr>
            <w:r>
              <w:rPr>
                <w:rFonts w:ascii="Arial" w:cs="Arial" w:eastAsia="Arial" w:hAnsi="Arial"/>
                <w:sz w:val="16"/>
                <w:szCs w:val="16"/>
                <w:b w:val="1"/>
                <w:bCs w:val="1"/>
                <w:color w:val="1F2668"/>
              </w:rPr>
              <w:t>​</w:t>
            </w:r>
          </w:p>
        </w:tc>
        <w:tc>
          <w:tcPr>
            <w:tcW w:w="160" w:type="dxa"/>
            <w:vAlign w:val="bottom"/>
          </w:tcPr>
          <w:p>
            <w:pPr>
              <w:spacing w:after="0"/>
              <w:rPr>
                <w:sz w:val="20"/>
                <w:szCs w:val="20"/>
                <w:color w:val="auto"/>
              </w:rPr>
            </w:pPr>
            <w:r>
              <w:rPr>
                <w:rFonts w:ascii="Arial" w:cs="Arial" w:eastAsia="Arial" w:hAnsi="Arial"/>
                <w:sz w:val="16"/>
                <w:szCs w:val="16"/>
                <w:b w:val="1"/>
                <w:bCs w:val="1"/>
                <w:color w:val="1F2668"/>
              </w:rPr>
              <w:t>​ ​</w:t>
            </w:r>
          </w:p>
        </w:tc>
        <w:tc>
          <w:tcPr>
            <w:tcW w:w="60" w:type="dxa"/>
            <w:vAlign w:val="bottom"/>
          </w:tcPr>
          <w:p>
            <w:pPr>
              <w:spacing w:after="0"/>
              <w:rPr>
                <w:sz w:val="20"/>
                <w:szCs w:val="20"/>
                <w:color w:val="auto"/>
              </w:rPr>
            </w:pPr>
            <w:r>
              <w:rPr>
                <w:rFonts w:ascii="Arial" w:cs="Arial" w:eastAsia="Arial" w:hAnsi="Arial"/>
                <w:sz w:val="16"/>
                <w:szCs w:val="16"/>
                <w:b w:val="1"/>
                <w:bCs w:val="1"/>
                <w:color w:val="1F2668"/>
              </w:rPr>
              <w:t>​​</w:t>
            </w:r>
          </w:p>
        </w:tc>
        <w:tc>
          <w:tcPr>
            <w:tcW w:w="660" w:type="dxa"/>
            <w:vAlign w:val="bottom"/>
            <w:tcBorders>
              <w:right w:val="single" w:sz="8" w:color="4B5088"/>
            </w:tcBorders>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6"/>
                <w:szCs w:val="16"/>
                <w:b w:val="1"/>
                <w:bCs w:val="1"/>
                <w:color w:val="1F2668"/>
              </w:rPr>
              <w:t>​</w:t>
            </w:r>
          </w:p>
        </w:tc>
        <w:tc>
          <w:tcPr>
            <w:tcW w:w="580" w:type="dxa"/>
            <w:vAlign w:val="bottom"/>
            <w:tcBorders>
              <w:right w:val="single" w:sz="8" w:color="4B5088"/>
            </w:tcBorders>
          </w:tcPr>
          <w:p>
            <w:pPr>
              <w:jc w:val="center"/>
              <w:spacing w:after="0"/>
              <w:rPr>
                <w:sz w:val="20"/>
                <w:szCs w:val="20"/>
                <w:color w:val="auto"/>
              </w:rPr>
            </w:pPr>
            <w:r>
              <w:rPr>
                <w:rFonts w:ascii="Arial" w:cs="Arial" w:eastAsia="Arial" w:hAnsi="Arial"/>
                <w:sz w:val="16"/>
                <w:szCs w:val="16"/>
                <w:b w:val="1"/>
                <w:bCs w:val="1"/>
                <w:color w:val="1F2668"/>
              </w:rPr>
              <w:t>​</w:t>
            </w:r>
          </w:p>
        </w:tc>
        <w:tc>
          <w:tcPr>
            <w:tcW w:w="100" w:type="dxa"/>
            <w:vAlign w:val="bottom"/>
          </w:tcPr>
          <w:p>
            <w:pPr>
              <w:spacing w:after="0"/>
              <w:rPr>
                <w:sz w:val="20"/>
                <w:szCs w:val="20"/>
                <w:color w:val="auto"/>
              </w:rPr>
            </w:pPr>
            <w:r>
              <w:rPr>
                <w:rFonts w:ascii="Arial" w:cs="Arial" w:eastAsia="Arial" w:hAnsi="Arial"/>
                <w:sz w:val="16"/>
                <w:szCs w:val="16"/>
                <w:b w:val="1"/>
                <w:bCs w:val="1"/>
                <w:color w:val="1F2668"/>
              </w:rPr>
              <w:t>​</w:t>
            </w:r>
          </w:p>
        </w:tc>
        <w:tc>
          <w:tcPr>
            <w:tcW w:w="580" w:type="dxa"/>
            <w:vAlign w:val="bottom"/>
            <w:tcBorders>
              <w:right w:val="single" w:sz="8" w:color="4B5088"/>
            </w:tcBorders>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6"/>
                <w:szCs w:val="16"/>
                <w:b w:val="1"/>
                <w:bCs w:val="1"/>
                <w:color w:val="1F2668"/>
              </w:rPr>
              <w:t>​</w:t>
            </w:r>
          </w:p>
        </w:tc>
        <w:tc>
          <w:tcPr>
            <w:tcW w:w="580" w:type="dxa"/>
            <w:vAlign w:val="bottom"/>
            <w:tcBorders>
              <w:right w:val="single" w:sz="8" w:color="4B5088"/>
            </w:tcBorders>
          </w:tcPr>
          <w:p>
            <w:pPr>
              <w:jc w:val="center"/>
              <w:spacing w:after="0"/>
              <w:rPr>
                <w:sz w:val="20"/>
                <w:szCs w:val="20"/>
                <w:color w:val="auto"/>
              </w:rPr>
            </w:pPr>
            <w:r>
              <w:rPr>
                <w:rFonts w:ascii="Arial" w:cs="Arial" w:eastAsia="Arial" w:hAnsi="Arial"/>
                <w:sz w:val="16"/>
                <w:szCs w:val="16"/>
                <w:b w:val="1"/>
                <w:bCs w:val="1"/>
                <w:color w:val="1F2668"/>
              </w:rPr>
              <w:t>​</w:t>
            </w:r>
          </w:p>
        </w:tc>
        <w:tc>
          <w:tcPr>
            <w:tcW w:w="80" w:type="dxa"/>
            <w:vAlign w:val="bottom"/>
          </w:tcPr>
          <w:p>
            <w:pPr>
              <w:spacing w:after="0"/>
              <w:rPr>
                <w:sz w:val="20"/>
                <w:szCs w:val="20"/>
                <w:color w:val="auto"/>
              </w:rPr>
            </w:pPr>
            <w:r>
              <w:rPr>
                <w:rFonts w:ascii="Arial" w:cs="Arial" w:eastAsia="Arial" w:hAnsi="Arial"/>
                <w:sz w:val="16"/>
                <w:szCs w:val="16"/>
                <w:b w:val="1"/>
                <w:bCs w:val="1"/>
                <w:color w:val="1F2668"/>
              </w:rPr>
              <w:t>​</w:t>
            </w:r>
          </w:p>
        </w:tc>
        <w:tc>
          <w:tcPr>
            <w:tcW w:w="600" w:type="dxa"/>
            <w:vAlign w:val="bottom"/>
            <w:tcBorders>
              <w:right w:val="single" w:sz="8" w:color="4B5088"/>
            </w:tcBorders>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6"/>
                <w:szCs w:val="16"/>
                <w:b w:val="1"/>
                <w:bCs w:val="1"/>
                <w:color w:val="1F2668"/>
              </w:rPr>
              <w:t>​</w:t>
            </w:r>
          </w:p>
        </w:tc>
        <w:tc>
          <w:tcPr>
            <w:tcW w:w="620" w:type="dxa"/>
            <w:vAlign w:val="bottom"/>
            <w:tcBorders>
              <w:right w:val="single" w:sz="8" w:color="4B5088"/>
            </w:tcBorders>
          </w:tcPr>
          <w:p>
            <w:pPr>
              <w:jc w:val="center"/>
              <w:spacing w:after="0"/>
              <w:rPr>
                <w:sz w:val="20"/>
                <w:szCs w:val="20"/>
                <w:color w:val="auto"/>
              </w:rPr>
            </w:pPr>
            <w:r>
              <w:rPr>
                <w:rFonts w:ascii="Arial" w:cs="Arial" w:eastAsia="Arial" w:hAnsi="Arial"/>
                <w:sz w:val="16"/>
                <w:szCs w:val="16"/>
                <w:b w:val="1"/>
                <w:bCs w:val="1"/>
                <w:color w:val="1F2668"/>
              </w:rPr>
              <w:t>​</w:t>
            </w:r>
          </w:p>
        </w:tc>
        <w:tc>
          <w:tcPr>
            <w:tcW w:w="100" w:type="dxa"/>
            <w:vAlign w:val="bottom"/>
          </w:tcPr>
          <w:p>
            <w:pPr>
              <w:spacing w:after="0"/>
              <w:rPr>
                <w:sz w:val="20"/>
                <w:szCs w:val="20"/>
                <w:color w:val="auto"/>
              </w:rPr>
            </w:pPr>
            <w:r>
              <w:rPr>
                <w:rFonts w:ascii="Arial" w:cs="Arial" w:eastAsia="Arial" w:hAnsi="Arial"/>
                <w:sz w:val="16"/>
                <w:szCs w:val="16"/>
                <w:b w:val="1"/>
                <w:bCs w:val="1"/>
                <w:color w:val="1F2668"/>
              </w:rPr>
              <w:t>​</w:t>
            </w:r>
          </w:p>
        </w:tc>
        <w:tc>
          <w:tcPr>
            <w:tcW w:w="580" w:type="dxa"/>
            <w:vAlign w:val="bottom"/>
            <w:tcBorders>
              <w:right w:val="single" w:sz="8" w:color="4B5088"/>
            </w:tcBorders>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6"/>
                <w:szCs w:val="16"/>
                <w:b w:val="1"/>
                <w:bCs w:val="1"/>
                <w:color w:val="1F2668"/>
              </w:rPr>
              <w:t>​</w:t>
            </w:r>
          </w:p>
        </w:tc>
        <w:tc>
          <w:tcPr>
            <w:tcW w:w="600" w:type="dxa"/>
            <w:vAlign w:val="bottom"/>
          </w:tcPr>
          <w:p>
            <w:pPr>
              <w:jc w:val="center"/>
              <w:spacing w:after="0"/>
              <w:rPr>
                <w:sz w:val="20"/>
                <w:szCs w:val="20"/>
                <w:color w:val="auto"/>
              </w:rPr>
            </w:pPr>
            <w:r>
              <w:rPr>
                <w:rFonts w:ascii="Arial" w:cs="Arial" w:eastAsia="Arial" w:hAnsi="Arial"/>
                <w:sz w:val="16"/>
                <w:szCs w:val="16"/>
                <w:b w:val="1"/>
                <w:bCs w:val="1"/>
                <w:color w:val="1F2668"/>
              </w:rPr>
              <w:t>​</w:t>
            </w:r>
          </w:p>
        </w:tc>
        <w:tc>
          <w:tcPr>
            <w:tcW w:w="40" w:type="dxa"/>
            <w:vAlign w:val="bottom"/>
          </w:tcPr>
          <w:p>
            <w:pPr>
              <w:spacing w:after="0"/>
              <w:rPr>
                <w:sz w:val="20"/>
                <w:szCs w:val="20"/>
                <w:color w:val="auto"/>
              </w:rPr>
            </w:pPr>
            <w:r>
              <w:rPr>
                <w:rFonts w:ascii="Arial" w:cs="Arial" w:eastAsia="Arial" w:hAnsi="Arial"/>
                <w:sz w:val="16"/>
                <w:szCs w:val="16"/>
                <w:b w:val="1"/>
                <w:bCs w:val="1"/>
                <w:color w:val="1F2668"/>
              </w:rPr>
              <w:t>​</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2860" w:type="dxa"/>
            <w:vAlign w:val="bottom"/>
          </w:tcPr>
          <w:p>
            <w:pPr>
              <w:ind w:left="380"/>
              <w:spacing w:after="0"/>
              <w:rPr>
                <w:sz w:val="20"/>
                <w:szCs w:val="20"/>
                <w:color w:val="auto"/>
              </w:rPr>
            </w:pPr>
            <w:r>
              <w:rPr>
                <w:rFonts w:ascii="Arial" w:cs="Arial" w:eastAsia="Arial" w:hAnsi="Arial"/>
                <w:sz w:val="16"/>
                <w:szCs w:val="16"/>
                <w:b w:val="1"/>
                <w:bCs w:val="1"/>
                <w:color w:val="1F2668"/>
              </w:rPr>
              <w:t>Corporate Governance</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4B5088"/>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right w:val="single" w:sz="8" w:color="4B5088"/>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right w:val="single" w:sz="8" w:color="4B5088"/>
            </w:tcBorders>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right w:val="single" w:sz="8" w:color="4B5088"/>
            </w:tcBorders>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right w:val="single" w:sz="8" w:color="4B5088"/>
            </w:tcBorders>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right w:val="single" w:sz="8" w:color="4B5088"/>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right w:val="single" w:sz="8" w:color="4B5088"/>
            </w:tcBorders>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380" w:type="dxa"/>
            <w:vAlign w:val="bottom"/>
            <w:tcBorders>
              <w:bottom w:val="single" w:sz="8" w:color="1F2668"/>
            </w:tcBorders>
          </w:tcPr>
          <w:p>
            <w:pPr>
              <w:spacing w:after="0"/>
              <w:rPr>
                <w:sz w:val="11"/>
                <w:szCs w:val="11"/>
                <w:color w:val="auto"/>
              </w:rPr>
            </w:pPr>
          </w:p>
        </w:tc>
        <w:tc>
          <w:tcPr>
            <w:tcW w:w="2860" w:type="dxa"/>
            <w:vAlign w:val="bottom"/>
            <w:tcBorders>
              <w:bottom w:val="single" w:sz="8" w:color="1F2668"/>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bottom w:val="single" w:sz="8" w:color="1F2668"/>
            </w:tcBorders>
          </w:tcPr>
          <w:p>
            <w:pPr>
              <w:spacing w:after="0"/>
              <w:rPr>
                <w:sz w:val="11"/>
                <w:szCs w:val="11"/>
                <w:color w:val="auto"/>
              </w:rPr>
            </w:pPr>
          </w:p>
        </w:tc>
        <w:tc>
          <w:tcPr>
            <w:tcW w:w="660" w:type="dxa"/>
            <w:vAlign w:val="bottom"/>
            <w:tcBorders>
              <w:bottom w:val="single" w:sz="8" w:color="1F2668"/>
              <w:right w:val="single" w:sz="8" w:color="4B5088"/>
            </w:tcBorders>
          </w:tcPr>
          <w:p>
            <w:pPr>
              <w:spacing w:after="0"/>
              <w:rPr>
                <w:sz w:val="11"/>
                <w:szCs w:val="11"/>
                <w:color w:val="auto"/>
              </w:rPr>
            </w:pPr>
          </w:p>
        </w:tc>
        <w:tc>
          <w:tcPr>
            <w:tcW w:w="100" w:type="dxa"/>
            <w:vAlign w:val="bottom"/>
            <w:tcBorders>
              <w:bottom w:val="single" w:sz="8" w:color="1F2668"/>
            </w:tcBorders>
          </w:tcPr>
          <w:p>
            <w:pPr>
              <w:spacing w:after="0"/>
              <w:rPr>
                <w:sz w:val="11"/>
                <w:szCs w:val="11"/>
                <w:color w:val="auto"/>
              </w:rPr>
            </w:pPr>
          </w:p>
        </w:tc>
        <w:tc>
          <w:tcPr>
            <w:tcW w:w="580" w:type="dxa"/>
            <w:vAlign w:val="bottom"/>
            <w:tcBorders>
              <w:bottom w:val="single" w:sz="8" w:color="1F2668"/>
              <w:right w:val="single" w:sz="8" w:color="4B5088"/>
            </w:tcBorders>
          </w:tcPr>
          <w:p>
            <w:pPr>
              <w:spacing w:after="0"/>
              <w:rPr>
                <w:sz w:val="11"/>
                <w:szCs w:val="11"/>
                <w:color w:val="auto"/>
              </w:rPr>
            </w:pPr>
          </w:p>
        </w:tc>
        <w:tc>
          <w:tcPr>
            <w:tcW w:w="100" w:type="dxa"/>
            <w:vAlign w:val="bottom"/>
            <w:tcBorders>
              <w:bottom w:val="single" w:sz="8" w:color="1F2668"/>
            </w:tcBorders>
          </w:tcPr>
          <w:p>
            <w:pPr>
              <w:spacing w:after="0"/>
              <w:rPr>
                <w:sz w:val="11"/>
                <w:szCs w:val="11"/>
                <w:color w:val="auto"/>
              </w:rPr>
            </w:pPr>
          </w:p>
        </w:tc>
        <w:tc>
          <w:tcPr>
            <w:tcW w:w="580" w:type="dxa"/>
            <w:vAlign w:val="bottom"/>
            <w:tcBorders>
              <w:bottom w:val="single" w:sz="8" w:color="1F2668"/>
              <w:right w:val="single" w:sz="8" w:color="4B5088"/>
            </w:tcBorders>
          </w:tcPr>
          <w:p>
            <w:pPr>
              <w:spacing w:after="0"/>
              <w:rPr>
                <w:sz w:val="11"/>
                <w:szCs w:val="11"/>
                <w:color w:val="auto"/>
              </w:rPr>
            </w:pPr>
          </w:p>
        </w:tc>
        <w:tc>
          <w:tcPr>
            <w:tcW w:w="80" w:type="dxa"/>
            <w:vAlign w:val="bottom"/>
            <w:tcBorders>
              <w:bottom w:val="single" w:sz="8" w:color="1F2668"/>
            </w:tcBorders>
          </w:tcPr>
          <w:p>
            <w:pPr>
              <w:spacing w:after="0"/>
              <w:rPr>
                <w:sz w:val="11"/>
                <w:szCs w:val="11"/>
                <w:color w:val="auto"/>
              </w:rPr>
            </w:pPr>
          </w:p>
        </w:tc>
        <w:tc>
          <w:tcPr>
            <w:tcW w:w="580" w:type="dxa"/>
            <w:vAlign w:val="bottom"/>
            <w:tcBorders>
              <w:bottom w:val="single" w:sz="8" w:color="1F2668"/>
              <w:right w:val="single" w:sz="8" w:color="4B5088"/>
            </w:tcBorders>
          </w:tcPr>
          <w:p>
            <w:pPr>
              <w:spacing w:after="0"/>
              <w:rPr>
                <w:sz w:val="11"/>
                <w:szCs w:val="11"/>
                <w:color w:val="auto"/>
              </w:rPr>
            </w:pPr>
          </w:p>
        </w:tc>
        <w:tc>
          <w:tcPr>
            <w:tcW w:w="80" w:type="dxa"/>
            <w:vAlign w:val="bottom"/>
            <w:tcBorders>
              <w:bottom w:val="single" w:sz="8" w:color="1F2668"/>
            </w:tcBorders>
          </w:tcPr>
          <w:p>
            <w:pPr>
              <w:spacing w:after="0"/>
              <w:rPr>
                <w:sz w:val="11"/>
                <w:szCs w:val="11"/>
                <w:color w:val="auto"/>
              </w:rPr>
            </w:pPr>
          </w:p>
        </w:tc>
        <w:tc>
          <w:tcPr>
            <w:tcW w:w="600" w:type="dxa"/>
            <w:vAlign w:val="bottom"/>
            <w:tcBorders>
              <w:bottom w:val="single" w:sz="8" w:color="1F2668"/>
              <w:right w:val="single" w:sz="8" w:color="4B5088"/>
            </w:tcBorders>
          </w:tcPr>
          <w:p>
            <w:pPr>
              <w:spacing w:after="0"/>
              <w:rPr>
                <w:sz w:val="11"/>
                <w:szCs w:val="11"/>
                <w:color w:val="auto"/>
              </w:rPr>
            </w:pPr>
          </w:p>
        </w:tc>
        <w:tc>
          <w:tcPr>
            <w:tcW w:w="80" w:type="dxa"/>
            <w:vAlign w:val="bottom"/>
            <w:tcBorders>
              <w:bottom w:val="single" w:sz="8" w:color="1F2668"/>
            </w:tcBorders>
          </w:tcPr>
          <w:p>
            <w:pPr>
              <w:spacing w:after="0"/>
              <w:rPr>
                <w:sz w:val="11"/>
                <w:szCs w:val="11"/>
                <w:color w:val="auto"/>
              </w:rPr>
            </w:pPr>
          </w:p>
        </w:tc>
        <w:tc>
          <w:tcPr>
            <w:tcW w:w="620" w:type="dxa"/>
            <w:vAlign w:val="bottom"/>
            <w:tcBorders>
              <w:bottom w:val="single" w:sz="8" w:color="1F2668"/>
              <w:right w:val="single" w:sz="8" w:color="4B5088"/>
            </w:tcBorders>
          </w:tcPr>
          <w:p>
            <w:pPr>
              <w:spacing w:after="0"/>
              <w:rPr>
                <w:sz w:val="11"/>
                <w:szCs w:val="11"/>
                <w:color w:val="auto"/>
              </w:rPr>
            </w:pPr>
          </w:p>
        </w:tc>
        <w:tc>
          <w:tcPr>
            <w:tcW w:w="100" w:type="dxa"/>
            <w:vAlign w:val="bottom"/>
            <w:tcBorders>
              <w:bottom w:val="single" w:sz="8" w:color="1F2668"/>
            </w:tcBorders>
          </w:tcPr>
          <w:p>
            <w:pPr>
              <w:spacing w:after="0"/>
              <w:rPr>
                <w:sz w:val="11"/>
                <w:szCs w:val="11"/>
                <w:color w:val="auto"/>
              </w:rPr>
            </w:pPr>
          </w:p>
        </w:tc>
        <w:tc>
          <w:tcPr>
            <w:tcW w:w="580" w:type="dxa"/>
            <w:vAlign w:val="bottom"/>
            <w:tcBorders>
              <w:bottom w:val="single" w:sz="8" w:color="1F2668"/>
              <w:right w:val="single" w:sz="8" w:color="4B5088"/>
            </w:tcBorders>
          </w:tcPr>
          <w:p>
            <w:pPr>
              <w:spacing w:after="0"/>
              <w:rPr>
                <w:sz w:val="11"/>
                <w:szCs w:val="11"/>
                <w:color w:val="auto"/>
              </w:rPr>
            </w:pPr>
          </w:p>
        </w:tc>
        <w:tc>
          <w:tcPr>
            <w:tcW w:w="60" w:type="dxa"/>
            <w:vAlign w:val="bottom"/>
            <w:tcBorders>
              <w:bottom w:val="single" w:sz="8" w:color="1F2668"/>
            </w:tcBorders>
          </w:tcPr>
          <w:p>
            <w:pPr>
              <w:spacing w:after="0"/>
              <w:rPr>
                <w:sz w:val="11"/>
                <w:szCs w:val="11"/>
                <w:color w:val="auto"/>
              </w:rPr>
            </w:pPr>
          </w:p>
        </w:tc>
        <w:tc>
          <w:tcPr>
            <w:tcW w:w="600" w:type="dxa"/>
            <w:vAlign w:val="bottom"/>
            <w:tcBorders>
              <w:bottom w:val="single" w:sz="8" w:color="1F2668"/>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1"/>
        </w:trPr>
        <w:tc>
          <w:tcPr>
            <w:tcW w:w="380" w:type="dxa"/>
            <w:vAlign w:val="bottom"/>
          </w:tcPr>
          <w:p>
            <w:pPr>
              <w:spacing w:after="0"/>
              <w:rPr>
                <w:sz w:val="24"/>
                <w:szCs w:val="24"/>
                <w:color w:val="auto"/>
              </w:rPr>
            </w:pPr>
          </w:p>
        </w:tc>
        <w:tc>
          <w:tcPr>
            <w:tcW w:w="2860" w:type="dxa"/>
            <w:vAlign w:val="bottom"/>
          </w:tcPr>
          <w:p>
            <w:pPr>
              <w:ind w:left="360"/>
              <w:spacing w:after="0"/>
              <w:rPr>
                <w:sz w:val="20"/>
                <w:szCs w:val="20"/>
                <w:color w:val="auto"/>
              </w:rPr>
            </w:pPr>
            <w:r>
              <w:rPr>
                <w:rFonts w:ascii="Arial" w:cs="Arial" w:eastAsia="Arial" w:hAnsi="Arial"/>
                <w:sz w:val="16"/>
                <w:szCs w:val="16"/>
                <w:b w:val="1"/>
                <w:bCs w:val="1"/>
                <w:color w:val="1F2668"/>
              </w:rPr>
              <w:t>​REIT/Real Estate Industry</w:t>
            </w:r>
          </w:p>
        </w:tc>
        <w:tc>
          <w:tcPr>
            <w:tcW w:w="220" w:type="dxa"/>
            <w:vAlign w:val="bottom"/>
          </w:tcPr>
          <w:p>
            <w:pPr>
              <w:spacing w:after="0"/>
              <w:rPr>
                <w:sz w:val="20"/>
                <w:szCs w:val="20"/>
                <w:color w:val="auto"/>
              </w:rPr>
            </w:pPr>
            <w:r>
              <w:rPr>
                <w:rFonts w:ascii="Arial" w:cs="Arial" w:eastAsia="Arial" w:hAnsi="Arial"/>
                <w:sz w:val="16"/>
                <w:szCs w:val="16"/>
                <w:b w:val="1"/>
                <w:bCs w:val="1"/>
                <w:color w:val="1F2668"/>
              </w:rPr>
              <w:t>​</w:t>
            </w:r>
          </w:p>
        </w:tc>
        <w:tc>
          <w:tcPr>
            <w:tcW w:w="160" w:type="dxa"/>
            <w:vAlign w:val="bottom"/>
          </w:tcPr>
          <w:p>
            <w:pPr>
              <w:spacing w:after="0"/>
              <w:rPr>
                <w:sz w:val="20"/>
                <w:szCs w:val="20"/>
                <w:color w:val="auto"/>
              </w:rPr>
            </w:pPr>
            <w:r>
              <w:rPr>
                <w:rFonts w:ascii="Arial" w:cs="Arial" w:eastAsia="Arial" w:hAnsi="Arial"/>
                <w:sz w:val="16"/>
                <w:szCs w:val="16"/>
                <w:b w:val="1"/>
                <w:bCs w:val="1"/>
                <w:color w:val="1F2668"/>
              </w:rPr>
              <w:t>​ ​</w:t>
            </w:r>
          </w:p>
        </w:tc>
        <w:tc>
          <w:tcPr>
            <w:tcW w:w="60" w:type="dxa"/>
            <w:vAlign w:val="bottom"/>
          </w:tcPr>
          <w:p>
            <w:pPr>
              <w:spacing w:after="0"/>
              <w:rPr>
                <w:sz w:val="20"/>
                <w:szCs w:val="20"/>
                <w:color w:val="auto"/>
              </w:rPr>
            </w:pPr>
            <w:r>
              <w:rPr>
                <w:rFonts w:ascii="Arial" w:cs="Arial" w:eastAsia="Arial" w:hAnsi="Arial"/>
                <w:sz w:val="16"/>
                <w:szCs w:val="16"/>
                <w:b w:val="1"/>
                <w:bCs w:val="1"/>
                <w:color w:val="1F2668"/>
              </w:rPr>
              <w:t>​​</w:t>
            </w:r>
          </w:p>
        </w:tc>
        <w:tc>
          <w:tcPr>
            <w:tcW w:w="660" w:type="dxa"/>
            <w:vAlign w:val="bottom"/>
            <w:tcBorders>
              <w:right w:val="single" w:sz="8" w:color="4B5088"/>
            </w:tcBorders>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6"/>
                <w:szCs w:val="16"/>
                <w:b w:val="1"/>
                <w:bCs w:val="1"/>
                <w:color w:val="1F2668"/>
              </w:rPr>
              <w:t>​</w:t>
            </w:r>
          </w:p>
        </w:tc>
        <w:tc>
          <w:tcPr>
            <w:tcW w:w="580" w:type="dxa"/>
            <w:vAlign w:val="bottom"/>
            <w:tcBorders>
              <w:right w:val="single" w:sz="8" w:color="4B5088"/>
            </w:tcBorders>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6"/>
                <w:szCs w:val="16"/>
                <w:b w:val="1"/>
                <w:bCs w:val="1"/>
                <w:color w:val="1F2668"/>
              </w:rPr>
              <w:t>​</w:t>
            </w:r>
          </w:p>
        </w:tc>
        <w:tc>
          <w:tcPr>
            <w:tcW w:w="580" w:type="dxa"/>
            <w:vAlign w:val="bottom"/>
            <w:tcBorders>
              <w:right w:val="single" w:sz="8" w:color="4B5088"/>
            </w:tcBorders>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6"/>
                <w:szCs w:val="16"/>
                <w:b w:val="1"/>
                <w:bCs w:val="1"/>
                <w:color w:val="1F2668"/>
              </w:rPr>
              <w:t>​</w:t>
            </w:r>
          </w:p>
        </w:tc>
        <w:tc>
          <w:tcPr>
            <w:tcW w:w="580" w:type="dxa"/>
            <w:vAlign w:val="bottom"/>
            <w:tcBorders>
              <w:right w:val="single" w:sz="8" w:color="4B5088"/>
            </w:tcBorders>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6"/>
                <w:szCs w:val="16"/>
                <w:b w:val="1"/>
                <w:bCs w:val="1"/>
                <w:color w:val="1F2668"/>
              </w:rPr>
              <w:t>​</w:t>
            </w:r>
          </w:p>
        </w:tc>
        <w:tc>
          <w:tcPr>
            <w:tcW w:w="600" w:type="dxa"/>
            <w:vAlign w:val="bottom"/>
            <w:tcBorders>
              <w:right w:val="single" w:sz="8" w:color="4B5088"/>
            </w:tcBorders>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6"/>
                <w:szCs w:val="16"/>
                <w:b w:val="1"/>
                <w:bCs w:val="1"/>
                <w:color w:val="1F2668"/>
              </w:rPr>
              <w:t>​</w:t>
            </w:r>
          </w:p>
        </w:tc>
        <w:tc>
          <w:tcPr>
            <w:tcW w:w="620" w:type="dxa"/>
            <w:vAlign w:val="bottom"/>
            <w:tcBorders>
              <w:right w:val="single" w:sz="8" w:color="4B5088"/>
            </w:tcBorders>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6"/>
                <w:szCs w:val="16"/>
                <w:b w:val="1"/>
                <w:bCs w:val="1"/>
                <w:color w:val="1F2668"/>
              </w:rPr>
              <w:t>​</w:t>
            </w:r>
          </w:p>
        </w:tc>
        <w:tc>
          <w:tcPr>
            <w:tcW w:w="580" w:type="dxa"/>
            <w:vAlign w:val="bottom"/>
            <w:tcBorders>
              <w:right w:val="single" w:sz="8" w:color="4B5088"/>
            </w:tcBorders>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6"/>
                <w:szCs w:val="16"/>
                <w:b w:val="1"/>
                <w:bCs w:val="1"/>
                <w:color w:val="1F2668"/>
              </w:rPr>
              <w:t>​</w:t>
            </w:r>
          </w:p>
        </w:tc>
        <w:tc>
          <w:tcPr>
            <w:tcW w:w="600" w:type="dxa"/>
            <w:vAlign w:val="bottom"/>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6"/>
                <w:szCs w:val="16"/>
                <w:b w:val="1"/>
                <w:bCs w:val="1"/>
                <w:color w:val="1F2668"/>
              </w:rPr>
              <w:t>​</w:t>
            </w:r>
          </w:p>
        </w:tc>
        <w:tc>
          <w:tcPr>
            <w:tcW w:w="0" w:type="dxa"/>
            <w:vAlign w:val="bottom"/>
          </w:tcPr>
          <w:p>
            <w:pPr>
              <w:spacing w:after="0"/>
              <w:rPr>
                <w:sz w:val="1"/>
                <w:szCs w:val="1"/>
                <w:color w:val="auto"/>
              </w:rPr>
            </w:pPr>
          </w:p>
        </w:tc>
      </w:tr>
      <w:tr>
        <w:trPr>
          <w:trHeight w:val="170"/>
        </w:trPr>
        <w:tc>
          <w:tcPr>
            <w:tcW w:w="380" w:type="dxa"/>
            <w:vAlign w:val="bottom"/>
            <w:tcBorders>
              <w:bottom w:val="single" w:sz="8" w:color="1F2668"/>
            </w:tcBorders>
          </w:tcPr>
          <w:p>
            <w:pPr>
              <w:spacing w:after="0"/>
              <w:rPr>
                <w:sz w:val="14"/>
                <w:szCs w:val="14"/>
                <w:color w:val="auto"/>
              </w:rPr>
            </w:pPr>
          </w:p>
        </w:tc>
        <w:tc>
          <w:tcPr>
            <w:tcW w:w="2860" w:type="dxa"/>
            <w:vAlign w:val="bottom"/>
            <w:tcBorders>
              <w:bottom w:val="single" w:sz="8" w:color="1F2668"/>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bottom w:val="single" w:sz="8" w:color="1F2668"/>
            </w:tcBorders>
          </w:tcPr>
          <w:p>
            <w:pPr>
              <w:spacing w:after="0"/>
              <w:rPr>
                <w:sz w:val="14"/>
                <w:szCs w:val="14"/>
                <w:color w:val="auto"/>
              </w:rPr>
            </w:pPr>
          </w:p>
        </w:tc>
        <w:tc>
          <w:tcPr>
            <w:tcW w:w="660" w:type="dxa"/>
            <w:vAlign w:val="bottom"/>
            <w:tcBorders>
              <w:bottom w:val="single" w:sz="8" w:color="1F2668"/>
              <w:right w:val="single" w:sz="8" w:color="4B5088"/>
            </w:tcBorders>
          </w:tcPr>
          <w:p>
            <w:pPr>
              <w:spacing w:after="0"/>
              <w:rPr>
                <w:sz w:val="14"/>
                <w:szCs w:val="14"/>
                <w:color w:val="auto"/>
              </w:rPr>
            </w:pPr>
          </w:p>
        </w:tc>
        <w:tc>
          <w:tcPr>
            <w:tcW w:w="100" w:type="dxa"/>
            <w:vAlign w:val="bottom"/>
            <w:tcBorders>
              <w:bottom w:val="single" w:sz="8" w:color="1F2668"/>
            </w:tcBorders>
          </w:tcPr>
          <w:p>
            <w:pPr>
              <w:spacing w:after="0"/>
              <w:rPr>
                <w:sz w:val="14"/>
                <w:szCs w:val="14"/>
                <w:color w:val="auto"/>
              </w:rPr>
            </w:pPr>
          </w:p>
        </w:tc>
        <w:tc>
          <w:tcPr>
            <w:tcW w:w="580" w:type="dxa"/>
            <w:vAlign w:val="bottom"/>
            <w:tcBorders>
              <w:bottom w:val="single" w:sz="8" w:color="1F2668"/>
              <w:right w:val="single" w:sz="8" w:color="4B5088"/>
            </w:tcBorders>
          </w:tcPr>
          <w:p>
            <w:pPr>
              <w:spacing w:after="0"/>
              <w:rPr>
                <w:sz w:val="14"/>
                <w:szCs w:val="14"/>
                <w:color w:val="auto"/>
              </w:rPr>
            </w:pPr>
          </w:p>
        </w:tc>
        <w:tc>
          <w:tcPr>
            <w:tcW w:w="100" w:type="dxa"/>
            <w:vAlign w:val="bottom"/>
            <w:tcBorders>
              <w:bottom w:val="single" w:sz="8" w:color="1F2668"/>
            </w:tcBorders>
          </w:tcPr>
          <w:p>
            <w:pPr>
              <w:spacing w:after="0"/>
              <w:rPr>
                <w:sz w:val="14"/>
                <w:szCs w:val="14"/>
                <w:color w:val="auto"/>
              </w:rPr>
            </w:pPr>
          </w:p>
        </w:tc>
        <w:tc>
          <w:tcPr>
            <w:tcW w:w="580" w:type="dxa"/>
            <w:vAlign w:val="bottom"/>
            <w:tcBorders>
              <w:bottom w:val="single" w:sz="8" w:color="1F2668"/>
              <w:right w:val="single" w:sz="8" w:color="4B5088"/>
            </w:tcBorders>
          </w:tcPr>
          <w:p>
            <w:pPr>
              <w:spacing w:after="0"/>
              <w:rPr>
                <w:sz w:val="14"/>
                <w:szCs w:val="14"/>
                <w:color w:val="auto"/>
              </w:rPr>
            </w:pPr>
          </w:p>
        </w:tc>
        <w:tc>
          <w:tcPr>
            <w:tcW w:w="80" w:type="dxa"/>
            <w:vAlign w:val="bottom"/>
            <w:tcBorders>
              <w:bottom w:val="single" w:sz="8" w:color="1F2668"/>
            </w:tcBorders>
          </w:tcPr>
          <w:p>
            <w:pPr>
              <w:spacing w:after="0"/>
              <w:rPr>
                <w:sz w:val="14"/>
                <w:szCs w:val="14"/>
                <w:color w:val="auto"/>
              </w:rPr>
            </w:pPr>
          </w:p>
        </w:tc>
        <w:tc>
          <w:tcPr>
            <w:tcW w:w="580" w:type="dxa"/>
            <w:vAlign w:val="bottom"/>
            <w:tcBorders>
              <w:bottom w:val="single" w:sz="8" w:color="1F2668"/>
              <w:right w:val="single" w:sz="8" w:color="4B5088"/>
            </w:tcBorders>
          </w:tcPr>
          <w:p>
            <w:pPr>
              <w:spacing w:after="0"/>
              <w:rPr>
                <w:sz w:val="14"/>
                <w:szCs w:val="14"/>
                <w:color w:val="auto"/>
              </w:rPr>
            </w:pPr>
          </w:p>
        </w:tc>
        <w:tc>
          <w:tcPr>
            <w:tcW w:w="80" w:type="dxa"/>
            <w:vAlign w:val="bottom"/>
            <w:tcBorders>
              <w:bottom w:val="single" w:sz="8" w:color="1F2668"/>
            </w:tcBorders>
          </w:tcPr>
          <w:p>
            <w:pPr>
              <w:spacing w:after="0"/>
              <w:rPr>
                <w:sz w:val="14"/>
                <w:szCs w:val="14"/>
                <w:color w:val="auto"/>
              </w:rPr>
            </w:pPr>
          </w:p>
        </w:tc>
        <w:tc>
          <w:tcPr>
            <w:tcW w:w="600" w:type="dxa"/>
            <w:vAlign w:val="bottom"/>
            <w:tcBorders>
              <w:bottom w:val="single" w:sz="8" w:color="1F2668"/>
              <w:right w:val="single" w:sz="8" w:color="4B5088"/>
            </w:tcBorders>
          </w:tcPr>
          <w:p>
            <w:pPr>
              <w:spacing w:after="0"/>
              <w:rPr>
                <w:sz w:val="14"/>
                <w:szCs w:val="14"/>
                <w:color w:val="auto"/>
              </w:rPr>
            </w:pPr>
          </w:p>
        </w:tc>
        <w:tc>
          <w:tcPr>
            <w:tcW w:w="80" w:type="dxa"/>
            <w:vAlign w:val="bottom"/>
            <w:tcBorders>
              <w:bottom w:val="single" w:sz="8" w:color="1F2668"/>
            </w:tcBorders>
          </w:tcPr>
          <w:p>
            <w:pPr>
              <w:spacing w:after="0"/>
              <w:rPr>
                <w:sz w:val="14"/>
                <w:szCs w:val="14"/>
                <w:color w:val="auto"/>
              </w:rPr>
            </w:pPr>
          </w:p>
        </w:tc>
        <w:tc>
          <w:tcPr>
            <w:tcW w:w="620" w:type="dxa"/>
            <w:vAlign w:val="bottom"/>
            <w:tcBorders>
              <w:bottom w:val="single" w:sz="8" w:color="1F2668"/>
              <w:right w:val="single" w:sz="8" w:color="4B5088"/>
            </w:tcBorders>
          </w:tcPr>
          <w:p>
            <w:pPr>
              <w:spacing w:after="0"/>
              <w:rPr>
                <w:sz w:val="14"/>
                <w:szCs w:val="14"/>
                <w:color w:val="auto"/>
              </w:rPr>
            </w:pPr>
          </w:p>
        </w:tc>
        <w:tc>
          <w:tcPr>
            <w:tcW w:w="100" w:type="dxa"/>
            <w:vAlign w:val="bottom"/>
            <w:tcBorders>
              <w:bottom w:val="single" w:sz="8" w:color="1F2668"/>
            </w:tcBorders>
          </w:tcPr>
          <w:p>
            <w:pPr>
              <w:spacing w:after="0"/>
              <w:rPr>
                <w:sz w:val="14"/>
                <w:szCs w:val="14"/>
                <w:color w:val="auto"/>
              </w:rPr>
            </w:pPr>
          </w:p>
        </w:tc>
        <w:tc>
          <w:tcPr>
            <w:tcW w:w="580" w:type="dxa"/>
            <w:vAlign w:val="bottom"/>
            <w:tcBorders>
              <w:bottom w:val="single" w:sz="8" w:color="1F2668"/>
              <w:right w:val="single" w:sz="8" w:color="4B5088"/>
            </w:tcBorders>
          </w:tcPr>
          <w:p>
            <w:pPr>
              <w:spacing w:after="0"/>
              <w:rPr>
                <w:sz w:val="14"/>
                <w:szCs w:val="14"/>
                <w:color w:val="auto"/>
              </w:rPr>
            </w:pPr>
          </w:p>
        </w:tc>
        <w:tc>
          <w:tcPr>
            <w:tcW w:w="60" w:type="dxa"/>
            <w:vAlign w:val="bottom"/>
            <w:tcBorders>
              <w:bottom w:val="single" w:sz="8" w:color="1F2668"/>
            </w:tcBorders>
          </w:tcPr>
          <w:p>
            <w:pPr>
              <w:spacing w:after="0"/>
              <w:rPr>
                <w:sz w:val="14"/>
                <w:szCs w:val="14"/>
                <w:color w:val="auto"/>
              </w:rPr>
            </w:pPr>
          </w:p>
        </w:tc>
        <w:tc>
          <w:tcPr>
            <w:tcW w:w="600" w:type="dxa"/>
            <w:vAlign w:val="bottom"/>
            <w:tcBorders>
              <w:bottom w:val="single" w:sz="8" w:color="1F2668"/>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3"/>
        </w:trPr>
        <w:tc>
          <w:tcPr>
            <w:tcW w:w="380" w:type="dxa"/>
            <w:vAlign w:val="bottom"/>
          </w:tcPr>
          <w:p>
            <w:pPr>
              <w:spacing w:after="0"/>
              <w:rPr>
                <w:sz w:val="24"/>
                <w:szCs w:val="24"/>
                <w:color w:val="auto"/>
              </w:rPr>
            </w:pPr>
          </w:p>
        </w:tc>
        <w:tc>
          <w:tcPr>
            <w:tcW w:w="2860" w:type="dxa"/>
            <w:vAlign w:val="bottom"/>
          </w:tcPr>
          <w:p>
            <w:pPr>
              <w:ind w:left="360"/>
              <w:spacing w:after="0" w:line="333" w:lineRule="exact"/>
              <w:rPr>
                <w:sz w:val="20"/>
                <w:szCs w:val="20"/>
                <w:color w:val="auto"/>
              </w:rPr>
            </w:pPr>
            <w:r>
              <w:rPr>
                <w:rFonts w:ascii="Arial" w:cs="Arial" w:eastAsia="Arial" w:hAnsi="Arial"/>
                <w:sz w:val="32"/>
                <w:szCs w:val="32"/>
                <w:b w:val="1"/>
                <w:bCs w:val="1"/>
                <w:color w:val="1F2668"/>
                <w:vertAlign w:val="subscript"/>
              </w:rPr>
              <w:t>​</w:t>
            </w:r>
            <w:r>
              <w:rPr>
                <w:rFonts w:ascii="Arial" w:cs="Arial" w:eastAsia="Arial" w:hAnsi="Arial"/>
                <w:sz w:val="16"/>
                <w:szCs w:val="16"/>
                <w:b w:val="1"/>
                <w:bCs w:val="1"/>
                <w:color w:val="1F2668"/>
              </w:rPr>
              <w:t>Experience Over Several</w:t>
            </w:r>
          </w:p>
        </w:tc>
        <w:tc>
          <w:tcPr>
            <w:tcW w:w="220" w:type="dxa"/>
            <w:vAlign w:val="bottom"/>
          </w:tcPr>
          <w:p>
            <w:pPr>
              <w:spacing w:after="0"/>
              <w:rPr>
                <w:sz w:val="20"/>
                <w:szCs w:val="20"/>
                <w:color w:val="auto"/>
              </w:rPr>
            </w:pPr>
            <w:r>
              <w:rPr>
                <w:rFonts w:ascii="Arial" w:cs="Arial" w:eastAsia="Arial" w:hAnsi="Arial"/>
                <w:sz w:val="16"/>
                <w:szCs w:val="16"/>
                <w:b w:val="1"/>
                <w:bCs w:val="1"/>
                <w:color w:val="1F2668"/>
              </w:rPr>
              <w:t>​</w:t>
            </w:r>
          </w:p>
        </w:tc>
        <w:tc>
          <w:tcPr>
            <w:tcW w:w="160" w:type="dxa"/>
            <w:vAlign w:val="bottom"/>
          </w:tcPr>
          <w:p>
            <w:pPr>
              <w:spacing w:after="0"/>
              <w:rPr>
                <w:sz w:val="20"/>
                <w:szCs w:val="20"/>
                <w:color w:val="auto"/>
              </w:rPr>
            </w:pPr>
            <w:r>
              <w:rPr>
                <w:rFonts w:ascii="Arial" w:cs="Arial" w:eastAsia="Arial" w:hAnsi="Arial"/>
                <w:sz w:val="16"/>
                <w:szCs w:val="16"/>
                <w:b w:val="1"/>
                <w:bCs w:val="1"/>
                <w:color w:val="1F2668"/>
              </w:rPr>
              <w:t>​ ​</w:t>
            </w:r>
          </w:p>
        </w:tc>
        <w:tc>
          <w:tcPr>
            <w:tcW w:w="60" w:type="dxa"/>
            <w:vAlign w:val="bottom"/>
          </w:tcPr>
          <w:p>
            <w:pPr>
              <w:spacing w:after="0"/>
              <w:rPr>
                <w:sz w:val="20"/>
                <w:szCs w:val="20"/>
                <w:color w:val="auto"/>
              </w:rPr>
            </w:pPr>
            <w:r>
              <w:rPr>
                <w:rFonts w:ascii="Arial" w:cs="Arial" w:eastAsia="Arial" w:hAnsi="Arial"/>
                <w:sz w:val="16"/>
                <w:szCs w:val="16"/>
                <w:b w:val="1"/>
                <w:bCs w:val="1"/>
                <w:color w:val="1F2668"/>
              </w:rPr>
              <w:t>​</w:t>
            </w:r>
          </w:p>
        </w:tc>
        <w:tc>
          <w:tcPr>
            <w:tcW w:w="660" w:type="dxa"/>
            <w:vAlign w:val="bottom"/>
            <w:tcBorders>
              <w:right w:val="single" w:sz="8" w:color="4B5088"/>
            </w:tcBorders>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6"/>
                <w:szCs w:val="16"/>
                <w:b w:val="1"/>
                <w:bCs w:val="1"/>
                <w:color w:val="1F2668"/>
              </w:rPr>
              <w:t>​</w:t>
            </w:r>
          </w:p>
        </w:tc>
        <w:tc>
          <w:tcPr>
            <w:tcW w:w="580" w:type="dxa"/>
            <w:vAlign w:val="bottom"/>
            <w:tcBorders>
              <w:right w:val="single" w:sz="8" w:color="4B5088"/>
            </w:tcBorders>
          </w:tcPr>
          <w:p>
            <w:pPr>
              <w:jc w:val="center"/>
              <w:spacing w:after="0"/>
              <w:rPr>
                <w:sz w:val="20"/>
                <w:szCs w:val="20"/>
                <w:color w:val="auto"/>
              </w:rPr>
            </w:pPr>
            <w:r>
              <w:rPr>
                <w:rFonts w:ascii="Arial" w:cs="Arial" w:eastAsia="Arial" w:hAnsi="Arial"/>
                <w:sz w:val="16"/>
                <w:szCs w:val="16"/>
                <w:b w:val="1"/>
                <w:bCs w:val="1"/>
                <w:color w:val="1F2668"/>
              </w:rPr>
              <w:t>​</w:t>
            </w:r>
          </w:p>
        </w:tc>
        <w:tc>
          <w:tcPr>
            <w:tcW w:w="100" w:type="dxa"/>
            <w:vAlign w:val="bottom"/>
          </w:tcPr>
          <w:p>
            <w:pPr>
              <w:spacing w:after="0"/>
              <w:rPr>
                <w:sz w:val="20"/>
                <w:szCs w:val="20"/>
                <w:color w:val="auto"/>
              </w:rPr>
            </w:pPr>
            <w:r>
              <w:rPr>
                <w:rFonts w:ascii="Arial" w:cs="Arial" w:eastAsia="Arial" w:hAnsi="Arial"/>
                <w:sz w:val="16"/>
                <w:szCs w:val="16"/>
                <w:b w:val="1"/>
                <w:bCs w:val="1"/>
                <w:color w:val="1F2668"/>
              </w:rPr>
              <w:t>​</w:t>
            </w:r>
          </w:p>
        </w:tc>
        <w:tc>
          <w:tcPr>
            <w:tcW w:w="580" w:type="dxa"/>
            <w:vAlign w:val="bottom"/>
            <w:tcBorders>
              <w:right w:val="single" w:sz="8" w:color="4B5088"/>
            </w:tcBorders>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6"/>
                <w:szCs w:val="16"/>
                <w:b w:val="1"/>
                <w:bCs w:val="1"/>
                <w:color w:val="1F2668"/>
              </w:rPr>
              <w:t>​</w:t>
            </w:r>
          </w:p>
        </w:tc>
        <w:tc>
          <w:tcPr>
            <w:tcW w:w="580" w:type="dxa"/>
            <w:vAlign w:val="bottom"/>
            <w:tcBorders>
              <w:right w:val="single" w:sz="8" w:color="4B5088"/>
            </w:tcBorders>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6"/>
                <w:szCs w:val="16"/>
                <w:b w:val="1"/>
                <w:bCs w:val="1"/>
                <w:color w:val="1F2668"/>
              </w:rPr>
              <w:t>​</w:t>
            </w:r>
          </w:p>
        </w:tc>
        <w:tc>
          <w:tcPr>
            <w:tcW w:w="600" w:type="dxa"/>
            <w:vAlign w:val="bottom"/>
            <w:tcBorders>
              <w:right w:val="single" w:sz="8" w:color="4B5088"/>
            </w:tcBorders>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6"/>
                <w:szCs w:val="16"/>
                <w:b w:val="1"/>
                <w:bCs w:val="1"/>
                <w:color w:val="1F2668"/>
              </w:rPr>
              <w:t>​</w:t>
            </w:r>
          </w:p>
        </w:tc>
        <w:tc>
          <w:tcPr>
            <w:tcW w:w="620" w:type="dxa"/>
            <w:vAlign w:val="bottom"/>
            <w:tcBorders>
              <w:right w:val="single" w:sz="8" w:color="4B5088"/>
            </w:tcBorders>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6"/>
                <w:szCs w:val="16"/>
                <w:b w:val="1"/>
                <w:bCs w:val="1"/>
                <w:color w:val="1F2668"/>
              </w:rPr>
              <w:t>​</w:t>
            </w:r>
          </w:p>
        </w:tc>
        <w:tc>
          <w:tcPr>
            <w:tcW w:w="580" w:type="dxa"/>
            <w:vAlign w:val="bottom"/>
            <w:tcBorders>
              <w:right w:val="single" w:sz="8" w:color="4B5088"/>
            </w:tcBorders>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6"/>
                <w:szCs w:val="16"/>
                <w:b w:val="1"/>
                <w:bCs w:val="1"/>
                <w:color w:val="1F2668"/>
              </w:rPr>
              <w:t>​</w:t>
            </w:r>
          </w:p>
        </w:tc>
        <w:tc>
          <w:tcPr>
            <w:tcW w:w="600" w:type="dxa"/>
            <w:vAlign w:val="bottom"/>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6"/>
                <w:szCs w:val="16"/>
                <w:b w:val="1"/>
                <w:bCs w:val="1"/>
                <w:color w:val="1F2668"/>
              </w:rPr>
              <w:t>​</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2860" w:type="dxa"/>
            <w:vAlign w:val="bottom"/>
          </w:tcPr>
          <w:p>
            <w:pPr>
              <w:ind w:left="380"/>
              <w:spacing w:after="0"/>
              <w:rPr>
                <w:sz w:val="20"/>
                <w:szCs w:val="20"/>
                <w:color w:val="auto"/>
              </w:rPr>
            </w:pPr>
            <w:r>
              <w:rPr>
                <w:rFonts w:ascii="Arial" w:cs="Arial" w:eastAsia="Arial" w:hAnsi="Arial"/>
                <w:sz w:val="16"/>
                <w:szCs w:val="16"/>
                <w:b w:val="1"/>
                <w:bCs w:val="1"/>
                <w:color w:val="1F2668"/>
              </w:rPr>
              <w:t>Business Cycles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4B5088"/>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right w:val="single" w:sz="8" w:color="4B5088"/>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right w:val="single" w:sz="8" w:color="4B5088"/>
            </w:tcBorders>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right w:val="single" w:sz="8" w:color="4B5088"/>
            </w:tcBorders>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right w:val="single" w:sz="8" w:color="4B5088"/>
            </w:tcBorders>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right w:val="single" w:sz="8" w:color="4B5088"/>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right w:val="single" w:sz="8" w:color="4B5088"/>
            </w:tcBorders>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380" w:type="dxa"/>
            <w:vAlign w:val="bottom"/>
            <w:tcBorders>
              <w:bottom w:val="single" w:sz="8" w:color="1F2668"/>
            </w:tcBorders>
          </w:tcPr>
          <w:p>
            <w:pPr>
              <w:spacing w:after="0"/>
              <w:rPr>
                <w:sz w:val="8"/>
                <w:szCs w:val="8"/>
                <w:color w:val="auto"/>
              </w:rPr>
            </w:pPr>
          </w:p>
        </w:tc>
        <w:tc>
          <w:tcPr>
            <w:tcW w:w="2860" w:type="dxa"/>
            <w:vAlign w:val="bottom"/>
            <w:tcBorders>
              <w:bottom w:val="single" w:sz="8" w:color="1F2668"/>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1F2668"/>
            </w:tcBorders>
          </w:tcPr>
          <w:p>
            <w:pPr>
              <w:spacing w:after="0"/>
              <w:rPr>
                <w:sz w:val="8"/>
                <w:szCs w:val="8"/>
                <w:color w:val="auto"/>
              </w:rPr>
            </w:pPr>
          </w:p>
        </w:tc>
        <w:tc>
          <w:tcPr>
            <w:tcW w:w="660" w:type="dxa"/>
            <w:vAlign w:val="bottom"/>
            <w:tcBorders>
              <w:bottom w:val="single" w:sz="8" w:color="1F2668"/>
              <w:right w:val="single" w:sz="8" w:color="4B5088"/>
            </w:tcBorders>
          </w:tcPr>
          <w:p>
            <w:pPr>
              <w:spacing w:after="0"/>
              <w:rPr>
                <w:sz w:val="8"/>
                <w:szCs w:val="8"/>
                <w:color w:val="auto"/>
              </w:rPr>
            </w:pPr>
          </w:p>
        </w:tc>
        <w:tc>
          <w:tcPr>
            <w:tcW w:w="100" w:type="dxa"/>
            <w:vAlign w:val="bottom"/>
            <w:tcBorders>
              <w:bottom w:val="single" w:sz="8" w:color="1F2668"/>
            </w:tcBorders>
          </w:tcPr>
          <w:p>
            <w:pPr>
              <w:spacing w:after="0"/>
              <w:rPr>
                <w:sz w:val="8"/>
                <w:szCs w:val="8"/>
                <w:color w:val="auto"/>
              </w:rPr>
            </w:pPr>
          </w:p>
        </w:tc>
        <w:tc>
          <w:tcPr>
            <w:tcW w:w="580" w:type="dxa"/>
            <w:vAlign w:val="bottom"/>
            <w:tcBorders>
              <w:bottom w:val="single" w:sz="8" w:color="1F2668"/>
              <w:right w:val="single" w:sz="8" w:color="4B5088"/>
            </w:tcBorders>
          </w:tcPr>
          <w:p>
            <w:pPr>
              <w:spacing w:after="0"/>
              <w:rPr>
                <w:sz w:val="8"/>
                <w:szCs w:val="8"/>
                <w:color w:val="auto"/>
              </w:rPr>
            </w:pPr>
          </w:p>
        </w:tc>
        <w:tc>
          <w:tcPr>
            <w:tcW w:w="100" w:type="dxa"/>
            <w:vAlign w:val="bottom"/>
            <w:tcBorders>
              <w:bottom w:val="single" w:sz="8" w:color="1F2668"/>
            </w:tcBorders>
          </w:tcPr>
          <w:p>
            <w:pPr>
              <w:spacing w:after="0"/>
              <w:rPr>
                <w:sz w:val="8"/>
                <w:szCs w:val="8"/>
                <w:color w:val="auto"/>
              </w:rPr>
            </w:pPr>
          </w:p>
        </w:tc>
        <w:tc>
          <w:tcPr>
            <w:tcW w:w="580" w:type="dxa"/>
            <w:vAlign w:val="bottom"/>
            <w:tcBorders>
              <w:bottom w:val="single" w:sz="8" w:color="1F2668"/>
              <w:right w:val="single" w:sz="8" w:color="4B5088"/>
            </w:tcBorders>
          </w:tcPr>
          <w:p>
            <w:pPr>
              <w:spacing w:after="0"/>
              <w:rPr>
                <w:sz w:val="8"/>
                <w:szCs w:val="8"/>
                <w:color w:val="auto"/>
              </w:rPr>
            </w:pPr>
          </w:p>
        </w:tc>
        <w:tc>
          <w:tcPr>
            <w:tcW w:w="80" w:type="dxa"/>
            <w:vAlign w:val="bottom"/>
            <w:tcBorders>
              <w:bottom w:val="single" w:sz="8" w:color="1F2668"/>
            </w:tcBorders>
          </w:tcPr>
          <w:p>
            <w:pPr>
              <w:spacing w:after="0"/>
              <w:rPr>
                <w:sz w:val="8"/>
                <w:szCs w:val="8"/>
                <w:color w:val="auto"/>
              </w:rPr>
            </w:pPr>
          </w:p>
        </w:tc>
        <w:tc>
          <w:tcPr>
            <w:tcW w:w="580" w:type="dxa"/>
            <w:vAlign w:val="bottom"/>
            <w:tcBorders>
              <w:bottom w:val="single" w:sz="8" w:color="1F2668"/>
              <w:right w:val="single" w:sz="8" w:color="4B5088"/>
            </w:tcBorders>
          </w:tcPr>
          <w:p>
            <w:pPr>
              <w:spacing w:after="0"/>
              <w:rPr>
                <w:sz w:val="8"/>
                <w:szCs w:val="8"/>
                <w:color w:val="auto"/>
              </w:rPr>
            </w:pPr>
          </w:p>
        </w:tc>
        <w:tc>
          <w:tcPr>
            <w:tcW w:w="80" w:type="dxa"/>
            <w:vAlign w:val="bottom"/>
            <w:tcBorders>
              <w:bottom w:val="single" w:sz="8" w:color="1F2668"/>
            </w:tcBorders>
          </w:tcPr>
          <w:p>
            <w:pPr>
              <w:spacing w:after="0"/>
              <w:rPr>
                <w:sz w:val="8"/>
                <w:szCs w:val="8"/>
                <w:color w:val="auto"/>
              </w:rPr>
            </w:pPr>
          </w:p>
        </w:tc>
        <w:tc>
          <w:tcPr>
            <w:tcW w:w="600" w:type="dxa"/>
            <w:vAlign w:val="bottom"/>
            <w:tcBorders>
              <w:bottom w:val="single" w:sz="8" w:color="1F2668"/>
              <w:right w:val="single" w:sz="8" w:color="4B5088"/>
            </w:tcBorders>
          </w:tcPr>
          <w:p>
            <w:pPr>
              <w:spacing w:after="0"/>
              <w:rPr>
                <w:sz w:val="8"/>
                <w:szCs w:val="8"/>
                <w:color w:val="auto"/>
              </w:rPr>
            </w:pPr>
          </w:p>
        </w:tc>
        <w:tc>
          <w:tcPr>
            <w:tcW w:w="80" w:type="dxa"/>
            <w:vAlign w:val="bottom"/>
            <w:tcBorders>
              <w:bottom w:val="single" w:sz="8" w:color="1F2668"/>
            </w:tcBorders>
          </w:tcPr>
          <w:p>
            <w:pPr>
              <w:spacing w:after="0"/>
              <w:rPr>
                <w:sz w:val="8"/>
                <w:szCs w:val="8"/>
                <w:color w:val="auto"/>
              </w:rPr>
            </w:pPr>
          </w:p>
        </w:tc>
        <w:tc>
          <w:tcPr>
            <w:tcW w:w="620" w:type="dxa"/>
            <w:vAlign w:val="bottom"/>
            <w:tcBorders>
              <w:bottom w:val="single" w:sz="8" w:color="1F2668"/>
              <w:right w:val="single" w:sz="8" w:color="4B5088"/>
            </w:tcBorders>
          </w:tcPr>
          <w:p>
            <w:pPr>
              <w:spacing w:after="0"/>
              <w:rPr>
                <w:sz w:val="8"/>
                <w:szCs w:val="8"/>
                <w:color w:val="auto"/>
              </w:rPr>
            </w:pPr>
          </w:p>
        </w:tc>
        <w:tc>
          <w:tcPr>
            <w:tcW w:w="100" w:type="dxa"/>
            <w:vAlign w:val="bottom"/>
            <w:tcBorders>
              <w:bottom w:val="single" w:sz="8" w:color="1F2668"/>
            </w:tcBorders>
          </w:tcPr>
          <w:p>
            <w:pPr>
              <w:spacing w:after="0"/>
              <w:rPr>
                <w:sz w:val="8"/>
                <w:szCs w:val="8"/>
                <w:color w:val="auto"/>
              </w:rPr>
            </w:pPr>
          </w:p>
        </w:tc>
        <w:tc>
          <w:tcPr>
            <w:tcW w:w="580" w:type="dxa"/>
            <w:vAlign w:val="bottom"/>
            <w:tcBorders>
              <w:bottom w:val="single" w:sz="8" w:color="1F2668"/>
              <w:right w:val="single" w:sz="8" w:color="4B5088"/>
            </w:tcBorders>
          </w:tcPr>
          <w:p>
            <w:pPr>
              <w:spacing w:after="0"/>
              <w:rPr>
                <w:sz w:val="8"/>
                <w:szCs w:val="8"/>
                <w:color w:val="auto"/>
              </w:rPr>
            </w:pPr>
          </w:p>
        </w:tc>
        <w:tc>
          <w:tcPr>
            <w:tcW w:w="60" w:type="dxa"/>
            <w:vAlign w:val="bottom"/>
            <w:tcBorders>
              <w:bottom w:val="single" w:sz="8" w:color="1F2668"/>
            </w:tcBorders>
          </w:tcPr>
          <w:p>
            <w:pPr>
              <w:spacing w:after="0"/>
              <w:rPr>
                <w:sz w:val="8"/>
                <w:szCs w:val="8"/>
                <w:color w:val="auto"/>
              </w:rPr>
            </w:pPr>
          </w:p>
        </w:tc>
        <w:tc>
          <w:tcPr>
            <w:tcW w:w="600" w:type="dxa"/>
            <w:vAlign w:val="bottom"/>
            <w:tcBorders>
              <w:bottom w:val="single" w:sz="8" w:color="1F2668"/>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1"/>
        </w:trPr>
        <w:tc>
          <w:tcPr>
            <w:tcW w:w="380" w:type="dxa"/>
            <w:vAlign w:val="bottom"/>
          </w:tcPr>
          <w:p>
            <w:pPr>
              <w:spacing w:after="0"/>
              <w:rPr>
                <w:sz w:val="24"/>
                <w:szCs w:val="24"/>
                <w:color w:val="auto"/>
              </w:rPr>
            </w:pPr>
          </w:p>
        </w:tc>
        <w:tc>
          <w:tcPr>
            <w:tcW w:w="2860" w:type="dxa"/>
            <w:vAlign w:val="bottom"/>
          </w:tcPr>
          <w:p>
            <w:pPr>
              <w:ind w:left="360"/>
              <w:spacing w:after="0"/>
              <w:rPr>
                <w:sz w:val="20"/>
                <w:szCs w:val="20"/>
                <w:color w:val="auto"/>
              </w:rPr>
            </w:pPr>
            <w:r>
              <w:rPr>
                <w:rFonts w:ascii="Arial" w:cs="Arial" w:eastAsia="Arial" w:hAnsi="Arial"/>
                <w:sz w:val="16"/>
                <w:szCs w:val="16"/>
                <w:b w:val="1"/>
                <w:bCs w:val="1"/>
                <w:color w:val="1F2668"/>
              </w:rPr>
              <w:t>​Talent Management</w:t>
            </w:r>
          </w:p>
        </w:tc>
        <w:tc>
          <w:tcPr>
            <w:tcW w:w="220" w:type="dxa"/>
            <w:vAlign w:val="bottom"/>
          </w:tcPr>
          <w:p>
            <w:pPr>
              <w:spacing w:after="0"/>
              <w:rPr>
                <w:sz w:val="20"/>
                <w:szCs w:val="20"/>
                <w:color w:val="auto"/>
              </w:rPr>
            </w:pPr>
            <w:r>
              <w:rPr>
                <w:rFonts w:ascii="Arial" w:cs="Arial" w:eastAsia="Arial" w:hAnsi="Arial"/>
                <w:sz w:val="16"/>
                <w:szCs w:val="16"/>
                <w:b w:val="1"/>
                <w:bCs w:val="1"/>
                <w:color w:val="1F2668"/>
              </w:rPr>
              <w:t>​</w:t>
            </w:r>
          </w:p>
        </w:tc>
        <w:tc>
          <w:tcPr>
            <w:tcW w:w="160" w:type="dxa"/>
            <w:vAlign w:val="bottom"/>
          </w:tcPr>
          <w:p>
            <w:pPr>
              <w:spacing w:after="0"/>
              <w:rPr>
                <w:sz w:val="20"/>
                <w:szCs w:val="20"/>
                <w:color w:val="auto"/>
              </w:rPr>
            </w:pPr>
            <w:r>
              <w:rPr>
                <w:rFonts w:ascii="Arial" w:cs="Arial" w:eastAsia="Arial" w:hAnsi="Arial"/>
                <w:sz w:val="16"/>
                <w:szCs w:val="16"/>
                <w:b w:val="1"/>
                <w:bCs w:val="1"/>
                <w:color w:val="1F2668"/>
              </w:rPr>
              <w:t>​ ​</w:t>
            </w:r>
          </w:p>
        </w:tc>
        <w:tc>
          <w:tcPr>
            <w:tcW w:w="60" w:type="dxa"/>
            <w:vAlign w:val="bottom"/>
          </w:tcPr>
          <w:p>
            <w:pPr>
              <w:spacing w:after="0"/>
              <w:rPr>
                <w:sz w:val="20"/>
                <w:szCs w:val="20"/>
                <w:color w:val="auto"/>
              </w:rPr>
            </w:pPr>
            <w:r>
              <w:rPr>
                <w:rFonts w:ascii="Arial" w:cs="Arial" w:eastAsia="Arial" w:hAnsi="Arial"/>
                <w:sz w:val="16"/>
                <w:szCs w:val="16"/>
                <w:b w:val="1"/>
                <w:bCs w:val="1"/>
                <w:color w:val="1F2668"/>
              </w:rPr>
              <w:t>​​</w:t>
            </w:r>
          </w:p>
        </w:tc>
        <w:tc>
          <w:tcPr>
            <w:tcW w:w="660" w:type="dxa"/>
            <w:vAlign w:val="bottom"/>
            <w:tcBorders>
              <w:right w:val="single" w:sz="8" w:color="4B5088"/>
            </w:tcBorders>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6"/>
                <w:szCs w:val="16"/>
                <w:b w:val="1"/>
                <w:bCs w:val="1"/>
                <w:color w:val="1F2668"/>
              </w:rPr>
              <w:t>​</w:t>
            </w:r>
          </w:p>
        </w:tc>
        <w:tc>
          <w:tcPr>
            <w:tcW w:w="580" w:type="dxa"/>
            <w:vAlign w:val="bottom"/>
            <w:tcBorders>
              <w:right w:val="single" w:sz="8" w:color="4B5088"/>
            </w:tcBorders>
          </w:tcPr>
          <w:p>
            <w:pPr>
              <w:jc w:val="center"/>
              <w:spacing w:after="0"/>
              <w:rPr>
                <w:sz w:val="20"/>
                <w:szCs w:val="20"/>
                <w:color w:val="auto"/>
              </w:rPr>
            </w:pPr>
            <w:r>
              <w:rPr>
                <w:rFonts w:ascii="Arial" w:cs="Arial" w:eastAsia="Arial" w:hAnsi="Arial"/>
                <w:sz w:val="16"/>
                <w:szCs w:val="16"/>
                <w:b w:val="1"/>
                <w:bCs w:val="1"/>
                <w:color w:val="1F2668"/>
              </w:rPr>
              <w:t>​</w:t>
            </w:r>
          </w:p>
        </w:tc>
        <w:tc>
          <w:tcPr>
            <w:tcW w:w="100" w:type="dxa"/>
            <w:vAlign w:val="bottom"/>
          </w:tcPr>
          <w:p>
            <w:pPr>
              <w:spacing w:after="0"/>
              <w:rPr>
                <w:sz w:val="20"/>
                <w:szCs w:val="20"/>
                <w:color w:val="auto"/>
              </w:rPr>
            </w:pPr>
            <w:r>
              <w:rPr>
                <w:rFonts w:ascii="Arial" w:cs="Arial" w:eastAsia="Arial" w:hAnsi="Arial"/>
                <w:sz w:val="16"/>
                <w:szCs w:val="16"/>
                <w:b w:val="1"/>
                <w:bCs w:val="1"/>
                <w:color w:val="1F2668"/>
              </w:rPr>
              <w:t>​</w:t>
            </w:r>
          </w:p>
        </w:tc>
        <w:tc>
          <w:tcPr>
            <w:tcW w:w="580" w:type="dxa"/>
            <w:vAlign w:val="bottom"/>
            <w:tcBorders>
              <w:right w:val="single" w:sz="8" w:color="4B5088"/>
            </w:tcBorders>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6"/>
                <w:szCs w:val="16"/>
                <w:b w:val="1"/>
                <w:bCs w:val="1"/>
                <w:color w:val="1F2668"/>
              </w:rPr>
              <w:t>​</w:t>
            </w:r>
          </w:p>
        </w:tc>
        <w:tc>
          <w:tcPr>
            <w:tcW w:w="580" w:type="dxa"/>
            <w:vAlign w:val="bottom"/>
            <w:tcBorders>
              <w:right w:val="single" w:sz="8" w:color="4B5088"/>
            </w:tcBorders>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6"/>
                <w:szCs w:val="16"/>
                <w:b w:val="1"/>
                <w:bCs w:val="1"/>
                <w:color w:val="1F2668"/>
              </w:rPr>
              <w:t>​</w:t>
            </w:r>
          </w:p>
        </w:tc>
        <w:tc>
          <w:tcPr>
            <w:tcW w:w="600" w:type="dxa"/>
            <w:vAlign w:val="bottom"/>
            <w:tcBorders>
              <w:right w:val="single" w:sz="8" w:color="4B5088"/>
            </w:tcBorders>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6"/>
                <w:szCs w:val="16"/>
                <w:b w:val="1"/>
                <w:bCs w:val="1"/>
                <w:color w:val="1F2668"/>
              </w:rPr>
              <w:t>​</w:t>
            </w:r>
          </w:p>
        </w:tc>
        <w:tc>
          <w:tcPr>
            <w:tcW w:w="620" w:type="dxa"/>
            <w:vAlign w:val="bottom"/>
            <w:tcBorders>
              <w:right w:val="single" w:sz="8" w:color="4B5088"/>
            </w:tcBorders>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6"/>
                <w:szCs w:val="16"/>
                <w:b w:val="1"/>
                <w:bCs w:val="1"/>
                <w:color w:val="1F2668"/>
              </w:rPr>
              <w:t>​</w:t>
            </w:r>
          </w:p>
        </w:tc>
        <w:tc>
          <w:tcPr>
            <w:tcW w:w="580" w:type="dxa"/>
            <w:vAlign w:val="bottom"/>
            <w:tcBorders>
              <w:right w:val="single" w:sz="8" w:color="4B5088"/>
            </w:tcBorders>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6"/>
                <w:szCs w:val="16"/>
                <w:b w:val="1"/>
                <w:bCs w:val="1"/>
                <w:color w:val="1F2668"/>
              </w:rPr>
              <w:t>​</w:t>
            </w:r>
          </w:p>
        </w:tc>
        <w:tc>
          <w:tcPr>
            <w:tcW w:w="600" w:type="dxa"/>
            <w:vAlign w:val="bottom"/>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6"/>
                <w:szCs w:val="16"/>
                <w:b w:val="1"/>
                <w:bCs w:val="1"/>
                <w:color w:val="1F2668"/>
              </w:rPr>
              <w:t>​</w:t>
            </w:r>
          </w:p>
        </w:tc>
        <w:tc>
          <w:tcPr>
            <w:tcW w:w="0" w:type="dxa"/>
            <w:vAlign w:val="bottom"/>
          </w:tcPr>
          <w:p>
            <w:pPr>
              <w:spacing w:after="0"/>
              <w:rPr>
                <w:sz w:val="1"/>
                <w:szCs w:val="1"/>
                <w:color w:val="auto"/>
              </w:rPr>
            </w:pPr>
          </w:p>
        </w:tc>
      </w:tr>
      <w:tr>
        <w:trPr>
          <w:trHeight w:val="210"/>
        </w:trPr>
        <w:tc>
          <w:tcPr>
            <w:tcW w:w="380" w:type="dxa"/>
            <w:vAlign w:val="bottom"/>
            <w:tcBorders>
              <w:bottom w:val="single" w:sz="8" w:color="1F2668"/>
            </w:tcBorders>
          </w:tcPr>
          <w:p>
            <w:pPr>
              <w:spacing w:after="0"/>
              <w:rPr>
                <w:sz w:val="18"/>
                <w:szCs w:val="18"/>
                <w:color w:val="auto"/>
              </w:rPr>
            </w:pPr>
          </w:p>
        </w:tc>
        <w:tc>
          <w:tcPr>
            <w:tcW w:w="2860" w:type="dxa"/>
            <w:vAlign w:val="bottom"/>
            <w:tcBorders>
              <w:bottom w:val="single" w:sz="8" w:color="1F2668"/>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Borders>
              <w:bottom w:val="single" w:sz="8" w:color="1F2668"/>
            </w:tcBorders>
          </w:tcPr>
          <w:p>
            <w:pPr>
              <w:spacing w:after="0"/>
              <w:rPr>
                <w:sz w:val="18"/>
                <w:szCs w:val="18"/>
                <w:color w:val="auto"/>
              </w:rPr>
            </w:pPr>
          </w:p>
        </w:tc>
        <w:tc>
          <w:tcPr>
            <w:tcW w:w="660" w:type="dxa"/>
            <w:vAlign w:val="bottom"/>
            <w:tcBorders>
              <w:bottom w:val="single" w:sz="8" w:color="1F2668"/>
              <w:right w:val="single" w:sz="8" w:color="4B5088"/>
            </w:tcBorders>
          </w:tcPr>
          <w:p>
            <w:pPr>
              <w:spacing w:after="0"/>
              <w:rPr>
                <w:sz w:val="18"/>
                <w:szCs w:val="18"/>
                <w:color w:val="auto"/>
              </w:rPr>
            </w:pPr>
          </w:p>
        </w:tc>
        <w:tc>
          <w:tcPr>
            <w:tcW w:w="100" w:type="dxa"/>
            <w:vAlign w:val="bottom"/>
            <w:tcBorders>
              <w:bottom w:val="single" w:sz="8" w:color="1F2668"/>
            </w:tcBorders>
          </w:tcPr>
          <w:p>
            <w:pPr>
              <w:spacing w:after="0"/>
              <w:rPr>
                <w:sz w:val="18"/>
                <w:szCs w:val="18"/>
                <w:color w:val="auto"/>
              </w:rPr>
            </w:pPr>
          </w:p>
        </w:tc>
        <w:tc>
          <w:tcPr>
            <w:tcW w:w="580" w:type="dxa"/>
            <w:vAlign w:val="bottom"/>
            <w:tcBorders>
              <w:bottom w:val="single" w:sz="8" w:color="1F2668"/>
              <w:right w:val="single" w:sz="8" w:color="4B5088"/>
            </w:tcBorders>
          </w:tcPr>
          <w:p>
            <w:pPr>
              <w:spacing w:after="0"/>
              <w:rPr>
                <w:sz w:val="18"/>
                <w:szCs w:val="18"/>
                <w:color w:val="auto"/>
              </w:rPr>
            </w:pPr>
          </w:p>
        </w:tc>
        <w:tc>
          <w:tcPr>
            <w:tcW w:w="100" w:type="dxa"/>
            <w:vAlign w:val="bottom"/>
            <w:tcBorders>
              <w:bottom w:val="single" w:sz="8" w:color="1F2668"/>
            </w:tcBorders>
          </w:tcPr>
          <w:p>
            <w:pPr>
              <w:spacing w:after="0"/>
              <w:rPr>
                <w:sz w:val="18"/>
                <w:szCs w:val="18"/>
                <w:color w:val="auto"/>
              </w:rPr>
            </w:pPr>
          </w:p>
        </w:tc>
        <w:tc>
          <w:tcPr>
            <w:tcW w:w="580" w:type="dxa"/>
            <w:vAlign w:val="bottom"/>
            <w:tcBorders>
              <w:bottom w:val="single" w:sz="8" w:color="1F2668"/>
              <w:right w:val="single" w:sz="8" w:color="4B5088"/>
            </w:tcBorders>
          </w:tcPr>
          <w:p>
            <w:pPr>
              <w:spacing w:after="0"/>
              <w:rPr>
                <w:sz w:val="18"/>
                <w:szCs w:val="18"/>
                <w:color w:val="auto"/>
              </w:rPr>
            </w:pPr>
          </w:p>
        </w:tc>
        <w:tc>
          <w:tcPr>
            <w:tcW w:w="80" w:type="dxa"/>
            <w:vAlign w:val="bottom"/>
            <w:tcBorders>
              <w:bottom w:val="single" w:sz="8" w:color="1F2668"/>
            </w:tcBorders>
          </w:tcPr>
          <w:p>
            <w:pPr>
              <w:spacing w:after="0"/>
              <w:rPr>
                <w:sz w:val="18"/>
                <w:szCs w:val="18"/>
                <w:color w:val="auto"/>
              </w:rPr>
            </w:pPr>
          </w:p>
        </w:tc>
        <w:tc>
          <w:tcPr>
            <w:tcW w:w="580" w:type="dxa"/>
            <w:vAlign w:val="bottom"/>
            <w:tcBorders>
              <w:bottom w:val="single" w:sz="8" w:color="1F2668"/>
              <w:right w:val="single" w:sz="8" w:color="4B5088"/>
            </w:tcBorders>
          </w:tcPr>
          <w:p>
            <w:pPr>
              <w:spacing w:after="0"/>
              <w:rPr>
                <w:sz w:val="18"/>
                <w:szCs w:val="18"/>
                <w:color w:val="auto"/>
              </w:rPr>
            </w:pPr>
          </w:p>
        </w:tc>
        <w:tc>
          <w:tcPr>
            <w:tcW w:w="80" w:type="dxa"/>
            <w:vAlign w:val="bottom"/>
            <w:tcBorders>
              <w:bottom w:val="single" w:sz="8" w:color="1F2668"/>
            </w:tcBorders>
          </w:tcPr>
          <w:p>
            <w:pPr>
              <w:spacing w:after="0"/>
              <w:rPr>
                <w:sz w:val="18"/>
                <w:szCs w:val="18"/>
                <w:color w:val="auto"/>
              </w:rPr>
            </w:pPr>
          </w:p>
        </w:tc>
        <w:tc>
          <w:tcPr>
            <w:tcW w:w="600" w:type="dxa"/>
            <w:vAlign w:val="bottom"/>
            <w:tcBorders>
              <w:bottom w:val="single" w:sz="8" w:color="1F2668"/>
              <w:right w:val="single" w:sz="8" w:color="4B5088"/>
            </w:tcBorders>
          </w:tcPr>
          <w:p>
            <w:pPr>
              <w:spacing w:after="0"/>
              <w:rPr>
                <w:sz w:val="18"/>
                <w:szCs w:val="18"/>
                <w:color w:val="auto"/>
              </w:rPr>
            </w:pPr>
          </w:p>
        </w:tc>
        <w:tc>
          <w:tcPr>
            <w:tcW w:w="80" w:type="dxa"/>
            <w:vAlign w:val="bottom"/>
            <w:tcBorders>
              <w:bottom w:val="single" w:sz="8" w:color="1F2668"/>
            </w:tcBorders>
          </w:tcPr>
          <w:p>
            <w:pPr>
              <w:spacing w:after="0"/>
              <w:rPr>
                <w:sz w:val="18"/>
                <w:szCs w:val="18"/>
                <w:color w:val="auto"/>
              </w:rPr>
            </w:pPr>
          </w:p>
        </w:tc>
        <w:tc>
          <w:tcPr>
            <w:tcW w:w="620" w:type="dxa"/>
            <w:vAlign w:val="bottom"/>
            <w:tcBorders>
              <w:bottom w:val="single" w:sz="8" w:color="1F2668"/>
              <w:right w:val="single" w:sz="8" w:color="4B5088"/>
            </w:tcBorders>
          </w:tcPr>
          <w:p>
            <w:pPr>
              <w:spacing w:after="0"/>
              <w:rPr>
                <w:sz w:val="18"/>
                <w:szCs w:val="18"/>
                <w:color w:val="auto"/>
              </w:rPr>
            </w:pPr>
          </w:p>
        </w:tc>
        <w:tc>
          <w:tcPr>
            <w:tcW w:w="100" w:type="dxa"/>
            <w:vAlign w:val="bottom"/>
            <w:tcBorders>
              <w:bottom w:val="single" w:sz="8" w:color="1F2668"/>
            </w:tcBorders>
          </w:tcPr>
          <w:p>
            <w:pPr>
              <w:spacing w:after="0"/>
              <w:rPr>
                <w:sz w:val="18"/>
                <w:szCs w:val="18"/>
                <w:color w:val="auto"/>
              </w:rPr>
            </w:pPr>
          </w:p>
        </w:tc>
        <w:tc>
          <w:tcPr>
            <w:tcW w:w="580" w:type="dxa"/>
            <w:vAlign w:val="bottom"/>
            <w:tcBorders>
              <w:bottom w:val="single" w:sz="8" w:color="1F2668"/>
              <w:right w:val="single" w:sz="8" w:color="4B5088"/>
            </w:tcBorders>
          </w:tcPr>
          <w:p>
            <w:pPr>
              <w:spacing w:after="0"/>
              <w:rPr>
                <w:sz w:val="18"/>
                <w:szCs w:val="18"/>
                <w:color w:val="auto"/>
              </w:rPr>
            </w:pPr>
          </w:p>
        </w:tc>
        <w:tc>
          <w:tcPr>
            <w:tcW w:w="60" w:type="dxa"/>
            <w:vAlign w:val="bottom"/>
            <w:tcBorders>
              <w:bottom w:val="single" w:sz="8" w:color="1F2668"/>
            </w:tcBorders>
          </w:tcPr>
          <w:p>
            <w:pPr>
              <w:spacing w:after="0"/>
              <w:rPr>
                <w:sz w:val="18"/>
                <w:szCs w:val="18"/>
                <w:color w:val="auto"/>
              </w:rPr>
            </w:pPr>
          </w:p>
        </w:tc>
        <w:tc>
          <w:tcPr>
            <w:tcW w:w="600" w:type="dxa"/>
            <w:vAlign w:val="bottom"/>
            <w:tcBorders>
              <w:bottom w:val="single" w:sz="8" w:color="1F2668"/>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0"/>
        </w:trPr>
        <w:tc>
          <w:tcPr>
            <w:tcW w:w="380" w:type="dxa"/>
            <w:vAlign w:val="bottom"/>
          </w:tcPr>
          <w:p>
            <w:pPr>
              <w:spacing w:after="0"/>
              <w:rPr>
                <w:sz w:val="24"/>
                <w:szCs w:val="24"/>
                <w:color w:val="auto"/>
              </w:rPr>
            </w:pPr>
          </w:p>
        </w:tc>
        <w:tc>
          <w:tcPr>
            <w:tcW w:w="2860" w:type="dxa"/>
            <w:vAlign w:val="bottom"/>
          </w:tcPr>
          <w:p>
            <w:pPr>
              <w:ind w:left="360"/>
              <w:spacing w:after="0"/>
              <w:rPr>
                <w:sz w:val="20"/>
                <w:szCs w:val="20"/>
                <w:color w:val="auto"/>
              </w:rPr>
            </w:pPr>
            <w:r>
              <w:rPr>
                <w:rFonts w:ascii="Arial" w:cs="Arial" w:eastAsia="Arial" w:hAnsi="Arial"/>
                <w:sz w:val="16"/>
                <w:szCs w:val="16"/>
                <w:b w:val="1"/>
                <w:bCs w:val="1"/>
                <w:color w:val="1F2668"/>
              </w:rPr>
              <w:t>​Academia</w:t>
            </w:r>
          </w:p>
        </w:tc>
        <w:tc>
          <w:tcPr>
            <w:tcW w:w="220" w:type="dxa"/>
            <w:vAlign w:val="bottom"/>
          </w:tcPr>
          <w:p>
            <w:pPr>
              <w:spacing w:after="0"/>
              <w:rPr>
                <w:sz w:val="20"/>
                <w:szCs w:val="20"/>
                <w:color w:val="auto"/>
              </w:rPr>
            </w:pPr>
            <w:r>
              <w:rPr>
                <w:rFonts w:ascii="Arial" w:cs="Arial" w:eastAsia="Arial" w:hAnsi="Arial"/>
                <w:sz w:val="16"/>
                <w:szCs w:val="16"/>
                <w:b w:val="1"/>
                <w:bCs w:val="1"/>
                <w:color w:val="1F2668"/>
              </w:rPr>
              <w:t>​</w:t>
            </w:r>
          </w:p>
        </w:tc>
        <w:tc>
          <w:tcPr>
            <w:tcW w:w="160" w:type="dxa"/>
            <w:vAlign w:val="bottom"/>
          </w:tcPr>
          <w:p>
            <w:pPr>
              <w:spacing w:after="0"/>
              <w:rPr>
                <w:sz w:val="20"/>
                <w:szCs w:val="20"/>
                <w:color w:val="auto"/>
              </w:rPr>
            </w:pPr>
            <w:r>
              <w:rPr>
                <w:rFonts w:ascii="Arial" w:cs="Arial" w:eastAsia="Arial" w:hAnsi="Arial"/>
                <w:sz w:val="16"/>
                <w:szCs w:val="16"/>
                <w:b w:val="1"/>
                <w:bCs w:val="1"/>
                <w:color w:val="1F2668"/>
              </w:rPr>
              <w:t>​ ​</w:t>
            </w:r>
          </w:p>
        </w:tc>
        <w:tc>
          <w:tcPr>
            <w:tcW w:w="60" w:type="dxa"/>
            <w:vAlign w:val="bottom"/>
          </w:tcPr>
          <w:p>
            <w:pPr>
              <w:spacing w:after="0"/>
              <w:rPr>
                <w:sz w:val="20"/>
                <w:szCs w:val="20"/>
                <w:color w:val="auto"/>
              </w:rPr>
            </w:pPr>
            <w:r>
              <w:rPr>
                <w:rFonts w:ascii="Arial" w:cs="Arial" w:eastAsia="Arial" w:hAnsi="Arial"/>
                <w:sz w:val="16"/>
                <w:szCs w:val="16"/>
                <w:b w:val="1"/>
                <w:bCs w:val="1"/>
                <w:color w:val="1F2668"/>
              </w:rPr>
              <w:t>​</w:t>
            </w:r>
          </w:p>
        </w:tc>
        <w:tc>
          <w:tcPr>
            <w:tcW w:w="660" w:type="dxa"/>
            <w:vAlign w:val="bottom"/>
            <w:tcBorders>
              <w:right w:val="single" w:sz="8" w:color="4B5088"/>
            </w:tcBorders>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6"/>
                <w:szCs w:val="16"/>
                <w:b w:val="1"/>
                <w:bCs w:val="1"/>
                <w:color w:val="1F2668"/>
              </w:rPr>
              <w:t>​</w:t>
            </w:r>
          </w:p>
        </w:tc>
        <w:tc>
          <w:tcPr>
            <w:tcW w:w="580" w:type="dxa"/>
            <w:vAlign w:val="bottom"/>
            <w:tcBorders>
              <w:right w:val="single" w:sz="8" w:color="4B5088"/>
            </w:tcBorders>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6"/>
                <w:szCs w:val="16"/>
                <w:b w:val="1"/>
                <w:bCs w:val="1"/>
                <w:color w:val="1F2668"/>
              </w:rPr>
              <w:t>​</w:t>
            </w:r>
          </w:p>
        </w:tc>
        <w:tc>
          <w:tcPr>
            <w:tcW w:w="580" w:type="dxa"/>
            <w:vAlign w:val="bottom"/>
            <w:tcBorders>
              <w:right w:val="single" w:sz="8" w:color="4B5088"/>
            </w:tcBorders>
          </w:tcPr>
          <w:p>
            <w:pPr>
              <w:jc w:val="center"/>
              <w:ind w:right="5"/>
              <w:spacing w:after="0"/>
              <w:rPr>
                <w:sz w:val="20"/>
                <w:szCs w:val="20"/>
                <w:color w:val="auto"/>
              </w:rPr>
            </w:pPr>
            <w:r>
              <w:rPr>
                <w:rFonts w:ascii="Arial" w:cs="Arial" w:eastAsia="Arial" w:hAnsi="Arial"/>
                <w:sz w:val="16"/>
                <w:szCs w:val="16"/>
                <w:b w:val="1"/>
                <w:bCs w:val="1"/>
                <w:color w:val="1F2668"/>
              </w:rPr>
              <w:t>​</w:t>
            </w:r>
          </w:p>
        </w:tc>
        <w:tc>
          <w:tcPr>
            <w:tcW w:w="80" w:type="dxa"/>
            <w:vAlign w:val="bottom"/>
          </w:tcPr>
          <w:p>
            <w:pPr>
              <w:spacing w:after="0"/>
              <w:rPr>
                <w:sz w:val="20"/>
                <w:szCs w:val="20"/>
                <w:color w:val="auto"/>
              </w:rPr>
            </w:pPr>
            <w:r>
              <w:rPr>
                <w:rFonts w:ascii="Arial" w:cs="Arial" w:eastAsia="Arial" w:hAnsi="Arial"/>
                <w:sz w:val="16"/>
                <w:szCs w:val="16"/>
                <w:b w:val="1"/>
                <w:bCs w:val="1"/>
                <w:color w:val="1F2668"/>
              </w:rPr>
              <w:t>​</w:t>
            </w:r>
          </w:p>
        </w:tc>
        <w:tc>
          <w:tcPr>
            <w:tcW w:w="580" w:type="dxa"/>
            <w:vAlign w:val="bottom"/>
            <w:tcBorders>
              <w:right w:val="single" w:sz="8" w:color="4B5088"/>
            </w:tcBorders>
          </w:tcPr>
          <w:p>
            <w:pPr>
              <w:jc w:val="center"/>
              <w:spacing w:after="0"/>
              <w:rPr>
                <w:sz w:val="20"/>
                <w:szCs w:val="20"/>
                <w:color w:val="auto"/>
              </w:rPr>
            </w:pPr>
            <w:r>
              <w:rPr>
                <w:rFonts w:ascii="Arial" w:cs="Arial" w:eastAsia="Arial" w:hAnsi="Arial"/>
                <w:sz w:val="16"/>
                <w:szCs w:val="16"/>
                <w:b w:val="1"/>
                <w:bCs w:val="1"/>
                <w:color w:val="1F2668"/>
              </w:rPr>
              <w:t>​</w:t>
            </w:r>
          </w:p>
        </w:tc>
        <w:tc>
          <w:tcPr>
            <w:tcW w:w="80" w:type="dxa"/>
            <w:vAlign w:val="bottom"/>
          </w:tcPr>
          <w:p>
            <w:pPr>
              <w:spacing w:after="0"/>
              <w:rPr>
                <w:sz w:val="20"/>
                <w:szCs w:val="20"/>
                <w:color w:val="auto"/>
              </w:rPr>
            </w:pPr>
            <w:r>
              <w:rPr>
                <w:rFonts w:ascii="Arial" w:cs="Arial" w:eastAsia="Arial" w:hAnsi="Arial"/>
                <w:sz w:val="16"/>
                <w:szCs w:val="16"/>
                <w:b w:val="1"/>
                <w:bCs w:val="1"/>
                <w:color w:val="1F2668"/>
              </w:rPr>
              <w:t>​</w:t>
            </w:r>
          </w:p>
        </w:tc>
        <w:tc>
          <w:tcPr>
            <w:tcW w:w="600" w:type="dxa"/>
            <w:vAlign w:val="bottom"/>
            <w:tcBorders>
              <w:right w:val="single" w:sz="8" w:color="4B5088"/>
            </w:tcBorders>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6"/>
                <w:szCs w:val="16"/>
                <w:b w:val="1"/>
                <w:bCs w:val="1"/>
                <w:color w:val="1F2668"/>
              </w:rPr>
              <w:t>​</w:t>
            </w:r>
          </w:p>
        </w:tc>
        <w:tc>
          <w:tcPr>
            <w:tcW w:w="620" w:type="dxa"/>
            <w:vAlign w:val="bottom"/>
            <w:tcBorders>
              <w:right w:val="single" w:sz="8" w:color="4B5088"/>
            </w:tcBorders>
          </w:tcPr>
          <w:p>
            <w:pPr>
              <w:jc w:val="center"/>
              <w:spacing w:after="0"/>
              <w:rPr>
                <w:sz w:val="20"/>
                <w:szCs w:val="20"/>
                <w:color w:val="auto"/>
              </w:rPr>
            </w:pPr>
            <w:r>
              <w:rPr>
                <w:rFonts w:ascii="Arial" w:cs="Arial" w:eastAsia="Arial" w:hAnsi="Arial"/>
                <w:sz w:val="16"/>
                <w:szCs w:val="16"/>
                <w:b w:val="1"/>
                <w:bCs w:val="1"/>
                <w:color w:val="1F2668"/>
              </w:rPr>
              <w:t>​</w:t>
            </w:r>
          </w:p>
        </w:tc>
        <w:tc>
          <w:tcPr>
            <w:tcW w:w="100" w:type="dxa"/>
            <w:vAlign w:val="bottom"/>
          </w:tcPr>
          <w:p>
            <w:pPr>
              <w:spacing w:after="0"/>
              <w:rPr>
                <w:sz w:val="20"/>
                <w:szCs w:val="20"/>
                <w:color w:val="auto"/>
              </w:rPr>
            </w:pPr>
            <w:r>
              <w:rPr>
                <w:rFonts w:ascii="Arial" w:cs="Arial" w:eastAsia="Arial" w:hAnsi="Arial"/>
                <w:sz w:val="16"/>
                <w:szCs w:val="16"/>
                <w:b w:val="1"/>
                <w:bCs w:val="1"/>
                <w:color w:val="1F2668"/>
              </w:rPr>
              <w:t>​</w:t>
            </w:r>
          </w:p>
        </w:tc>
        <w:tc>
          <w:tcPr>
            <w:tcW w:w="580" w:type="dxa"/>
            <w:vAlign w:val="bottom"/>
            <w:tcBorders>
              <w:right w:val="single" w:sz="8" w:color="4B5088"/>
            </w:tcBorders>
          </w:tcPr>
          <w:p>
            <w:pPr>
              <w:jc w:val="center"/>
              <w:ind w:right="3"/>
              <w:spacing w:after="0"/>
              <w:rPr>
                <w:sz w:val="20"/>
                <w:szCs w:val="20"/>
                <w:color w:val="auto"/>
              </w:rPr>
            </w:pPr>
            <w:r>
              <w:rPr>
                <w:rFonts w:ascii="Arial" w:cs="Arial" w:eastAsia="Arial" w:hAnsi="Arial"/>
                <w:sz w:val="16"/>
                <w:szCs w:val="16"/>
                <w:b w:val="1"/>
                <w:bCs w:val="1"/>
                <w:color w:val="1F2668"/>
              </w:rPr>
              <w:t>​</w:t>
            </w:r>
          </w:p>
        </w:tc>
        <w:tc>
          <w:tcPr>
            <w:tcW w:w="60" w:type="dxa"/>
            <w:vAlign w:val="bottom"/>
          </w:tcPr>
          <w:p>
            <w:pPr>
              <w:spacing w:after="0"/>
              <w:rPr>
                <w:sz w:val="20"/>
                <w:szCs w:val="20"/>
                <w:color w:val="auto"/>
              </w:rPr>
            </w:pPr>
            <w:r>
              <w:rPr>
                <w:rFonts w:ascii="Arial" w:cs="Arial" w:eastAsia="Arial" w:hAnsi="Arial"/>
                <w:sz w:val="16"/>
                <w:szCs w:val="16"/>
                <w:b w:val="1"/>
                <w:bCs w:val="1"/>
                <w:color w:val="1F2668"/>
              </w:rPr>
              <w:t>​</w:t>
            </w:r>
          </w:p>
        </w:tc>
        <w:tc>
          <w:tcPr>
            <w:tcW w:w="600" w:type="dxa"/>
            <w:vAlign w:val="bottom"/>
          </w:tcPr>
          <w:p>
            <w:pPr>
              <w:jc w:val="center"/>
              <w:spacing w:after="0"/>
              <w:rPr>
                <w:sz w:val="20"/>
                <w:szCs w:val="20"/>
                <w:color w:val="auto"/>
              </w:rPr>
            </w:pPr>
            <w:r>
              <w:rPr>
                <w:rFonts w:ascii="Arial" w:cs="Arial" w:eastAsia="Arial" w:hAnsi="Arial"/>
                <w:sz w:val="16"/>
                <w:szCs w:val="16"/>
                <w:b w:val="1"/>
                <w:bCs w:val="1"/>
                <w:color w:val="1F2668"/>
              </w:rPr>
              <w:t>​</w:t>
            </w:r>
          </w:p>
        </w:tc>
        <w:tc>
          <w:tcPr>
            <w:tcW w:w="40" w:type="dxa"/>
            <w:vAlign w:val="bottom"/>
          </w:tcPr>
          <w:p>
            <w:pPr>
              <w:spacing w:after="0"/>
              <w:rPr>
                <w:sz w:val="20"/>
                <w:szCs w:val="20"/>
                <w:color w:val="auto"/>
              </w:rPr>
            </w:pPr>
            <w:r>
              <w:rPr>
                <w:rFonts w:ascii="Arial" w:cs="Arial" w:eastAsia="Arial" w:hAnsi="Arial"/>
                <w:sz w:val="16"/>
                <w:szCs w:val="16"/>
                <w:b w:val="1"/>
                <w:bCs w:val="1"/>
                <w:color w:val="1F2668"/>
              </w:rPr>
              <w:t>​</w:t>
            </w:r>
          </w:p>
        </w:tc>
        <w:tc>
          <w:tcPr>
            <w:tcW w:w="0" w:type="dxa"/>
            <w:vAlign w:val="bottom"/>
          </w:tcPr>
          <w:p>
            <w:pPr>
              <w:spacing w:after="0"/>
              <w:rPr>
                <w:sz w:val="1"/>
                <w:szCs w:val="1"/>
                <w:color w:val="auto"/>
              </w:rPr>
            </w:pPr>
          </w:p>
        </w:tc>
      </w:tr>
      <w:tr>
        <w:trPr>
          <w:trHeight w:val="143"/>
        </w:trPr>
        <w:tc>
          <w:tcPr>
            <w:tcW w:w="380" w:type="dxa"/>
            <w:vAlign w:val="bottom"/>
            <w:tcBorders>
              <w:bottom w:val="single" w:sz="8" w:color="1F2668"/>
            </w:tcBorders>
          </w:tcPr>
          <w:p>
            <w:pPr>
              <w:spacing w:after="0"/>
              <w:rPr>
                <w:sz w:val="12"/>
                <w:szCs w:val="12"/>
                <w:color w:val="auto"/>
              </w:rPr>
            </w:pPr>
          </w:p>
        </w:tc>
        <w:tc>
          <w:tcPr>
            <w:tcW w:w="2860" w:type="dxa"/>
            <w:vAlign w:val="bottom"/>
            <w:tcBorders>
              <w:bottom w:val="single" w:sz="8" w:color="1F2668"/>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1F2668"/>
            </w:tcBorders>
          </w:tcPr>
          <w:p>
            <w:pPr>
              <w:spacing w:after="0"/>
              <w:rPr>
                <w:sz w:val="12"/>
                <w:szCs w:val="12"/>
                <w:color w:val="auto"/>
              </w:rPr>
            </w:pPr>
          </w:p>
        </w:tc>
        <w:tc>
          <w:tcPr>
            <w:tcW w:w="660" w:type="dxa"/>
            <w:vAlign w:val="bottom"/>
            <w:tcBorders>
              <w:bottom w:val="single" w:sz="8" w:color="1F2668"/>
              <w:right w:val="single" w:sz="8" w:color="4B5088"/>
            </w:tcBorders>
          </w:tcPr>
          <w:p>
            <w:pPr>
              <w:spacing w:after="0"/>
              <w:rPr>
                <w:sz w:val="12"/>
                <w:szCs w:val="12"/>
                <w:color w:val="auto"/>
              </w:rPr>
            </w:pPr>
          </w:p>
        </w:tc>
        <w:tc>
          <w:tcPr>
            <w:tcW w:w="100" w:type="dxa"/>
            <w:vAlign w:val="bottom"/>
            <w:tcBorders>
              <w:bottom w:val="single" w:sz="8" w:color="1F2668"/>
            </w:tcBorders>
          </w:tcPr>
          <w:p>
            <w:pPr>
              <w:spacing w:after="0"/>
              <w:rPr>
                <w:sz w:val="12"/>
                <w:szCs w:val="12"/>
                <w:color w:val="auto"/>
              </w:rPr>
            </w:pPr>
          </w:p>
        </w:tc>
        <w:tc>
          <w:tcPr>
            <w:tcW w:w="580" w:type="dxa"/>
            <w:vAlign w:val="bottom"/>
            <w:tcBorders>
              <w:bottom w:val="single" w:sz="8" w:color="1F2668"/>
              <w:right w:val="single" w:sz="8" w:color="4B5088"/>
            </w:tcBorders>
          </w:tcPr>
          <w:p>
            <w:pPr>
              <w:spacing w:after="0"/>
              <w:rPr>
                <w:sz w:val="12"/>
                <w:szCs w:val="12"/>
                <w:color w:val="auto"/>
              </w:rPr>
            </w:pPr>
          </w:p>
        </w:tc>
        <w:tc>
          <w:tcPr>
            <w:tcW w:w="100" w:type="dxa"/>
            <w:vAlign w:val="bottom"/>
            <w:tcBorders>
              <w:bottom w:val="single" w:sz="8" w:color="1F2668"/>
            </w:tcBorders>
          </w:tcPr>
          <w:p>
            <w:pPr>
              <w:spacing w:after="0"/>
              <w:rPr>
                <w:sz w:val="12"/>
                <w:szCs w:val="12"/>
                <w:color w:val="auto"/>
              </w:rPr>
            </w:pPr>
          </w:p>
        </w:tc>
        <w:tc>
          <w:tcPr>
            <w:tcW w:w="580" w:type="dxa"/>
            <w:vAlign w:val="bottom"/>
            <w:tcBorders>
              <w:bottom w:val="single" w:sz="8" w:color="1F2668"/>
              <w:right w:val="single" w:sz="8" w:color="4B5088"/>
            </w:tcBorders>
          </w:tcPr>
          <w:p>
            <w:pPr>
              <w:spacing w:after="0"/>
              <w:rPr>
                <w:sz w:val="12"/>
                <w:szCs w:val="12"/>
                <w:color w:val="auto"/>
              </w:rPr>
            </w:pPr>
          </w:p>
        </w:tc>
        <w:tc>
          <w:tcPr>
            <w:tcW w:w="80" w:type="dxa"/>
            <w:vAlign w:val="bottom"/>
            <w:tcBorders>
              <w:bottom w:val="single" w:sz="8" w:color="1F2668"/>
            </w:tcBorders>
          </w:tcPr>
          <w:p>
            <w:pPr>
              <w:spacing w:after="0"/>
              <w:rPr>
                <w:sz w:val="12"/>
                <w:szCs w:val="12"/>
                <w:color w:val="auto"/>
              </w:rPr>
            </w:pPr>
          </w:p>
        </w:tc>
        <w:tc>
          <w:tcPr>
            <w:tcW w:w="580" w:type="dxa"/>
            <w:vAlign w:val="bottom"/>
            <w:tcBorders>
              <w:bottom w:val="single" w:sz="8" w:color="1F2668"/>
              <w:right w:val="single" w:sz="8" w:color="4B5088"/>
            </w:tcBorders>
          </w:tcPr>
          <w:p>
            <w:pPr>
              <w:spacing w:after="0"/>
              <w:rPr>
                <w:sz w:val="12"/>
                <w:szCs w:val="12"/>
                <w:color w:val="auto"/>
              </w:rPr>
            </w:pPr>
          </w:p>
        </w:tc>
        <w:tc>
          <w:tcPr>
            <w:tcW w:w="80" w:type="dxa"/>
            <w:vAlign w:val="bottom"/>
            <w:tcBorders>
              <w:bottom w:val="single" w:sz="8" w:color="1F2668"/>
            </w:tcBorders>
          </w:tcPr>
          <w:p>
            <w:pPr>
              <w:spacing w:after="0"/>
              <w:rPr>
                <w:sz w:val="12"/>
                <w:szCs w:val="12"/>
                <w:color w:val="auto"/>
              </w:rPr>
            </w:pPr>
          </w:p>
        </w:tc>
        <w:tc>
          <w:tcPr>
            <w:tcW w:w="600" w:type="dxa"/>
            <w:vAlign w:val="bottom"/>
            <w:tcBorders>
              <w:bottom w:val="single" w:sz="8" w:color="1F2668"/>
              <w:right w:val="single" w:sz="8" w:color="4B5088"/>
            </w:tcBorders>
          </w:tcPr>
          <w:p>
            <w:pPr>
              <w:spacing w:after="0"/>
              <w:rPr>
                <w:sz w:val="12"/>
                <w:szCs w:val="12"/>
                <w:color w:val="auto"/>
              </w:rPr>
            </w:pPr>
          </w:p>
        </w:tc>
        <w:tc>
          <w:tcPr>
            <w:tcW w:w="80" w:type="dxa"/>
            <w:vAlign w:val="bottom"/>
            <w:tcBorders>
              <w:bottom w:val="single" w:sz="8" w:color="1F2668"/>
            </w:tcBorders>
          </w:tcPr>
          <w:p>
            <w:pPr>
              <w:spacing w:after="0"/>
              <w:rPr>
                <w:sz w:val="12"/>
                <w:szCs w:val="12"/>
                <w:color w:val="auto"/>
              </w:rPr>
            </w:pPr>
          </w:p>
        </w:tc>
        <w:tc>
          <w:tcPr>
            <w:tcW w:w="620" w:type="dxa"/>
            <w:vAlign w:val="bottom"/>
            <w:tcBorders>
              <w:bottom w:val="single" w:sz="8" w:color="1F2668"/>
              <w:right w:val="single" w:sz="8" w:color="4B5088"/>
            </w:tcBorders>
          </w:tcPr>
          <w:p>
            <w:pPr>
              <w:spacing w:after="0"/>
              <w:rPr>
                <w:sz w:val="12"/>
                <w:szCs w:val="12"/>
                <w:color w:val="auto"/>
              </w:rPr>
            </w:pPr>
          </w:p>
        </w:tc>
        <w:tc>
          <w:tcPr>
            <w:tcW w:w="100" w:type="dxa"/>
            <w:vAlign w:val="bottom"/>
            <w:tcBorders>
              <w:bottom w:val="single" w:sz="8" w:color="1F2668"/>
            </w:tcBorders>
          </w:tcPr>
          <w:p>
            <w:pPr>
              <w:spacing w:after="0"/>
              <w:rPr>
                <w:sz w:val="12"/>
                <w:szCs w:val="12"/>
                <w:color w:val="auto"/>
              </w:rPr>
            </w:pPr>
          </w:p>
        </w:tc>
        <w:tc>
          <w:tcPr>
            <w:tcW w:w="580" w:type="dxa"/>
            <w:vAlign w:val="bottom"/>
            <w:tcBorders>
              <w:bottom w:val="single" w:sz="8" w:color="1F2668"/>
              <w:right w:val="single" w:sz="8" w:color="4B5088"/>
            </w:tcBorders>
          </w:tcPr>
          <w:p>
            <w:pPr>
              <w:spacing w:after="0"/>
              <w:rPr>
                <w:sz w:val="12"/>
                <w:szCs w:val="12"/>
                <w:color w:val="auto"/>
              </w:rPr>
            </w:pPr>
          </w:p>
        </w:tc>
        <w:tc>
          <w:tcPr>
            <w:tcW w:w="60" w:type="dxa"/>
            <w:vAlign w:val="bottom"/>
            <w:tcBorders>
              <w:bottom w:val="single" w:sz="8" w:color="1F2668"/>
            </w:tcBorders>
          </w:tcPr>
          <w:p>
            <w:pPr>
              <w:spacing w:after="0"/>
              <w:rPr>
                <w:sz w:val="12"/>
                <w:szCs w:val="12"/>
                <w:color w:val="auto"/>
              </w:rPr>
            </w:pPr>
          </w:p>
        </w:tc>
        <w:tc>
          <w:tcPr>
            <w:tcW w:w="600" w:type="dxa"/>
            <w:vAlign w:val="bottom"/>
            <w:tcBorders>
              <w:bottom w:val="single" w:sz="8" w:color="1F2668"/>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2860" w:type="dxa"/>
            <w:vAlign w:val="bottom"/>
          </w:tcPr>
          <w:p>
            <w:pPr>
              <w:ind w:left="360"/>
              <w:spacing w:after="0"/>
              <w:rPr>
                <w:sz w:val="20"/>
                <w:szCs w:val="20"/>
                <w:color w:val="auto"/>
              </w:rPr>
            </w:pPr>
            <w:r>
              <w:rPr>
                <w:rFonts w:ascii="Arial" w:cs="Arial" w:eastAsia="Arial" w:hAnsi="Arial"/>
                <w:sz w:val="16"/>
                <w:szCs w:val="16"/>
                <w:b w:val="1"/>
                <w:bCs w:val="1"/>
                <w:color w:val="1F2668"/>
              </w:rPr>
              <w:t>​Accounting</w:t>
            </w:r>
          </w:p>
        </w:tc>
        <w:tc>
          <w:tcPr>
            <w:tcW w:w="220" w:type="dxa"/>
            <w:vAlign w:val="bottom"/>
          </w:tcPr>
          <w:p>
            <w:pPr>
              <w:spacing w:after="0"/>
              <w:rPr>
                <w:sz w:val="20"/>
                <w:szCs w:val="20"/>
                <w:color w:val="auto"/>
              </w:rPr>
            </w:pPr>
            <w:r>
              <w:rPr>
                <w:rFonts w:ascii="Arial" w:cs="Arial" w:eastAsia="Arial" w:hAnsi="Arial"/>
                <w:sz w:val="16"/>
                <w:szCs w:val="16"/>
                <w:b w:val="1"/>
                <w:bCs w:val="1"/>
                <w:color w:val="1F2668"/>
              </w:rPr>
              <w:t>​</w:t>
            </w:r>
          </w:p>
        </w:tc>
        <w:tc>
          <w:tcPr>
            <w:tcW w:w="160" w:type="dxa"/>
            <w:vAlign w:val="bottom"/>
          </w:tcPr>
          <w:p>
            <w:pPr>
              <w:spacing w:after="0"/>
              <w:rPr>
                <w:sz w:val="20"/>
                <w:szCs w:val="20"/>
                <w:color w:val="auto"/>
              </w:rPr>
            </w:pPr>
            <w:r>
              <w:rPr>
                <w:rFonts w:ascii="Arial" w:cs="Arial" w:eastAsia="Arial" w:hAnsi="Arial"/>
                <w:sz w:val="16"/>
                <w:szCs w:val="16"/>
                <w:b w:val="1"/>
                <w:bCs w:val="1"/>
                <w:color w:val="1F2668"/>
              </w:rPr>
              <w:t>​ ​</w:t>
            </w:r>
          </w:p>
        </w:tc>
        <w:tc>
          <w:tcPr>
            <w:tcW w:w="60" w:type="dxa"/>
            <w:vAlign w:val="bottom"/>
          </w:tcPr>
          <w:p>
            <w:pPr>
              <w:spacing w:after="0"/>
              <w:rPr>
                <w:sz w:val="20"/>
                <w:szCs w:val="20"/>
                <w:color w:val="auto"/>
              </w:rPr>
            </w:pPr>
            <w:r>
              <w:rPr>
                <w:rFonts w:ascii="Arial" w:cs="Arial" w:eastAsia="Arial" w:hAnsi="Arial"/>
                <w:sz w:val="16"/>
                <w:szCs w:val="16"/>
                <w:b w:val="1"/>
                <w:bCs w:val="1"/>
                <w:color w:val="1F2668"/>
              </w:rPr>
              <w:t>​</w:t>
            </w:r>
          </w:p>
        </w:tc>
        <w:tc>
          <w:tcPr>
            <w:tcW w:w="660" w:type="dxa"/>
            <w:vAlign w:val="bottom"/>
            <w:tcBorders>
              <w:right w:val="single" w:sz="8" w:color="4B5088"/>
            </w:tcBorders>
          </w:tcPr>
          <w:p>
            <w:pPr>
              <w:jc w:val="center"/>
              <w:spacing w:after="0"/>
              <w:rPr>
                <w:sz w:val="20"/>
                <w:szCs w:val="20"/>
                <w:color w:val="auto"/>
              </w:rPr>
            </w:pPr>
            <w:r>
              <w:rPr>
                <w:rFonts w:ascii="Arial" w:cs="Arial" w:eastAsia="Arial" w:hAnsi="Arial"/>
                <w:sz w:val="16"/>
                <w:szCs w:val="16"/>
                <w:b w:val="1"/>
                <w:bCs w:val="1"/>
                <w:color w:val="1F2668"/>
              </w:rPr>
              <w:t>​</w:t>
            </w:r>
          </w:p>
        </w:tc>
        <w:tc>
          <w:tcPr>
            <w:tcW w:w="100" w:type="dxa"/>
            <w:vAlign w:val="bottom"/>
          </w:tcPr>
          <w:p>
            <w:pPr>
              <w:spacing w:after="0"/>
              <w:rPr>
                <w:sz w:val="20"/>
                <w:szCs w:val="20"/>
                <w:color w:val="auto"/>
              </w:rPr>
            </w:pPr>
            <w:r>
              <w:rPr>
                <w:rFonts w:ascii="Arial" w:cs="Arial" w:eastAsia="Arial" w:hAnsi="Arial"/>
                <w:sz w:val="16"/>
                <w:szCs w:val="16"/>
                <w:b w:val="1"/>
                <w:bCs w:val="1"/>
                <w:color w:val="1F2668"/>
              </w:rPr>
              <w:t>​</w:t>
            </w:r>
          </w:p>
        </w:tc>
        <w:tc>
          <w:tcPr>
            <w:tcW w:w="580" w:type="dxa"/>
            <w:vAlign w:val="bottom"/>
            <w:tcBorders>
              <w:right w:val="single" w:sz="8" w:color="4B5088"/>
            </w:tcBorders>
          </w:tcPr>
          <w:p>
            <w:pPr>
              <w:jc w:val="center"/>
              <w:spacing w:after="0"/>
              <w:rPr>
                <w:sz w:val="20"/>
                <w:szCs w:val="20"/>
                <w:color w:val="auto"/>
              </w:rPr>
            </w:pPr>
            <w:r>
              <w:rPr>
                <w:rFonts w:ascii="Arial" w:cs="Arial" w:eastAsia="Arial" w:hAnsi="Arial"/>
                <w:sz w:val="16"/>
                <w:szCs w:val="16"/>
                <w:b w:val="1"/>
                <w:bCs w:val="1"/>
                <w:color w:val="1F2668"/>
              </w:rPr>
              <w:t>​</w:t>
            </w:r>
          </w:p>
        </w:tc>
        <w:tc>
          <w:tcPr>
            <w:tcW w:w="100" w:type="dxa"/>
            <w:vAlign w:val="bottom"/>
          </w:tcPr>
          <w:p>
            <w:pPr>
              <w:spacing w:after="0"/>
              <w:rPr>
                <w:sz w:val="20"/>
                <w:szCs w:val="20"/>
                <w:color w:val="auto"/>
              </w:rPr>
            </w:pPr>
            <w:r>
              <w:rPr>
                <w:rFonts w:ascii="Arial" w:cs="Arial" w:eastAsia="Arial" w:hAnsi="Arial"/>
                <w:sz w:val="16"/>
                <w:szCs w:val="16"/>
                <w:b w:val="1"/>
                <w:bCs w:val="1"/>
                <w:color w:val="1F2668"/>
              </w:rPr>
              <w:t>​</w:t>
            </w:r>
          </w:p>
        </w:tc>
        <w:tc>
          <w:tcPr>
            <w:tcW w:w="580" w:type="dxa"/>
            <w:vAlign w:val="bottom"/>
            <w:tcBorders>
              <w:right w:val="single" w:sz="8" w:color="4B5088"/>
            </w:tcBorders>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6"/>
                <w:szCs w:val="16"/>
                <w:b w:val="1"/>
                <w:bCs w:val="1"/>
                <w:color w:val="1F2668"/>
              </w:rPr>
              <w:t>​</w:t>
            </w:r>
          </w:p>
        </w:tc>
        <w:tc>
          <w:tcPr>
            <w:tcW w:w="580" w:type="dxa"/>
            <w:vAlign w:val="bottom"/>
            <w:tcBorders>
              <w:right w:val="single" w:sz="8" w:color="4B5088"/>
            </w:tcBorders>
          </w:tcPr>
          <w:p>
            <w:pPr>
              <w:jc w:val="center"/>
              <w:spacing w:after="0"/>
              <w:rPr>
                <w:sz w:val="20"/>
                <w:szCs w:val="20"/>
                <w:color w:val="auto"/>
              </w:rPr>
            </w:pPr>
            <w:r>
              <w:rPr>
                <w:rFonts w:ascii="Arial" w:cs="Arial" w:eastAsia="Arial" w:hAnsi="Arial"/>
                <w:sz w:val="16"/>
                <w:szCs w:val="16"/>
                <w:b w:val="1"/>
                <w:bCs w:val="1"/>
                <w:color w:val="1F2668"/>
              </w:rPr>
              <w:t>​</w:t>
            </w:r>
          </w:p>
        </w:tc>
        <w:tc>
          <w:tcPr>
            <w:tcW w:w="80" w:type="dxa"/>
            <w:vAlign w:val="bottom"/>
          </w:tcPr>
          <w:p>
            <w:pPr>
              <w:spacing w:after="0"/>
              <w:rPr>
                <w:sz w:val="20"/>
                <w:szCs w:val="20"/>
                <w:color w:val="auto"/>
              </w:rPr>
            </w:pPr>
            <w:r>
              <w:rPr>
                <w:rFonts w:ascii="Arial" w:cs="Arial" w:eastAsia="Arial" w:hAnsi="Arial"/>
                <w:sz w:val="16"/>
                <w:szCs w:val="16"/>
                <w:b w:val="1"/>
                <w:bCs w:val="1"/>
                <w:color w:val="1F2668"/>
              </w:rPr>
              <w:t>​</w:t>
            </w:r>
          </w:p>
        </w:tc>
        <w:tc>
          <w:tcPr>
            <w:tcW w:w="600" w:type="dxa"/>
            <w:vAlign w:val="bottom"/>
            <w:tcBorders>
              <w:right w:val="single" w:sz="8" w:color="4B5088"/>
            </w:tcBorders>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6"/>
                <w:szCs w:val="16"/>
                <w:b w:val="1"/>
                <w:bCs w:val="1"/>
                <w:color w:val="1F2668"/>
              </w:rPr>
              <w:t>​</w:t>
            </w:r>
          </w:p>
        </w:tc>
        <w:tc>
          <w:tcPr>
            <w:tcW w:w="620" w:type="dxa"/>
            <w:vAlign w:val="bottom"/>
            <w:tcBorders>
              <w:right w:val="single" w:sz="8" w:color="4B5088"/>
            </w:tcBorders>
          </w:tcPr>
          <w:p>
            <w:pPr>
              <w:jc w:val="center"/>
              <w:spacing w:after="0"/>
              <w:rPr>
                <w:sz w:val="20"/>
                <w:szCs w:val="20"/>
                <w:color w:val="auto"/>
              </w:rPr>
            </w:pPr>
            <w:r>
              <w:rPr>
                <w:rFonts w:ascii="Arial" w:cs="Arial" w:eastAsia="Arial" w:hAnsi="Arial"/>
                <w:sz w:val="16"/>
                <w:szCs w:val="16"/>
                <w:b w:val="1"/>
                <w:bCs w:val="1"/>
                <w:color w:val="1F2668"/>
              </w:rPr>
              <w:t>​</w:t>
            </w:r>
          </w:p>
        </w:tc>
        <w:tc>
          <w:tcPr>
            <w:tcW w:w="100" w:type="dxa"/>
            <w:vAlign w:val="bottom"/>
          </w:tcPr>
          <w:p>
            <w:pPr>
              <w:spacing w:after="0"/>
              <w:rPr>
                <w:sz w:val="20"/>
                <w:szCs w:val="20"/>
                <w:color w:val="auto"/>
              </w:rPr>
            </w:pPr>
            <w:r>
              <w:rPr>
                <w:rFonts w:ascii="Arial" w:cs="Arial" w:eastAsia="Arial" w:hAnsi="Arial"/>
                <w:sz w:val="16"/>
                <w:szCs w:val="16"/>
                <w:b w:val="1"/>
                <w:bCs w:val="1"/>
                <w:color w:val="1F2668"/>
              </w:rPr>
              <w:t>​</w:t>
            </w:r>
          </w:p>
        </w:tc>
        <w:tc>
          <w:tcPr>
            <w:tcW w:w="580" w:type="dxa"/>
            <w:vAlign w:val="bottom"/>
            <w:tcBorders>
              <w:right w:val="single" w:sz="8" w:color="4B5088"/>
            </w:tcBorders>
          </w:tcPr>
          <w:p>
            <w:pPr>
              <w:jc w:val="center"/>
              <w:ind w:right="3"/>
              <w:spacing w:after="0"/>
              <w:rPr>
                <w:sz w:val="20"/>
                <w:szCs w:val="20"/>
                <w:color w:val="auto"/>
              </w:rPr>
            </w:pPr>
            <w:r>
              <w:rPr>
                <w:rFonts w:ascii="Arial" w:cs="Arial" w:eastAsia="Arial" w:hAnsi="Arial"/>
                <w:sz w:val="16"/>
                <w:szCs w:val="16"/>
                <w:b w:val="1"/>
                <w:bCs w:val="1"/>
                <w:color w:val="1F2668"/>
              </w:rPr>
              <w:t>​</w:t>
            </w:r>
          </w:p>
        </w:tc>
        <w:tc>
          <w:tcPr>
            <w:tcW w:w="60" w:type="dxa"/>
            <w:vAlign w:val="bottom"/>
          </w:tcPr>
          <w:p>
            <w:pPr>
              <w:spacing w:after="0"/>
              <w:rPr>
                <w:sz w:val="20"/>
                <w:szCs w:val="20"/>
                <w:color w:val="auto"/>
              </w:rPr>
            </w:pPr>
            <w:r>
              <w:rPr>
                <w:rFonts w:ascii="Arial" w:cs="Arial" w:eastAsia="Arial" w:hAnsi="Arial"/>
                <w:sz w:val="16"/>
                <w:szCs w:val="16"/>
                <w:b w:val="1"/>
                <w:bCs w:val="1"/>
                <w:color w:val="1F2668"/>
              </w:rPr>
              <w:t>​</w:t>
            </w:r>
          </w:p>
        </w:tc>
        <w:tc>
          <w:tcPr>
            <w:tcW w:w="600" w:type="dxa"/>
            <w:vAlign w:val="bottom"/>
          </w:tcPr>
          <w:p>
            <w:pPr>
              <w:jc w:val="center"/>
              <w:spacing w:after="0"/>
              <w:rPr>
                <w:sz w:val="20"/>
                <w:szCs w:val="20"/>
                <w:color w:val="auto"/>
              </w:rPr>
            </w:pPr>
            <w:r>
              <w:rPr>
                <w:rFonts w:ascii="Arial" w:cs="Arial" w:eastAsia="Arial" w:hAnsi="Arial"/>
                <w:sz w:val="16"/>
                <w:szCs w:val="16"/>
                <w:b w:val="1"/>
                <w:bCs w:val="1"/>
                <w:color w:val="1F2668"/>
              </w:rPr>
              <w:t>​</w:t>
            </w:r>
          </w:p>
        </w:tc>
        <w:tc>
          <w:tcPr>
            <w:tcW w:w="40" w:type="dxa"/>
            <w:vAlign w:val="bottom"/>
          </w:tcPr>
          <w:p>
            <w:pPr>
              <w:spacing w:after="0"/>
              <w:rPr>
                <w:sz w:val="20"/>
                <w:szCs w:val="20"/>
                <w:color w:val="auto"/>
              </w:rPr>
            </w:pPr>
            <w:r>
              <w:rPr>
                <w:rFonts w:ascii="Arial" w:cs="Arial" w:eastAsia="Arial" w:hAnsi="Arial"/>
                <w:sz w:val="16"/>
                <w:szCs w:val="16"/>
                <w:b w:val="1"/>
                <w:bCs w:val="1"/>
                <w:color w:val="1F2668"/>
              </w:rPr>
              <w:t>​</w:t>
            </w:r>
          </w:p>
        </w:tc>
        <w:tc>
          <w:tcPr>
            <w:tcW w:w="0" w:type="dxa"/>
            <w:vAlign w:val="bottom"/>
          </w:tcPr>
          <w:p>
            <w:pPr>
              <w:spacing w:after="0"/>
              <w:rPr>
                <w:sz w:val="1"/>
                <w:szCs w:val="1"/>
                <w:color w:val="auto"/>
              </w:rPr>
            </w:pPr>
          </w:p>
        </w:tc>
      </w:tr>
      <w:tr>
        <w:trPr>
          <w:trHeight w:val="223"/>
        </w:trPr>
        <w:tc>
          <w:tcPr>
            <w:tcW w:w="380" w:type="dxa"/>
            <w:vAlign w:val="bottom"/>
            <w:tcBorders>
              <w:bottom w:val="single" w:sz="8" w:color="1F2668"/>
            </w:tcBorders>
          </w:tcPr>
          <w:p>
            <w:pPr>
              <w:spacing w:after="0"/>
              <w:rPr>
                <w:sz w:val="19"/>
                <w:szCs w:val="19"/>
                <w:color w:val="auto"/>
              </w:rPr>
            </w:pPr>
          </w:p>
        </w:tc>
        <w:tc>
          <w:tcPr>
            <w:tcW w:w="2860" w:type="dxa"/>
            <w:vAlign w:val="bottom"/>
            <w:tcBorders>
              <w:bottom w:val="single" w:sz="8" w:color="1F2668"/>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Borders>
              <w:bottom w:val="single" w:sz="8" w:color="1F2668"/>
            </w:tcBorders>
          </w:tcPr>
          <w:p>
            <w:pPr>
              <w:spacing w:after="0"/>
              <w:rPr>
                <w:sz w:val="19"/>
                <w:szCs w:val="19"/>
                <w:color w:val="auto"/>
              </w:rPr>
            </w:pPr>
          </w:p>
        </w:tc>
        <w:tc>
          <w:tcPr>
            <w:tcW w:w="660" w:type="dxa"/>
            <w:vAlign w:val="bottom"/>
            <w:tcBorders>
              <w:bottom w:val="single" w:sz="8" w:color="1F2668"/>
              <w:right w:val="single" w:sz="8" w:color="4B5088"/>
            </w:tcBorders>
          </w:tcPr>
          <w:p>
            <w:pPr>
              <w:spacing w:after="0"/>
              <w:rPr>
                <w:sz w:val="19"/>
                <w:szCs w:val="19"/>
                <w:color w:val="auto"/>
              </w:rPr>
            </w:pPr>
          </w:p>
        </w:tc>
        <w:tc>
          <w:tcPr>
            <w:tcW w:w="100" w:type="dxa"/>
            <w:vAlign w:val="bottom"/>
            <w:tcBorders>
              <w:bottom w:val="single" w:sz="8" w:color="1F2668"/>
            </w:tcBorders>
          </w:tcPr>
          <w:p>
            <w:pPr>
              <w:spacing w:after="0"/>
              <w:rPr>
                <w:sz w:val="19"/>
                <w:szCs w:val="19"/>
                <w:color w:val="auto"/>
              </w:rPr>
            </w:pPr>
          </w:p>
        </w:tc>
        <w:tc>
          <w:tcPr>
            <w:tcW w:w="580" w:type="dxa"/>
            <w:vAlign w:val="bottom"/>
            <w:tcBorders>
              <w:bottom w:val="single" w:sz="8" w:color="1F2668"/>
              <w:right w:val="single" w:sz="8" w:color="4B5088"/>
            </w:tcBorders>
          </w:tcPr>
          <w:p>
            <w:pPr>
              <w:spacing w:after="0"/>
              <w:rPr>
                <w:sz w:val="19"/>
                <w:szCs w:val="19"/>
                <w:color w:val="auto"/>
              </w:rPr>
            </w:pPr>
          </w:p>
        </w:tc>
        <w:tc>
          <w:tcPr>
            <w:tcW w:w="100" w:type="dxa"/>
            <w:vAlign w:val="bottom"/>
            <w:tcBorders>
              <w:bottom w:val="single" w:sz="8" w:color="1F2668"/>
            </w:tcBorders>
          </w:tcPr>
          <w:p>
            <w:pPr>
              <w:spacing w:after="0"/>
              <w:rPr>
                <w:sz w:val="19"/>
                <w:szCs w:val="19"/>
                <w:color w:val="auto"/>
              </w:rPr>
            </w:pPr>
          </w:p>
        </w:tc>
        <w:tc>
          <w:tcPr>
            <w:tcW w:w="580" w:type="dxa"/>
            <w:vAlign w:val="bottom"/>
            <w:tcBorders>
              <w:bottom w:val="single" w:sz="8" w:color="1F2668"/>
              <w:right w:val="single" w:sz="8" w:color="4B5088"/>
            </w:tcBorders>
          </w:tcPr>
          <w:p>
            <w:pPr>
              <w:spacing w:after="0"/>
              <w:rPr>
                <w:sz w:val="19"/>
                <w:szCs w:val="19"/>
                <w:color w:val="auto"/>
              </w:rPr>
            </w:pPr>
          </w:p>
        </w:tc>
        <w:tc>
          <w:tcPr>
            <w:tcW w:w="80" w:type="dxa"/>
            <w:vAlign w:val="bottom"/>
            <w:tcBorders>
              <w:bottom w:val="single" w:sz="8" w:color="1F2668"/>
            </w:tcBorders>
          </w:tcPr>
          <w:p>
            <w:pPr>
              <w:spacing w:after="0"/>
              <w:rPr>
                <w:sz w:val="19"/>
                <w:szCs w:val="19"/>
                <w:color w:val="auto"/>
              </w:rPr>
            </w:pPr>
          </w:p>
        </w:tc>
        <w:tc>
          <w:tcPr>
            <w:tcW w:w="580" w:type="dxa"/>
            <w:vAlign w:val="bottom"/>
            <w:tcBorders>
              <w:bottom w:val="single" w:sz="8" w:color="1F2668"/>
              <w:right w:val="single" w:sz="8" w:color="4B5088"/>
            </w:tcBorders>
          </w:tcPr>
          <w:p>
            <w:pPr>
              <w:spacing w:after="0"/>
              <w:rPr>
                <w:sz w:val="19"/>
                <w:szCs w:val="19"/>
                <w:color w:val="auto"/>
              </w:rPr>
            </w:pPr>
          </w:p>
        </w:tc>
        <w:tc>
          <w:tcPr>
            <w:tcW w:w="80" w:type="dxa"/>
            <w:vAlign w:val="bottom"/>
            <w:tcBorders>
              <w:bottom w:val="single" w:sz="8" w:color="1F2668"/>
            </w:tcBorders>
          </w:tcPr>
          <w:p>
            <w:pPr>
              <w:spacing w:after="0"/>
              <w:rPr>
                <w:sz w:val="19"/>
                <w:szCs w:val="19"/>
                <w:color w:val="auto"/>
              </w:rPr>
            </w:pPr>
          </w:p>
        </w:tc>
        <w:tc>
          <w:tcPr>
            <w:tcW w:w="600" w:type="dxa"/>
            <w:vAlign w:val="bottom"/>
            <w:tcBorders>
              <w:bottom w:val="single" w:sz="8" w:color="1F2668"/>
              <w:right w:val="single" w:sz="8" w:color="4B5088"/>
            </w:tcBorders>
          </w:tcPr>
          <w:p>
            <w:pPr>
              <w:spacing w:after="0"/>
              <w:rPr>
                <w:sz w:val="19"/>
                <w:szCs w:val="19"/>
                <w:color w:val="auto"/>
              </w:rPr>
            </w:pPr>
          </w:p>
        </w:tc>
        <w:tc>
          <w:tcPr>
            <w:tcW w:w="80" w:type="dxa"/>
            <w:vAlign w:val="bottom"/>
            <w:tcBorders>
              <w:bottom w:val="single" w:sz="8" w:color="1F2668"/>
            </w:tcBorders>
          </w:tcPr>
          <w:p>
            <w:pPr>
              <w:spacing w:after="0"/>
              <w:rPr>
                <w:sz w:val="19"/>
                <w:szCs w:val="19"/>
                <w:color w:val="auto"/>
              </w:rPr>
            </w:pPr>
          </w:p>
        </w:tc>
        <w:tc>
          <w:tcPr>
            <w:tcW w:w="620" w:type="dxa"/>
            <w:vAlign w:val="bottom"/>
            <w:tcBorders>
              <w:bottom w:val="single" w:sz="8" w:color="1F2668"/>
              <w:right w:val="single" w:sz="8" w:color="4B5088"/>
            </w:tcBorders>
          </w:tcPr>
          <w:p>
            <w:pPr>
              <w:spacing w:after="0"/>
              <w:rPr>
                <w:sz w:val="19"/>
                <w:szCs w:val="19"/>
                <w:color w:val="auto"/>
              </w:rPr>
            </w:pPr>
          </w:p>
        </w:tc>
        <w:tc>
          <w:tcPr>
            <w:tcW w:w="100" w:type="dxa"/>
            <w:vAlign w:val="bottom"/>
            <w:tcBorders>
              <w:bottom w:val="single" w:sz="8" w:color="1F2668"/>
            </w:tcBorders>
          </w:tcPr>
          <w:p>
            <w:pPr>
              <w:spacing w:after="0"/>
              <w:rPr>
                <w:sz w:val="19"/>
                <w:szCs w:val="19"/>
                <w:color w:val="auto"/>
              </w:rPr>
            </w:pPr>
          </w:p>
        </w:tc>
        <w:tc>
          <w:tcPr>
            <w:tcW w:w="580" w:type="dxa"/>
            <w:vAlign w:val="bottom"/>
            <w:tcBorders>
              <w:bottom w:val="single" w:sz="8" w:color="1F2668"/>
              <w:right w:val="single" w:sz="8" w:color="4B5088"/>
            </w:tcBorders>
          </w:tcPr>
          <w:p>
            <w:pPr>
              <w:spacing w:after="0"/>
              <w:rPr>
                <w:sz w:val="19"/>
                <w:szCs w:val="19"/>
                <w:color w:val="auto"/>
              </w:rPr>
            </w:pPr>
          </w:p>
        </w:tc>
        <w:tc>
          <w:tcPr>
            <w:tcW w:w="60" w:type="dxa"/>
            <w:vAlign w:val="bottom"/>
            <w:tcBorders>
              <w:bottom w:val="single" w:sz="8" w:color="1F2668"/>
            </w:tcBorders>
          </w:tcPr>
          <w:p>
            <w:pPr>
              <w:spacing w:after="0"/>
              <w:rPr>
                <w:sz w:val="19"/>
                <w:szCs w:val="19"/>
                <w:color w:val="auto"/>
              </w:rPr>
            </w:pPr>
          </w:p>
        </w:tc>
        <w:tc>
          <w:tcPr>
            <w:tcW w:w="600" w:type="dxa"/>
            <w:vAlign w:val="bottom"/>
            <w:tcBorders>
              <w:bottom w:val="single" w:sz="8" w:color="1F2668"/>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380" w:type="dxa"/>
            <w:vAlign w:val="bottom"/>
          </w:tcPr>
          <w:p>
            <w:pPr>
              <w:spacing w:after="0"/>
              <w:rPr>
                <w:sz w:val="24"/>
                <w:szCs w:val="24"/>
                <w:color w:val="auto"/>
              </w:rPr>
            </w:pPr>
          </w:p>
        </w:tc>
        <w:tc>
          <w:tcPr>
            <w:tcW w:w="2860" w:type="dxa"/>
            <w:vAlign w:val="bottom"/>
          </w:tcPr>
          <w:p>
            <w:pPr>
              <w:ind w:left="360"/>
              <w:spacing w:after="0"/>
              <w:rPr>
                <w:sz w:val="20"/>
                <w:szCs w:val="20"/>
                <w:color w:val="auto"/>
              </w:rPr>
            </w:pPr>
            <w:r>
              <w:rPr>
                <w:rFonts w:ascii="Arial" w:cs="Arial" w:eastAsia="Arial" w:hAnsi="Arial"/>
                <w:sz w:val="32"/>
                <w:szCs w:val="32"/>
                <w:b w:val="1"/>
                <w:bCs w:val="1"/>
                <w:color w:val="1F2668"/>
                <w:vertAlign w:val="subscript"/>
              </w:rPr>
              <w:t>​</w:t>
            </w:r>
            <w:r>
              <w:rPr>
                <w:rFonts w:ascii="Arial" w:cs="Arial" w:eastAsia="Arial" w:hAnsi="Arial"/>
                <w:sz w:val="16"/>
                <w:szCs w:val="16"/>
                <w:b w:val="1"/>
                <w:bCs w:val="1"/>
                <w:color w:val="1F2668"/>
              </w:rPr>
              <w:t>Government/Regulatory</w:t>
            </w:r>
          </w:p>
        </w:tc>
        <w:tc>
          <w:tcPr>
            <w:tcW w:w="220" w:type="dxa"/>
            <w:vAlign w:val="bottom"/>
          </w:tcPr>
          <w:p>
            <w:pPr>
              <w:spacing w:after="0"/>
              <w:rPr>
                <w:sz w:val="20"/>
                <w:szCs w:val="20"/>
                <w:color w:val="auto"/>
              </w:rPr>
            </w:pPr>
            <w:r>
              <w:rPr>
                <w:rFonts w:ascii="Arial" w:cs="Arial" w:eastAsia="Arial" w:hAnsi="Arial"/>
                <w:sz w:val="16"/>
                <w:szCs w:val="16"/>
                <w:b w:val="1"/>
                <w:bCs w:val="1"/>
                <w:color w:val="1F2668"/>
              </w:rPr>
              <w:t>​</w:t>
            </w:r>
          </w:p>
        </w:tc>
        <w:tc>
          <w:tcPr>
            <w:tcW w:w="160" w:type="dxa"/>
            <w:vAlign w:val="bottom"/>
          </w:tcPr>
          <w:p>
            <w:pPr>
              <w:spacing w:after="0"/>
              <w:rPr>
                <w:sz w:val="20"/>
                <w:szCs w:val="20"/>
                <w:color w:val="auto"/>
              </w:rPr>
            </w:pPr>
            <w:r>
              <w:rPr>
                <w:rFonts w:ascii="Arial" w:cs="Arial" w:eastAsia="Arial" w:hAnsi="Arial"/>
                <w:sz w:val="16"/>
                <w:szCs w:val="16"/>
                <w:b w:val="1"/>
                <w:bCs w:val="1"/>
                <w:color w:val="1F2668"/>
              </w:rPr>
              <w:t>​ ​</w:t>
            </w:r>
          </w:p>
        </w:tc>
        <w:tc>
          <w:tcPr>
            <w:tcW w:w="60" w:type="dxa"/>
            <w:vAlign w:val="bottom"/>
          </w:tcPr>
          <w:p>
            <w:pPr>
              <w:spacing w:after="0"/>
              <w:rPr>
                <w:sz w:val="20"/>
                <w:szCs w:val="20"/>
                <w:color w:val="auto"/>
              </w:rPr>
            </w:pPr>
            <w:r>
              <w:rPr>
                <w:rFonts w:ascii="Arial" w:cs="Arial" w:eastAsia="Arial" w:hAnsi="Arial"/>
                <w:sz w:val="16"/>
                <w:szCs w:val="16"/>
                <w:b w:val="1"/>
                <w:bCs w:val="1"/>
                <w:color w:val="1F2668"/>
              </w:rPr>
              <w:t>​​</w:t>
            </w:r>
          </w:p>
        </w:tc>
        <w:tc>
          <w:tcPr>
            <w:tcW w:w="660" w:type="dxa"/>
            <w:vAlign w:val="bottom"/>
            <w:tcBorders>
              <w:right w:val="single" w:sz="8" w:color="4B5088"/>
            </w:tcBorders>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6"/>
                <w:szCs w:val="16"/>
                <w:b w:val="1"/>
                <w:bCs w:val="1"/>
                <w:color w:val="1F2668"/>
              </w:rPr>
              <w:t>​</w:t>
            </w:r>
          </w:p>
        </w:tc>
        <w:tc>
          <w:tcPr>
            <w:tcW w:w="580" w:type="dxa"/>
            <w:vAlign w:val="bottom"/>
            <w:tcBorders>
              <w:right w:val="single" w:sz="8" w:color="4B5088"/>
            </w:tcBorders>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6"/>
                <w:szCs w:val="16"/>
                <w:b w:val="1"/>
                <w:bCs w:val="1"/>
                <w:color w:val="1F2668"/>
              </w:rPr>
              <w:t>​</w:t>
            </w:r>
          </w:p>
        </w:tc>
        <w:tc>
          <w:tcPr>
            <w:tcW w:w="580" w:type="dxa"/>
            <w:vAlign w:val="bottom"/>
            <w:tcBorders>
              <w:right w:val="single" w:sz="8" w:color="4B5088"/>
            </w:tcBorders>
          </w:tcPr>
          <w:p>
            <w:pPr>
              <w:jc w:val="center"/>
              <w:ind w:right="5"/>
              <w:spacing w:after="0"/>
              <w:rPr>
                <w:sz w:val="20"/>
                <w:szCs w:val="20"/>
                <w:color w:val="auto"/>
              </w:rPr>
            </w:pPr>
            <w:r>
              <w:rPr>
                <w:rFonts w:ascii="Arial" w:cs="Arial" w:eastAsia="Arial" w:hAnsi="Arial"/>
                <w:sz w:val="16"/>
                <w:szCs w:val="16"/>
                <w:b w:val="1"/>
                <w:bCs w:val="1"/>
                <w:color w:val="1F2668"/>
              </w:rPr>
              <w:t>​</w:t>
            </w:r>
          </w:p>
        </w:tc>
        <w:tc>
          <w:tcPr>
            <w:tcW w:w="80" w:type="dxa"/>
            <w:vAlign w:val="bottom"/>
          </w:tcPr>
          <w:p>
            <w:pPr>
              <w:spacing w:after="0"/>
              <w:rPr>
                <w:sz w:val="20"/>
                <w:szCs w:val="20"/>
                <w:color w:val="auto"/>
              </w:rPr>
            </w:pPr>
            <w:r>
              <w:rPr>
                <w:rFonts w:ascii="Arial" w:cs="Arial" w:eastAsia="Arial" w:hAnsi="Arial"/>
                <w:sz w:val="16"/>
                <w:szCs w:val="16"/>
                <w:b w:val="1"/>
                <w:bCs w:val="1"/>
                <w:color w:val="1F2668"/>
              </w:rPr>
              <w:t>​</w:t>
            </w:r>
          </w:p>
        </w:tc>
        <w:tc>
          <w:tcPr>
            <w:tcW w:w="580" w:type="dxa"/>
            <w:vAlign w:val="bottom"/>
            <w:tcBorders>
              <w:right w:val="single" w:sz="8" w:color="4B5088"/>
            </w:tcBorders>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6"/>
                <w:szCs w:val="16"/>
                <w:b w:val="1"/>
                <w:bCs w:val="1"/>
                <w:color w:val="1F2668"/>
              </w:rPr>
              <w:t>​</w:t>
            </w:r>
          </w:p>
        </w:tc>
        <w:tc>
          <w:tcPr>
            <w:tcW w:w="600" w:type="dxa"/>
            <w:vAlign w:val="bottom"/>
            <w:tcBorders>
              <w:right w:val="single" w:sz="8" w:color="4B5088"/>
            </w:tcBorders>
          </w:tcPr>
          <w:p>
            <w:pPr>
              <w:jc w:val="center"/>
              <w:spacing w:after="0"/>
              <w:rPr>
                <w:sz w:val="20"/>
                <w:szCs w:val="20"/>
                <w:color w:val="auto"/>
              </w:rPr>
            </w:pPr>
            <w:r>
              <w:rPr>
                <w:rFonts w:ascii="Arial" w:cs="Arial" w:eastAsia="Arial" w:hAnsi="Arial"/>
                <w:sz w:val="16"/>
                <w:szCs w:val="16"/>
                <w:b w:val="1"/>
                <w:bCs w:val="1"/>
                <w:color w:val="1F2668"/>
              </w:rPr>
              <w:t>​</w:t>
            </w:r>
          </w:p>
        </w:tc>
        <w:tc>
          <w:tcPr>
            <w:tcW w:w="80" w:type="dxa"/>
            <w:vAlign w:val="bottom"/>
          </w:tcPr>
          <w:p>
            <w:pPr>
              <w:spacing w:after="0"/>
              <w:rPr>
                <w:sz w:val="20"/>
                <w:szCs w:val="20"/>
                <w:color w:val="auto"/>
              </w:rPr>
            </w:pPr>
            <w:r>
              <w:rPr>
                <w:rFonts w:ascii="Arial" w:cs="Arial" w:eastAsia="Arial" w:hAnsi="Arial"/>
                <w:sz w:val="16"/>
                <w:szCs w:val="16"/>
                <w:b w:val="1"/>
                <w:bCs w:val="1"/>
                <w:color w:val="1F2668"/>
              </w:rPr>
              <w:t>​</w:t>
            </w:r>
          </w:p>
        </w:tc>
        <w:tc>
          <w:tcPr>
            <w:tcW w:w="620" w:type="dxa"/>
            <w:vAlign w:val="bottom"/>
            <w:tcBorders>
              <w:right w:val="single" w:sz="8" w:color="4B5088"/>
            </w:tcBorders>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6"/>
                <w:szCs w:val="16"/>
                <w:b w:val="1"/>
                <w:bCs w:val="1"/>
                <w:color w:val="1F2668"/>
              </w:rPr>
              <w:t>​</w:t>
            </w:r>
          </w:p>
        </w:tc>
        <w:tc>
          <w:tcPr>
            <w:tcW w:w="580" w:type="dxa"/>
            <w:vAlign w:val="bottom"/>
            <w:tcBorders>
              <w:right w:val="single" w:sz="8" w:color="4B5088"/>
            </w:tcBorders>
          </w:tcPr>
          <w:p>
            <w:pPr>
              <w:jc w:val="center"/>
              <w:ind w:right="3"/>
              <w:spacing w:after="0"/>
              <w:rPr>
                <w:sz w:val="20"/>
                <w:szCs w:val="20"/>
                <w:color w:val="auto"/>
              </w:rPr>
            </w:pPr>
            <w:r>
              <w:rPr>
                <w:rFonts w:ascii="Arial" w:cs="Arial" w:eastAsia="Arial" w:hAnsi="Arial"/>
                <w:sz w:val="16"/>
                <w:szCs w:val="16"/>
                <w:b w:val="1"/>
                <w:bCs w:val="1"/>
                <w:color w:val="1F2668"/>
              </w:rPr>
              <w:t>​</w:t>
            </w:r>
          </w:p>
        </w:tc>
        <w:tc>
          <w:tcPr>
            <w:tcW w:w="60" w:type="dxa"/>
            <w:vAlign w:val="bottom"/>
          </w:tcPr>
          <w:p>
            <w:pPr>
              <w:spacing w:after="0"/>
              <w:rPr>
                <w:sz w:val="20"/>
                <w:szCs w:val="20"/>
                <w:color w:val="auto"/>
              </w:rPr>
            </w:pPr>
            <w:r>
              <w:rPr>
                <w:rFonts w:ascii="Arial" w:cs="Arial" w:eastAsia="Arial" w:hAnsi="Arial"/>
                <w:sz w:val="16"/>
                <w:szCs w:val="16"/>
                <w:b w:val="1"/>
                <w:bCs w:val="1"/>
                <w:color w:val="1F2668"/>
              </w:rPr>
              <w:t>​</w:t>
            </w:r>
          </w:p>
        </w:tc>
        <w:tc>
          <w:tcPr>
            <w:tcW w:w="600" w:type="dxa"/>
            <w:vAlign w:val="bottom"/>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6"/>
                <w:szCs w:val="16"/>
                <w:b w:val="1"/>
                <w:bCs w:val="1"/>
                <w:color w:val="1F2668"/>
              </w:rPr>
              <w:t>​</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2860" w:type="dxa"/>
            <w:vAlign w:val="bottom"/>
          </w:tcPr>
          <w:p>
            <w:pPr>
              <w:ind w:left="380"/>
              <w:spacing w:after="0"/>
              <w:rPr>
                <w:sz w:val="20"/>
                <w:szCs w:val="20"/>
                <w:color w:val="auto"/>
              </w:rPr>
            </w:pPr>
            <w:r>
              <w:rPr>
                <w:rFonts w:ascii="Arial" w:cs="Arial" w:eastAsia="Arial" w:hAnsi="Arial"/>
                <w:sz w:val="16"/>
                <w:szCs w:val="16"/>
                <w:b w:val="1"/>
                <w:bCs w:val="1"/>
                <w:color w:val="1F2668"/>
              </w:rPr>
              <w:t>Experience</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right w:val="single" w:sz="8" w:color="4B5088"/>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right w:val="single" w:sz="8" w:color="4B5088"/>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right w:val="single" w:sz="8" w:color="4B5088"/>
            </w:tcBorders>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right w:val="single" w:sz="8" w:color="4B5088"/>
            </w:tcBorders>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right w:val="single" w:sz="8" w:color="4B5088"/>
            </w:tcBorders>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right w:val="single" w:sz="8" w:color="4B5088"/>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right w:val="single" w:sz="8" w:color="4B5088"/>
            </w:tcBorders>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380" w:type="dxa"/>
            <w:vAlign w:val="bottom"/>
            <w:tcBorders>
              <w:bottom w:val="single" w:sz="8" w:color="1F2668"/>
            </w:tcBorders>
          </w:tcPr>
          <w:p>
            <w:pPr>
              <w:spacing w:after="0"/>
              <w:rPr>
                <w:sz w:val="6"/>
                <w:szCs w:val="6"/>
                <w:color w:val="auto"/>
              </w:rPr>
            </w:pPr>
          </w:p>
        </w:tc>
        <w:tc>
          <w:tcPr>
            <w:tcW w:w="2860" w:type="dxa"/>
            <w:vAlign w:val="bottom"/>
            <w:tcBorders>
              <w:bottom w:val="single" w:sz="8" w:color="1F2668"/>
            </w:tcBorders>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Borders>
              <w:bottom w:val="single" w:sz="8" w:color="1F2668"/>
            </w:tcBorders>
          </w:tcPr>
          <w:p>
            <w:pPr>
              <w:spacing w:after="0"/>
              <w:rPr>
                <w:sz w:val="6"/>
                <w:szCs w:val="6"/>
                <w:color w:val="auto"/>
              </w:rPr>
            </w:pPr>
          </w:p>
        </w:tc>
        <w:tc>
          <w:tcPr>
            <w:tcW w:w="660" w:type="dxa"/>
            <w:vAlign w:val="bottom"/>
            <w:tcBorders>
              <w:bottom w:val="single" w:sz="8" w:color="1F2668"/>
              <w:right w:val="single" w:sz="8" w:color="4B5088"/>
            </w:tcBorders>
          </w:tcPr>
          <w:p>
            <w:pPr>
              <w:spacing w:after="0"/>
              <w:rPr>
                <w:sz w:val="6"/>
                <w:szCs w:val="6"/>
                <w:color w:val="auto"/>
              </w:rPr>
            </w:pPr>
          </w:p>
        </w:tc>
        <w:tc>
          <w:tcPr>
            <w:tcW w:w="100" w:type="dxa"/>
            <w:vAlign w:val="bottom"/>
            <w:tcBorders>
              <w:bottom w:val="single" w:sz="8" w:color="1F2668"/>
            </w:tcBorders>
          </w:tcPr>
          <w:p>
            <w:pPr>
              <w:spacing w:after="0"/>
              <w:rPr>
                <w:sz w:val="6"/>
                <w:szCs w:val="6"/>
                <w:color w:val="auto"/>
              </w:rPr>
            </w:pPr>
          </w:p>
        </w:tc>
        <w:tc>
          <w:tcPr>
            <w:tcW w:w="580" w:type="dxa"/>
            <w:vAlign w:val="bottom"/>
            <w:tcBorders>
              <w:bottom w:val="single" w:sz="8" w:color="1F2668"/>
              <w:right w:val="single" w:sz="8" w:color="4B5088"/>
            </w:tcBorders>
          </w:tcPr>
          <w:p>
            <w:pPr>
              <w:spacing w:after="0"/>
              <w:rPr>
                <w:sz w:val="6"/>
                <w:szCs w:val="6"/>
                <w:color w:val="auto"/>
              </w:rPr>
            </w:pPr>
          </w:p>
        </w:tc>
        <w:tc>
          <w:tcPr>
            <w:tcW w:w="100" w:type="dxa"/>
            <w:vAlign w:val="bottom"/>
            <w:tcBorders>
              <w:bottom w:val="single" w:sz="8" w:color="1F2668"/>
            </w:tcBorders>
          </w:tcPr>
          <w:p>
            <w:pPr>
              <w:spacing w:after="0"/>
              <w:rPr>
                <w:sz w:val="6"/>
                <w:szCs w:val="6"/>
                <w:color w:val="auto"/>
              </w:rPr>
            </w:pPr>
          </w:p>
        </w:tc>
        <w:tc>
          <w:tcPr>
            <w:tcW w:w="580" w:type="dxa"/>
            <w:vAlign w:val="bottom"/>
            <w:tcBorders>
              <w:bottom w:val="single" w:sz="8" w:color="1F2668"/>
              <w:right w:val="single" w:sz="8" w:color="4B5088"/>
            </w:tcBorders>
          </w:tcPr>
          <w:p>
            <w:pPr>
              <w:spacing w:after="0"/>
              <w:rPr>
                <w:sz w:val="6"/>
                <w:szCs w:val="6"/>
                <w:color w:val="auto"/>
              </w:rPr>
            </w:pPr>
          </w:p>
        </w:tc>
        <w:tc>
          <w:tcPr>
            <w:tcW w:w="80" w:type="dxa"/>
            <w:vAlign w:val="bottom"/>
            <w:tcBorders>
              <w:bottom w:val="single" w:sz="8" w:color="1F2668"/>
            </w:tcBorders>
          </w:tcPr>
          <w:p>
            <w:pPr>
              <w:spacing w:after="0"/>
              <w:rPr>
                <w:sz w:val="6"/>
                <w:szCs w:val="6"/>
                <w:color w:val="auto"/>
              </w:rPr>
            </w:pPr>
          </w:p>
        </w:tc>
        <w:tc>
          <w:tcPr>
            <w:tcW w:w="580" w:type="dxa"/>
            <w:vAlign w:val="bottom"/>
            <w:tcBorders>
              <w:bottom w:val="single" w:sz="8" w:color="1F2668"/>
              <w:right w:val="single" w:sz="8" w:color="4B5088"/>
            </w:tcBorders>
          </w:tcPr>
          <w:p>
            <w:pPr>
              <w:spacing w:after="0"/>
              <w:rPr>
                <w:sz w:val="6"/>
                <w:szCs w:val="6"/>
                <w:color w:val="auto"/>
              </w:rPr>
            </w:pPr>
          </w:p>
        </w:tc>
        <w:tc>
          <w:tcPr>
            <w:tcW w:w="80" w:type="dxa"/>
            <w:vAlign w:val="bottom"/>
            <w:tcBorders>
              <w:bottom w:val="single" w:sz="8" w:color="1F2668"/>
            </w:tcBorders>
          </w:tcPr>
          <w:p>
            <w:pPr>
              <w:spacing w:after="0"/>
              <w:rPr>
                <w:sz w:val="6"/>
                <w:szCs w:val="6"/>
                <w:color w:val="auto"/>
              </w:rPr>
            </w:pPr>
          </w:p>
        </w:tc>
        <w:tc>
          <w:tcPr>
            <w:tcW w:w="600" w:type="dxa"/>
            <w:vAlign w:val="bottom"/>
            <w:tcBorders>
              <w:bottom w:val="single" w:sz="8" w:color="1F2668"/>
              <w:right w:val="single" w:sz="8" w:color="4B5088"/>
            </w:tcBorders>
          </w:tcPr>
          <w:p>
            <w:pPr>
              <w:spacing w:after="0"/>
              <w:rPr>
                <w:sz w:val="6"/>
                <w:szCs w:val="6"/>
                <w:color w:val="auto"/>
              </w:rPr>
            </w:pPr>
          </w:p>
        </w:tc>
        <w:tc>
          <w:tcPr>
            <w:tcW w:w="80" w:type="dxa"/>
            <w:vAlign w:val="bottom"/>
            <w:tcBorders>
              <w:bottom w:val="single" w:sz="8" w:color="1F2668"/>
            </w:tcBorders>
          </w:tcPr>
          <w:p>
            <w:pPr>
              <w:spacing w:after="0"/>
              <w:rPr>
                <w:sz w:val="6"/>
                <w:szCs w:val="6"/>
                <w:color w:val="auto"/>
              </w:rPr>
            </w:pPr>
          </w:p>
        </w:tc>
        <w:tc>
          <w:tcPr>
            <w:tcW w:w="620" w:type="dxa"/>
            <w:vAlign w:val="bottom"/>
            <w:tcBorders>
              <w:bottom w:val="single" w:sz="8" w:color="1F2668"/>
              <w:right w:val="single" w:sz="8" w:color="4B5088"/>
            </w:tcBorders>
          </w:tcPr>
          <w:p>
            <w:pPr>
              <w:spacing w:after="0"/>
              <w:rPr>
                <w:sz w:val="6"/>
                <w:szCs w:val="6"/>
                <w:color w:val="auto"/>
              </w:rPr>
            </w:pPr>
          </w:p>
        </w:tc>
        <w:tc>
          <w:tcPr>
            <w:tcW w:w="100" w:type="dxa"/>
            <w:vAlign w:val="bottom"/>
            <w:tcBorders>
              <w:bottom w:val="single" w:sz="8" w:color="1F2668"/>
            </w:tcBorders>
          </w:tcPr>
          <w:p>
            <w:pPr>
              <w:spacing w:after="0"/>
              <w:rPr>
                <w:sz w:val="6"/>
                <w:szCs w:val="6"/>
                <w:color w:val="auto"/>
              </w:rPr>
            </w:pPr>
          </w:p>
        </w:tc>
        <w:tc>
          <w:tcPr>
            <w:tcW w:w="580" w:type="dxa"/>
            <w:vAlign w:val="bottom"/>
            <w:tcBorders>
              <w:bottom w:val="single" w:sz="8" w:color="1F2668"/>
              <w:right w:val="single" w:sz="8" w:color="4B5088"/>
            </w:tcBorders>
          </w:tcPr>
          <w:p>
            <w:pPr>
              <w:spacing w:after="0"/>
              <w:rPr>
                <w:sz w:val="6"/>
                <w:szCs w:val="6"/>
                <w:color w:val="auto"/>
              </w:rPr>
            </w:pPr>
          </w:p>
        </w:tc>
        <w:tc>
          <w:tcPr>
            <w:tcW w:w="60" w:type="dxa"/>
            <w:vAlign w:val="bottom"/>
            <w:tcBorders>
              <w:bottom w:val="single" w:sz="8" w:color="1F2668"/>
            </w:tcBorders>
          </w:tcPr>
          <w:p>
            <w:pPr>
              <w:spacing w:after="0"/>
              <w:rPr>
                <w:sz w:val="6"/>
                <w:szCs w:val="6"/>
                <w:color w:val="auto"/>
              </w:rPr>
            </w:pPr>
          </w:p>
        </w:tc>
        <w:tc>
          <w:tcPr>
            <w:tcW w:w="600" w:type="dxa"/>
            <w:vAlign w:val="bottom"/>
            <w:tcBorders>
              <w:bottom w:val="single" w:sz="8" w:color="1F2668"/>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5"/>
        </w:trPr>
        <w:tc>
          <w:tcPr>
            <w:tcW w:w="380" w:type="dxa"/>
            <w:vAlign w:val="bottom"/>
          </w:tcPr>
          <w:p>
            <w:pPr>
              <w:spacing w:after="0"/>
              <w:rPr>
                <w:sz w:val="24"/>
                <w:szCs w:val="24"/>
                <w:color w:val="auto"/>
              </w:rPr>
            </w:pPr>
          </w:p>
        </w:tc>
        <w:tc>
          <w:tcPr>
            <w:tcW w:w="2860" w:type="dxa"/>
            <w:vAlign w:val="bottom"/>
          </w:tcPr>
          <w:p>
            <w:pPr>
              <w:ind w:left="360"/>
              <w:spacing w:after="0"/>
              <w:rPr>
                <w:sz w:val="20"/>
                <w:szCs w:val="20"/>
                <w:color w:val="auto"/>
              </w:rPr>
            </w:pPr>
            <w:r>
              <w:rPr>
                <w:rFonts w:ascii="Arial" w:cs="Arial" w:eastAsia="Arial" w:hAnsi="Arial"/>
                <w:sz w:val="16"/>
                <w:szCs w:val="16"/>
                <w:b w:val="1"/>
                <w:bCs w:val="1"/>
                <w:color w:val="1F2668"/>
              </w:rPr>
              <w:t>​Technology/Cybersecurity</w:t>
            </w:r>
          </w:p>
        </w:tc>
        <w:tc>
          <w:tcPr>
            <w:tcW w:w="220" w:type="dxa"/>
            <w:vAlign w:val="bottom"/>
          </w:tcPr>
          <w:p>
            <w:pPr>
              <w:spacing w:after="0"/>
              <w:rPr>
                <w:sz w:val="20"/>
                <w:szCs w:val="20"/>
                <w:color w:val="auto"/>
              </w:rPr>
            </w:pPr>
            <w:r>
              <w:rPr>
                <w:rFonts w:ascii="Arial" w:cs="Arial" w:eastAsia="Arial" w:hAnsi="Arial"/>
                <w:sz w:val="16"/>
                <w:szCs w:val="16"/>
                <w:b w:val="1"/>
                <w:bCs w:val="1"/>
                <w:color w:val="1F2668"/>
              </w:rPr>
              <w:t>​</w:t>
            </w:r>
          </w:p>
        </w:tc>
        <w:tc>
          <w:tcPr>
            <w:tcW w:w="160" w:type="dxa"/>
            <w:vAlign w:val="bottom"/>
          </w:tcPr>
          <w:p>
            <w:pPr>
              <w:spacing w:after="0"/>
              <w:rPr>
                <w:sz w:val="20"/>
                <w:szCs w:val="20"/>
                <w:color w:val="auto"/>
              </w:rPr>
            </w:pPr>
            <w:r>
              <w:rPr>
                <w:rFonts w:ascii="Arial" w:cs="Arial" w:eastAsia="Arial" w:hAnsi="Arial"/>
                <w:sz w:val="16"/>
                <w:szCs w:val="16"/>
                <w:b w:val="1"/>
                <w:bCs w:val="1"/>
                <w:color w:val="1F2668"/>
              </w:rPr>
              <w:t>​ ​</w:t>
            </w:r>
          </w:p>
        </w:tc>
        <w:tc>
          <w:tcPr>
            <w:tcW w:w="60" w:type="dxa"/>
            <w:vAlign w:val="bottom"/>
          </w:tcPr>
          <w:p>
            <w:pPr>
              <w:spacing w:after="0"/>
              <w:rPr>
                <w:sz w:val="20"/>
                <w:szCs w:val="20"/>
                <w:color w:val="auto"/>
              </w:rPr>
            </w:pPr>
            <w:r>
              <w:rPr>
                <w:rFonts w:ascii="Arial" w:cs="Arial" w:eastAsia="Arial" w:hAnsi="Arial"/>
                <w:sz w:val="16"/>
                <w:szCs w:val="16"/>
                <w:b w:val="1"/>
                <w:bCs w:val="1"/>
                <w:color w:val="1F2668"/>
              </w:rPr>
              <w:t>​</w:t>
            </w:r>
          </w:p>
        </w:tc>
        <w:tc>
          <w:tcPr>
            <w:tcW w:w="660" w:type="dxa"/>
            <w:vAlign w:val="bottom"/>
            <w:tcBorders>
              <w:right w:val="single" w:sz="8" w:color="4B5088"/>
            </w:tcBorders>
          </w:tcPr>
          <w:p>
            <w:pPr>
              <w:jc w:val="center"/>
              <w:spacing w:after="0"/>
              <w:rPr>
                <w:sz w:val="20"/>
                <w:szCs w:val="20"/>
                <w:color w:val="auto"/>
              </w:rPr>
            </w:pPr>
            <w:r>
              <w:rPr>
                <w:rFonts w:ascii="Arial" w:cs="Arial" w:eastAsia="Arial" w:hAnsi="Arial"/>
                <w:sz w:val="16"/>
                <w:szCs w:val="16"/>
                <w:b w:val="1"/>
                <w:bCs w:val="1"/>
                <w:color w:val="1F2668"/>
              </w:rPr>
              <w:t>​</w:t>
            </w:r>
          </w:p>
        </w:tc>
        <w:tc>
          <w:tcPr>
            <w:tcW w:w="100" w:type="dxa"/>
            <w:vAlign w:val="bottom"/>
          </w:tcPr>
          <w:p>
            <w:pPr>
              <w:spacing w:after="0"/>
              <w:rPr>
                <w:sz w:val="20"/>
                <w:szCs w:val="20"/>
                <w:color w:val="auto"/>
              </w:rPr>
            </w:pPr>
            <w:r>
              <w:rPr>
                <w:rFonts w:ascii="Arial" w:cs="Arial" w:eastAsia="Arial" w:hAnsi="Arial"/>
                <w:sz w:val="16"/>
                <w:szCs w:val="16"/>
                <w:b w:val="1"/>
                <w:bCs w:val="1"/>
                <w:color w:val="1F2668"/>
              </w:rPr>
              <w:t>​</w:t>
            </w:r>
          </w:p>
        </w:tc>
        <w:tc>
          <w:tcPr>
            <w:tcW w:w="580" w:type="dxa"/>
            <w:vAlign w:val="bottom"/>
            <w:tcBorders>
              <w:right w:val="single" w:sz="8" w:color="4B5088"/>
            </w:tcBorders>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6"/>
                <w:szCs w:val="16"/>
                <w:b w:val="1"/>
                <w:bCs w:val="1"/>
                <w:color w:val="1F2668"/>
              </w:rPr>
              <w:t>​</w:t>
            </w:r>
          </w:p>
        </w:tc>
        <w:tc>
          <w:tcPr>
            <w:tcW w:w="580" w:type="dxa"/>
            <w:vAlign w:val="bottom"/>
            <w:tcBorders>
              <w:right w:val="single" w:sz="8" w:color="4B5088"/>
            </w:tcBorders>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6"/>
                <w:szCs w:val="16"/>
                <w:b w:val="1"/>
                <w:bCs w:val="1"/>
                <w:color w:val="1F2668"/>
              </w:rPr>
              <w:t>​</w:t>
            </w:r>
          </w:p>
        </w:tc>
        <w:tc>
          <w:tcPr>
            <w:tcW w:w="580" w:type="dxa"/>
            <w:vAlign w:val="bottom"/>
            <w:tcBorders>
              <w:right w:val="single" w:sz="8" w:color="4B5088"/>
            </w:tcBorders>
          </w:tcPr>
          <w:p>
            <w:pPr>
              <w:jc w:val="center"/>
              <w:spacing w:after="0"/>
              <w:rPr>
                <w:sz w:val="20"/>
                <w:szCs w:val="20"/>
                <w:color w:val="auto"/>
              </w:rPr>
            </w:pPr>
            <w:r>
              <w:rPr>
                <w:rFonts w:ascii="Arial" w:cs="Arial" w:eastAsia="Arial" w:hAnsi="Arial"/>
                <w:sz w:val="16"/>
                <w:szCs w:val="16"/>
                <w:b w:val="1"/>
                <w:bCs w:val="1"/>
                <w:color w:val="1F2668"/>
              </w:rPr>
              <w:t>​</w:t>
            </w:r>
          </w:p>
        </w:tc>
        <w:tc>
          <w:tcPr>
            <w:tcW w:w="80" w:type="dxa"/>
            <w:vAlign w:val="bottom"/>
          </w:tcPr>
          <w:p>
            <w:pPr>
              <w:spacing w:after="0"/>
              <w:rPr>
                <w:sz w:val="20"/>
                <w:szCs w:val="20"/>
                <w:color w:val="auto"/>
              </w:rPr>
            </w:pPr>
            <w:r>
              <w:rPr>
                <w:rFonts w:ascii="Arial" w:cs="Arial" w:eastAsia="Arial" w:hAnsi="Arial"/>
                <w:sz w:val="16"/>
                <w:szCs w:val="16"/>
                <w:b w:val="1"/>
                <w:bCs w:val="1"/>
                <w:color w:val="1F2668"/>
              </w:rPr>
              <w:t>​</w:t>
            </w:r>
          </w:p>
        </w:tc>
        <w:tc>
          <w:tcPr>
            <w:tcW w:w="600" w:type="dxa"/>
            <w:vAlign w:val="bottom"/>
            <w:tcBorders>
              <w:right w:val="single" w:sz="8" w:color="4B5088"/>
            </w:tcBorders>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6"/>
                <w:szCs w:val="16"/>
                <w:b w:val="1"/>
                <w:bCs w:val="1"/>
                <w:color w:val="1F2668"/>
              </w:rPr>
              <w:t>​</w:t>
            </w:r>
          </w:p>
        </w:tc>
        <w:tc>
          <w:tcPr>
            <w:tcW w:w="620" w:type="dxa"/>
            <w:vAlign w:val="bottom"/>
            <w:tcBorders>
              <w:right w:val="single" w:sz="8" w:color="4B5088"/>
            </w:tcBorders>
          </w:tcPr>
          <w:p>
            <w:pPr>
              <w:jc w:val="center"/>
              <w:spacing w:after="0"/>
              <w:rPr>
                <w:sz w:val="20"/>
                <w:szCs w:val="20"/>
                <w:color w:val="auto"/>
              </w:rPr>
            </w:pPr>
            <w:r>
              <w:rPr>
                <w:rFonts w:ascii="Arial" w:cs="Arial" w:eastAsia="Arial" w:hAnsi="Arial"/>
                <w:sz w:val="16"/>
                <w:szCs w:val="16"/>
                <w:b w:val="1"/>
                <w:bCs w:val="1"/>
                <w:color w:val="1F2668"/>
              </w:rPr>
              <w:t>​</w:t>
            </w:r>
          </w:p>
        </w:tc>
        <w:tc>
          <w:tcPr>
            <w:tcW w:w="100" w:type="dxa"/>
            <w:vAlign w:val="bottom"/>
          </w:tcPr>
          <w:p>
            <w:pPr>
              <w:spacing w:after="0"/>
              <w:rPr>
                <w:sz w:val="20"/>
                <w:szCs w:val="20"/>
                <w:color w:val="auto"/>
              </w:rPr>
            </w:pPr>
            <w:r>
              <w:rPr>
                <w:rFonts w:ascii="Arial" w:cs="Arial" w:eastAsia="Arial" w:hAnsi="Arial"/>
                <w:sz w:val="16"/>
                <w:szCs w:val="16"/>
                <w:b w:val="1"/>
                <w:bCs w:val="1"/>
                <w:color w:val="1F2668"/>
              </w:rPr>
              <w:t>​</w:t>
            </w:r>
          </w:p>
        </w:tc>
        <w:tc>
          <w:tcPr>
            <w:tcW w:w="580" w:type="dxa"/>
            <w:vAlign w:val="bottom"/>
            <w:tcBorders>
              <w:right w:val="single" w:sz="8" w:color="4B5088"/>
            </w:tcBorders>
          </w:tcPr>
          <w:p>
            <w:pPr>
              <w:jc w:val="center"/>
              <w:ind w:right="3"/>
              <w:spacing w:after="0"/>
              <w:rPr>
                <w:sz w:val="20"/>
                <w:szCs w:val="20"/>
                <w:color w:val="auto"/>
              </w:rPr>
            </w:pPr>
            <w:r>
              <w:rPr>
                <w:rFonts w:ascii="Arial" w:cs="Arial" w:eastAsia="Arial" w:hAnsi="Arial"/>
                <w:sz w:val="16"/>
                <w:szCs w:val="16"/>
                <w:b w:val="1"/>
                <w:bCs w:val="1"/>
                <w:color w:val="1F2668"/>
              </w:rPr>
              <w:t>​</w:t>
            </w:r>
          </w:p>
        </w:tc>
        <w:tc>
          <w:tcPr>
            <w:tcW w:w="60" w:type="dxa"/>
            <w:vAlign w:val="bottom"/>
          </w:tcPr>
          <w:p>
            <w:pPr>
              <w:spacing w:after="0"/>
              <w:rPr>
                <w:sz w:val="20"/>
                <w:szCs w:val="20"/>
                <w:color w:val="auto"/>
              </w:rPr>
            </w:pPr>
            <w:r>
              <w:rPr>
                <w:rFonts w:ascii="Arial" w:cs="Arial" w:eastAsia="Arial" w:hAnsi="Arial"/>
                <w:sz w:val="16"/>
                <w:szCs w:val="16"/>
                <w:b w:val="1"/>
                <w:bCs w:val="1"/>
                <w:color w:val="1F2668"/>
              </w:rPr>
              <w:t>​</w:t>
            </w:r>
          </w:p>
        </w:tc>
        <w:tc>
          <w:tcPr>
            <w:tcW w:w="600" w:type="dxa"/>
            <w:vAlign w:val="bottom"/>
          </w:tcPr>
          <w:p>
            <w:pPr>
              <w:jc w:val="center"/>
              <w:spacing w:after="0"/>
              <w:rPr>
                <w:sz w:val="20"/>
                <w:szCs w:val="20"/>
                <w:color w:val="auto"/>
              </w:rPr>
            </w:pPr>
            <w:r>
              <w:rPr>
                <w:rFonts w:ascii="Arial" w:cs="Arial" w:eastAsia="Arial" w:hAnsi="Arial"/>
                <w:sz w:val="16"/>
                <w:szCs w:val="16"/>
                <w:b w:val="1"/>
                <w:bCs w:val="1"/>
                <w:color w:val="1F2668"/>
              </w:rPr>
              <w:t>​</w:t>
            </w:r>
          </w:p>
        </w:tc>
        <w:tc>
          <w:tcPr>
            <w:tcW w:w="40" w:type="dxa"/>
            <w:vAlign w:val="bottom"/>
          </w:tcPr>
          <w:p>
            <w:pPr>
              <w:spacing w:after="0"/>
              <w:rPr>
                <w:sz w:val="20"/>
                <w:szCs w:val="20"/>
                <w:color w:val="auto"/>
              </w:rPr>
            </w:pPr>
            <w:r>
              <w:rPr>
                <w:rFonts w:ascii="Arial" w:cs="Arial" w:eastAsia="Arial" w:hAnsi="Arial"/>
                <w:sz w:val="16"/>
                <w:szCs w:val="16"/>
                <w:b w:val="1"/>
                <w:bCs w:val="1"/>
                <w:color w:val="1F2668"/>
              </w:rPr>
              <w:t>​</w:t>
            </w:r>
          </w:p>
        </w:tc>
        <w:tc>
          <w:tcPr>
            <w:tcW w:w="0" w:type="dxa"/>
            <w:vAlign w:val="bottom"/>
          </w:tcPr>
          <w:p>
            <w:pPr>
              <w:spacing w:after="0"/>
              <w:rPr>
                <w:sz w:val="1"/>
                <w:szCs w:val="1"/>
                <w:color w:val="auto"/>
              </w:rPr>
            </w:pPr>
          </w:p>
        </w:tc>
      </w:tr>
      <w:tr>
        <w:trPr>
          <w:trHeight w:val="190"/>
        </w:trPr>
        <w:tc>
          <w:tcPr>
            <w:tcW w:w="380" w:type="dxa"/>
            <w:vAlign w:val="bottom"/>
            <w:tcBorders>
              <w:bottom w:val="single" w:sz="8" w:color="1F2668"/>
            </w:tcBorders>
          </w:tcPr>
          <w:p>
            <w:pPr>
              <w:spacing w:after="0"/>
              <w:rPr>
                <w:sz w:val="16"/>
                <w:szCs w:val="16"/>
                <w:color w:val="auto"/>
              </w:rPr>
            </w:pPr>
          </w:p>
        </w:tc>
        <w:tc>
          <w:tcPr>
            <w:tcW w:w="2860" w:type="dxa"/>
            <w:vAlign w:val="bottom"/>
            <w:tcBorders>
              <w:bottom w:val="single" w:sz="8" w:color="1F2668"/>
            </w:tcBorders>
          </w:tcPr>
          <w:p>
            <w:pPr>
              <w:spacing w:after="0"/>
              <w:rPr>
                <w:sz w:val="16"/>
                <w:szCs w:val="16"/>
                <w:color w:val="auto"/>
              </w:rPr>
            </w:pPr>
          </w:p>
        </w:tc>
        <w:tc>
          <w:tcPr>
            <w:tcW w:w="220" w:type="dxa"/>
            <w:vAlign w:val="bottom"/>
            <w:tcBorders>
              <w:bottom w:val="single" w:sz="8" w:color="1F2668"/>
            </w:tcBorders>
          </w:tcPr>
          <w:p>
            <w:pPr>
              <w:spacing w:after="0"/>
              <w:rPr>
                <w:sz w:val="16"/>
                <w:szCs w:val="16"/>
                <w:color w:val="auto"/>
              </w:rPr>
            </w:pPr>
          </w:p>
        </w:tc>
        <w:tc>
          <w:tcPr>
            <w:tcW w:w="160" w:type="dxa"/>
            <w:vAlign w:val="bottom"/>
            <w:tcBorders>
              <w:bottom w:val="single" w:sz="8" w:color="1F2668"/>
            </w:tcBorders>
          </w:tcPr>
          <w:p>
            <w:pPr>
              <w:spacing w:after="0"/>
              <w:rPr>
                <w:sz w:val="16"/>
                <w:szCs w:val="16"/>
                <w:color w:val="auto"/>
              </w:rPr>
            </w:pPr>
          </w:p>
        </w:tc>
        <w:tc>
          <w:tcPr>
            <w:tcW w:w="60" w:type="dxa"/>
            <w:vAlign w:val="bottom"/>
            <w:tcBorders>
              <w:bottom w:val="single" w:sz="8" w:color="1F2668"/>
            </w:tcBorders>
          </w:tcPr>
          <w:p>
            <w:pPr>
              <w:spacing w:after="0"/>
              <w:rPr>
                <w:sz w:val="16"/>
                <w:szCs w:val="16"/>
                <w:color w:val="auto"/>
              </w:rPr>
            </w:pPr>
          </w:p>
        </w:tc>
        <w:tc>
          <w:tcPr>
            <w:tcW w:w="660" w:type="dxa"/>
            <w:vAlign w:val="bottom"/>
            <w:tcBorders>
              <w:bottom w:val="single" w:sz="8" w:color="1F2668"/>
              <w:right w:val="single" w:sz="8" w:color="4B5088"/>
            </w:tcBorders>
          </w:tcPr>
          <w:p>
            <w:pPr>
              <w:spacing w:after="0"/>
              <w:rPr>
                <w:sz w:val="16"/>
                <w:szCs w:val="16"/>
                <w:color w:val="auto"/>
              </w:rPr>
            </w:pPr>
          </w:p>
        </w:tc>
        <w:tc>
          <w:tcPr>
            <w:tcW w:w="100" w:type="dxa"/>
            <w:vAlign w:val="bottom"/>
            <w:tcBorders>
              <w:bottom w:val="single" w:sz="8" w:color="1F2668"/>
            </w:tcBorders>
          </w:tcPr>
          <w:p>
            <w:pPr>
              <w:spacing w:after="0"/>
              <w:rPr>
                <w:sz w:val="16"/>
                <w:szCs w:val="16"/>
                <w:color w:val="auto"/>
              </w:rPr>
            </w:pPr>
          </w:p>
        </w:tc>
        <w:tc>
          <w:tcPr>
            <w:tcW w:w="580" w:type="dxa"/>
            <w:vAlign w:val="bottom"/>
            <w:tcBorders>
              <w:bottom w:val="single" w:sz="8" w:color="1F2668"/>
              <w:right w:val="single" w:sz="8" w:color="4B5088"/>
            </w:tcBorders>
          </w:tcPr>
          <w:p>
            <w:pPr>
              <w:spacing w:after="0"/>
              <w:rPr>
                <w:sz w:val="16"/>
                <w:szCs w:val="16"/>
                <w:color w:val="auto"/>
              </w:rPr>
            </w:pPr>
          </w:p>
        </w:tc>
        <w:tc>
          <w:tcPr>
            <w:tcW w:w="100" w:type="dxa"/>
            <w:vAlign w:val="bottom"/>
            <w:tcBorders>
              <w:bottom w:val="single" w:sz="8" w:color="1F2668"/>
            </w:tcBorders>
          </w:tcPr>
          <w:p>
            <w:pPr>
              <w:spacing w:after="0"/>
              <w:rPr>
                <w:sz w:val="16"/>
                <w:szCs w:val="16"/>
                <w:color w:val="auto"/>
              </w:rPr>
            </w:pPr>
          </w:p>
        </w:tc>
        <w:tc>
          <w:tcPr>
            <w:tcW w:w="580" w:type="dxa"/>
            <w:vAlign w:val="bottom"/>
            <w:tcBorders>
              <w:bottom w:val="single" w:sz="8" w:color="1F2668"/>
              <w:right w:val="single" w:sz="8" w:color="4B5088"/>
            </w:tcBorders>
          </w:tcPr>
          <w:p>
            <w:pPr>
              <w:spacing w:after="0"/>
              <w:rPr>
                <w:sz w:val="16"/>
                <w:szCs w:val="16"/>
                <w:color w:val="auto"/>
              </w:rPr>
            </w:pPr>
          </w:p>
        </w:tc>
        <w:tc>
          <w:tcPr>
            <w:tcW w:w="80" w:type="dxa"/>
            <w:vAlign w:val="bottom"/>
            <w:tcBorders>
              <w:bottom w:val="single" w:sz="8" w:color="1F2668"/>
            </w:tcBorders>
          </w:tcPr>
          <w:p>
            <w:pPr>
              <w:spacing w:after="0"/>
              <w:rPr>
                <w:sz w:val="16"/>
                <w:szCs w:val="16"/>
                <w:color w:val="auto"/>
              </w:rPr>
            </w:pPr>
          </w:p>
        </w:tc>
        <w:tc>
          <w:tcPr>
            <w:tcW w:w="580" w:type="dxa"/>
            <w:vAlign w:val="bottom"/>
            <w:tcBorders>
              <w:bottom w:val="single" w:sz="8" w:color="1F2668"/>
              <w:right w:val="single" w:sz="8" w:color="4B5088"/>
            </w:tcBorders>
          </w:tcPr>
          <w:p>
            <w:pPr>
              <w:spacing w:after="0"/>
              <w:rPr>
                <w:sz w:val="16"/>
                <w:szCs w:val="16"/>
                <w:color w:val="auto"/>
              </w:rPr>
            </w:pPr>
          </w:p>
        </w:tc>
        <w:tc>
          <w:tcPr>
            <w:tcW w:w="80" w:type="dxa"/>
            <w:vAlign w:val="bottom"/>
            <w:tcBorders>
              <w:bottom w:val="single" w:sz="8" w:color="1F2668"/>
            </w:tcBorders>
          </w:tcPr>
          <w:p>
            <w:pPr>
              <w:spacing w:after="0"/>
              <w:rPr>
                <w:sz w:val="16"/>
                <w:szCs w:val="16"/>
                <w:color w:val="auto"/>
              </w:rPr>
            </w:pPr>
          </w:p>
        </w:tc>
        <w:tc>
          <w:tcPr>
            <w:tcW w:w="600" w:type="dxa"/>
            <w:vAlign w:val="bottom"/>
            <w:tcBorders>
              <w:bottom w:val="single" w:sz="8" w:color="1F2668"/>
              <w:right w:val="single" w:sz="8" w:color="4B5088"/>
            </w:tcBorders>
          </w:tcPr>
          <w:p>
            <w:pPr>
              <w:spacing w:after="0"/>
              <w:rPr>
                <w:sz w:val="16"/>
                <w:szCs w:val="16"/>
                <w:color w:val="auto"/>
              </w:rPr>
            </w:pPr>
          </w:p>
        </w:tc>
        <w:tc>
          <w:tcPr>
            <w:tcW w:w="80" w:type="dxa"/>
            <w:vAlign w:val="bottom"/>
            <w:tcBorders>
              <w:bottom w:val="single" w:sz="8" w:color="1F2668"/>
            </w:tcBorders>
          </w:tcPr>
          <w:p>
            <w:pPr>
              <w:spacing w:after="0"/>
              <w:rPr>
                <w:sz w:val="16"/>
                <w:szCs w:val="16"/>
                <w:color w:val="auto"/>
              </w:rPr>
            </w:pPr>
          </w:p>
        </w:tc>
        <w:tc>
          <w:tcPr>
            <w:tcW w:w="620" w:type="dxa"/>
            <w:vAlign w:val="bottom"/>
            <w:tcBorders>
              <w:bottom w:val="single" w:sz="8" w:color="1F2668"/>
              <w:right w:val="single" w:sz="8" w:color="4B5088"/>
            </w:tcBorders>
          </w:tcPr>
          <w:p>
            <w:pPr>
              <w:spacing w:after="0"/>
              <w:rPr>
                <w:sz w:val="16"/>
                <w:szCs w:val="16"/>
                <w:color w:val="auto"/>
              </w:rPr>
            </w:pPr>
          </w:p>
        </w:tc>
        <w:tc>
          <w:tcPr>
            <w:tcW w:w="100" w:type="dxa"/>
            <w:vAlign w:val="bottom"/>
            <w:tcBorders>
              <w:bottom w:val="single" w:sz="8" w:color="1F2668"/>
            </w:tcBorders>
          </w:tcPr>
          <w:p>
            <w:pPr>
              <w:spacing w:after="0"/>
              <w:rPr>
                <w:sz w:val="16"/>
                <w:szCs w:val="16"/>
                <w:color w:val="auto"/>
              </w:rPr>
            </w:pPr>
          </w:p>
        </w:tc>
        <w:tc>
          <w:tcPr>
            <w:tcW w:w="580" w:type="dxa"/>
            <w:vAlign w:val="bottom"/>
            <w:tcBorders>
              <w:bottom w:val="single" w:sz="8" w:color="1F2668"/>
              <w:right w:val="single" w:sz="8" w:color="4B5088"/>
            </w:tcBorders>
          </w:tcPr>
          <w:p>
            <w:pPr>
              <w:spacing w:after="0"/>
              <w:rPr>
                <w:sz w:val="16"/>
                <w:szCs w:val="16"/>
                <w:color w:val="auto"/>
              </w:rPr>
            </w:pPr>
          </w:p>
        </w:tc>
        <w:tc>
          <w:tcPr>
            <w:tcW w:w="60" w:type="dxa"/>
            <w:vAlign w:val="bottom"/>
            <w:tcBorders>
              <w:bottom w:val="single" w:sz="8" w:color="1F2668"/>
            </w:tcBorders>
          </w:tcPr>
          <w:p>
            <w:pPr>
              <w:spacing w:after="0"/>
              <w:rPr>
                <w:sz w:val="16"/>
                <w:szCs w:val="16"/>
                <w:color w:val="auto"/>
              </w:rPr>
            </w:pPr>
          </w:p>
        </w:tc>
        <w:tc>
          <w:tcPr>
            <w:tcW w:w="600" w:type="dxa"/>
            <w:vAlign w:val="bottom"/>
            <w:tcBorders>
              <w:bottom w:val="single" w:sz="8" w:color="1F2668"/>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2730500</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-4559935</wp:posOffset>
            </wp:positionV>
            <wp:extent cx="334010" cy="3511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4010" cy="351155"/>
                    </a:xfrm>
                    <a:prstGeom prst="rect">
                      <a:avLst/>
                    </a:prstGeom>
                    <a:noFill/>
                  </pic:spPr>
                </pic:pic>
              </a:graphicData>
            </a:graphic>
          </wp:anchor>
        </w:drawing>
        <w:drawing>
          <wp:anchor simplePos="0" relativeHeight="251657728" behindDoc="1" locked="0" layoutInCell="0" allowOverlap="1">
            <wp:simplePos x="0" y="0"/>
            <wp:positionH relativeFrom="column">
              <wp:posOffset>2968625</wp:posOffset>
            </wp:positionH>
            <wp:positionV relativeFrom="paragraph">
              <wp:posOffset>-4439920</wp:posOffset>
            </wp:positionV>
            <wp:extent cx="163195" cy="1117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63195" cy="111760"/>
                    </a:xfrm>
                    <a:prstGeom prst="rect">
                      <a:avLst/>
                    </a:prstGeom>
                    <a:noFill/>
                  </pic:spPr>
                </pic:pic>
              </a:graphicData>
            </a:graphic>
          </wp:anchor>
        </w:drawing>
        <w:drawing>
          <wp:anchor simplePos="0" relativeHeight="251657728" behindDoc="1" locked="0" layoutInCell="0" allowOverlap="1">
            <wp:simplePos x="0" y="0"/>
            <wp:positionH relativeFrom="column">
              <wp:posOffset>3834765</wp:posOffset>
            </wp:positionH>
            <wp:positionV relativeFrom="paragraph">
              <wp:posOffset>-4439920</wp:posOffset>
            </wp:positionV>
            <wp:extent cx="163195" cy="1117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63195" cy="111760"/>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-4439920</wp:posOffset>
            </wp:positionV>
            <wp:extent cx="163195" cy="1117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63195" cy="111760"/>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-4439920</wp:posOffset>
            </wp:positionV>
            <wp:extent cx="163195" cy="1117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63195" cy="111760"/>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-4439920</wp:posOffset>
            </wp:positionV>
            <wp:extent cx="163195" cy="1117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63195" cy="111760"/>
                    </a:xfrm>
                    <a:prstGeom prst="rect">
                      <a:avLst/>
                    </a:prstGeom>
                    <a:noFill/>
                  </pic:spPr>
                </pic:pic>
              </a:graphicData>
            </a:graphic>
          </wp:anchor>
        </w:drawing>
        <w:drawing>
          <wp:anchor simplePos="0" relativeHeight="251657728" behindDoc="1" locked="0" layoutInCell="0" allowOverlap="1">
            <wp:simplePos x="0" y="0"/>
            <wp:positionH relativeFrom="column">
              <wp:posOffset>5566410</wp:posOffset>
            </wp:positionH>
            <wp:positionV relativeFrom="paragraph">
              <wp:posOffset>-4439920</wp:posOffset>
            </wp:positionV>
            <wp:extent cx="163195" cy="1117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63195" cy="111760"/>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-4439920</wp:posOffset>
            </wp:positionV>
            <wp:extent cx="163195" cy="1117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63195" cy="11176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-4105910</wp:posOffset>
            </wp:positionV>
            <wp:extent cx="334010" cy="3346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4010" cy="334645"/>
                    </a:xfrm>
                    <a:prstGeom prst="rect">
                      <a:avLst/>
                    </a:prstGeom>
                    <a:noFill/>
                  </pic:spPr>
                </pic:pic>
              </a:graphicData>
            </a:graphic>
          </wp:anchor>
        </w:drawing>
        <w:drawing>
          <wp:anchor simplePos="0" relativeHeight="251657728" behindDoc="1" locked="0" layoutInCell="0" allowOverlap="1">
            <wp:simplePos x="0" y="0"/>
            <wp:positionH relativeFrom="column">
              <wp:posOffset>2968625</wp:posOffset>
            </wp:positionH>
            <wp:positionV relativeFrom="paragraph">
              <wp:posOffset>-3994150</wp:posOffset>
            </wp:positionV>
            <wp:extent cx="163195" cy="1111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63195" cy="111125"/>
                    </a:xfrm>
                    <a:prstGeom prst="rect">
                      <a:avLst/>
                    </a:prstGeom>
                    <a:noFill/>
                  </pic:spPr>
                </pic:pic>
              </a:graphicData>
            </a:graphic>
          </wp:anchor>
        </w:drawing>
        <w:drawing>
          <wp:anchor simplePos="0" relativeHeight="251657728" behindDoc="1" locked="0" layoutInCell="0" allowOverlap="1">
            <wp:simplePos x="0" y="0"/>
            <wp:positionH relativeFrom="column">
              <wp:posOffset>3834765</wp:posOffset>
            </wp:positionH>
            <wp:positionV relativeFrom="paragraph">
              <wp:posOffset>-3994150</wp:posOffset>
            </wp:positionV>
            <wp:extent cx="163195" cy="1111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63195" cy="111125"/>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-3994150</wp:posOffset>
            </wp:positionV>
            <wp:extent cx="163195" cy="1111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63195" cy="111125"/>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-3994150</wp:posOffset>
            </wp:positionV>
            <wp:extent cx="163195" cy="1111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63195" cy="111125"/>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-3994150</wp:posOffset>
            </wp:positionV>
            <wp:extent cx="163195" cy="1111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63195" cy="111125"/>
                    </a:xfrm>
                    <a:prstGeom prst="rect">
                      <a:avLst/>
                    </a:prstGeom>
                    <a:noFill/>
                  </pic:spPr>
                </pic:pic>
              </a:graphicData>
            </a:graphic>
          </wp:anchor>
        </w:drawing>
        <w:drawing>
          <wp:anchor simplePos="0" relativeHeight="251657728" behindDoc="1" locked="0" layoutInCell="0" allowOverlap="1">
            <wp:simplePos x="0" y="0"/>
            <wp:positionH relativeFrom="column">
              <wp:posOffset>5566410</wp:posOffset>
            </wp:positionH>
            <wp:positionV relativeFrom="paragraph">
              <wp:posOffset>-3994150</wp:posOffset>
            </wp:positionV>
            <wp:extent cx="163195" cy="1111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63195" cy="111125"/>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-3994150</wp:posOffset>
            </wp:positionV>
            <wp:extent cx="163195" cy="1111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63195" cy="11112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-3677285</wp:posOffset>
            </wp:positionV>
            <wp:extent cx="316865" cy="3689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16865" cy="368935"/>
                    </a:xfrm>
                    <a:prstGeom prst="rect">
                      <a:avLst/>
                    </a:prstGeom>
                    <a:noFill/>
                  </pic:spPr>
                </pic:pic>
              </a:graphicData>
            </a:graphic>
          </wp:anchor>
        </w:drawing>
        <w:drawing>
          <wp:anchor simplePos="0" relativeHeight="251657728" behindDoc="1" locked="0" layoutInCell="0" allowOverlap="1">
            <wp:simplePos x="0" y="0"/>
            <wp:positionH relativeFrom="column">
              <wp:posOffset>2968625</wp:posOffset>
            </wp:positionH>
            <wp:positionV relativeFrom="paragraph">
              <wp:posOffset>-3548380</wp:posOffset>
            </wp:positionV>
            <wp:extent cx="163195" cy="1117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63195" cy="111760"/>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-3548380</wp:posOffset>
            </wp:positionV>
            <wp:extent cx="162560" cy="1117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62560" cy="111760"/>
                    </a:xfrm>
                    <a:prstGeom prst="rect">
                      <a:avLst/>
                    </a:prstGeom>
                    <a:noFill/>
                  </pic:spPr>
                </pic:pic>
              </a:graphicData>
            </a:graphic>
          </wp:anchor>
        </w:drawing>
        <w:drawing>
          <wp:anchor simplePos="0" relativeHeight="251657728" behindDoc="1" locked="0" layoutInCell="0" allowOverlap="1">
            <wp:simplePos x="0" y="0"/>
            <wp:positionH relativeFrom="column">
              <wp:posOffset>3834765</wp:posOffset>
            </wp:positionH>
            <wp:positionV relativeFrom="paragraph">
              <wp:posOffset>-3548380</wp:posOffset>
            </wp:positionV>
            <wp:extent cx="163195" cy="1117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63195" cy="111760"/>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-3548380</wp:posOffset>
            </wp:positionV>
            <wp:extent cx="163195" cy="1117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63195" cy="111760"/>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-3548380</wp:posOffset>
            </wp:positionV>
            <wp:extent cx="163195" cy="1117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63195" cy="111760"/>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-3548380</wp:posOffset>
            </wp:positionV>
            <wp:extent cx="163195" cy="1117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63195" cy="111760"/>
                    </a:xfrm>
                    <a:prstGeom prst="rect">
                      <a:avLst/>
                    </a:prstGeom>
                    <a:noFill/>
                  </pic:spPr>
                </pic:pic>
              </a:graphicData>
            </a:graphic>
          </wp:anchor>
        </w:drawing>
        <w:drawing>
          <wp:anchor simplePos="0" relativeHeight="251657728" behindDoc="1" locked="0" layoutInCell="0" allowOverlap="1">
            <wp:simplePos x="0" y="0"/>
            <wp:positionH relativeFrom="column">
              <wp:posOffset>5566410</wp:posOffset>
            </wp:positionH>
            <wp:positionV relativeFrom="paragraph">
              <wp:posOffset>-3548380</wp:posOffset>
            </wp:positionV>
            <wp:extent cx="163195" cy="1117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63195" cy="111760"/>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-3548380</wp:posOffset>
            </wp:positionV>
            <wp:extent cx="163195" cy="1117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63195" cy="11176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-3214370</wp:posOffset>
            </wp:positionV>
            <wp:extent cx="360045" cy="3600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60045" cy="360045"/>
                    </a:xfrm>
                    <a:prstGeom prst="rect">
                      <a:avLst/>
                    </a:prstGeom>
                    <a:noFill/>
                  </pic:spPr>
                </pic:pic>
              </a:graphicData>
            </a:graphic>
          </wp:anchor>
        </w:drawing>
        <w:drawing>
          <wp:anchor simplePos="0" relativeHeight="251657728" behindDoc="1" locked="0" layoutInCell="0" allowOverlap="1">
            <wp:simplePos x="0" y="0"/>
            <wp:positionH relativeFrom="column">
              <wp:posOffset>2968625</wp:posOffset>
            </wp:positionH>
            <wp:positionV relativeFrom="paragraph">
              <wp:posOffset>-3094355</wp:posOffset>
            </wp:positionV>
            <wp:extent cx="163195" cy="1111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63195" cy="111125"/>
                    </a:xfrm>
                    <a:prstGeom prst="rect">
                      <a:avLst/>
                    </a:prstGeom>
                    <a:noFill/>
                  </pic:spPr>
                </pic:pic>
              </a:graphicData>
            </a:graphic>
          </wp:anchor>
        </w:drawing>
        <w:drawing>
          <wp:anchor simplePos="0" relativeHeight="251657728" behindDoc="1" locked="0" layoutInCell="0" allowOverlap="1">
            <wp:simplePos x="0" y="0"/>
            <wp:positionH relativeFrom="column">
              <wp:posOffset>3834765</wp:posOffset>
            </wp:positionH>
            <wp:positionV relativeFrom="paragraph">
              <wp:posOffset>-3094355</wp:posOffset>
            </wp:positionV>
            <wp:extent cx="163195" cy="1111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63195" cy="111125"/>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-3094355</wp:posOffset>
            </wp:positionV>
            <wp:extent cx="163195" cy="1111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63195" cy="111125"/>
                    </a:xfrm>
                    <a:prstGeom prst="rect">
                      <a:avLst/>
                    </a:prstGeom>
                    <a:noFill/>
                  </pic:spPr>
                </pic:pic>
              </a:graphicData>
            </a:graphic>
          </wp:anchor>
        </w:drawing>
        <w:drawing>
          <wp:anchor simplePos="0" relativeHeight="251657728" behindDoc="1" locked="0" layoutInCell="0" allowOverlap="1">
            <wp:simplePos x="0" y="0"/>
            <wp:positionH relativeFrom="column">
              <wp:posOffset>5566410</wp:posOffset>
            </wp:positionH>
            <wp:positionV relativeFrom="paragraph">
              <wp:posOffset>-3094355</wp:posOffset>
            </wp:positionV>
            <wp:extent cx="163195" cy="1111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63195" cy="11112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-2759710</wp:posOffset>
            </wp:positionV>
            <wp:extent cx="300355" cy="2743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00355" cy="274320"/>
                    </a:xfrm>
                    <a:prstGeom prst="rect">
                      <a:avLst/>
                    </a:prstGeom>
                    <a:noFill/>
                  </pic:spPr>
                </pic:pic>
              </a:graphicData>
            </a:graphic>
          </wp:anchor>
        </w:drawing>
        <w:drawing>
          <wp:anchor simplePos="0" relativeHeight="251657728" behindDoc="1" locked="0" layoutInCell="0" allowOverlap="1">
            <wp:simplePos x="0" y="0"/>
            <wp:positionH relativeFrom="column">
              <wp:posOffset>2968625</wp:posOffset>
            </wp:positionH>
            <wp:positionV relativeFrom="paragraph">
              <wp:posOffset>-2682875</wp:posOffset>
            </wp:positionV>
            <wp:extent cx="163195" cy="1117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63195" cy="111760"/>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-2682875</wp:posOffset>
            </wp:positionV>
            <wp:extent cx="162560" cy="1117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62560" cy="111760"/>
                    </a:xfrm>
                    <a:prstGeom prst="rect">
                      <a:avLst/>
                    </a:prstGeom>
                    <a:noFill/>
                  </pic:spPr>
                </pic:pic>
              </a:graphicData>
            </a:graphic>
          </wp:anchor>
        </w:drawing>
        <w:drawing>
          <wp:anchor simplePos="0" relativeHeight="251657728" behindDoc="1" locked="0" layoutInCell="0" allowOverlap="1">
            <wp:simplePos x="0" y="0"/>
            <wp:positionH relativeFrom="column">
              <wp:posOffset>3834765</wp:posOffset>
            </wp:positionH>
            <wp:positionV relativeFrom="paragraph">
              <wp:posOffset>-2682875</wp:posOffset>
            </wp:positionV>
            <wp:extent cx="163195" cy="1117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63195" cy="111760"/>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-2682875</wp:posOffset>
            </wp:positionV>
            <wp:extent cx="163195" cy="1117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63195" cy="111760"/>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-2682875</wp:posOffset>
            </wp:positionV>
            <wp:extent cx="163195" cy="1117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63195" cy="111760"/>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-2682875</wp:posOffset>
            </wp:positionV>
            <wp:extent cx="163195" cy="1117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63195" cy="111760"/>
                    </a:xfrm>
                    <a:prstGeom prst="rect">
                      <a:avLst/>
                    </a:prstGeom>
                    <a:noFill/>
                  </pic:spPr>
                </pic:pic>
              </a:graphicData>
            </a:graphic>
          </wp:anchor>
        </w:drawing>
        <w:drawing>
          <wp:anchor simplePos="0" relativeHeight="251657728" behindDoc="1" locked="0" layoutInCell="0" allowOverlap="1">
            <wp:simplePos x="0" y="0"/>
            <wp:positionH relativeFrom="column">
              <wp:posOffset>5566410</wp:posOffset>
            </wp:positionH>
            <wp:positionV relativeFrom="paragraph">
              <wp:posOffset>-2682875</wp:posOffset>
            </wp:positionV>
            <wp:extent cx="163195" cy="1117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63195" cy="111760"/>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-2682875</wp:posOffset>
            </wp:positionV>
            <wp:extent cx="163195" cy="1117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63195" cy="11176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-2391410</wp:posOffset>
            </wp:positionV>
            <wp:extent cx="316865" cy="3346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16865" cy="334645"/>
                    </a:xfrm>
                    <a:prstGeom prst="rect">
                      <a:avLst/>
                    </a:prstGeom>
                    <a:noFill/>
                  </pic:spPr>
                </pic:pic>
              </a:graphicData>
            </a:graphic>
          </wp:anchor>
        </w:drawing>
        <w:drawing>
          <wp:anchor simplePos="0" relativeHeight="251657728" behindDoc="1" locked="0" layoutInCell="0" allowOverlap="1">
            <wp:simplePos x="0" y="0"/>
            <wp:positionH relativeFrom="column">
              <wp:posOffset>2968625</wp:posOffset>
            </wp:positionH>
            <wp:positionV relativeFrom="paragraph">
              <wp:posOffset>-2279650</wp:posOffset>
            </wp:positionV>
            <wp:extent cx="163195" cy="1111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63195" cy="111125"/>
                    </a:xfrm>
                    <a:prstGeom prst="rect">
                      <a:avLst/>
                    </a:prstGeom>
                    <a:noFill/>
                  </pic:spPr>
                </pic:pic>
              </a:graphicData>
            </a:graphic>
          </wp:anchor>
        </w:drawing>
        <w:drawing>
          <wp:anchor simplePos="0" relativeHeight="251657728" behindDoc="1" locked="0" layoutInCell="0" allowOverlap="1">
            <wp:simplePos x="0" y="0"/>
            <wp:positionH relativeFrom="column">
              <wp:posOffset>3834765</wp:posOffset>
            </wp:positionH>
            <wp:positionV relativeFrom="paragraph">
              <wp:posOffset>-2279650</wp:posOffset>
            </wp:positionV>
            <wp:extent cx="163195" cy="1111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63195" cy="111125"/>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-2279650</wp:posOffset>
            </wp:positionV>
            <wp:extent cx="163195" cy="1111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63195" cy="111125"/>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-2279650</wp:posOffset>
            </wp:positionV>
            <wp:extent cx="163195" cy="1111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63195" cy="111125"/>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-2279650</wp:posOffset>
            </wp:positionV>
            <wp:extent cx="163195" cy="1111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63195" cy="111125"/>
                    </a:xfrm>
                    <a:prstGeom prst="rect">
                      <a:avLst/>
                    </a:prstGeom>
                    <a:noFill/>
                  </pic:spPr>
                </pic:pic>
              </a:graphicData>
            </a:graphic>
          </wp:anchor>
        </w:drawing>
        <w:drawing>
          <wp:anchor simplePos="0" relativeHeight="251657728" behindDoc="1" locked="0" layoutInCell="0" allowOverlap="1">
            <wp:simplePos x="0" y="0"/>
            <wp:positionH relativeFrom="column">
              <wp:posOffset>5566410</wp:posOffset>
            </wp:positionH>
            <wp:positionV relativeFrom="paragraph">
              <wp:posOffset>-2279650</wp:posOffset>
            </wp:positionV>
            <wp:extent cx="163195" cy="1111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63195" cy="111125"/>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-2279650</wp:posOffset>
            </wp:positionV>
            <wp:extent cx="163195" cy="1111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63195" cy="11112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-1962785</wp:posOffset>
            </wp:positionV>
            <wp:extent cx="316865" cy="3175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16865" cy="317500"/>
                    </a:xfrm>
                    <a:prstGeom prst="rect">
                      <a:avLst/>
                    </a:prstGeom>
                    <a:noFill/>
                  </pic:spPr>
                </pic:pic>
              </a:graphicData>
            </a:graphic>
          </wp:anchor>
        </w:drawing>
        <w:drawing>
          <wp:anchor simplePos="0" relativeHeight="251657728" behindDoc="1" locked="0" layoutInCell="0" allowOverlap="1">
            <wp:simplePos x="0" y="0"/>
            <wp:positionH relativeFrom="column">
              <wp:posOffset>2968625</wp:posOffset>
            </wp:positionH>
            <wp:positionV relativeFrom="paragraph">
              <wp:posOffset>-1859915</wp:posOffset>
            </wp:positionV>
            <wp:extent cx="163195" cy="1111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63195" cy="111125"/>
                    </a:xfrm>
                    <a:prstGeom prst="rect">
                      <a:avLst/>
                    </a:prstGeom>
                    <a:noFill/>
                  </pic:spPr>
                </pic:pic>
              </a:graphicData>
            </a:graphic>
          </wp:anchor>
        </w:drawing>
        <w:drawing>
          <wp:anchor simplePos="0" relativeHeight="251657728" behindDoc="1" locked="0" layoutInCell="0" allowOverlap="1">
            <wp:simplePos x="0" y="0"/>
            <wp:positionH relativeFrom="column">
              <wp:posOffset>3834765</wp:posOffset>
            </wp:positionH>
            <wp:positionV relativeFrom="paragraph">
              <wp:posOffset>-1859915</wp:posOffset>
            </wp:positionV>
            <wp:extent cx="163195" cy="1111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63195" cy="111125"/>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-1859915</wp:posOffset>
            </wp:positionV>
            <wp:extent cx="163195" cy="1111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63195" cy="111125"/>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-1859915</wp:posOffset>
            </wp:positionV>
            <wp:extent cx="163195" cy="1111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63195" cy="111125"/>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-1859915</wp:posOffset>
            </wp:positionV>
            <wp:extent cx="163195" cy="1111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63195" cy="111125"/>
                    </a:xfrm>
                    <a:prstGeom prst="rect">
                      <a:avLst/>
                    </a:prstGeom>
                    <a:noFill/>
                  </pic:spPr>
                </pic:pic>
              </a:graphicData>
            </a:graphic>
          </wp:anchor>
        </w:drawing>
        <w:drawing>
          <wp:anchor simplePos="0" relativeHeight="251657728" behindDoc="1" locked="0" layoutInCell="0" allowOverlap="1">
            <wp:simplePos x="0" y="0"/>
            <wp:positionH relativeFrom="column">
              <wp:posOffset>5566410</wp:posOffset>
            </wp:positionH>
            <wp:positionV relativeFrom="paragraph">
              <wp:posOffset>-1859915</wp:posOffset>
            </wp:positionV>
            <wp:extent cx="163195" cy="1111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63195" cy="111125"/>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-1859915</wp:posOffset>
            </wp:positionV>
            <wp:extent cx="163195" cy="1111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63195" cy="11112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-1542415</wp:posOffset>
            </wp:positionV>
            <wp:extent cx="300355" cy="2317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00355" cy="231775"/>
                    </a:xfrm>
                    <a:prstGeom prst="rect">
                      <a:avLst/>
                    </a:prstGeom>
                    <a:noFill/>
                  </pic:spPr>
                </pic:pic>
              </a:graphicData>
            </a:graphic>
          </wp:anchor>
        </w:drawing>
        <w:drawing>
          <wp:anchor simplePos="0" relativeHeight="251657728" behindDoc="1" locked="0" layoutInCell="0" allowOverlap="1">
            <wp:simplePos x="0" y="0"/>
            <wp:positionH relativeFrom="column">
              <wp:posOffset>2968625</wp:posOffset>
            </wp:positionH>
            <wp:positionV relativeFrom="paragraph">
              <wp:posOffset>-1482725</wp:posOffset>
            </wp:positionV>
            <wp:extent cx="163195" cy="1111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63195" cy="111125"/>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-1482725</wp:posOffset>
            </wp:positionV>
            <wp:extent cx="162560" cy="1111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62560" cy="111125"/>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-1482725</wp:posOffset>
            </wp:positionV>
            <wp:extent cx="163195" cy="1111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63195" cy="11112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-1216660</wp:posOffset>
            </wp:positionV>
            <wp:extent cx="316865" cy="3340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16865" cy="334010"/>
                    </a:xfrm>
                    <a:prstGeom prst="rect">
                      <a:avLst/>
                    </a:prstGeom>
                    <a:noFill/>
                  </pic:spPr>
                </pic:pic>
              </a:graphicData>
            </a:graphic>
          </wp:anchor>
        </w:drawing>
        <w:drawing>
          <wp:anchor simplePos="0" relativeHeight="251657728" behindDoc="1" locked="0" layoutInCell="0" allowOverlap="1">
            <wp:simplePos x="0" y="0"/>
            <wp:positionH relativeFrom="column">
              <wp:posOffset>3834765</wp:posOffset>
            </wp:positionH>
            <wp:positionV relativeFrom="paragraph">
              <wp:posOffset>-1105535</wp:posOffset>
            </wp:positionV>
            <wp:extent cx="163195" cy="1111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63195" cy="111125"/>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-1105535</wp:posOffset>
            </wp:positionV>
            <wp:extent cx="163195" cy="1111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63195" cy="11112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-788035</wp:posOffset>
            </wp:positionV>
            <wp:extent cx="308610" cy="3429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08610" cy="342900"/>
                    </a:xfrm>
                    <a:prstGeom prst="rect">
                      <a:avLst/>
                    </a:prstGeom>
                    <a:noFill/>
                  </pic:spPr>
                </pic:pic>
              </a:graphicData>
            </a:graphic>
          </wp:anchor>
        </w:drawing>
        <w:drawing>
          <wp:anchor simplePos="0" relativeHeight="251657728" behindDoc="1" locked="0" layoutInCell="0" allowOverlap="1">
            <wp:simplePos x="0" y="0"/>
            <wp:positionH relativeFrom="column">
              <wp:posOffset>2968625</wp:posOffset>
            </wp:positionH>
            <wp:positionV relativeFrom="paragraph">
              <wp:posOffset>-676910</wp:posOffset>
            </wp:positionV>
            <wp:extent cx="163195" cy="1111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63195" cy="111125"/>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-676910</wp:posOffset>
            </wp:positionV>
            <wp:extent cx="162560" cy="1111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62560" cy="111125"/>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-676910</wp:posOffset>
            </wp:positionV>
            <wp:extent cx="163195" cy="1111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63195" cy="111125"/>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-676910</wp:posOffset>
            </wp:positionV>
            <wp:extent cx="163195" cy="1111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63195" cy="111125"/>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-676910</wp:posOffset>
            </wp:positionV>
            <wp:extent cx="163195" cy="1111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63195" cy="11112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-351155</wp:posOffset>
            </wp:positionV>
            <wp:extent cx="334010" cy="2660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4010" cy="266065"/>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-265430</wp:posOffset>
            </wp:positionV>
            <wp:extent cx="162560" cy="1111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62560" cy="111125"/>
                    </a:xfrm>
                    <a:prstGeom prst="rect">
                      <a:avLst/>
                    </a:prstGeom>
                    <a:noFill/>
                  </pic:spPr>
                </pic:pic>
              </a:graphicData>
            </a:graphic>
          </wp:anchor>
        </w:drawing>
        <w:drawing>
          <wp:anchor simplePos="0" relativeHeight="251657728" behindDoc="1" locked="0" layoutInCell="0" allowOverlap="1">
            <wp:simplePos x="0" y="0"/>
            <wp:positionH relativeFrom="column">
              <wp:posOffset>3834765</wp:posOffset>
            </wp:positionH>
            <wp:positionV relativeFrom="paragraph">
              <wp:posOffset>-265430</wp:posOffset>
            </wp:positionV>
            <wp:extent cx="163195" cy="1111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63195" cy="111125"/>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-265430</wp:posOffset>
            </wp:positionV>
            <wp:extent cx="163195" cy="1111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63195" cy="11112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6260" w:type="dxa"/>
            <w:vAlign w:val="bottom"/>
          </w:tcPr>
          <w:p>
            <w:pPr>
              <w:spacing w:after="0"/>
              <w:rPr>
                <w:sz w:val="20"/>
                <w:szCs w:val="20"/>
                <w:color w:val="auto"/>
              </w:rPr>
            </w:pPr>
            <w:r>
              <w:rPr>
                <w:rFonts w:ascii="Arial" w:cs="Arial" w:eastAsia="Arial" w:hAnsi="Arial"/>
                <w:sz w:val="14"/>
                <w:szCs w:val="14"/>
                <w:b w:val="1"/>
                <w:bCs w:val="1"/>
                <w:color w:val="auto"/>
              </w:rPr>
              <w:t>​</w:t>
            </w:r>
          </w:p>
        </w:tc>
        <w:tc>
          <w:tcPr>
            <w:tcW w:w="2320" w:type="dxa"/>
            <w:vAlign w:val="bottom"/>
          </w:tcPr>
          <w:p>
            <w:pPr>
              <w:ind w:left="1940"/>
              <w:spacing w:after="0"/>
              <w:rPr>
                <w:sz w:val="20"/>
                <w:szCs w:val="20"/>
                <w:color w:val="auto"/>
              </w:rPr>
            </w:pPr>
            <w:r>
              <w:rPr>
                <w:rFonts w:ascii="Arial" w:cs="Arial" w:eastAsia="Arial" w:hAnsi="Arial"/>
                <w:sz w:val="14"/>
                <w:szCs w:val="14"/>
                <w:b w:val="1"/>
                <w:bCs w:val="1"/>
                <w:color w:val="auto"/>
              </w:rPr>
              <w:t>​ ​</w:t>
            </w:r>
          </w:p>
        </w:tc>
        <w:tc>
          <w:tcPr>
            <w:tcW w:w="480" w:type="dxa"/>
            <w:vAlign w:val="bottom"/>
            <w:vMerge w:val="restart"/>
          </w:tcPr>
          <w:p>
            <w:pPr>
              <w:jc w:val="right"/>
              <w:spacing w:after="0"/>
              <w:rPr>
                <w:sz w:val="20"/>
                <w:szCs w:val="20"/>
                <w:color w:val="auto"/>
              </w:rPr>
            </w:pPr>
            <w:r>
              <w:rPr>
                <w:rFonts w:ascii="Arial" w:cs="Arial" w:eastAsia="Arial" w:hAnsi="Arial"/>
                <w:sz w:val="22"/>
                <w:szCs w:val="22"/>
                <w:b w:val="1"/>
                <w:bCs w:val="1"/>
                <w:color w:val="1F2668"/>
              </w:rPr>
              <w:t>13</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6260" w:type="dxa"/>
            <w:vAlign w:val="bottom"/>
          </w:tcPr>
          <w:p>
            <w:pPr>
              <w:spacing w:after="0"/>
              <w:rPr>
                <w:sz w:val="20"/>
                <w:szCs w:val="20"/>
                <w:color w:val="auto"/>
              </w:rPr>
            </w:pPr>
            <w:r>
              <w:rPr>
                <w:rFonts w:ascii="Arial" w:cs="Arial" w:eastAsia="Arial" w:hAnsi="Arial"/>
                <w:sz w:val="14"/>
                <w:szCs w:val="14"/>
                <w:b w:val="1"/>
                <w:bCs w:val="1"/>
                <w:color w:val="auto"/>
              </w:rPr>
              <w:t>OUR BOARD OF DIRECTORS AND CORPORATE GOVERNANCE</w:t>
            </w:r>
          </w:p>
        </w:tc>
        <w:tc>
          <w:tcPr>
            <w:tcW w:w="232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38"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153035</wp:posOffset>
            </wp:positionV>
            <wp:extent cx="1405890" cy="47491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405890" cy="474916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p>
      <w:pPr>
        <w:spacing w:after="0" w:line="269" w:lineRule="exact"/>
        <w:rPr>
          <w:sz w:val="20"/>
          <w:szCs w:val="20"/>
          <w:color w:val="auto"/>
        </w:rPr>
      </w:pPr>
    </w:p>
    <w:p>
      <w:pPr>
        <w:ind w:left="1020"/>
        <w:spacing w:after="0"/>
        <w:tabs>
          <w:tab w:leader="none" w:pos="296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18" w:lineRule="exact"/>
        <w:rPr>
          <w:sz w:val="20"/>
          <w:szCs w:val="20"/>
          <w:color w:val="auto"/>
        </w:rPr>
      </w:pPr>
    </w:p>
    <w:p>
      <w:pPr>
        <w:ind w:left="960"/>
        <w:spacing w:after="0"/>
        <w:tabs>
          <w:tab w:leader="none" w:pos="2880" w:val="left"/>
        </w:tabs>
        <w:rPr>
          <w:sz w:val="20"/>
          <w:szCs w:val="20"/>
          <w:color w:val="auto"/>
        </w:rPr>
      </w:pPr>
      <w:r>
        <w:rPr>
          <w:rFonts w:ascii="Arial" w:cs="Arial" w:eastAsia="Arial" w:hAnsi="Arial"/>
          <w:sz w:val="16"/>
          <w:szCs w:val="16"/>
          <w:b w:val="1"/>
          <w:bCs w:val="1"/>
          <w:color w:val="FFFFFF"/>
        </w:rPr>
        <w:t>​</w:t>
      </w:r>
      <w:r>
        <w:rPr>
          <w:sz w:val="20"/>
          <w:szCs w:val="20"/>
          <w:color w:val="auto"/>
        </w:rPr>
        <w:tab/>
      </w:r>
      <w:r>
        <w:rPr>
          <w:rFonts w:ascii="Arial" w:cs="Arial" w:eastAsia="Arial" w:hAnsi="Arial"/>
          <w:sz w:val="16"/>
          <w:szCs w:val="16"/>
          <w:b w:val="1"/>
          <w:bCs w:val="1"/>
          <w:color w:val="FFFFFF"/>
        </w:rPr>
        <w:t>​</w:t>
      </w:r>
    </w:p>
    <w:p>
      <w:pPr>
        <w:spacing w:after="0" w:line="56" w:lineRule="exact"/>
        <w:rPr>
          <w:sz w:val="20"/>
          <w:szCs w:val="20"/>
          <w:color w:val="auto"/>
        </w:rPr>
      </w:pPr>
    </w:p>
    <w:p>
      <w:pPr>
        <w:ind w:left="960"/>
        <w:spacing w:after="0"/>
        <w:rPr>
          <w:sz w:val="20"/>
          <w:szCs w:val="20"/>
          <w:color w:val="auto"/>
        </w:rPr>
      </w:pPr>
      <w:r>
        <w:rPr>
          <w:rFonts w:ascii="Arial" w:cs="Arial" w:eastAsia="Arial" w:hAnsi="Arial"/>
          <w:sz w:val="22"/>
          <w:szCs w:val="22"/>
          <w:b w:val="1"/>
          <w:bCs w:val="1"/>
          <w:color w:val="FFFFFF"/>
        </w:rPr>
        <w:t>JOHN H.</w:t>
      </w:r>
    </w:p>
    <w:p>
      <w:pPr>
        <w:spacing w:after="0" w:line="26" w:lineRule="exact"/>
        <w:rPr>
          <w:sz w:val="20"/>
          <w:szCs w:val="20"/>
          <w:color w:val="auto"/>
        </w:rPr>
      </w:pPr>
    </w:p>
    <w:p>
      <w:pPr>
        <w:ind w:left="960"/>
        <w:spacing w:after="0"/>
        <w:rPr>
          <w:sz w:val="20"/>
          <w:szCs w:val="20"/>
          <w:color w:val="auto"/>
        </w:rPr>
      </w:pPr>
      <w:r>
        <w:rPr>
          <w:rFonts w:ascii="Arial" w:cs="Arial" w:eastAsia="Arial" w:hAnsi="Arial"/>
          <w:sz w:val="22"/>
          <w:szCs w:val="22"/>
          <w:b w:val="1"/>
          <w:bCs w:val="1"/>
          <w:color w:val="FFFFFF"/>
        </w:rPr>
        <w:t>ALSCHULER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FFFFFF"/>
        </w:rPr>
        <w:t>Lead Independent</w:t>
      </w:r>
    </w:p>
    <w:p>
      <w:pPr>
        <w:spacing w:after="0" w:line="35"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FFFFFF"/>
        </w:rPr>
        <w:t>Director</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6"/>
          <w:szCs w:val="16"/>
          <w:color w:val="FFFFFF"/>
        </w:rPr>
        <w:t xml:space="preserve">Director Since: </w:t>
      </w:r>
      <w:r>
        <w:rPr>
          <w:rFonts w:ascii="Arial" w:cs="Arial" w:eastAsia="Arial" w:hAnsi="Arial"/>
          <w:sz w:val="16"/>
          <w:szCs w:val="16"/>
          <w:b w:val="1"/>
          <w:bCs w:val="1"/>
          <w:color w:val="FFFFFF"/>
        </w:rPr>
        <w:t>1997</w:t>
      </w:r>
    </w:p>
    <w:p>
      <w:pPr>
        <w:spacing w:after="0" w:line="127" w:lineRule="exact"/>
        <w:rPr>
          <w:sz w:val="20"/>
          <w:szCs w:val="20"/>
          <w:color w:val="auto"/>
        </w:rPr>
      </w:pPr>
    </w:p>
    <w:p>
      <w:pPr>
        <w:ind w:left="960"/>
        <w:spacing w:after="0"/>
        <w:rPr>
          <w:sz w:val="20"/>
          <w:szCs w:val="20"/>
          <w:color w:val="auto"/>
        </w:rPr>
      </w:pPr>
      <w:r>
        <w:rPr>
          <w:rFonts w:ascii="Arial" w:cs="Arial" w:eastAsia="Arial" w:hAnsi="Arial"/>
          <w:sz w:val="16"/>
          <w:szCs w:val="16"/>
          <w:color w:val="FFFFFF"/>
        </w:rPr>
        <w:t xml:space="preserve">Age: </w:t>
      </w:r>
      <w:r>
        <w:rPr>
          <w:rFonts w:ascii="Arial" w:cs="Arial" w:eastAsia="Arial" w:hAnsi="Arial"/>
          <w:sz w:val="16"/>
          <w:szCs w:val="16"/>
          <w:b w:val="1"/>
          <w:bCs w:val="1"/>
          <w:color w:val="FFFFFF"/>
        </w:rPr>
        <w:t>77</w:t>
      </w:r>
    </w:p>
    <w:p>
      <w:pPr>
        <w:spacing w:after="0" w:line="140" w:lineRule="exact"/>
        <w:rPr>
          <w:sz w:val="20"/>
          <w:szCs w:val="20"/>
          <w:color w:val="auto"/>
        </w:rPr>
      </w:pPr>
    </w:p>
    <w:p>
      <w:pPr>
        <w:ind w:left="960"/>
        <w:spacing w:after="0"/>
        <w:rPr>
          <w:sz w:val="20"/>
          <w:szCs w:val="20"/>
          <w:color w:val="auto"/>
        </w:rPr>
      </w:pPr>
      <w:r>
        <w:rPr>
          <w:rFonts w:ascii="Arial" w:cs="Arial" w:eastAsia="Arial" w:hAnsi="Arial"/>
          <w:sz w:val="16"/>
          <w:szCs w:val="16"/>
          <w:color w:val="FFFFFF"/>
        </w:rPr>
        <w:t>SL Green</w:t>
      </w:r>
    </w:p>
    <w:p>
      <w:pPr>
        <w:spacing w:after="0" w:line="21" w:lineRule="exact"/>
        <w:rPr>
          <w:sz w:val="20"/>
          <w:szCs w:val="20"/>
          <w:color w:val="auto"/>
        </w:rPr>
      </w:pPr>
    </w:p>
    <w:p>
      <w:pPr>
        <w:ind w:left="960"/>
        <w:spacing w:after="0"/>
        <w:rPr>
          <w:sz w:val="20"/>
          <w:szCs w:val="20"/>
          <w:color w:val="auto"/>
        </w:rPr>
      </w:pPr>
      <w:r>
        <w:rPr>
          <w:rFonts w:ascii="Arial" w:cs="Arial" w:eastAsia="Arial" w:hAnsi="Arial"/>
          <w:sz w:val="16"/>
          <w:szCs w:val="16"/>
          <w:color w:val="FFFFFF"/>
        </w:rPr>
        <w:t>Board Service:</w:t>
      </w:r>
    </w:p>
    <w:p>
      <w:pPr>
        <w:spacing w:after="0" w:line="138" w:lineRule="exact"/>
        <w:rPr>
          <w:sz w:val="20"/>
          <w:szCs w:val="20"/>
          <w:color w:val="auto"/>
        </w:rPr>
      </w:pPr>
    </w:p>
    <w:p>
      <w:pPr>
        <w:ind w:left="1120" w:right="820" w:hanging="169"/>
        <w:spacing w:after="0" w:line="351" w:lineRule="auto"/>
        <w:tabs>
          <w:tab w:leader="none" w:pos="1120" w:val="left"/>
        </w:tabs>
        <w:numPr>
          <w:ilvl w:val="0"/>
          <w:numId w:val="25"/>
        </w:numPr>
        <w:rPr>
          <w:rFonts w:ascii="Arial" w:cs="Arial" w:eastAsia="Arial" w:hAnsi="Arial"/>
          <w:sz w:val="15"/>
          <w:szCs w:val="15"/>
          <w:color w:val="FFFFFF"/>
        </w:rPr>
      </w:pPr>
      <w:r>
        <w:rPr>
          <w:rFonts w:ascii="Arial" w:cs="Arial" w:eastAsia="Arial" w:hAnsi="Arial"/>
          <w:sz w:val="15"/>
          <w:szCs w:val="15"/>
          <w:b w:val="1"/>
          <w:bCs w:val="1"/>
          <w:color w:val="FFFFFF"/>
        </w:rPr>
        <w:t>Compensation Committee</w:t>
      </w:r>
    </w:p>
    <w:p>
      <w:pPr>
        <w:spacing w:after="0" w:line="35" w:lineRule="exact"/>
        <w:rPr>
          <w:rFonts w:ascii="Arial" w:cs="Arial" w:eastAsia="Arial" w:hAnsi="Arial"/>
          <w:sz w:val="15"/>
          <w:szCs w:val="15"/>
          <w:color w:val="FFFFFF"/>
        </w:rPr>
      </w:pPr>
    </w:p>
    <w:p>
      <w:pPr>
        <w:ind w:left="1120" w:right="840" w:hanging="169"/>
        <w:spacing w:after="0" w:line="298" w:lineRule="auto"/>
        <w:tabs>
          <w:tab w:leader="none" w:pos="1120" w:val="left"/>
        </w:tabs>
        <w:numPr>
          <w:ilvl w:val="0"/>
          <w:numId w:val="25"/>
        </w:numPr>
        <w:rPr>
          <w:rFonts w:ascii="Arial" w:cs="Arial" w:eastAsia="Arial" w:hAnsi="Arial"/>
          <w:sz w:val="15"/>
          <w:szCs w:val="15"/>
          <w:color w:val="FFFFFF"/>
        </w:rPr>
      </w:pPr>
      <w:r>
        <w:rPr>
          <w:rFonts w:ascii="Arial" w:cs="Arial" w:eastAsia="Arial" w:hAnsi="Arial"/>
          <w:sz w:val="15"/>
          <w:szCs w:val="15"/>
          <w:b w:val="1"/>
          <w:bCs w:val="1"/>
          <w:color w:val="FFFFFF"/>
        </w:rPr>
        <w:t>Nominating and Corporate Governance Committee</w:t>
      </w:r>
    </w:p>
    <w:p>
      <w:pPr>
        <w:spacing w:after="0" w:line="88" w:lineRule="exact"/>
        <w:rPr>
          <w:rFonts w:ascii="Arial" w:cs="Arial" w:eastAsia="Arial" w:hAnsi="Arial"/>
          <w:sz w:val="15"/>
          <w:szCs w:val="15"/>
          <w:color w:val="FFFFFF"/>
        </w:rPr>
      </w:pPr>
    </w:p>
    <w:p>
      <w:pPr>
        <w:ind w:left="1120" w:hanging="169"/>
        <w:spacing w:after="0"/>
        <w:tabs>
          <w:tab w:leader="none" w:pos="1120" w:val="left"/>
        </w:tabs>
        <w:numPr>
          <w:ilvl w:val="0"/>
          <w:numId w:val="25"/>
        </w:numPr>
        <w:rPr>
          <w:rFonts w:ascii="Arial" w:cs="Arial" w:eastAsia="Arial" w:hAnsi="Arial"/>
          <w:sz w:val="16"/>
          <w:szCs w:val="16"/>
          <w:color w:val="FFFFFF"/>
        </w:rPr>
      </w:pPr>
      <w:r>
        <w:rPr>
          <w:rFonts w:ascii="Arial" w:cs="Arial" w:eastAsia="Arial" w:hAnsi="Arial"/>
          <w:sz w:val="16"/>
          <w:szCs w:val="16"/>
          <w:b w:val="1"/>
          <w:bCs w:val="1"/>
          <w:color w:val="FFFFFF"/>
        </w:rPr>
        <w:t>Executive Committee</w:t>
      </w:r>
    </w:p>
    <w:p>
      <w:pPr>
        <w:spacing w:after="0" w:line="330" w:lineRule="exact"/>
        <w:rPr>
          <w:sz w:val="20"/>
          <w:szCs w:val="20"/>
          <w:color w:val="auto"/>
        </w:rPr>
      </w:pPr>
    </w:p>
    <w:p>
      <w:pPr>
        <w:ind w:left="1020"/>
        <w:spacing w:after="0"/>
        <w:tabs>
          <w:tab w:leader="none" w:pos="296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 w:right="60"/>
        <w:spacing w:after="0" w:line="275" w:lineRule="auto"/>
        <w:rPr>
          <w:sz w:val="20"/>
          <w:szCs w:val="20"/>
          <w:color w:val="auto"/>
        </w:rPr>
      </w:pPr>
      <w:r>
        <w:rPr>
          <w:rFonts w:ascii="Arial" w:cs="Arial" w:eastAsia="Arial" w:hAnsi="Arial"/>
          <w:sz w:val="16"/>
          <w:szCs w:val="16"/>
          <w:color w:val="auto"/>
        </w:rPr>
        <w:t>Mr. Alschuler’s achievements in academia and business, as well as his extensive knowledge of commercial real estate, New York City’s economy, commercial and other markets in New York City and national and international markets for real estate, and his expertise in inter-governmental relations, provide the Board with the ability to assess the real estate market and the Company’s business from a knowledgeable and informed perspective, from which he provides valuable insights into the Company’s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174625</wp:posOffset>
            </wp:positionV>
            <wp:extent cx="41230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1F2668"/>
        </w:rPr>
        <w:t>Professional Experience</w:t>
      </w:r>
    </w:p>
    <w:p>
      <w:pPr>
        <w:spacing w:after="0" w:line="104" w:lineRule="exact"/>
        <w:rPr>
          <w:sz w:val="20"/>
          <w:szCs w:val="20"/>
          <w:color w:val="auto"/>
        </w:rPr>
      </w:pPr>
    </w:p>
    <w:p>
      <w:pPr>
        <w:ind w:left="190" w:right="480" w:hanging="190"/>
        <w:spacing w:after="0" w:line="281" w:lineRule="auto"/>
        <w:tabs>
          <w:tab w:leader="none" w:pos="19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Executive Chairman of Therme Group US, a privately-held company which designs, builds and operates large scale well-being facilities, since 2022</w:t>
      </w:r>
    </w:p>
    <w:p>
      <w:pPr>
        <w:spacing w:after="0" w:line="1" w:lineRule="exact"/>
        <w:rPr>
          <w:rFonts w:ascii="Arial" w:cs="Arial" w:eastAsia="Arial" w:hAnsi="Arial"/>
          <w:sz w:val="16"/>
          <w:szCs w:val="16"/>
          <w:color w:val="auto"/>
        </w:rPr>
      </w:pPr>
    </w:p>
    <w:p>
      <w:pPr>
        <w:ind w:left="190" w:right="360" w:hanging="190"/>
        <w:spacing w:after="0" w:line="272" w:lineRule="auto"/>
        <w:tabs>
          <w:tab w:leader="none" w:pos="19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Chair of HR&amp;A Advisors Inc., an economic development, real-estate and public policy consulting organization, from 2008 to 2021</w:t>
      </w:r>
    </w:p>
    <w:p>
      <w:pPr>
        <w:spacing w:after="0" w:line="1" w:lineRule="exact"/>
        <w:rPr>
          <w:rFonts w:ascii="Arial" w:cs="Arial" w:eastAsia="Arial" w:hAnsi="Arial"/>
          <w:sz w:val="16"/>
          <w:szCs w:val="16"/>
          <w:color w:val="auto"/>
        </w:rPr>
      </w:pPr>
    </w:p>
    <w:p>
      <w:pPr>
        <w:ind w:left="190" w:right="80" w:hanging="190"/>
        <w:spacing w:after="0" w:line="281" w:lineRule="auto"/>
        <w:tabs>
          <w:tab w:leader="none" w:pos="19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Adjunct Associate Professor, Graduate School of Architecture, Planning &amp; Preservation at Columbia University, teaching real estate development</w:t>
      </w:r>
    </w:p>
    <w:p>
      <w:pPr>
        <w:spacing w:after="0" w:line="1" w:lineRule="exact"/>
        <w:rPr>
          <w:rFonts w:ascii="Arial" w:cs="Arial" w:eastAsia="Arial" w:hAnsi="Arial"/>
          <w:sz w:val="16"/>
          <w:szCs w:val="16"/>
          <w:color w:val="auto"/>
        </w:rPr>
      </w:pPr>
    </w:p>
    <w:p>
      <w:pPr>
        <w:ind w:left="190" w:right="260" w:hanging="190"/>
        <w:spacing w:after="0" w:line="281" w:lineRule="auto"/>
        <w:tabs>
          <w:tab w:leader="none" w:pos="19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Board of Directors of the Center for an Urban Future, Friends of the High Line Inc., and the Sag Harbor Cinema Arts Center, each a 501(c)(3) tax-exempt organization</w:t>
      </w:r>
    </w:p>
    <w:p>
      <w:pPr>
        <w:spacing w:after="0" w:line="1" w:lineRule="exact"/>
        <w:rPr>
          <w:rFonts w:ascii="Arial" w:cs="Arial" w:eastAsia="Arial" w:hAnsi="Arial"/>
          <w:sz w:val="16"/>
          <w:szCs w:val="16"/>
          <w:color w:val="auto"/>
        </w:rPr>
      </w:pPr>
    </w:p>
    <w:p>
      <w:pPr>
        <w:ind w:left="190" w:right="840" w:hanging="190"/>
        <w:spacing w:after="0" w:line="304" w:lineRule="auto"/>
        <w:tabs>
          <w:tab w:leader="none" w:pos="19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 degree from Wesleyan University and Ed.D. degree from the University of Massachusetts at Amherst</w:t>
      </w:r>
    </w:p>
    <w:p>
      <w:pPr>
        <w:spacing w:after="0" w:line="159"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1F2668"/>
        </w:rPr>
        <w:t>Other Public Board Directorships</w:t>
      </w:r>
    </w:p>
    <w:p>
      <w:pPr>
        <w:spacing w:after="0" w:line="104" w:lineRule="exact"/>
        <w:rPr>
          <w:sz w:val="20"/>
          <w:szCs w:val="20"/>
          <w:color w:val="auto"/>
        </w:rPr>
      </w:pPr>
    </w:p>
    <w:p>
      <w:pPr>
        <w:ind w:left="190" w:hanging="190"/>
        <w:spacing w:after="0"/>
        <w:tabs>
          <w:tab w:leader="none" w:pos="190" w:val="left"/>
        </w:tabs>
        <w:numPr>
          <w:ilvl w:val="0"/>
          <w:numId w:val="27"/>
        </w:numPr>
        <w:rPr>
          <w:rFonts w:ascii="Arial" w:cs="Arial" w:eastAsia="Arial" w:hAnsi="Arial"/>
          <w:sz w:val="16"/>
          <w:szCs w:val="16"/>
          <w:color w:val="auto"/>
        </w:rPr>
      </w:pPr>
      <w:r>
        <w:rPr>
          <w:rFonts w:ascii="Arial" w:cs="Arial" w:eastAsia="Arial" w:hAnsi="Arial"/>
          <w:sz w:val="16"/>
          <w:szCs w:val="16"/>
          <w:color w:val="auto"/>
        </w:rPr>
        <w:t>Xenia Hotels and Resorts, Inc. since 2015</w:t>
      </w:r>
    </w:p>
    <w:p>
      <w:pPr>
        <w:spacing w:after="0" w:line="59" w:lineRule="exact"/>
        <w:rPr>
          <w:rFonts w:ascii="Arial" w:cs="Arial" w:eastAsia="Arial" w:hAnsi="Arial"/>
          <w:sz w:val="16"/>
          <w:szCs w:val="16"/>
          <w:color w:val="auto"/>
        </w:rPr>
      </w:pPr>
    </w:p>
    <w:p>
      <w:pPr>
        <w:ind w:left="190" w:hanging="190"/>
        <w:spacing w:after="0"/>
        <w:tabs>
          <w:tab w:leader="none" w:pos="19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Macerich Company since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175260</wp:posOffset>
            </wp:positionV>
            <wp:extent cx="412305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12305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1F2668"/>
        </w:rPr>
        <w:t>Skills, Experiences and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109220</wp:posOffset>
            </wp:positionV>
            <wp:extent cx="334010" cy="3511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4010" cy="351155"/>
                    </a:xfrm>
                    <a:prstGeom prst="rect">
                      <a:avLst/>
                    </a:prstGeom>
                    <a:noFill/>
                  </pic:spPr>
                </pic:pic>
              </a:graphicData>
            </a:graphic>
          </wp:anchor>
        </w:drawing>
        <w:drawing>
          <wp:anchor simplePos="0" relativeHeight="251657728" behindDoc="1" locked="0" layoutInCell="0" allowOverlap="1">
            <wp:simplePos x="0" y="0"/>
            <wp:positionH relativeFrom="column">
              <wp:posOffset>2093595</wp:posOffset>
            </wp:positionH>
            <wp:positionV relativeFrom="paragraph">
              <wp:posOffset>143510</wp:posOffset>
            </wp:positionV>
            <wp:extent cx="334010" cy="3346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4010" cy="334645"/>
                    </a:xfrm>
                    <a:prstGeom prst="rect">
                      <a:avLst/>
                    </a:prstGeom>
                    <a:noFill/>
                  </pic:spPr>
                </pic:pic>
              </a:graphicData>
            </a:graphic>
          </wp:anchor>
        </w:drawing>
      </w:r>
    </w:p>
    <w:p>
      <w:pPr>
        <w:spacing w:after="0" w:line="354" w:lineRule="exact"/>
        <w:rPr>
          <w:sz w:val="20"/>
          <w:szCs w:val="20"/>
          <w:color w:val="auto"/>
        </w:rPr>
      </w:pPr>
    </w:p>
    <w:p>
      <w:pPr>
        <w:ind w:left="10"/>
        <w:spacing w:after="0"/>
        <w:tabs>
          <w:tab w:leader="none" w:pos="510" w:val="left"/>
          <w:tab w:leader="none" w:pos="3090" w:val="left"/>
          <w:tab w:leader="none" w:pos="3890" w:val="left"/>
          <w:tab w:leader="none" w:pos="647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 ​ Executive Leadership</w:t>
      </w:r>
      <w:r>
        <w:rPr>
          <w:sz w:val="20"/>
          <w:szCs w:val="20"/>
          <w:color w:val="auto"/>
        </w:rPr>
        <w:tab/>
      </w:r>
      <w:r>
        <w:rPr>
          <w:rFonts w:ascii="Arial" w:cs="Arial" w:eastAsia="Arial" w:hAnsi="Arial"/>
          <w:sz w:val="16"/>
          <w:szCs w:val="16"/>
          <w:color w:val="auto"/>
        </w:rPr>
        <w:t>​ ​</w:t>
      </w:r>
      <w:r>
        <w:rPr>
          <w:sz w:val="20"/>
          <w:szCs w:val="20"/>
          <w:color w:val="auto"/>
        </w:rPr>
        <w:tab/>
      </w:r>
      <w:r>
        <w:rPr>
          <w:rFonts w:ascii="Arial" w:cs="Arial" w:eastAsia="Arial" w:hAnsi="Arial"/>
          <w:sz w:val="16"/>
          <w:szCs w:val="16"/>
          <w:color w:val="auto"/>
        </w:rPr>
        <w:t>​ ​ Finance/Capital Markets</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209550</wp:posOffset>
            </wp:positionV>
            <wp:extent cx="317500" cy="3683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17500" cy="368300"/>
                    </a:xfrm>
                    <a:prstGeom prst="rect">
                      <a:avLst/>
                    </a:prstGeom>
                    <a:noFill/>
                  </pic:spPr>
                </pic:pic>
              </a:graphicData>
            </a:graphic>
          </wp:anchor>
        </w:drawing>
        <w:drawing>
          <wp:anchor simplePos="0" relativeHeight="251657728" behindDoc="1" locked="0" layoutInCell="0" allowOverlap="1">
            <wp:simplePos x="0" y="0"/>
            <wp:positionH relativeFrom="column">
              <wp:posOffset>2093595</wp:posOffset>
            </wp:positionH>
            <wp:positionV relativeFrom="paragraph">
              <wp:posOffset>200660</wp:posOffset>
            </wp:positionV>
            <wp:extent cx="377190" cy="3771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77190" cy="377190"/>
                    </a:xfrm>
                    <a:prstGeom prst="rect">
                      <a:avLst/>
                    </a:prstGeom>
                    <a:noFill/>
                  </pic:spPr>
                </pic:pic>
              </a:graphicData>
            </a:graphic>
          </wp:anchor>
        </w:drawing>
      </w:r>
    </w:p>
    <w:p>
      <w:pPr>
        <w:spacing w:after="0" w:line="410" w:lineRule="exact"/>
        <w:rPr>
          <w:sz w:val="20"/>
          <w:szCs w:val="20"/>
          <w:color w:val="auto"/>
        </w:rPr>
      </w:pPr>
    </w:p>
    <w:p>
      <w:pPr>
        <w:sectPr>
          <w:pgSz w:w="11900" w:h="16838" w:orient="portrait"/>
          <w:cols w:equalWidth="0" w:num="2">
            <w:col w:w="3040" w:space="350"/>
            <w:col w:w="6530"/>
          </w:cols>
          <w:pgMar w:left="580" w:top="97" w:right="1399" w:bottom="1440" w:gutter="0" w:footer="0" w:header="0"/>
          <w:type w:val="continuous"/>
        </w:sectPr>
      </w:pPr>
    </w:p>
    <w:tbl>
      <w:tblPr>
        <w:tblLayout w:type="fixed"/>
        <w:tblInd w:w="3400" w:type="dxa"/>
        <w:tblCellMar>
          <w:top w:w="0" w:type="dxa"/>
          <w:left w:w="0" w:type="dxa"/>
          <w:bottom w:w="0" w:type="dxa"/>
          <w:right w:w="0" w:type="dxa"/>
        </w:tblCellMar>
      </w:tblPr>
      <w:tr>
        <w:trPr>
          <w:trHeight w:val="257"/>
        </w:trPr>
        <w:tc>
          <w:tcPr>
            <w:tcW w:w="280" w:type="dxa"/>
            <w:vAlign w:val="bottom"/>
          </w:tcPr>
          <w:p>
            <w:pPr>
              <w:spacing w:after="0"/>
              <w:rPr>
                <w:sz w:val="20"/>
                <w:szCs w:val="20"/>
                <w:color w:val="auto"/>
              </w:rPr>
            </w:pPr>
            <w:r>
              <w:rPr>
                <w:rFonts w:ascii="Arial" w:cs="Arial" w:eastAsia="Arial" w:hAnsi="Arial"/>
                <w:sz w:val="16"/>
                <w:szCs w:val="16"/>
                <w:color w:val="auto"/>
              </w:rPr>
              <w:t>​</w:t>
            </w:r>
          </w:p>
        </w:tc>
        <w:tc>
          <w:tcPr>
            <w:tcW w:w="2540" w:type="dxa"/>
            <w:vAlign w:val="bottom"/>
          </w:tcPr>
          <w:p>
            <w:pPr>
              <w:ind w:left="240"/>
              <w:spacing w:after="0"/>
              <w:rPr>
                <w:sz w:val="20"/>
                <w:szCs w:val="20"/>
                <w:color w:val="auto"/>
              </w:rPr>
            </w:pPr>
            <w:r>
              <w:rPr>
                <w:rFonts w:ascii="Arial" w:cs="Arial" w:eastAsia="Arial" w:hAnsi="Arial"/>
                <w:sz w:val="16"/>
                <w:szCs w:val="16"/>
                <w:color w:val="auto"/>
              </w:rPr>
              <w:t>​ ​ Risk Management</w:t>
            </w:r>
          </w:p>
        </w:tc>
        <w:tc>
          <w:tcPr>
            <w:tcW w:w="800" w:type="dxa"/>
            <w:vAlign w:val="bottom"/>
          </w:tcPr>
          <w:p>
            <w:pPr>
              <w:ind w:left="280"/>
              <w:spacing w:after="0"/>
              <w:rPr>
                <w:sz w:val="20"/>
                <w:szCs w:val="20"/>
                <w:color w:val="auto"/>
              </w:rPr>
            </w:pPr>
            <w:r>
              <w:rPr>
                <w:rFonts w:ascii="Arial" w:cs="Arial" w:eastAsia="Arial" w:hAnsi="Arial"/>
                <w:sz w:val="16"/>
                <w:szCs w:val="16"/>
                <w:color w:val="auto"/>
              </w:rPr>
              <w:t>​ ​</w:t>
            </w:r>
          </w:p>
        </w:tc>
        <w:tc>
          <w:tcPr>
            <w:tcW w:w="420" w:type="dxa"/>
            <w:vAlign w:val="bottom"/>
          </w:tcPr>
          <w:p>
            <w:pPr>
              <w:ind w:left="280"/>
              <w:spacing w:after="0"/>
              <w:rPr>
                <w:sz w:val="20"/>
                <w:szCs w:val="20"/>
                <w:color w:val="auto"/>
              </w:rPr>
            </w:pPr>
            <w:r>
              <w:rPr>
                <w:rFonts w:ascii="Arial" w:cs="Arial" w:eastAsia="Arial" w:hAnsi="Arial"/>
                <w:sz w:val="16"/>
                <w:szCs w:val="16"/>
                <w:color w:val="auto"/>
              </w:rPr>
              <w:t>​ ​</w:t>
            </w:r>
          </w:p>
        </w:tc>
        <w:tc>
          <w:tcPr>
            <w:tcW w:w="2360" w:type="dxa"/>
            <w:vAlign w:val="bottom"/>
          </w:tcPr>
          <w:p>
            <w:pPr>
              <w:ind w:left="20"/>
              <w:spacing w:after="0"/>
              <w:rPr>
                <w:sz w:val="20"/>
                <w:szCs w:val="20"/>
                <w:color w:val="auto"/>
              </w:rPr>
            </w:pPr>
            <w:r>
              <w:rPr>
                <w:rFonts w:ascii="Arial" w:cs="Arial" w:eastAsia="Arial" w:hAnsi="Arial"/>
                <w:sz w:val="16"/>
                <w:szCs w:val="16"/>
                <w:color w:val="auto"/>
              </w:rPr>
              <w:t>Public Company Board Service/</w:t>
            </w:r>
          </w:p>
        </w:tc>
        <w:tc>
          <w:tcPr>
            <w:tcW w:w="120" w:type="dxa"/>
            <w:vAlign w:val="bottom"/>
          </w:tcPr>
          <w:p>
            <w:pPr>
              <w:ind w:left="80"/>
              <w:spacing w:after="0"/>
              <w:rPr>
                <w:sz w:val="20"/>
                <w:szCs w:val="20"/>
                <w:color w:val="auto"/>
              </w:rPr>
            </w:pPr>
            <w:r>
              <w:rPr>
                <w:rFonts w:ascii="Arial" w:cs="Arial" w:eastAsia="Arial" w:hAnsi="Arial"/>
                <w:sz w:val="16"/>
                <w:szCs w:val="16"/>
                <w:color w:val="auto"/>
              </w:rPr>
              <w:t>​</w:t>
            </w:r>
          </w:p>
        </w:tc>
      </w:tr>
      <w:tr>
        <w:trPr>
          <w:trHeight w:val="215"/>
        </w:trPr>
        <w:tc>
          <w:tcPr>
            <w:tcW w:w="2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60" w:type="dxa"/>
            <w:vAlign w:val="bottom"/>
          </w:tcPr>
          <w:p>
            <w:pPr>
              <w:ind w:left="20"/>
              <w:spacing w:after="0"/>
              <w:rPr>
                <w:sz w:val="20"/>
                <w:szCs w:val="20"/>
                <w:color w:val="auto"/>
              </w:rPr>
            </w:pPr>
            <w:r>
              <w:rPr>
                <w:rFonts w:ascii="Arial" w:cs="Arial" w:eastAsia="Arial" w:hAnsi="Arial"/>
                <w:sz w:val="16"/>
                <w:szCs w:val="16"/>
                <w:color w:val="auto"/>
              </w:rPr>
              <w:t>Corporate Governance</w:t>
            </w:r>
          </w:p>
        </w:tc>
        <w:tc>
          <w:tcPr>
            <w:tcW w:w="120" w:type="dxa"/>
            <w:vAlign w:val="bottom"/>
          </w:tcPr>
          <w:p>
            <w:pPr>
              <w:spacing w:after="0"/>
              <w:rPr>
                <w:sz w:val="18"/>
                <w:szCs w:val="18"/>
                <w:color w:val="auto"/>
              </w:rPr>
            </w:pPr>
          </w:p>
        </w:tc>
      </w:tr>
      <w:tr>
        <w:trPr>
          <w:trHeight w:val="487"/>
        </w:trPr>
        <w:tc>
          <w:tcPr>
            <w:tcW w:w="280" w:type="dxa"/>
            <w:vAlign w:val="bottom"/>
          </w:tcPr>
          <w:p>
            <w:pPr>
              <w:spacing w:after="0"/>
              <w:rPr>
                <w:sz w:val="20"/>
                <w:szCs w:val="20"/>
                <w:color w:val="auto"/>
              </w:rPr>
            </w:pPr>
            <w:r>
              <w:rPr>
                <w:rFonts w:ascii="Arial" w:cs="Arial" w:eastAsia="Arial" w:hAnsi="Arial"/>
                <w:sz w:val="16"/>
                <w:szCs w:val="16"/>
                <w:color w:val="auto"/>
              </w:rPr>
              <w:t>​</w:t>
            </w:r>
          </w:p>
        </w:tc>
        <w:tc>
          <w:tcPr>
            <w:tcW w:w="2540" w:type="dxa"/>
            <w:vAlign w:val="bottom"/>
          </w:tcPr>
          <w:p>
            <w:pPr>
              <w:ind w:left="240"/>
              <w:spacing w:after="0"/>
              <w:rPr>
                <w:sz w:val="20"/>
                <w:szCs w:val="20"/>
                <w:color w:val="auto"/>
              </w:rPr>
            </w:pPr>
            <w:r>
              <w:rPr>
                <w:rFonts w:ascii="Arial" w:cs="Arial" w:eastAsia="Arial" w:hAnsi="Arial"/>
                <w:sz w:val="16"/>
                <w:szCs w:val="16"/>
                <w:color w:val="auto"/>
              </w:rPr>
              <w:t>​ ​ REIT/Real Estate Industry</w:t>
            </w:r>
          </w:p>
        </w:tc>
        <w:tc>
          <w:tcPr>
            <w:tcW w:w="800" w:type="dxa"/>
            <w:vAlign w:val="bottom"/>
          </w:tcPr>
          <w:p>
            <w:pPr>
              <w:ind w:left="280"/>
              <w:spacing w:after="0"/>
              <w:rPr>
                <w:sz w:val="20"/>
                <w:szCs w:val="20"/>
                <w:color w:val="auto"/>
              </w:rPr>
            </w:pPr>
            <w:r>
              <w:rPr>
                <w:rFonts w:ascii="Arial" w:cs="Arial" w:eastAsia="Arial" w:hAnsi="Arial"/>
                <w:sz w:val="16"/>
                <w:szCs w:val="16"/>
                <w:color w:val="auto"/>
              </w:rPr>
              <w:t>​ ​</w:t>
            </w:r>
          </w:p>
        </w:tc>
        <w:tc>
          <w:tcPr>
            <w:tcW w:w="420" w:type="dxa"/>
            <w:vAlign w:val="bottom"/>
          </w:tcPr>
          <w:p>
            <w:pPr>
              <w:ind w:left="280"/>
              <w:spacing w:after="0"/>
              <w:rPr>
                <w:sz w:val="20"/>
                <w:szCs w:val="20"/>
                <w:color w:val="auto"/>
              </w:rPr>
            </w:pPr>
            <w:r>
              <w:rPr>
                <w:rFonts w:ascii="Arial" w:cs="Arial" w:eastAsia="Arial" w:hAnsi="Arial"/>
                <w:sz w:val="16"/>
                <w:szCs w:val="16"/>
                <w:color w:val="auto"/>
              </w:rPr>
              <w:t>​ ​</w:t>
            </w:r>
          </w:p>
        </w:tc>
        <w:tc>
          <w:tcPr>
            <w:tcW w:w="2360" w:type="dxa"/>
            <w:vAlign w:val="bottom"/>
          </w:tcPr>
          <w:p>
            <w:pPr>
              <w:ind w:left="20"/>
              <w:spacing w:after="0"/>
              <w:rPr>
                <w:sz w:val="20"/>
                <w:szCs w:val="20"/>
                <w:color w:val="auto"/>
              </w:rPr>
            </w:pPr>
            <w:r>
              <w:rPr>
                <w:rFonts w:ascii="Arial" w:cs="Arial" w:eastAsia="Arial" w:hAnsi="Arial"/>
                <w:sz w:val="16"/>
                <w:szCs w:val="16"/>
                <w:color w:val="auto"/>
              </w:rPr>
              <w:t>Experience Over Several</w:t>
            </w:r>
          </w:p>
        </w:tc>
        <w:tc>
          <w:tcPr>
            <w:tcW w:w="120" w:type="dxa"/>
            <w:vAlign w:val="bottom"/>
          </w:tcPr>
          <w:p>
            <w:pPr>
              <w:ind w:left="80"/>
              <w:spacing w:after="0"/>
              <w:rPr>
                <w:sz w:val="20"/>
                <w:szCs w:val="20"/>
                <w:color w:val="auto"/>
              </w:rPr>
            </w:pPr>
            <w:r>
              <w:rPr>
                <w:rFonts w:ascii="Arial" w:cs="Arial" w:eastAsia="Arial" w:hAnsi="Arial"/>
                <w:sz w:val="16"/>
                <w:szCs w:val="16"/>
                <w:color w:val="auto"/>
              </w:rPr>
              <w:t>​</w:t>
            </w:r>
          </w:p>
        </w:tc>
      </w:tr>
      <w:tr>
        <w:trPr>
          <w:trHeight w:val="215"/>
        </w:trPr>
        <w:tc>
          <w:tcPr>
            <w:tcW w:w="2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60" w:type="dxa"/>
            <w:vAlign w:val="bottom"/>
          </w:tcPr>
          <w:p>
            <w:pPr>
              <w:ind w:left="20"/>
              <w:spacing w:after="0"/>
              <w:rPr>
                <w:sz w:val="20"/>
                <w:szCs w:val="20"/>
                <w:color w:val="auto"/>
              </w:rPr>
            </w:pPr>
            <w:r>
              <w:rPr>
                <w:rFonts w:ascii="Arial" w:cs="Arial" w:eastAsia="Arial" w:hAnsi="Arial"/>
                <w:sz w:val="16"/>
                <w:szCs w:val="16"/>
                <w:color w:val="auto"/>
              </w:rPr>
              <w:t>Business Cycles</w:t>
            </w:r>
          </w:p>
        </w:tc>
        <w:tc>
          <w:tcPr>
            <w:tcW w:w="120" w:type="dxa"/>
            <w:vAlign w:val="bottom"/>
          </w:tcPr>
          <w:p>
            <w:pPr>
              <w:spacing w:after="0"/>
              <w:rPr>
                <w:sz w:val="18"/>
                <w:szCs w:val="18"/>
                <w:color w:val="auto"/>
              </w:rPr>
            </w:pPr>
          </w:p>
        </w:tc>
      </w:tr>
      <w:tr>
        <w:trPr>
          <w:trHeight w:val="499"/>
        </w:trPr>
        <w:tc>
          <w:tcPr>
            <w:tcW w:w="280" w:type="dxa"/>
            <w:vAlign w:val="bottom"/>
          </w:tcPr>
          <w:p>
            <w:pPr>
              <w:spacing w:after="0"/>
              <w:rPr>
                <w:sz w:val="20"/>
                <w:szCs w:val="20"/>
                <w:color w:val="auto"/>
              </w:rPr>
            </w:pPr>
            <w:r>
              <w:rPr>
                <w:rFonts w:ascii="Arial" w:cs="Arial" w:eastAsia="Arial" w:hAnsi="Arial"/>
                <w:sz w:val="16"/>
                <w:szCs w:val="16"/>
                <w:color w:val="auto"/>
              </w:rPr>
              <w:t>​</w:t>
            </w:r>
          </w:p>
        </w:tc>
        <w:tc>
          <w:tcPr>
            <w:tcW w:w="2540" w:type="dxa"/>
            <w:vAlign w:val="bottom"/>
          </w:tcPr>
          <w:p>
            <w:pPr>
              <w:ind w:left="240"/>
              <w:spacing w:after="0"/>
              <w:rPr>
                <w:sz w:val="20"/>
                <w:szCs w:val="20"/>
                <w:color w:val="auto"/>
              </w:rPr>
            </w:pPr>
            <w:r>
              <w:rPr>
                <w:rFonts w:ascii="Arial" w:cs="Arial" w:eastAsia="Arial" w:hAnsi="Arial"/>
                <w:sz w:val="16"/>
                <w:szCs w:val="16"/>
                <w:color w:val="auto"/>
              </w:rPr>
              <w:t>​ ​ Talent Management</w:t>
            </w:r>
          </w:p>
        </w:tc>
        <w:tc>
          <w:tcPr>
            <w:tcW w:w="800" w:type="dxa"/>
            <w:vAlign w:val="bottom"/>
          </w:tcPr>
          <w:p>
            <w:pPr>
              <w:ind w:left="280"/>
              <w:spacing w:after="0"/>
              <w:rPr>
                <w:sz w:val="20"/>
                <w:szCs w:val="20"/>
                <w:color w:val="auto"/>
              </w:rPr>
            </w:pPr>
            <w:r>
              <w:rPr>
                <w:rFonts w:ascii="Arial" w:cs="Arial" w:eastAsia="Arial" w:hAnsi="Arial"/>
                <w:sz w:val="16"/>
                <w:szCs w:val="16"/>
                <w:color w:val="auto"/>
              </w:rPr>
              <w:t>​ ​</w:t>
            </w:r>
          </w:p>
        </w:tc>
        <w:tc>
          <w:tcPr>
            <w:tcW w:w="2780" w:type="dxa"/>
            <w:vAlign w:val="bottom"/>
            <w:gridSpan w:val="2"/>
          </w:tcPr>
          <w:p>
            <w:pPr>
              <w:ind w:left="280"/>
              <w:spacing w:after="0"/>
              <w:rPr>
                <w:sz w:val="20"/>
                <w:szCs w:val="20"/>
                <w:color w:val="auto"/>
              </w:rPr>
            </w:pPr>
            <w:r>
              <w:rPr>
                <w:rFonts w:ascii="Arial" w:cs="Arial" w:eastAsia="Arial" w:hAnsi="Arial"/>
                <w:sz w:val="16"/>
                <w:szCs w:val="16"/>
                <w:color w:val="auto"/>
              </w:rPr>
              <w:t>​ ​ Academia</w:t>
            </w:r>
          </w:p>
        </w:tc>
        <w:tc>
          <w:tcPr>
            <w:tcW w:w="120" w:type="dxa"/>
            <w:vAlign w:val="bottom"/>
          </w:tcPr>
          <w:p>
            <w:pPr>
              <w:ind w:left="80"/>
              <w:spacing w:after="0"/>
              <w:rPr>
                <w:sz w:val="20"/>
                <w:szCs w:val="20"/>
                <w:color w:val="auto"/>
              </w:rPr>
            </w:pPr>
            <w:r>
              <w:rPr>
                <w:rFonts w:ascii="Arial" w:cs="Arial" w:eastAsia="Arial" w:hAnsi="Arial"/>
                <w:sz w:val="16"/>
                <w:szCs w:val="16"/>
                <w:color w:val="auto"/>
              </w:rPr>
              <w:t>​</w:t>
            </w:r>
          </w:p>
        </w:tc>
      </w:tr>
      <w:tr>
        <w:trPr>
          <w:trHeight w:val="542"/>
        </w:trPr>
        <w:tc>
          <w:tcPr>
            <w:tcW w:w="280" w:type="dxa"/>
            <w:vAlign w:val="bottom"/>
          </w:tcPr>
          <w:p>
            <w:pPr>
              <w:spacing w:after="0"/>
              <w:rPr>
                <w:sz w:val="24"/>
                <w:szCs w:val="24"/>
                <w:color w:val="auto"/>
              </w:rPr>
            </w:pPr>
          </w:p>
        </w:tc>
        <w:tc>
          <w:tcPr>
            <w:tcW w:w="2540" w:type="dxa"/>
            <w:vAlign w:val="bottom"/>
          </w:tcPr>
          <w:p>
            <w:pPr>
              <w:ind w:left="420"/>
              <w:spacing w:after="0"/>
              <w:rPr>
                <w:sz w:val="20"/>
                <w:szCs w:val="20"/>
                <w:color w:val="auto"/>
              </w:rPr>
            </w:pPr>
            <w:r>
              <w:rPr>
                <w:rFonts w:ascii="Arial" w:cs="Arial" w:eastAsia="Arial" w:hAnsi="Arial"/>
                <w:sz w:val="16"/>
                <w:szCs w:val="16"/>
                <w:color w:val="auto"/>
              </w:rPr>
              <w:t>Government/Regulatory</w:t>
            </w: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5"/>
        </w:trPr>
        <w:tc>
          <w:tcPr>
            <w:tcW w:w="280" w:type="dxa"/>
            <w:vAlign w:val="bottom"/>
          </w:tcPr>
          <w:p>
            <w:pPr>
              <w:spacing w:after="0"/>
              <w:rPr>
                <w:sz w:val="20"/>
                <w:szCs w:val="20"/>
                <w:color w:val="auto"/>
              </w:rPr>
            </w:pPr>
            <w:r>
              <w:rPr>
                <w:rFonts w:ascii="Arial" w:cs="Arial" w:eastAsia="Arial" w:hAnsi="Arial"/>
                <w:sz w:val="16"/>
                <w:szCs w:val="16"/>
                <w:color w:val="auto"/>
              </w:rPr>
              <w:t>​</w:t>
            </w:r>
          </w:p>
        </w:tc>
        <w:tc>
          <w:tcPr>
            <w:tcW w:w="2540" w:type="dxa"/>
            <w:vAlign w:val="bottom"/>
          </w:tcPr>
          <w:p>
            <w:pPr>
              <w:ind w:left="240"/>
              <w:spacing w:after="0"/>
              <w:rPr>
                <w:sz w:val="20"/>
                <w:szCs w:val="20"/>
                <w:color w:val="auto"/>
              </w:rPr>
            </w:pPr>
            <w:r>
              <w:rPr>
                <w:rFonts w:ascii="Arial" w:cs="Arial" w:eastAsia="Arial" w:hAnsi="Arial"/>
                <w:sz w:val="32"/>
                <w:szCs w:val="32"/>
                <w:color w:val="auto"/>
                <w:vertAlign w:val="superscript"/>
              </w:rPr>
              <w:t>​ ​</w:t>
            </w:r>
            <w:r>
              <w:rPr>
                <w:rFonts w:ascii="Arial" w:cs="Arial" w:eastAsia="Arial" w:hAnsi="Arial"/>
                <w:sz w:val="16"/>
                <w:szCs w:val="16"/>
                <w:color w:val="auto"/>
              </w:rPr>
              <w:t xml:space="preserve"> Experience</w:t>
            </w:r>
          </w:p>
        </w:tc>
        <w:tc>
          <w:tcPr>
            <w:tcW w:w="800" w:type="dxa"/>
            <w:vAlign w:val="bottom"/>
          </w:tcPr>
          <w:p>
            <w:pPr>
              <w:ind w:left="280"/>
              <w:spacing w:after="0"/>
              <w:rPr>
                <w:sz w:val="20"/>
                <w:szCs w:val="20"/>
                <w:color w:val="auto"/>
              </w:rPr>
            </w:pPr>
            <w:r>
              <w:rPr>
                <w:rFonts w:ascii="Arial" w:cs="Arial" w:eastAsia="Arial" w:hAnsi="Arial"/>
                <w:sz w:val="16"/>
                <w:szCs w:val="16"/>
                <w:color w:val="auto"/>
              </w:rPr>
              <w:t>​ ​ ​</w:t>
            </w:r>
          </w:p>
        </w:tc>
        <w:tc>
          <w:tcPr>
            <w:tcW w:w="2780" w:type="dxa"/>
            <w:vAlign w:val="bottom"/>
            <w:gridSpan w:val="2"/>
          </w:tcPr>
          <w:p>
            <w:pPr>
              <w:ind w:left="280"/>
              <w:spacing w:after="0"/>
              <w:rPr>
                <w:sz w:val="20"/>
                <w:szCs w:val="20"/>
                <w:color w:val="auto"/>
              </w:rPr>
            </w:pPr>
            <w:r>
              <w:rPr>
                <w:rFonts w:ascii="Arial" w:cs="Arial" w:eastAsia="Arial" w:hAnsi="Arial"/>
                <w:sz w:val="16"/>
                <w:szCs w:val="16"/>
                <w:color w:val="auto"/>
              </w:rPr>
              <w:t>​ ​ ​</w:t>
            </w:r>
          </w:p>
        </w:tc>
        <w:tc>
          <w:tcPr>
            <w:tcW w:w="120" w:type="dxa"/>
            <w:vAlign w:val="bottom"/>
          </w:tcPr>
          <w:p>
            <w:pPr>
              <w:ind w:left="8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1528445</wp:posOffset>
            </wp:positionV>
            <wp:extent cx="68319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-1243965</wp:posOffset>
            </wp:positionV>
            <wp:extent cx="300355" cy="2743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00355" cy="274320"/>
                    </a:xfrm>
                    <a:prstGeom prst="rect">
                      <a:avLst/>
                    </a:prstGeom>
                    <a:noFill/>
                  </pic:spPr>
                </pic:pic>
              </a:graphicData>
            </a:graphic>
          </wp:anchor>
        </w:drawing>
        <w:drawing>
          <wp:anchor simplePos="0" relativeHeight="251657728" behindDoc="1" locked="0" layoutInCell="0" allowOverlap="1">
            <wp:simplePos x="0" y="0"/>
            <wp:positionH relativeFrom="column">
              <wp:posOffset>4246245</wp:posOffset>
            </wp:positionH>
            <wp:positionV relativeFrom="paragraph">
              <wp:posOffset>-1270000</wp:posOffset>
            </wp:positionV>
            <wp:extent cx="316865" cy="3346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16865" cy="334645"/>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-849630</wp:posOffset>
            </wp:positionV>
            <wp:extent cx="317500" cy="3175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17500" cy="317500"/>
                    </a:xfrm>
                    <a:prstGeom prst="rect">
                      <a:avLst/>
                    </a:prstGeom>
                    <a:noFill/>
                  </pic:spPr>
                </pic:pic>
              </a:graphicData>
            </a:graphic>
          </wp:anchor>
        </w:drawing>
        <w:drawing>
          <wp:anchor simplePos="0" relativeHeight="251657728" behindDoc="1" locked="0" layoutInCell="0" allowOverlap="1">
            <wp:simplePos x="0" y="0"/>
            <wp:positionH relativeFrom="column">
              <wp:posOffset>4246245</wp:posOffset>
            </wp:positionH>
            <wp:positionV relativeFrom="paragraph">
              <wp:posOffset>-807085</wp:posOffset>
            </wp:positionV>
            <wp:extent cx="300355" cy="2317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00355" cy="231775"/>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-412750</wp:posOffset>
            </wp:positionV>
            <wp:extent cx="308610" cy="3429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08610" cy="342900"/>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p>
      <w:pPr>
        <w:ind w:left="820"/>
        <w:spacing w:after="0"/>
        <w:tabs>
          <w:tab w:leader="none" w:pos="1440" w:val="left"/>
          <w:tab w:leader="none" w:pos="9860" w:val="left"/>
        </w:tabs>
        <w:rPr>
          <w:sz w:val="20"/>
          <w:szCs w:val="20"/>
          <w:color w:val="auto"/>
        </w:rPr>
      </w:pPr>
      <w:r>
        <w:rPr>
          <w:rFonts w:ascii="Arial" w:cs="Arial" w:eastAsia="Arial" w:hAnsi="Arial"/>
          <w:sz w:val="22"/>
          <w:szCs w:val="22"/>
          <w:b w:val="1"/>
          <w:bCs w:val="1"/>
          <w:color w:val="1F2668"/>
        </w:rPr>
        <w:t>​14</w:t>
      </w:r>
      <w:r>
        <w:rPr>
          <w:sz w:val="20"/>
          <w:szCs w:val="20"/>
          <w:color w:val="auto"/>
        </w:rPr>
        <w:tab/>
      </w:r>
      <w:r>
        <w:rPr>
          <w:rFonts w:ascii="Arial" w:cs="Arial" w:eastAsia="Arial" w:hAnsi="Arial"/>
          <w:sz w:val="22"/>
          <w:szCs w:val="22"/>
          <w:b w:val="1"/>
          <w:bCs w:val="1"/>
          <w:color w:val="1F2668"/>
        </w:rPr>
        <w:t xml:space="preserve">​ ​ </w:t>
      </w:r>
      <w:r>
        <w:rPr>
          <w:rFonts w:ascii="Arial" w:cs="Arial" w:eastAsia="Arial" w:hAnsi="Arial"/>
          <w:sz w:val="14"/>
          <w:szCs w:val="14"/>
          <w:b w:val="1"/>
          <w:bCs w:val="1"/>
          <w:color w:val="1F2668"/>
        </w:rPr>
        <w:t>SL GREEN REALTY CORP. 2025 PROXY STATEMENT</w:t>
      </w:r>
      <w:r>
        <w:rPr>
          <w:sz w:val="20"/>
          <w:szCs w:val="20"/>
          <w:color w:val="auto"/>
        </w:rPr>
        <w:tab/>
      </w:r>
      <w:r>
        <w:rPr>
          <w:rFonts w:ascii="Arial" w:cs="Arial" w:eastAsia="Arial" w:hAnsi="Arial"/>
          <w:sz w:val="22"/>
          <w:szCs w:val="22"/>
          <w:b w:val="1"/>
          <w:bCs w:val="1"/>
          <w:color w:val="1F2668"/>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1888490</wp:posOffset>
            </wp:positionH>
            <wp:positionV relativeFrom="paragraph">
              <wp:posOffset>594995</wp:posOffset>
            </wp:positionV>
            <wp:extent cx="34290" cy="45091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4509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960" w:type="dxa"/>
        <w:tblCellMar>
          <w:top w:w="0" w:type="dxa"/>
          <w:left w:w="0" w:type="dxa"/>
          <w:bottom w:w="0" w:type="dxa"/>
          <w:right w:w="0" w:type="dxa"/>
        </w:tblCellMar>
      </w:tblPr>
      <w:tr>
        <w:trPr>
          <w:trHeight w:val="297"/>
        </w:trPr>
        <w:tc>
          <w:tcPr>
            <w:tcW w:w="60" w:type="dxa"/>
            <w:vAlign w:val="bottom"/>
            <w:tcBorders>
              <w:top w:val="single" w:sz="8" w:color="83AD40"/>
            </w:tcBorders>
            <w:shd w:val="clear" w:color="auto" w:fill="83AD40"/>
          </w:tcPr>
          <w:p>
            <w:pPr>
              <w:spacing w:after="0"/>
              <w:rPr>
                <w:sz w:val="24"/>
                <w:szCs w:val="24"/>
                <w:color w:val="auto"/>
              </w:rPr>
            </w:pPr>
          </w:p>
        </w:tc>
        <w:tc>
          <w:tcPr>
            <w:tcW w:w="1420" w:type="dxa"/>
            <w:vAlign w:val="bottom"/>
            <w:tcBorders>
              <w:top w:val="single" w:sz="8" w:color="83AD40"/>
            </w:tcBorders>
          </w:tcPr>
          <w:p>
            <w:pPr>
              <w:spacing w:after="0"/>
              <w:rPr>
                <w:sz w:val="20"/>
                <w:szCs w:val="20"/>
                <w:color w:val="auto"/>
              </w:rPr>
            </w:pPr>
            <w:r>
              <w:rPr>
                <w:rFonts w:ascii="Arial" w:cs="Arial" w:eastAsia="Arial" w:hAnsi="Arial"/>
                <w:sz w:val="22"/>
                <w:szCs w:val="22"/>
                <w:color w:val="auto"/>
              </w:rPr>
              <w:t>​</w:t>
            </w:r>
          </w:p>
        </w:tc>
        <w:tc>
          <w:tcPr>
            <w:tcW w:w="600" w:type="dxa"/>
            <w:vAlign w:val="bottom"/>
            <w:tcBorders>
              <w:top w:val="single" w:sz="8" w:color="83AD40"/>
            </w:tcBorders>
          </w:tcPr>
          <w:p>
            <w:pPr>
              <w:ind w:left="540"/>
              <w:spacing w:after="0"/>
              <w:rPr>
                <w:sz w:val="20"/>
                <w:szCs w:val="20"/>
                <w:color w:val="auto"/>
              </w:rPr>
            </w:pPr>
            <w:r>
              <w:rPr>
                <w:rFonts w:ascii="Arial" w:cs="Arial" w:eastAsia="Arial" w:hAnsi="Arial"/>
                <w:sz w:val="22"/>
                <w:szCs w:val="22"/>
                <w:color w:val="auto"/>
              </w:rPr>
              <w:t>​</w:t>
            </w:r>
          </w:p>
        </w:tc>
        <w:tc>
          <w:tcPr>
            <w:tcW w:w="6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line="148" w:lineRule="exact"/>
              <w:rPr>
                <w:sz w:val="20"/>
                <w:szCs w:val="20"/>
                <w:color w:val="auto"/>
              </w:rPr>
            </w:pPr>
            <w:r>
              <w:rPr>
                <w:rFonts w:ascii="Arial" w:cs="Arial" w:eastAsia="Arial" w:hAnsi="Arial"/>
                <w:sz w:val="16"/>
                <w:szCs w:val="16"/>
                <w:b w:val="1"/>
                <w:bCs w:val="1"/>
                <w:color w:val="FFFFFF"/>
              </w:rPr>
              <w:t>​</w:t>
            </w:r>
          </w:p>
        </w:tc>
        <w:tc>
          <w:tcPr>
            <w:tcW w:w="1420" w:type="dxa"/>
            <w:vAlign w:val="bottom"/>
          </w:tcPr>
          <w:p>
            <w:pPr>
              <w:spacing w:after="0"/>
              <w:rPr>
                <w:sz w:val="12"/>
                <w:szCs w:val="12"/>
                <w:color w:val="auto"/>
              </w:rPr>
            </w:pPr>
          </w:p>
        </w:tc>
        <w:tc>
          <w:tcPr>
            <w:tcW w:w="7360" w:type="dxa"/>
            <w:vAlign w:val="bottom"/>
            <w:gridSpan w:val="2"/>
          </w:tcPr>
          <w:p>
            <w:pPr>
              <w:ind w:left="460"/>
              <w:spacing w:after="0" w:line="148" w:lineRule="exact"/>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02"/>
        </w:trPr>
        <w:tc>
          <w:tcPr>
            <w:tcW w:w="1480" w:type="dxa"/>
            <w:vAlign w:val="bottom"/>
            <w:gridSpan w:val="2"/>
            <w:vMerge w:val="restart"/>
          </w:tcPr>
          <w:p>
            <w:pPr>
              <w:spacing w:after="0"/>
              <w:rPr>
                <w:sz w:val="20"/>
                <w:szCs w:val="20"/>
                <w:color w:val="auto"/>
              </w:rPr>
            </w:pPr>
            <w:r>
              <w:rPr>
                <w:rFonts w:ascii="Arial" w:cs="Arial" w:eastAsia="Arial" w:hAnsi="Arial"/>
                <w:sz w:val="22"/>
                <w:szCs w:val="22"/>
                <w:b w:val="1"/>
                <w:bCs w:val="1"/>
                <w:color w:val="FFFFFF"/>
              </w:rPr>
              <w:t>CAROL N.</w:t>
            </w:r>
          </w:p>
        </w:tc>
        <w:tc>
          <w:tcPr>
            <w:tcW w:w="600" w:type="dxa"/>
            <w:vAlign w:val="bottom"/>
          </w:tcPr>
          <w:p>
            <w:pPr>
              <w:spacing w:after="0"/>
              <w:rPr>
                <w:sz w:val="17"/>
                <w:szCs w:val="17"/>
                <w:color w:val="auto"/>
              </w:rPr>
            </w:pPr>
          </w:p>
        </w:tc>
        <w:tc>
          <w:tcPr>
            <w:tcW w:w="6760" w:type="dxa"/>
            <w:vAlign w:val="bottom"/>
          </w:tcPr>
          <w:p>
            <w:pPr>
              <w:ind w:left="360"/>
              <w:spacing w:after="0"/>
              <w:rPr>
                <w:sz w:val="20"/>
                <w:szCs w:val="20"/>
                <w:color w:val="auto"/>
              </w:rPr>
            </w:pPr>
            <w:r>
              <w:rPr>
                <w:rFonts w:ascii="Arial" w:cs="Arial" w:eastAsia="Arial" w:hAnsi="Arial"/>
                <w:sz w:val="16"/>
                <w:szCs w:val="16"/>
                <w:color w:val="auto"/>
                <w:w w:val="99"/>
              </w:rPr>
              <w:t>Ms. Brown’s extensive experience in academia, including teaching and writing in the areas</w:t>
            </w:r>
          </w:p>
        </w:tc>
        <w:tc>
          <w:tcPr>
            <w:tcW w:w="0" w:type="dxa"/>
            <w:vAlign w:val="bottom"/>
          </w:tcPr>
          <w:p>
            <w:pPr>
              <w:spacing w:after="0"/>
              <w:rPr>
                <w:sz w:val="1"/>
                <w:szCs w:val="1"/>
                <w:color w:val="auto"/>
              </w:rPr>
            </w:pPr>
          </w:p>
        </w:tc>
      </w:tr>
      <w:tr>
        <w:trPr>
          <w:trHeight w:val="163"/>
        </w:trPr>
        <w:tc>
          <w:tcPr>
            <w:tcW w:w="148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6760" w:type="dxa"/>
            <w:vAlign w:val="bottom"/>
          </w:tcPr>
          <w:p>
            <w:pPr>
              <w:ind w:left="360"/>
              <w:spacing w:after="0" w:line="163" w:lineRule="exact"/>
              <w:rPr>
                <w:sz w:val="20"/>
                <w:szCs w:val="20"/>
                <w:color w:val="auto"/>
              </w:rPr>
            </w:pPr>
            <w:r>
              <w:rPr>
                <w:rFonts w:ascii="Arial" w:cs="Arial" w:eastAsia="Arial" w:hAnsi="Arial"/>
                <w:sz w:val="16"/>
                <w:szCs w:val="16"/>
                <w:color w:val="auto"/>
                <w:w w:val="98"/>
              </w:rPr>
              <w:t>of property, land use planning, real estate transactions and housing law, contribute a unique</w:t>
            </w:r>
          </w:p>
        </w:tc>
        <w:tc>
          <w:tcPr>
            <w:tcW w:w="0" w:type="dxa"/>
            <w:vAlign w:val="bottom"/>
          </w:tcPr>
          <w:p>
            <w:pPr>
              <w:spacing w:after="0"/>
              <w:rPr>
                <w:sz w:val="1"/>
                <w:szCs w:val="1"/>
                <w:color w:val="auto"/>
              </w:rPr>
            </w:pPr>
          </w:p>
        </w:tc>
      </w:tr>
      <w:tr>
        <w:trPr>
          <w:trHeight w:val="297"/>
        </w:trPr>
        <w:tc>
          <w:tcPr>
            <w:tcW w:w="1480" w:type="dxa"/>
            <w:vAlign w:val="bottom"/>
            <w:gridSpan w:val="2"/>
          </w:tcPr>
          <w:p>
            <w:pPr>
              <w:spacing w:after="0"/>
              <w:rPr>
                <w:sz w:val="20"/>
                <w:szCs w:val="20"/>
                <w:color w:val="auto"/>
              </w:rPr>
            </w:pPr>
            <w:r>
              <w:rPr>
                <w:rFonts w:ascii="Arial" w:cs="Arial" w:eastAsia="Arial" w:hAnsi="Arial"/>
                <w:sz w:val="22"/>
                <w:szCs w:val="22"/>
                <w:b w:val="1"/>
                <w:bCs w:val="1"/>
                <w:color w:val="FFFFFF"/>
              </w:rPr>
              <w:t>BROWN</w:t>
            </w:r>
            <w:r>
              <w:rPr>
                <w:rFonts w:ascii="Arial" w:cs="Arial" w:eastAsia="Arial" w:hAnsi="Arial"/>
                <w:sz w:val="16"/>
                <w:szCs w:val="16"/>
                <w:color w:val="FFFFFF"/>
              </w:rPr>
              <w:t>​</w:t>
            </w:r>
          </w:p>
        </w:tc>
        <w:tc>
          <w:tcPr>
            <w:tcW w:w="600" w:type="dxa"/>
            <w:vAlign w:val="bottom"/>
          </w:tcPr>
          <w:p>
            <w:pPr>
              <w:spacing w:after="0"/>
              <w:rPr>
                <w:sz w:val="24"/>
                <w:szCs w:val="24"/>
                <w:color w:val="auto"/>
              </w:rPr>
            </w:pPr>
          </w:p>
        </w:tc>
        <w:tc>
          <w:tcPr>
            <w:tcW w:w="6760" w:type="dxa"/>
            <w:vAlign w:val="bottom"/>
          </w:tcPr>
          <w:p>
            <w:pPr>
              <w:ind w:left="360"/>
              <w:spacing w:after="0"/>
              <w:rPr>
                <w:sz w:val="20"/>
                <w:szCs w:val="20"/>
                <w:color w:val="auto"/>
              </w:rPr>
            </w:pPr>
            <w:r>
              <w:rPr>
                <w:rFonts w:ascii="Arial" w:cs="Arial" w:eastAsia="Arial" w:hAnsi="Arial"/>
                <w:sz w:val="16"/>
                <w:szCs w:val="16"/>
                <w:color w:val="auto"/>
              </w:rPr>
              <w:t>and valuable perspective to the Board.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-513715</wp:posOffset>
            </wp:positionV>
            <wp:extent cx="5760720" cy="41319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760720" cy="413194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-513715</wp:posOffset>
            </wp:positionV>
            <wp:extent cx="5760720" cy="41319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760720" cy="4131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400"/>
        <w:spacing w:after="0"/>
        <w:rPr>
          <w:sz w:val="20"/>
          <w:szCs w:val="20"/>
          <w:color w:val="auto"/>
        </w:rPr>
      </w:pPr>
      <w:r>
        <w:rPr>
          <w:rFonts w:ascii="Arial" w:cs="Arial" w:eastAsia="Arial" w:hAnsi="Arial"/>
          <w:sz w:val="20"/>
          <w:szCs w:val="20"/>
          <w:b w:val="1"/>
          <w:bCs w:val="1"/>
          <w:color w:val="1F2668"/>
        </w:rPr>
        <w:t>Professional Experience</w:t>
      </w:r>
    </w:p>
    <w:p>
      <w:pPr>
        <w:spacing w:after="0" w:line="158" w:lineRule="exact"/>
        <w:rPr>
          <w:sz w:val="20"/>
          <w:szCs w:val="20"/>
          <w:color w:val="auto"/>
        </w:rPr>
      </w:pPr>
    </w:p>
    <w:tbl>
      <w:tblPr>
        <w:tblLayout w:type="fixed"/>
        <w:tblInd w:w="960" w:type="dxa"/>
        <w:tblCellMar>
          <w:top w:w="0" w:type="dxa"/>
          <w:left w:w="0" w:type="dxa"/>
          <w:bottom w:w="0" w:type="dxa"/>
          <w:right w:w="0" w:type="dxa"/>
        </w:tblCellMar>
      </w:tblPr>
      <w:tr>
        <w:trPr>
          <w:trHeight w:val="189"/>
        </w:trPr>
        <w:tc>
          <w:tcPr>
            <w:tcW w:w="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60" w:type="dxa"/>
            <w:vAlign w:val="bottom"/>
            <w:gridSpan w:val="5"/>
          </w:tcPr>
          <w:p>
            <w:pPr>
              <w:ind w:left="380"/>
              <w:spacing w:after="0"/>
              <w:rPr>
                <w:sz w:val="20"/>
                <w:szCs w:val="20"/>
                <w:color w:val="auto"/>
              </w:rPr>
            </w:pPr>
            <w:r>
              <w:rPr>
                <w:rFonts w:ascii="Arial" w:cs="Arial" w:eastAsia="Arial" w:hAnsi="Arial"/>
                <w:sz w:val="16"/>
                <w:szCs w:val="16"/>
                <w:color w:val="auto"/>
                <w:w w:val="99"/>
              </w:rPr>
              <w:t>•  Professor at the University of Richmond School of Law since 2012, teaching Property Law</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380" w:type="dxa"/>
            <w:vAlign w:val="bottom"/>
            <w:gridSpan w:val="3"/>
          </w:tcPr>
          <w:p>
            <w:pPr>
              <w:ind w:left="80"/>
              <w:spacing w:after="0"/>
              <w:rPr>
                <w:sz w:val="20"/>
                <w:szCs w:val="20"/>
                <w:color w:val="auto"/>
              </w:rPr>
            </w:pPr>
            <w:r>
              <w:rPr>
                <w:rFonts w:ascii="Arial" w:cs="Arial" w:eastAsia="Arial" w:hAnsi="Arial"/>
                <w:sz w:val="16"/>
                <w:szCs w:val="16"/>
                <w:color w:val="auto"/>
              </w:rPr>
              <w:t>Survey, Housing Law, Land Use Planning, and Real Estate Transactions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60" w:type="dxa"/>
            <w:vAlign w:val="bottom"/>
            <w:gridSpan w:val="5"/>
          </w:tcPr>
          <w:p>
            <w:pPr>
              <w:ind w:left="380"/>
              <w:spacing w:after="0"/>
              <w:rPr>
                <w:sz w:val="20"/>
                <w:szCs w:val="20"/>
                <w:color w:val="auto"/>
              </w:rPr>
            </w:pPr>
            <w:r>
              <w:rPr>
                <w:rFonts w:ascii="Arial" w:cs="Arial" w:eastAsia="Arial" w:hAnsi="Arial"/>
                <w:sz w:val="16"/>
                <w:szCs w:val="16"/>
                <w:color w:val="auto"/>
              </w:rPr>
              <w:t>•  Former Professor at the University of North Carolina School of Law from 2008 to 2012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20" w:type="dxa"/>
            <w:vAlign w:val="bottom"/>
            <w:gridSpan w:val="2"/>
          </w:tcPr>
          <w:p>
            <w:pPr>
              <w:ind w:left="80"/>
              <w:spacing w:after="0"/>
              <w:rPr>
                <w:sz w:val="20"/>
                <w:szCs w:val="20"/>
                <w:color w:val="auto"/>
              </w:rPr>
            </w:pPr>
            <w:r>
              <w:rPr>
                <w:rFonts w:ascii="Arial" w:cs="Arial" w:eastAsia="Arial" w:hAnsi="Arial"/>
                <w:sz w:val="16"/>
                <w:szCs w:val="16"/>
                <w:color w:val="auto"/>
              </w:rPr>
              <w:t>and Associate Professor from 2007 to 2008</w:t>
            </w:r>
          </w:p>
        </w:tc>
        <w:tc>
          <w:tcPr>
            <w:tcW w:w="2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60" w:type="dxa"/>
            <w:vAlign w:val="bottom"/>
            <w:gridSpan w:val="5"/>
          </w:tcPr>
          <w:p>
            <w:pPr>
              <w:ind w:left="380"/>
              <w:spacing w:after="0"/>
              <w:rPr>
                <w:sz w:val="20"/>
                <w:szCs w:val="20"/>
                <w:color w:val="auto"/>
              </w:rPr>
            </w:pPr>
            <w:r>
              <w:rPr>
                <w:rFonts w:ascii="Arial" w:cs="Arial" w:eastAsia="Arial" w:hAnsi="Arial"/>
                <w:sz w:val="16"/>
                <w:szCs w:val="16"/>
                <w:color w:val="auto"/>
              </w:rPr>
              <w:t>•  Former Associate Professor of Law at the University of Alabama School of Law, and</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tcPr>
          <w:p>
            <w:pPr>
              <w:ind w:left="80"/>
              <w:spacing w:after="0"/>
              <w:rPr>
                <w:sz w:val="20"/>
                <w:szCs w:val="20"/>
                <w:color w:val="auto"/>
              </w:rPr>
            </w:pPr>
            <w:r>
              <w:rPr>
                <w:rFonts w:ascii="Arial" w:cs="Arial" w:eastAsia="Arial" w:hAnsi="Arial"/>
                <w:sz w:val="16"/>
                <w:szCs w:val="16"/>
                <w:color w:val="auto"/>
              </w:rPr>
              <w:t>Assistant Professor from 2001 to 2004</w:t>
            </w:r>
          </w:p>
        </w:tc>
        <w:tc>
          <w:tcPr>
            <w:tcW w:w="5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800" w:type="dxa"/>
            <w:vAlign w:val="bottom"/>
            <w:gridSpan w:val="2"/>
          </w:tcPr>
          <w:p>
            <w:pPr>
              <w:spacing w:after="0"/>
              <w:rPr>
                <w:sz w:val="20"/>
                <w:szCs w:val="20"/>
                <w:color w:val="auto"/>
              </w:rPr>
            </w:pPr>
            <w:r>
              <w:rPr>
                <w:rFonts w:ascii="Arial" w:cs="Arial" w:eastAsia="Arial" w:hAnsi="Arial"/>
                <w:sz w:val="16"/>
                <w:szCs w:val="16"/>
                <w:b w:val="1"/>
                <w:bCs w:val="1"/>
                <w:color w:val="FFFFFF"/>
              </w:rPr>
              <w:t>Independent Director</w:t>
            </w:r>
          </w:p>
        </w:tc>
        <w:tc>
          <w:tcPr>
            <w:tcW w:w="260" w:type="dxa"/>
            <w:vAlign w:val="bottom"/>
          </w:tcPr>
          <w:p>
            <w:pPr>
              <w:spacing w:after="0"/>
              <w:rPr>
                <w:sz w:val="20"/>
                <w:szCs w:val="20"/>
                <w:color w:val="auto"/>
              </w:rPr>
            </w:pPr>
          </w:p>
        </w:tc>
        <w:tc>
          <w:tcPr>
            <w:tcW w:w="48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6380" w:type="dxa"/>
            <w:vAlign w:val="bottom"/>
            <w:gridSpan w:val="3"/>
          </w:tcPr>
          <w:p>
            <w:pPr>
              <w:ind w:left="80"/>
              <w:spacing w:after="0"/>
              <w:rPr>
                <w:sz w:val="20"/>
                <w:szCs w:val="20"/>
                <w:color w:val="auto"/>
              </w:rPr>
            </w:pPr>
            <w:r>
              <w:rPr>
                <w:rFonts w:ascii="Arial" w:cs="Arial" w:eastAsia="Arial" w:hAnsi="Arial"/>
                <w:sz w:val="16"/>
                <w:szCs w:val="16"/>
                <w:color w:val="auto"/>
              </w:rPr>
              <w:t>Former Associate at Sirote &amp; Permutt, P.C. in Birmingham, Alabama focusing on general</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800" w:type="dxa"/>
            <w:vAlign w:val="bottom"/>
            <w:gridSpan w:val="2"/>
            <w:vMerge w:val="restart"/>
          </w:tcPr>
          <w:p>
            <w:pPr>
              <w:spacing w:after="0"/>
              <w:rPr>
                <w:sz w:val="20"/>
                <w:szCs w:val="20"/>
                <w:color w:val="auto"/>
              </w:rPr>
            </w:pPr>
            <w:r>
              <w:rPr>
                <w:rFonts w:ascii="Arial" w:cs="Arial" w:eastAsia="Arial" w:hAnsi="Arial"/>
                <w:sz w:val="16"/>
                <w:szCs w:val="16"/>
                <w:color w:val="FFFFFF"/>
              </w:rPr>
              <w:t xml:space="preserve">Director Since: </w:t>
            </w:r>
            <w:r>
              <w:rPr>
                <w:rFonts w:ascii="Arial" w:cs="Arial" w:eastAsia="Arial" w:hAnsi="Arial"/>
                <w:sz w:val="16"/>
                <w:szCs w:val="16"/>
                <w:b w:val="1"/>
                <w:bCs w:val="1"/>
                <w:color w:val="FFFFFF"/>
              </w:rPr>
              <w:t>2022</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20" w:type="dxa"/>
            <w:vAlign w:val="bottom"/>
            <w:gridSpan w:val="2"/>
          </w:tcPr>
          <w:p>
            <w:pPr>
              <w:ind w:left="80"/>
              <w:spacing w:after="0"/>
              <w:rPr>
                <w:sz w:val="20"/>
                <w:szCs w:val="20"/>
                <w:color w:val="auto"/>
              </w:rPr>
            </w:pPr>
            <w:r>
              <w:rPr>
                <w:rFonts w:ascii="Arial" w:cs="Arial" w:eastAsia="Arial" w:hAnsi="Arial"/>
                <w:sz w:val="16"/>
                <w:szCs w:val="16"/>
                <w:color w:val="auto"/>
              </w:rPr>
              <w:t>business, real estate, and consumer finance</w:t>
            </w:r>
          </w:p>
        </w:tc>
        <w:tc>
          <w:tcPr>
            <w:tcW w:w="2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18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6860" w:type="dxa"/>
            <w:vAlign w:val="bottom"/>
            <w:gridSpan w:val="5"/>
            <w:vMerge w:val="restart"/>
          </w:tcPr>
          <w:p>
            <w:pPr>
              <w:ind w:left="380"/>
              <w:spacing w:after="0"/>
              <w:rPr>
                <w:sz w:val="20"/>
                <w:szCs w:val="20"/>
                <w:color w:val="auto"/>
              </w:rPr>
            </w:pPr>
            <w:r>
              <w:rPr>
                <w:rFonts w:ascii="Arial" w:cs="Arial" w:eastAsia="Arial" w:hAnsi="Arial"/>
                <w:sz w:val="16"/>
                <w:szCs w:val="16"/>
                <w:color w:val="auto"/>
              </w:rPr>
              <w:t>•  Former Associate at McGuire, Woods, Battle &amp; Bootle, L.L.P. in Richmond, Virginia</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1800" w:type="dxa"/>
            <w:vAlign w:val="bottom"/>
            <w:gridSpan w:val="2"/>
            <w:vMerge w:val="restart"/>
          </w:tcPr>
          <w:p>
            <w:pPr>
              <w:spacing w:after="0"/>
              <w:rPr>
                <w:sz w:val="20"/>
                <w:szCs w:val="20"/>
                <w:color w:val="auto"/>
              </w:rPr>
            </w:pPr>
            <w:r>
              <w:rPr>
                <w:rFonts w:ascii="Arial" w:cs="Arial" w:eastAsia="Arial" w:hAnsi="Arial"/>
                <w:sz w:val="16"/>
                <w:szCs w:val="16"/>
                <w:color w:val="FFFFFF"/>
              </w:rPr>
              <w:t xml:space="preserve">Age: </w:t>
            </w:r>
            <w:r>
              <w:rPr>
                <w:rFonts w:ascii="Arial" w:cs="Arial" w:eastAsia="Arial" w:hAnsi="Arial"/>
                <w:sz w:val="16"/>
                <w:szCs w:val="16"/>
                <w:b w:val="1"/>
                <w:bCs w:val="1"/>
                <w:color w:val="FFFFFF"/>
              </w:rPr>
              <w:t>55</w:t>
            </w:r>
          </w:p>
        </w:tc>
        <w:tc>
          <w:tcPr>
            <w:tcW w:w="260" w:type="dxa"/>
            <w:vAlign w:val="bottom"/>
          </w:tcPr>
          <w:p>
            <w:pPr>
              <w:spacing w:after="0"/>
              <w:rPr>
                <w:sz w:val="13"/>
                <w:szCs w:val="13"/>
                <w:color w:val="auto"/>
              </w:rPr>
            </w:pPr>
          </w:p>
        </w:tc>
        <w:tc>
          <w:tcPr>
            <w:tcW w:w="6860" w:type="dxa"/>
            <w:vAlign w:val="bottom"/>
            <w:gridSpan w:val="5"/>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8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20" w:type="dxa"/>
            <w:vAlign w:val="bottom"/>
            <w:gridSpan w:val="2"/>
            <w:vMerge w:val="restart"/>
          </w:tcPr>
          <w:p>
            <w:pPr>
              <w:ind w:left="80"/>
              <w:spacing w:after="0"/>
              <w:rPr>
                <w:sz w:val="20"/>
                <w:szCs w:val="20"/>
                <w:color w:val="auto"/>
              </w:rPr>
            </w:pPr>
            <w:r>
              <w:rPr>
                <w:rFonts w:ascii="Arial" w:cs="Arial" w:eastAsia="Arial" w:hAnsi="Arial"/>
                <w:sz w:val="16"/>
                <w:szCs w:val="16"/>
                <w:color w:val="auto"/>
              </w:rPr>
              <w:t>focusing on labor and employment discrimination</w:t>
            </w:r>
          </w:p>
        </w:tc>
        <w:tc>
          <w:tcPr>
            <w:tcW w:w="2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76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1800" w:type="dxa"/>
            <w:vAlign w:val="bottom"/>
            <w:gridSpan w:val="2"/>
          </w:tcPr>
          <w:p>
            <w:pPr>
              <w:spacing w:after="0"/>
              <w:rPr>
                <w:sz w:val="20"/>
                <w:szCs w:val="20"/>
                <w:color w:val="auto"/>
              </w:rPr>
            </w:pPr>
            <w:r>
              <w:rPr>
                <w:rFonts w:ascii="Arial" w:cs="Arial" w:eastAsia="Arial" w:hAnsi="Arial"/>
                <w:sz w:val="16"/>
                <w:szCs w:val="16"/>
                <w:color w:val="FFFFFF"/>
              </w:rPr>
              <w:t>SL Green</w:t>
            </w:r>
          </w:p>
        </w:tc>
        <w:tc>
          <w:tcPr>
            <w:tcW w:w="260" w:type="dxa"/>
            <w:vAlign w:val="bottom"/>
          </w:tcPr>
          <w:p>
            <w:pPr>
              <w:spacing w:after="0"/>
              <w:rPr>
                <w:sz w:val="18"/>
                <w:szCs w:val="18"/>
                <w:color w:val="auto"/>
              </w:rPr>
            </w:pPr>
          </w:p>
        </w:tc>
        <w:tc>
          <w:tcPr>
            <w:tcW w:w="48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6380" w:type="dxa"/>
            <w:vAlign w:val="bottom"/>
            <w:gridSpan w:val="3"/>
          </w:tcPr>
          <w:p>
            <w:pPr>
              <w:ind w:left="80"/>
              <w:spacing w:after="0"/>
              <w:rPr>
                <w:sz w:val="20"/>
                <w:szCs w:val="20"/>
                <w:color w:val="auto"/>
              </w:rPr>
            </w:pPr>
            <w:r>
              <w:rPr>
                <w:rFonts w:ascii="Arial" w:cs="Arial" w:eastAsia="Arial" w:hAnsi="Arial"/>
                <w:sz w:val="16"/>
                <w:szCs w:val="16"/>
                <w:color w:val="auto"/>
              </w:rPr>
              <w:t>Former Judicial Law Clerk for the Honorable Sharon L. Blackburn, United States District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800" w:type="dxa"/>
            <w:vAlign w:val="bottom"/>
            <w:gridSpan w:val="2"/>
          </w:tcPr>
          <w:p>
            <w:pPr>
              <w:spacing w:after="0"/>
              <w:rPr>
                <w:sz w:val="20"/>
                <w:szCs w:val="20"/>
                <w:color w:val="auto"/>
              </w:rPr>
            </w:pPr>
            <w:r>
              <w:rPr>
                <w:rFonts w:ascii="Arial" w:cs="Arial" w:eastAsia="Arial" w:hAnsi="Arial"/>
                <w:sz w:val="16"/>
                <w:szCs w:val="16"/>
                <w:color w:val="FFFFFF"/>
              </w:rPr>
              <w:t>Board Service:</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40" w:type="dxa"/>
            <w:vAlign w:val="bottom"/>
          </w:tcPr>
          <w:p>
            <w:pPr>
              <w:ind w:left="80"/>
              <w:spacing w:after="0"/>
              <w:rPr>
                <w:sz w:val="20"/>
                <w:szCs w:val="20"/>
                <w:color w:val="auto"/>
              </w:rPr>
            </w:pPr>
            <w:r>
              <w:rPr>
                <w:rFonts w:ascii="Arial" w:cs="Arial" w:eastAsia="Arial" w:hAnsi="Arial"/>
                <w:sz w:val="16"/>
                <w:szCs w:val="16"/>
                <w:color w:val="auto"/>
              </w:rPr>
              <w:t>Court, Northern District of Alabama</w:t>
            </w:r>
          </w:p>
        </w:tc>
        <w:tc>
          <w:tcPr>
            <w:tcW w:w="5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vMerge w:val="restart"/>
          </w:tcPr>
          <w:p>
            <w:pPr>
              <w:spacing w:after="0"/>
              <w:rPr>
                <w:sz w:val="20"/>
                <w:szCs w:val="20"/>
                <w:color w:val="auto"/>
              </w:rPr>
            </w:pPr>
            <w:r>
              <w:rPr>
                <w:rFonts w:ascii="Arial" w:cs="Arial" w:eastAsia="Arial" w:hAnsi="Arial"/>
                <w:sz w:val="16"/>
                <w:szCs w:val="16"/>
                <w:color w:val="FFFFFF"/>
                <w:w w:val="70"/>
              </w:rPr>
              <w:t>•</w:t>
            </w:r>
          </w:p>
        </w:tc>
        <w:tc>
          <w:tcPr>
            <w:tcW w:w="1740" w:type="dxa"/>
            <w:vAlign w:val="bottom"/>
            <w:vMerge w:val="restart"/>
          </w:tcPr>
          <w:p>
            <w:pPr>
              <w:ind w:left="100"/>
              <w:spacing w:after="0"/>
              <w:rPr>
                <w:sz w:val="20"/>
                <w:szCs w:val="20"/>
                <w:color w:val="auto"/>
              </w:rPr>
            </w:pPr>
            <w:r>
              <w:rPr>
                <w:rFonts w:ascii="Arial" w:cs="Arial" w:eastAsia="Arial" w:hAnsi="Arial"/>
                <w:sz w:val="16"/>
                <w:szCs w:val="16"/>
                <w:b w:val="1"/>
                <w:bCs w:val="1"/>
                <w:color w:val="FFFFFF"/>
              </w:rPr>
              <w:t>Audit Committee</w:t>
            </w:r>
          </w:p>
        </w:tc>
        <w:tc>
          <w:tcPr>
            <w:tcW w:w="260" w:type="dxa"/>
            <w:vAlign w:val="bottom"/>
          </w:tcPr>
          <w:p>
            <w:pPr>
              <w:spacing w:after="0"/>
              <w:rPr>
                <w:sz w:val="19"/>
                <w:szCs w:val="19"/>
                <w:color w:val="auto"/>
              </w:rPr>
            </w:pPr>
          </w:p>
        </w:tc>
        <w:tc>
          <w:tcPr>
            <w:tcW w:w="6860" w:type="dxa"/>
            <w:vAlign w:val="bottom"/>
            <w:gridSpan w:val="5"/>
          </w:tcPr>
          <w:p>
            <w:pPr>
              <w:ind w:left="380"/>
              <w:spacing w:after="0"/>
              <w:rPr>
                <w:sz w:val="20"/>
                <w:szCs w:val="20"/>
                <w:color w:val="auto"/>
              </w:rPr>
            </w:pPr>
            <w:r>
              <w:rPr>
                <w:rFonts w:ascii="Arial" w:cs="Arial" w:eastAsia="Arial" w:hAnsi="Arial"/>
                <w:sz w:val="16"/>
                <w:szCs w:val="16"/>
                <w:color w:val="auto"/>
              </w:rPr>
              <w:t>•  B.A. from Duke University and J.D./L.L.M. from Duke University School of Law</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6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r>
              <w:rPr>
                <w:rFonts w:ascii="Arial" w:cs="Arial" w:eastAsia="Arial" w:hAnsi="Arial"/>
                <w:sz w:val="16"/>
                <w:szCs w:val="16"/>
                <w:color w:val="FFFFFF"/>
                <w:w w:val="70"/>
              </w:rPr>
              <w:t>•</w:t>
            </w:r>
          </w:p>
        </w:tc>
        <w:tc>
          <w:tcPr>
            <w:tcW w:w="1740" w:type="dxa"/>
            <w:vAlign w:val="bottom"/>
          </w:tcPr>
          <w:p>
            <w:pPr>
              <w:ind w:left="100"/>
              <w:spacing w:after="0"/>
              <w:rPr>
                <w:sz w:val="20"/>
                <w:szCs w:val="20"/>
                <w:color w:val="auto"/>
              </w:rPr>
            </w:pPr>
            <w:r>
              <w:rPr>
                <w:rFonts w:ascii="Arial" w:cs="Arial" w:eastAsia="Arial" w:hAnsi="Arial"/>
                <w:sz w:val="16"/>
                <w:szCs w:val="16"/>
                <w:b w:val="1"/>
                <w:bCs w:val="1"/>
                <w:color w:val="FFFFFF"/>
              </w:rPr>
              <w:t>Compensation</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bottom w:val="single" w:sz="8" w:color="83AD40"/>
            </w:tcBorders>
          </w:tcPr>
          <w:p>
            <w:pPr>
              <w:spacing w:after="0"/>
              <w:rPr>
                <w:sz w:val="20"/>
                <w:szCs w:val="20"/>
                <w:color w:val="auto"/>
              </w:rPr>
            </w:pPr>
          </w:p>
        </w:tc>
        <w:tc>
          <w:tcPr>
            <w:tcW w:w="3040" w:type="dxa"/>
            <w:vAlign w:val="bottom"/>
            <w:tcBorders>
              <w:bottom w:val="single" w:sz="8" w:color="83AD40"/>
            </w:tcBorders>
          </w:tcPr>
          <w:p>
            <w:pPr>
              <w:spacing w:after="0"/>
              <w:rPr>
                <w:sz w:val="20"/>
                <w:szCs w:val="20"/>
                <w:color w:val="auto"/>
              </w:rPr>
            </w:pPr>
          </w:p>
        </w:tc>
        <w:tc>
          <w:tcPr>
            <w:tcW w:w="580" w:type="dxa"/>
            <w:vAlign w:val="bottom"/>
            <w:tcBorders>
              <w:bottom w:val="single" w:sz="8" w:color="83AD40"/>
            </w:tcBorders>
          </w:tcPr>
          <w:p>
            <w:pPr>
              <w:spacing w:after="0"/>
              <w:rPr>
                <w:sz w:val="20"/>
                <w:szCs w:val="20"/>
                <w:color w:val="auto"/>
              </w:rPr>
            </w:pPr>
          </w:p>
        </w:tc>
        <w:tc>
          <w:tcPr>
            <w:tcW w:w="2760" w:type="dxa"/>
            <w:vAlign w:val="bottom"/>
            <w:tcBorders>
              <w:bottom w:val="single" w:sz="8" w:color="83AD40"/>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1740" w:type="dxa"/>
            <w:vAlign w:val="bottom"/>
          </w:tcPr>
          <w:p>
            <w:pPr>
              <w:ind w:left="100"/>
              <w:spacing w:after="0"/>
              <w:rPr>
                <w:sz w:val="20"/>
                <w:szCs w:val="20"/>
                <w:color w:val="auto"/>
              </w:rPr>
            </w:pPr>
            <w:r>
              <w:rPr>
                <w:rFonts w:ascii="Arial" w:cs="Arial" w:eastAsia="Arial" w:hAnsi="Arial"/>
                <w:sz w:val="16"/>
                <w:szCs w:val="16"/>
                <w:b w:val="1"/>
                <w:bCs w:val="1"/>
                <w:color w:val="FFFFFF"/>
              </w:rPr>
              <w:t>Committee</w:t>
            </w:r>
          </w:p>
        </w:tc>
        <w:tc>
          <w:tcPr>
            <w:tcW w:w="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20"/>
                <w:szCs w:val="20"/>
                <w:color w:val="auto"/>
              </w:rPr>
            </w:pPr>
            <w:r>
              <w:rPr>
                <w:rFonts w:ascii="Arial" w:cs="Arial" w:eastAsia="Arial" w:hAnsi="Arial"/>
                <w:sz w:val="16"/>
                <w:szCs w:val="16"/>
                <w:color w:val="FFFFFF"/>
                <w:w w:val="70"/>
              </w:rPr>
              <w:t>•</w:t>
            </w:r>
          </w:p>
        </w:tc>
        <w:tc>
          <w:tcPr>
            <w:tcW w:w="1740" w:type="dxa"/>
            <w:vAlign w:val="bottom"/>
          </w:tcPr>
          <w:p>
            <w:pPr>
              <w:ind w:left="100"/>
              <w:spacing w:after="0"/>
              <w:rPr>
                <w:sz w:val="20"/>
                <w:szCs w:val="20"/>
                <w:color w:val="auto"/>
              </w:rPr>
            </w:pPr>
            <w:r>
              <w:rPr>
                <w:rFonts w:ascii="Arial" w:cs="Arial" w:eastAsia="Arial" w:hAnsi="Arial"/>
                <w:sz w:val="16"/>
                <w:szCs w:val="16"/>
                <w:b w:val="1"/>
                <w:bCs w:val="1"/>
                <w:color w:val="FFFFFF"/>
              </w:rPr>
              <w:t>Nominating</w:t>
            </w:r>
          </w:p>
        </w:tc>
        <w:tc>
          <w:tcPr>
            <w:tcW w:w="260" w:type="dxa"/>
            <w:vAlign w:val="bottom"/>
          </w:tcPr>
          <w:p>
            <w:pPr>
              <w:spacing w:after="0"/>
              <w:rPr>
                <w:sz w:val="18"/>
                <w:szCs w:val="18"/>
                <w:color w:val="auto"/>
              </w:rPr>
            </w:pPr>
          </w:p>
        </w:tc>
        <w:tc>
          <w:tcPr>
            <w:tcW w:w="3520" w:type="dxa"/>
            <w:vAlign w:val="bottom"/>
            <w:gridSpan w:val="3"/>
            <w:vMerge w:val="restart"/>
          </w:tcPr>
          <w:p>
            <w:pPr>
              <w:ind w:left="380"/>
              <w:spacing w:after="0"/>
              <w:rPr>
                <w:sz w:val="20"/>
                <w:szCs w:val="20"/>
                <w:color w:val="auto"/>
              </w:rPr>
            </w:pPr>
            <w:r>
              <w:rPr>
                <w:rFonts w:ascii="Arial" w:cs="Arial" w:eastAsia="Arial" w:hAnsi="Arial"/>
                <w:sz w:val="20"/>
                <w:szCs w:val="20"/>
                <w:b w:val="1"/>
                <w:bCs w:val="1"/>
                <w:color w:val="1F2668"/>
                <w:w w:val="96"/>
              </w:rPr>
              <w:t>Skills, Experiences and Attributes</w:t>
            </w:r>
          </w:p>
        </w:tc>
        <w:tc>
          <w:tcPr>
            <w:tcW w:w="5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740" w:type="dxa"/>
            <w:vAlign w:val="bottom"/>
          </w:tcPr>
          <w:p>
            <w:pPr>
              <w:ind w:left="100"/>
              <w:spacing w:after="0"/>
              <w:rPr>
                <w:sz w:val="20"/>
                <w:szCs w:val="20"/>
                <w:color w:val="auto"/>
              </w:rPr>
            </w:pPr>
            <w:r>
              <w:rPr>
                <w:rFonts w:ascii="Arial" w:cs="Arial" w:eastAsia="Arial" w:hAnsi="Arial"/>
                <w:sz w:val="16"/>
                <w:szCs w:val="16"/>
                <w:b w:val="1"/>
                <w:bCs w:val="1"/>
                <w:color w:val="FFFFFF"/>
              </w:rPr>
              <w:t>and Corporate</w:t>
            </w:r>
          </w:p>
        </w:tc>
        <w:tc>
          <w:tcPr>
            <w:tcW w:w="260" w:type="dxa"/>
            <w:vAlign w:val="bottom"/>
          </w:tcPr>
          <w:p>
            <w:pPr>
              <w:spacing w:after="0"/>
              <w:rPr>
                <w:sz w:val="16"/>
                <w:szCs w:val="16"/>
                <w:color w:val="auto"/>
              </w:rPr>
            </w:pPr>
          </w:p>
        </w:tc>
        <w:tc>
          <w:tcPr>
            <w:tcW w:w="3520" w:type="dxa"/>
            <w:vAlign w:val="bottom"/>
            <w:gridSpan w:val="3"/>
            <w:vMerge w:val="continue"/>
          </w:tcPr>
          <w:p>
            <w:pPr>
              <w:spacing w:after="0"/>
              <w:rPr>
                <w:sz w:val="16"/>
                <w:szCs w:val="16"/>
                <w:color w:val="auto"/>
              </w:rPr>
            </w:pPr>
          </w:p>
        </w:tc>
        <w:tc>
          <w:tcPr>
            <w:tcW w:w="5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1740" w:type="dxa"/>
            <w:vAlign w:val="bottom"/>
          </w:tcPr>
          <w:p>
            <w:pPr>
              <w:ind w:left="100"/>
              <w:spacing w:after="0"/>
              <w:rPr>
                <w:sz w:val="20"/>
                <w:szCs w:val="20"/>
                <w:color w:val="auto"/>
              </w:rPr>
            </w:pPr>
            <w:r>
              <w:rPr>
                <w:rFonts w:ascii="Arial" w:cs="Arial" w:eastAsia="Arial" w:hAnsi="Arial"/>
                <w:sz w:val="16"/>
                <w:szCs w:val="16"/>
                <w:b w:val="1"/>
                <w:bCs w:val="1"/>
                <w:color w:val="FFFFFF"/>
              </w:rPr>
              <w:t>Governance</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1740" w:type="dxa"/>
            <w:vAlign w:val="bottom"/>
          </w:tcPr>
          <w:p>
            <w:pPr>
              <w:ind w:left="100"/>
              <w:spacing w:after="0"/>
              <w:rPr>
                <w:sz w:val="20"/>
                <w:szCs w:val="20"/>
                <w:color w:val="auto"/>
              </w:rPr>
            </w:pPr>
            <w:r>
              <w:rPr>
                <w:rFonts w:ascii="Arial" w:cs="Arial" w:eastAsia="Arial" w:hAnsi="Arial"/>
                <w:sz w:val="16"/>
                <w:szCs w:val="16"/>
                <w:b w:val="1"/>
                <w:bCs w:val="1"/>
                <w:color w:val="FFFFFF"/>
              </w:rPr>
              <w:t>Committee</w:t>
            </w:r>
          </w:p>
        </w:tc>
        <w:tc>
          <w:tcPr>
            <w:tcW w:w="260" w:type="dxa"/>
            <w:vAlign w:val="bottom"/>
          </w:tcPr>
          <w:p>
            <w:pPr>
              <w:spacing w:after="0"/>
              <w:rPr>
                <w:sz w:val="19"/>
                <w:szCs w:val="19"/>
                <w:color w:val="auto"/>
              </w:rPr>
            </w:pPr>
          </w:p>
        </w:tc>
        <w:tc>
          <w:tcPr>
            <w:tcW w:w="480" w:type="dxa"/>
            <w:vAlign w:val="bottom"/>
            <w:gridSpan w:val="2"/>
            <w:vMerge w:val="restart"/>
          </w:tcPr>
          <w:p>
            <w:pPr>
              <w:ind w:left="380"/>
              <w:spacing w:after="0"/>
              <w:rPr>
                <w:sz w:val="20"/>
                <w:szCs w:val="20"/>
                <w:color w:val="auto"/>
              </w:rPr>
            </w:pPr>
            <w:r>
              <w:rPr>
                <w:rFonts w:ascii="Arial" w:cs="Arial" w:eastAsia="Arial" w:hAnsi="Arial"/>
                <w:sz w:val="16"/>
                <w:szCs w:val="16"/>
                <w:color w:val="auto"/>
              </w:rPr>
              <w:t>​</w:t>
            </w:r>
          </w:p>
        </w:tc>
        <w:tc>
          <w:tcPr>
            <w:tcW w:w="3040" w:type="dxa"/>
            <w:vAlign w:val="bottom"/>
            <w:vMerge w:val="restart"/>
          </w:tcPr>
          <w:p>
            <w:pPr>
              <w:ind w:left="440"/>
              <w:spacing w:after="0"/>
              <w:rPr>
                <w:sz w:val="20"/>
                <w:szCs w:val="20"/>
                <w:color w:val="auto"/>
              </w:rPr>
            </w:pPr>
            <w:r>
              <w:rPr>
                <w:rFonts w:ascii="Arial" w:cs="Arial" w:eastAsia="Arial" w:hAnsi="Arial"/>
                <w:sz w:val="16"/>
                <w:szCs w:val="16"/>
                <w:color w:val="auto"/>
              </w:rPr>
              <w:t>​ ​ Risk Management</w:t>
            </w:r>
          </w:p>
        </w:tc>
        <w:tc>
          <w:tcPr>
            <w:tcW w:w="580" w:type="dxa"/>
            <w:vAlign w:val="bottom"/>
            <w:vMerge w:val="restart"/>
          </w:tcPr>
          <w:p>
            <w:pPr>
              <w:ind w:left="20"/>
              <w:spacing w:after="0"/>
              <w:rPr>
                <w:sz w:val="20"/>
                <w:szCs w:val="20"/>
                <w:color w:val="auto"/>
              </w:rPr>
            </w:pPr>
            <w:r>
              <w:rPr>
                <w:rFonts w:ascii="Arial" w:cs="Arial" w:eastAsia="Arial" w:hAnsi="Arial"/>
                <w:sz w:val="16"/>
                <w:szCs w:val="16"/>
                <w:color w:val="auto"/>
              </w:rPr>
              <w:t>​ ​</w:t>
            </w:r>
          </w:p>
        </w:tc>
        <w:tc>
          <w:tcPr>
            <w:tcW w:w="2760" w:type="dxa"/>
            <w:vAlign w:val="bottom"/>
            <w:vMerge w:val="restart"/>
          </w:tcPr>
          <w:p>
            <w:pPr>
              <w:ind w:left="120"/>
              <w:spacing w:after="0"/>
              <w:rPr>
                <w:sz w:val="20"/>
                <w:szCs w:val="20"/>
                <w:color w:val="auto"/>
              </w:rPr>
            </w:pPr>
            <w:r>
              <w:rPr>
                <w:rFonts w:ascii="Arial" w:cs="Arial" w:eastAsia="Arial" w:hAnsi="Arial"/>
                <w:sz w:val="16"/>
                <w:szCs w:val="16"/>
                <w:color w:val="auto"/>
              </w:rPr>
              <w:t>​ ​ REIT/Real Estate Industry</w:t>
            </w:r>
          </w:p>
        </w:tc>
        <w:tc>
          <w:tcPr>
            <w:tcW w:w="4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304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76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60" w:type="dxa"/>
            <w:vAlign w:val="bottom"/>
          </w:tcPr>
          <w:p>
            <w:pPr>
              <w:spacing w:after="0"/>
              <w:rPr>
                <w:sz w:val="7"/>
                <w:szCs w:val="7"/>
                <w:color w:val="auto"/>
              </w:rPr>
            </w:pPr>
          </w:p>
        </w:tc>
        <w:tc>
          <w:tcPr>
            <w:tcW w:w="1740" w:type="dxa"/>
            <w:vAlign w:val="bottom"/>
            <w:vMerge w:val="restart"/>
          </w:tcPr>
          <w:p>
            <w:pPr>
              <w:spacing w:after="0"/>
              <w:rPr>
                <w:sz w:val="20"/>
                <w:szCs w:val="20"/>
                <w:color w:val="auto"/>
              </w:rPr>
            </w:pPr>
            <w:r>
              <w:rPr>
                <w:rFonts w:ascii="Arial" w:cs="Arial" w:eastAsia="Arial" w:hAnsi="Arial"/>
                <w:sz w:val="22"/>
                <w:szCs w:val="22"/>
                <w:color w:val="auto"/>
              </w:rPr>
              <w:t>​</w:t>
            </w:r>
          </w:p>
        </w:tc>
        <w:tc>
          <w:tcPr>
            <w:tcW w:w="740" w:type="dxa"/>
            <w:vAlign w:val="bottom"/>
            <w:gridSpan w:val="3"/>
            <w:vMerge w:val="restart"/>
          </w:tcPr>
          <w:p>
            <w:pPr>
              <w:ind w:left="220"/>
              <w:spacing w:after="0"/>
              <w:rPr>
                <w:sz w:val="20"/>
                <w:szCs w:val="20"/>
                <w:color w:val="auto"/>
              </w:rPr>
            </w:pPr>
            <w:r>
              <w:rPr>
                <w:rFonts w:ascii="Arial" w:cs="Arial" w:eastAsia="Arial" w:hAnsi="Arial"/>
                <w:sz w:val="22"/>
                <w:szCs w:val="22"/>
                <w:color w:val="auto"/>
              </w:rPr>
              <w:t>​</w:t>
            </w:r>
          </w:p>
        </w:tc>
        <w:tc>
          <w:tcPr>
            <w:tcW w:w="3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760" w:type="dxa"/>
            <w:vAlign w:val="bottom"/>
            <w:vMerge w:val="restart"/>
          </w:tcPr>
          <w:p>
            <w:pPr>
              <w:ind w:left="120"/>
              <w:spacing w:after="0"/>
              <w:rPr>
                <w:sz w:val="20"/>
                <w:szCs w:val="20"/>
                <w:color w:val="auto"/>
              </w:rPr>
            </w:pPr>
            <w:r>
              <w:rPr>
                <w:rFonts w:ascii="Arial" w:cs="Arial" w:eastAsia="Arial" w:hAnsi="Arial"/>
                <w:sz w:val="32"/>
                <w:szCs w:val="32"/>
                <w:color w:val="auto"/>
                <w:vertAlign w:val="subscript"/>
              </w:rPr>
              <w:t>​ ​</w:t>
            </w:r>
            <w:r>
              <w:rPr>
                <w:rFonts w:ascii="Arial" w:cs="Arial" w:eastAsia="Arial" w:hAnsi="Arial"/>
                <w:sz w:val="16"/>
                <w:szCs w:val="16"/>
                <w:color w:val="auto"/>
              </w:rPr>
              <w:t xml:space="preserve"> Government/Regulatory</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60" w:type="dxa"/>
            <w:vAlign w:val="bottom"/>
            <w:shd w:val="clear" w:color="auto" w:fill="83AD40"/>
          </w:tcPr>
          <w:p>
            <w:pPr>
              <w:spacing w:after="0"/>
              <w:rPr>
                <w:sz w:val="24"/>
                <w:szCs w:val="24"/>
                <w:color w:val="auto"/>
              </w:rPr>
            </w:pPr>
          </w:p>
        </w:tc>
        <w:tc>
          <w:tcPr>
            <w:tcW w:w="1740" w:type="dxa"/>
            <w:vAlign w:val="bottom"/>
            <w:vMerge w:val="continue"/>
          </w:tcPr>
          <w:p>
            <w:pPr>
              <w:spacing w:after="0"/>
              <w:rPr>
                <w:sz w:val="24"/>
                <w:szCs w:val="24"/>
                <w:color w:val="auto"/>
              </w:rPr>
            </w:pPr>
          </w:p>
        </w:tc>
        <w:tc>
          <w:tcPr>
            <w:tcW w:w="740" w:type="dxa"/>
            <w:vAlign w:val="bottom"/>
            <w:gridSpan w:val="3"/>
            <w:vMerge w:val="continue"/>
          </w:tcPr>
          <w:p>
            <w:pPr>
              <w:spacing w:after="0"/>
              <w:rPr>
                <w:sz w:val="24"/>
                <w:szCs w:val="24"/>
                <w:color w:val="auto"/>
              </w:rPr>
            </w:pPr>
          </w:p>
        </w:tc>
        <w:tc>
          <w:tcPr>
            <w:tcW w:w="3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 w:type="dxa"/>
            <w:vAlign w:val="bottom"/>
            <w:tcBorders>
              <w:top w:val="single" w:sz="8" w:color="83AD40"/>
            </w:tcBorders>
          </w:tcPr>
          <w:p>
            <w:pPr>
              <w:spacing w:after="0"/>
              <w:rPr>
                <w:sz w:val="19"/>
                <w:szCs w:val="19"/>
                <w:color w:val="auto"/>
              </w:rPr>
            </w:pPr>
          </w:p>
        </w:tc>
        <w:tc>
          <w:tcPr>
            <w:tcW w:w="1740" w:type="dxa"/>
            <w:vAlign w:val="bottom"/>
            <w:tcBorders>
              <w:top w:val="single" w:sz="8" w:color="83AD40"/>
            </w:tcBorders>
          </w:tcPr>
          <w:p>
            <w:pPr>
              <w:spacing w:after="0"/>
              <w:rPr>
                <w:sz w:val="19"/>
                <w:szCs w:val="19"/>
                <w:color w:val="auto"/>
              </w:rPr>
            </w:pPr>
          </w:p>
        </w:tc>
        <w:tc>
          <w:tcPr>
            <w:tcW w:w="260" w:type="dxa"/>
            <w:vAlign w:val="bottom"/>
            <w:tcBorders>
              <w:top w:val="single" w:sz="8" w:color="83AD40"/>
            </w:tcBorders>
          </w:tcPr>
          <w:p>
            <w:pPr>
              <w:spacing w:after="0"/>
              <w:rPr>
                <w:sz w:val="19"/>
                <w:szCs w:val="19"/>
                <w:color w:val="auto"/>
              </w:rPr>
            </w:pPr>
          </w:p>
        </w:tc>
        <w:tc>
          <w:tcPr>
            <w:tcW w:w="48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3040" w:type="dxa"/>
            <w:vAlign w:val="bottom"/>
          </w:tcPr>
          <w:p>
            <w:pPr>
              <w:ind w:left="440"/>
              <w:spacing w:after="0"/>
              <w:rPr>
                <w:sz w:val="20"/>
                <w:szCs w:val="20"/>
                <w:color w:val="auto"/>
              </w:rPr>
            </w:pPr>
            <w:r>
              <w:rPr>
                <w:rFonts w:ascii="Arial" w:cs="Arial" w:eastAsia="Arial" w:hAnsi="Arial"/>
                <w:sz w:val="16"/>
                <w:szCs w:val="16"/>
                <w:color w:val="auto"/>
              </w:rPr>
              <w:t>​ ​ Academia</w:t>
            </w:r>
          </w:p>
        </w:tc>
        <w:tc>
          <w:tcPr>
            <w:tcW w:w="580" w:type="dxa"/>
            <w:vAlign w:val="bottom"/>
          </w:tcPr>
          <w:p>
            <w:pPr>
              <w:ind w:left="20"/>
              <w:spacing w:after="0"/>
              <w:rPr>
                <w:sz w:val="20"/>
                <w:szCs w:val="20"/>
                <w:color w:val="auto"/>
              </w:rPr>
            </w:pPr>
            <w:r>
              <w:rPr>
                <w:rFonts w:ascii="Arial" w:cs="Arial" w:eastAsia="Arial" w:hAnsi="Arial"/>
                <w:sz w:val="16"/>
                <w:szCs w:val="16"/>
                <w:color w:val="auto"/>
              </w:rPr>
              <w:t>​ ​</w:t>
            </w:r>
          </w:p>
        </w:tc>
        <w:tc>
          <w:tcPr>
            <w:tcW w:w="2760" w:type="dxa"/>
            <w:vAlign w:val="bottom"/>
            <w:vMerge w:val="continue"/>
          </w:tcPr>
          <w:p>
            <w:pPr>
              <w:spacing w:after="0"/>
              <w:rPr>
                <w:sz w:val="19"/>
                <w:szCs w:val="19"/>
                <w:color w:val="auto"/>
              </w:rPr>
            </w:pPr>
          </w:p>
        </w:tc>
        <w:tc>
          <w:tcPr>
            <w:tcW w:w="4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760" w:type="dxa"/>
            <w:vAlign w:val="bottom"/>
          </w:tcPr>
          <w:p>
            <w:pPr>
              <w:ind w:left="300"/>
              <w:spacing w:after="0"/>
              <w:rPr>
                <w:sz w:val="20"/>
                <w:szCs w:val="20"/>
                <w:color w:val="auto"/>
              </w:rPr>
            </w:pPr>
            <w:r>
              <w:rPr>
                <w:rFonts w:ascii="Arial" w:cs="Arial" w:eastAsia="Arial" w:hAnsi="Arial"/>
                <w:sz w:val="16"/>
                <w:szCs w:val="16"/>
                <w:color w:val="auto"/>
              </w:rPr>
              <w:t>Experience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9"/>
        </w:trPr>
        <w:tc>
          <w:tcPr>
            <w:tcW w:w="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3040" w:type="dxa"/>
            <w:vAlign w:val="bottom"/>
          </w:tcPr>
          <w:p>
            <w:pPr>
              <w:ind w:left="440"/>
              <w:spacing w:after="0"/>
              <w:rPr>
                <w:sz w:val="20"/>
                <w:szCs w:val="20"/>
                <w:color w:val="auto"/>
              </w:rPr>
            </w:pPr>
            <w:r>
              <w:rPr>
                <w:rFonts w:ascii="Arial" w:cs="Arial" w:eastAsia="Arial" w:hAnsi="Arial"/>
                <w:sz w:val="16"/>
                <w:szCs w:val="16"/>
                <w:color w:val="auto"/>
              </w:rPr>
              <w:t>​ ​ Technology/Cybersecurity</w:t>
            </w:r>
          </w:p>
        </w:tc>
        <w:tc>
          <w:tcPr>
            <w:tcW w:w="580" w:type="dxa"/>
            <w:vAlign w:val="bottom"/>
          </w:tcPr>
          <w:p>
            <w:pPr>
              <w:ind w:left="20"/>
              <w:spacing w:after="0"/>
              <w:rPr>
                <w:sz w:val="20"/>
                <w:szCs w:val="20"/>
                <w:color w:val="auto"/>
              </w:rPr>
            </w:pPr>
            <w:r>
              <w:rPr>
                <w:rFonts w:ascii="Arial" w:cs="Arial" w:eastAsia="Arial" w:hAnsi="Arial"/>
                <w:sz w:val="16"/>
                <w:szCs w:val="16"/>
                <w:color w:val="auto"/>
              </w:rPr>
              <w:t>​ ​ ​</w:t>
            </w:r>
          </w:p>
        </w:tc>
        <w:tc>
          <w:tcPr>
            <w:tcW w:w="2760" w:type="dxa"/>
            <w:vAlign w:val="bottom"/>
          </w:tcPr>
          <w:p>
            <w:pPr>
              <w:ind w:left="120"/>
              <w:spacing w:after="0"/>
              <w:rPr>
                <w:sz w:val="20"/>
                <w:szCs w:val="20"/>
                <w:color w:val="auto"/>
              </w:rPr>
            </w:pPr>
            <w:r>
              <w:rPr>
                <w:rFonts w:ascii="Arial" w:cs="Arial" w:eastAsia="Arial" w:hAnsi="Arial"/>
                <w:sz w:val="16"/>
                <w:szCs w:val="16"/>
                <w:color w:val="auto"/>
              </w:rPr>
              <w:t>​ ​ ​</w:t>
            </w:r>
          </w:p>
        </w:tc>
        <w:tc>
          <w:tcPr>
            <w:tcW w:w="4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2928620</wp:posOffset>
            </wp:positionV>
            <wp:extent cx="68319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-1112520</wp:posOffset>
            </wp:positionV>
            <wp:extent cx="316865" cy="3683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clrChange>
                        <a:clrFrom>
                          <a:srgbClr val="000000"/>
                        </a:clrFrom>
                        <a:clrTo>
                          <a:srgbClr val="000000">
                            <a:alpha val="0"/>
                          </a:srgbClr>
                        </a:clrTo>
                      </a:clrChange>
                      <a:extLst>
                        <a:ext uri="{28A0092B-C50C-407E-A947-70E740481C1C}"/>
                      </a:extLst>
                    </a:blip>
                    <a:srcRect/>
                    <a:stretch>
                      <a:fillRect/>
                    </a:stretch>
                  </pic:blipFill>
                  <pic:spPr bwMode="auto">
                    <a:xfrm>
                      <a:off x="0" y="0"/>
                      <a:ext cx="316865" cy="368300"/>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-1112520</wp:posOffset>
            </wp:positionV>
            <wp:extent cx="316865" cy="3683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clrChange>
                        <a:clrFrom>
                          <a:srgbClr val="FFFFFF"/>
                        </a:clrFrom>
                        <a:clrTo>
                          <a:srgbClr val="FFFFFF">
                            <a:alpha val="0"/>
                          </a:srgbClr>
                        </a:clrTo>
                      </a:clrChange>
                      <a:extLst>
                        <a:ext uri="{28A0092B-C50C-407E-A947-70E740481C1C}"/>
                      </a:extLst>
                    </a:blip>
                    <a:srcRect/>
                    <a:stretch>
                      <a:fillRect/>
                    </a:stretch>
                  </pic:blipFill>
                  <pic:spPr bwMode="auto">
                    <a:xfrm>
                      <a:off x="0" y="0"/>
                      <a:ext cx="316865" cy="368300"/>
                    </a:xfrm>
                    <a:prstGeom prst="rect">
                      <a:avLst/>
                    </a:prstGeom>
                    <a:noFill/>
                  </pic:spPr>
                </pic:pic>
              </a:graphicData>
            </a:graphic>
          </wp:anchor>
        </w:drawing>
        <w:drawing>
          <wp:anchor simplePos="0" relativeHeight="251657728" behindDoc="1" locked="0" layoutInCell="0" allowOverlap="1">
            <wp:simplePos x="0" y="0"/>
            <wp:positionH relativeFrom="column">
              <wp:posOffset>4280535</wp:posOffset>
            </wp:positionH>
            <wp:positionV relativeFrom="paragraph">
              <wp:posOffset>-1043940</wp:posOffset>
            </wp:positionV>
            <wp:extent cx="300355" cy="2743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clrChange>
                        <a:clrFrom>
                          <a:srgbClr val="000000"/>
                        </a:clrFrom>
                        <a:clrTo>
                          <a:srgbClr val="000000">
                            <a:alpha val="0"/>
                          </a:srgbClr>
                        </a:clrTo>
                      </a:clrChange>
                      <a:extLst>
                        <a:ext uri="{28A0092B-C50C-407E-A947-70E740481C1C}"/>
                      </a:extLst>
                    </a:blip>
                    <a:srcRect/>
                    <a:stretch>
                      <a:fillRect/>
                    </a:stretch>
                  </pic:blipFill>
                  <pic:spPr bwMode="auto">
                    <a:xfrm>
                      <a:off x="0" y="0"/>
                      <a:ext cx="300355" cy="274320"/>
                    </a:xfrm>
                    <a:prstGeom prst="rect">
                      <a:avLst/>
                    </a:prstGeom>
                    <a:noFill/>
                  </pic:spPr>
                </pic:pic>
              </a:graphicData>
            </a:graphic>
          </wp:anchor>
        </w:drawing>
        <w:drawing>
          <wp:anchor simplePos="0" relativeHeight="251657728" behindDoc="1" locked="0" layoutInCell="0" allowOverlap="1">
            <wp:simplePos x="0" y="0"/>
            <wp:positionH relativeFrom="column">
              <wp:posOffset>4280535</wp:posOffset>
            </wp:positionH>
            <wp:positionV relativeFrom="paragraph">
              <wp:posOffset>-1043940</wp:posOffset>
            </wp:positionV>
            <wp:extent cx="300355" cy="2743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clrChange>
                        <a:clrFrom>
                          <a:srgbClr val="FFFFFF"/>
                        </a:clrFrom>
                        <a:clrTo>
                          <a:srgbClr val="FFFFFF">
                            <a:alpha val="0"/>
                          </a:srgbClr>
                        </a:clrTo>
                      </a:clrChange>
                      <a:extLst>
                        <a:ext uri="{28A0092B-C50C-407E-A947-70E740481C1C}"/>
                      </a:extLst>
                    </a:blip>
                    <a:srcRect/>
                    <a:stretch>
                      <a:fillRect/>
                    </a:stretch>
                  </pic:blipFill>
                  <pic:spPr bwMode="auto">
                    <a:xfrm>
                      <a:off x="0" y="0"/>
                      <a:ext cx="300355" cy="274320"/>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-598170</wp:posOffset>
            </wp:positionV>
            <wp:extent cx="300355" cy="2311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00355" cy="231140"/>
                    </a:xfrm>
                    <a:prstGeom prst="rect">
                      <a:avLst/>
                    </a:prstGeom>
                    <a:noFill/>
                  </pic:spPr>
                </pic:pic>
              </a:graphicData>
            </a:graphic>
          </wp:anchor>
        </w:drawing>
        <w:drawing>
          <wp:anchor simplePos="0" relativeHeight="251657728" behindDoc="1" locked="0" layoutInCell="0" allowOverlap="1">
            <wp:simplePos x="0" y="0"/>
            <wp:positionH relativeFrom="column">
              <wp:posOffset>4280535</wp:posOffset>
            </wp:positionH>
            <wp:positionV relativeFrom="paragraph">
              <wp:posOffset>-657860</wp:posOffset>
            </wp:positionV>
            <wp:extent cx="308610" cy="3429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08610" cy="342900"/>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-194945</wp:posOffset>
            </wp:positionV>
            <wp:extent cx="334010" cy="2660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4010" cy="26606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6260" w:type="dxa"/>
            <w:vAlign w:val="bottom"/>
          </w:tcPr>
          <w:p>
            <w:pPr>
              <w:spacing w:after="0"/>
              <w:rPr>
                <w:sz w:val="20"/>
                <w:szCs w:val="20"/>
                <w:color w:val="auto"/>
              </w:rPr>
            </w:pPr>
            <w:r>
              <w:rPr>
                <w:rFonts w:ascii="Arial" w:cs="Arial" w:eastAsia="Arial" w:hAnsi="Arial"/>
                <w:sz w:val="14"/>
                <w:szCs w:val="14"/>
                <w:b w:val="1"/>
                <w:bCs w:val="1"/>
                <w:color w:val="auto"/>
              </w:rPr>
              <w:t>​</w:t>
            </w:r>
          </w:p>
        </w:tc>
        <w:tc>
          <w:tcPr>
            <w:tcW w:w="2320" w:type="dxa"/>
            <w:vAlign w:val="bottom"/>
          </w:tcPr>
          <w:p>
            <w:pPr>
              <w:ind w:left="1940"/>
              <w:spacing w:after="0"/>
              <w:rPr>
                <w:sz w:val="20"/>
                <w:szCs w:val="20"/>
                <w:color w:val="auto"/>
              </w:rPr>
            </w:pPr>
            <w:r>
              <w:rPr>
                <w:rFonts w:ascii="Arial" w:cs="Arial" w:eastAsia="Arial" w:hAnsi="Arial"/>
                <w:sz w:val="14"/>
                <w:szCs w:val="14"/>
                <w:b w:val="1"/>
                <w:bCs w:val="1"/>
                <w:color w:val="auto"/>
              </w:rPr>
              <w:t>​ ​</w:t>
            </w:r>
          </w:p>
        </w:tc>
        <w:tc>
          <w:tcPr>
            <w:tcW w:w="480" w:type="dxa"/>
            <w:vAlign w:val="bottom"/>
            <w:vMerge w:val="restart"/>
          </w:tcPr>
          <w:p>
            <w:pPr>
              <w:jc w:val="right"/>
              <w:spacing w:after="0"/>
              <w:rPr>
                <w:sz w:val="20"/>
                <w:szCs w:val="20"/>
                <w:color w:val="auto"/>
              </w:rPr>
            </w:pPr>
            <w:r>
              <w:rPr>
                <w:rFonts w:ascii="Arial" w:cs="Arial" w:eastAsia="Arial" w:hAnsi="Arial"/>
                <w:sz w:val="22"/>
                <w:szCs w:val="22"/>
                <w:b w:val="1"/>
                <w:bCs w:val="1"/>
                <w:color w:val="1F2668"/>
              </w:rPr>
              <w:t>15</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6260" w:type="dxa"/>
            <w:vAlign w:val="bottom"/>
          </w:tcPr>
          <w:p>
            <w:pPr>
              <w:spacing w:after="0"/>
              <w:rPr>
                <w:sz w:val="20"/>
                <w:szCs w:val="20"/>
                <w:color w:val="auto"/>
              </w:rPr>
            </w:pPr>
            <w:r>
              <w:rPr>
                <w:rFonts w:ascii="Arial" w:cs="Arial" w:eastAsia="Arial" w:hAnsi="Arial"/>
                <w:sz w:val="14"/>
                <w:szCs w:val="14"/>
                <w:b w:val="1"/>
                <w:bCs w:val="1"/>
                <w:color w:val="auto"/>
              </w:rPr>
              <w:t>OUR BOARD OF DIRECTORS AND CORPORATE GOVERNANCE</w:t>
            </w:r>
          </w:p>
        </w:tc>
        <w:tc>
          <w:tcPr>
            <w:tcW w:w="232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1888490</wp:posOffset>
            </wp:positionH>
            <wp:positionV relativeFrom="paragraph">
              <wp:posOffset>501015</wp:posOffset>
            </wp:positionV>
            <wp:extent cx="34290" cy="42773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4277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960" w:type="dxa"/>
        <w:tblCellMar>
          <w:top w:w="0" w:type="dxa"/>
          <w:left w:w="0" w:type="dxa"/>
          <w:bottom w:w="0" w:type="dxa"/>
          <w:right w:w="0" w:type="dxa"/>
        </w:tblCellMar>
      </w:tblPr>
      <w:tr>
        <w:trPr>
          <w:trHeight w:val="297"/>
        </w:trPr>
        <w:tc>
          <w:tcPr>
            <w:tcW w:w="60" w:type="dxa"/>
            <w:vAlign w:val="bottom"/>
            <w:tcBorders>
              <w:top w:val="single" w:sz="8" w:color="83AD40"/>
            </w:tcBorders>
            <w:shd w:val="clear" w:color="auto" w:fill="83AD40"/>
          </w:tcPr>
          <w:p>
            <w:pPr>
              <w:spacing w:after="0"/>
              <w:rPr>
                <w:sz w:val="24"/>
                <w:szCs w:val="24"/>
                <w:color w:val="auto"/>
              </w:rPr>
            </w:pPr>
          </w:p>
        </w:tc>
        <w:tc>
          <w:tcPr>
            <w:tcW w:w="1700" w:type="dxa"/>
            <w:vAlign w:val="bottom"/>
            <w:tcBorders>
              <w:top w:val="single" w:sz="8" w:color="83AD40"/>
            </w:tcBorders>
          </w:tcPr>
          <w:p>
            <w:pPr>
              <w:spacing w:after="0"/>
              <w:rPr>
                <w:sz w:val="20"/>
                <w:szCs w:val="20"/>
                <w:color w:val="auto"/>
              </w:rPr>
            </w:pPr>
            <w:r>
              <w:rPr>
                <w:rFonts w:ascii="Arial" w:cs="Arial" w:eastAsia="Arial" w:hAnsi="Arial"/>
                <w:sz w:val="22"/>
                <w:szCs w:val="22"/>
                <w:color w:val="auto"/>
              </w:rPr>
              <w:t>​</w:t>
            </w:r>
          </w:p>
        </w:tc>
        <w:tc>
          <w:tcPr>
            <w:tcW w:w="320" w:type="dxa"/>
            <w:vAlign w:val="bottom"/>
            <w:tcBorders>
              <w:top w:val="single" w:sz="8" w:color="83AD40"/>
            </w:tcBorders>
          </w:tcPr>
          <w:p>
            <w:pPr>
              <w:ind w:left="260"/>
              <w:spacing w:after="0"/>
              <w:rPr>
                <w:sz w:val="20"/>
                <w:szCs w:val="20"/>
                <w:color w:val="auto"/>
              </w:rPr>
            </w:pPr>
            <w:r>
              <w:rPr>
                <w:rFonts w:ascii="Arial" w:cs="Arial" w:eastAsia="Arial" w:hAnsi="Arial"/>
                <w:sz w:val="22"/>
                <w:szCs w:val="22"/>
                <w:color w:val="auto"/>
              </w:rPr>
              <w:t>​</w:t>
            </w:r>
          </w:p>
        </w:tc>
        <w:tc>
          <w:tcPr>
            <w:tcW w:w="3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line="148" w:lineRule="exact"/>
              <w:rPr>
                <w:sz w:val="20"/>
                <w:szCs w:val="20"/>
                <w:color w:val="auto"/>
              </w:rPr>
            </w:pPr>
            <w:r>
              <w:rPr>
                <w:rFonts w:ascii="Arial" w:cs="Arial" w:eastAsia="Arial" w:hAnsi="Arial"/>
                <w:sz w:val="16"/>
                <w:szCs w:val="16"/>
                <w:b w:val="1"/>
                <w:bCs w:val="1"/>
                <w:color w:val="FFFFFF"/>
              </w:rPr>
              <w:t>​</w:t>
            </w:r>
          </w:p>
        </w:tc>
        <w:tc>
          <w:tcPr>
            <w:tcW w:w="1700" w:type="dxa"/>
            <w:vAlign w:val="bottom"/>
          </w:tcPr>
          <w:p>
            <w:pPr>
              <w:spacing w:after="0"/>
              <w:rPr>
                <w:sz w:val="12"/>
                <w:szCs w:val="12"/>
                <w:color w:val="auto"/>
              </w:rPr>
            </w:pPr>
          </w:p>
        </w:tc>
        <w:tc>
          <w:tcPr>
            <w:tcW w:w="7160" w:type="dxa"/>
            <w:vAlign w:val="bottom"/>
            <w:gridSpan w:val="3"/>
          </w:tcPr>
          <w:p>
            <w:pPr>
              <w:ind w:left="180"/>
              <w:spacing w:after="0" w:line="148" w:lineRule="exact"/>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02"/>
        </w:trPr>
        <w:tc>
          <w:tcPr>
            <w:tcW w:w="1760" w:type="dxa"/>
            <w:vAlign w:val="bottom"/>
            <w:gridSpan w:val="2"/>
            <w:vMerge w:val="restart"/>
          </w:tcPr>
          <w:p>
            <w:pPr>
              <w:spacing w:after="0"/>
              <w:rPr>
                <w:sz w:val="20"/>
                <w:szCs w:val="20"/>
                <w:color w:val="auto"/>
              </w:rPr>
            </w:pPr>
            <w:r>
              <w:rPr>
                <w:rFonts w:ascii="Arial" w:cs="Arial" w:eastAsia="Arial" w:hAnsi="Arial"/>
                <w:sz w:val="22"/>
                <w:szCs w:val="22"/>
                <w:b w:val="1"/>
                <w:bCs w:val="1"/>
                <w:color w:val="FFFFFF"/>
              </w:rPr>
              <w:t>LAUREN B.</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80" w:type="dxa"/>
            <w:vAlign w:val="bottom"/>
          </w:tcPr>
          <w:p>
            <w:pPr>
              <w:spacing w:after="0"/>
              <w:rPr>
                <w:sz w:val="20"/>
                <w:szCs w:val="20"/>
                <w:color w:val="auto"/>
              </w:rPr>
            </w:pPr>
            <w:r>
              <w:rPr>
                <w:rFonts w:ascii="Arial" w:cs="Arial" w:eastAsia="Arial" w:hAnsi="Arial"/>
                <w:sz w:val="16"/>
                <w:szCs w:val="16"/>
                <w:color w:val="auto"/>
              </w:rPr>
              <w:t>Ms. Dillard’s sophisticated understanding of tax, real estate, investment programs, finance,</w:t>
            </w:r>
          </w:p>
        </w:tc>
        <w:tc>
          <w:tcPr>
            <w:tcW w:w="0" w:type="dxa"/>
            <w:vAlign w:val="bottom"/>
          </w:tcPr>
          <w:p>
            <w:pPr>
              <w:spacing w:after="0"/>
              <w:rPr>
                <w:sz w:val="1"/>
                <w:szCs w:val="1"/>
                <w:color w:val="auto"/>
              </w:rPr>
            </w:pPr>
          </w:p>
        </w:tc>
      </w:tr>
      <w:tr>
        <w:trPr>
          <w:trHeight w:val="163"/>
        </w:trPr>
        <w:tc>
          <w:tcPr>
            <w:tcW w:w="17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80" w:type="dxa"/>
            <w:vAlign w:val="bottom"/>
          </w:tcPr>
          <w:p>
            <w:pPr>
              <w:spacing w:after="0" w:line="163" w:lineRule="exact"/>
              <w:rPr>
                <w:sz w:val="20"/>
                <w:szCs w:val="20"/>
                <w:color w:val="auto"/>
              </w:rPr>
            </w:pPr>
            <w:r>
              <w:rPr>
                <w:rFonts w:ascii="Arial" w:cs="Arial" w:eastAsia="Arial" w:hAnsi="Arial"/>
                <w:sz w:val="16"/>
                <w:szCs w:val="16"/>
                <w:color w:val="auto"/>
                <w:w w:val="99"/>
              </w:rPr>
              <w:t>compensation and corporate governance, all viewed through the lens of over fifteen years of</w:t>
            </w:r>
          </w:p>
        </w:tc>
        <w:tc>
          <w:tcPr>
            <w:tcW w:w="0" w:type="dxa"/>
            <w:vAlign w:val="bottom"/>
          </w:tcPr>
          <w:p>
            <w:pPr>
              <w:spacing w:after="0"/>
              <w:rPr>
                <w:sz w:val="1"/>
                <w:szCs w:val="1"/>
                <w:color w:val="auto"/>
              </w:rPr>
            </w:pPr>
          </w:p>
        </w:tc>
      </w:tr>
      <w:tr>
        <w:trPr>
          <w:trHeight w:val="256"/>
        </w:trPr>
        <w:tc>
          <w:tcPr>
            <w:tcW w:w="1760" w:type="dxa"/>
            <w:vAlign w:val="bottom"/>
            <w:gridSpan w:val="2"/>
          </w:tcPr>
          <w:p>
            <w:pPr>
              <w:spacing w:after="0"/>
              <w:rPr>
                <w:sz w:val="20"/>
                <w:szCs w:val="20"/>
                <w:color w:val="auto"/>
              </w:rPr>
            </w:pPr>
            <w:r>
              <w:rPr>
                <w:rFonts w:ascii="Arial" w:cs="Arial" w:eastAsia="Arial" w:hAnsi="Arial"/>
                <w:sz w:val="22"/>
                <w:szCs w:val="22"/>
                <w:b w:val="1"/>
                <w:bCs w:val="1"/>
                <w:color w:val="FFFFFF"/>
              </w:rPr>
              <w:t>DILLARD</w:t>
            </w: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80" w:type="dxa"/>
            <w:vAlign w:val="bottom"/>
          </w:tcPr>
          <w:p>
            <w:pPr>
              <w:spacing w:after="0"/>
              <w:rPr>
                <w:sz w:val="20"/>
                <w:szCs w:val="20"/>
                <w:color w:val="auto"/>
              </w:rPr>
            </w:pPr>
            <w:r>
              <w:rPr>
                <w:rFonts w:ascii="Arial" w:cs="Arial" w:eastAsia="Arial" w:hAnsi="Arial"/>
                <w:sz w:val="16"/>
                <w:szCs w:val="16"/>
                <w:color w:val="auto"/>
              </w:rPr>
              <w:t>global private equity experience and together with her considerable operational expertise,</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80" w:type="dxa"/>
            <w:vAlign w:val="bottom"/>
          </w:tcPr>
          <w:p>
            <w:pPr>
              <w:spacing w:after="0"/>
              <w:rPr>
                <w:sz w:val="20"/>
                <w:szCs w:val="20"/>
                <w:color w:val="auto"/>
              </w:rPr>
            </w:pPr>
            <w:r>
              <w:rPr>
                <w:rFonts w:ascii="Arial" w:cs="Arial" w:eastAsia="Arial" w:hAnsi="Arial"/>
                <w:sz w:val="16"/>
                <w:szCs w:val="16"/>
                <w:color w:val="auto"/>
              </w:rPr>
              <w:t>provide the Board and the Company with deep and practical insight on a broad range of</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6"/>
                <w:szCs w:val="16"/>
                <w:color w:val="auto"/>
              </w:rPr>
              <w:t>matters.</w:t>
            </w:r>
          </w:p>
        </w:tc>
        <w:tc>
          <w:tcPr>
            <w:tcW w:w="0" w:type="dxa"/>
            <w:vAlign w:val="bottom"/>
          </w:tcPr>
          <w:p>
            <w:pPr>
              <w:spacing w:after="0"/>
              <w:rPr>
                <w:sz w:val="1"/>
                <w:szCs w:val="1"/>
                <w:color w:val="auto"/>
              </w:rPr>
            </w:pPr>
          </w:p>
        </w:tc>
      </w:tr>
      <w:tr>
        <w:trPr>
          <w:trHeight w:val="340"/>
        </w:trPr>
        <w:tc>
          <w:tcPr>
            <w:tcW w:w="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80" w:type="dxa"/>
            <w:vAlign w:val="bottom"/>
            <w:tcBorders>
              <w:bottom w:val="single" w:sz="8" w:color="83AD40"/>
            </w:tcBorders>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80" w:type="dxa"/>
            <w:vAlign w:val="bottom"/>
          </w:tcPr>
          <w:p>
            <w:pPr>
              <w:spacing w:after="0"/>
              <w:rPr>
                <w:sz w:val="20"/>
                <w:szCs w:val="20"/>
                <w:color w:val="auto"/>
              </w:rPr>
            </w:pPr>
            <w:r>
              <w:rPr>
                <w:rFonts w:ascii="Arial" w:cs="Arial" w:eastAsia="Arial" w:hAnsi="Arial"/>
                <w:sz w:val="20"/>
                <w:szCs w:val="20"/>
                <w:b w:val="1"/>
                <w:bCs w:val="1"/>
                <w:color w:val="1F2668"/>
              </w:rPr>
              <w:t>Professional Experience</w:t>
            </w:r>
          </w:p>
        </w:tc>
        <w:tc>
          <w:tcPr>
            <w:tcW w:w="0" w:type="dxa"/>
            <w:vAlign w:val="bottom"/>
          </w:tcPr>
          <w:p>
            <w:pPr>
              <w:spacing w:after="0"/>
              <w:rPr>
                <w:sz w:val="1"/>
                <w:szCs w:val="1"/>
                <w:color w:val="auto"/>
              </w:rPr>
            </w:pPr>
          </w:p>
        </w:tc>
      </w:tr>
      <w:tr>
        <w:trPr>
          <w:trHeight w:val="263"/>
        </w:trPr>
        <w:tc>
          <w:tcPr>
            <w:tcW w:w="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80" w:type="dxa"/>
            <w:vAlign w:val="bottom"/>
          </w:tcPr>
          <w:p>
            <w:pPr>
              <w:spacing w:after="0"/>
              <w:rPr>
                <w:sz w:val="20"/>
                <w:szCs w:val="20"/>
                <w:color w:val="auto"/>
              </w:rPr>
            </w:pPr>
            <w:r>
              <w:rPr>
                <w:rFonts w:ascii="Arial" w:cs="Arial" w:eastAsia="Arial" w:hAnsi="Arial"/>
                <w:sz w:val="16"/>
                <w:szCs w:val="16"/>
                <w:color w:val="auto"/>
              </w:rPr>
              <w:t>•  Senior Managing Director and Chief Financial Officer of Vista Equity Partners, a leading</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80" w:type="dxa"/>
            <w:vAlign w:val="bottom"/>
          </w:tcPr>
          <w:p>
            <w:pPr>
              <w:ind w:left="180"/>
              <w:spacing w:after="0"/>
              <w:rPr>
                <w:sz w:val="20"/>
                <w:szCs w:val="20"/>
                <w:color w:val="auto"/>
              </w:rPr>
            </w:pPr>
            <w:r>
              <w:rPr>
                <w:rFonts w:ascii="Arial" w:cs="Arial" w:eastAsia="Arial" w:hAnsi="Arial"/>
                <w:sz w:val="16"/>
                <w:szCs w:val="16"/>
                <w:color w:val="auto"/>
              </w:rPr>
              <w:t>global investment firm focused exclusively on enterprise software, data and technology-</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80" w:type="dxa"/>
            <w:vAlign w:val="bottom"/>
          </w:tcPr>
          <w:p>
            <w:pPr>
              <w:ind w:left="180"/>
              <w:spacing w:after="0"/>
              <w:rPr>
                <w:sz w:val="20"/>
                <w:szCs w:val="20"/>
                <w:color w:val="auto"/>
              </w:rPr>
            </w:pPr>
            <w:r>
              <w:rPr>
                <w:rFonts w:ascii="Arial" w:cs="Arial" w:eastAsia="Arial" w:hAnsi="Arial"/>
                <w:sz w:val="16"/>
                <w:szCs w:val="16"/>
                <w:color w:val="auto"/>
              </w:rPr>
              <w:t>enabled businesses, since April 2022</w:t>
            </w: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6"/>
                <w:szCs w:val="16"/>
                <w:color w:val="auto"/>
              </w:rPr>
              <w:t>•  Executive Vice President of Investment Intelligence of Nasdaq, Inc., a global technology</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80" w:type="dxa"/>
            <w:vAlign w:val="bottom"/>
          </w:tcPr>
          <w:p>
            <w:pPr>
              <w:ind w:left="180"/>
              <w:spacing w:after="0"/>
              <w:rPr>
                <w:sz w:val="20"/>
                <w:szCs w:val="20"/>
                <w:color w:val="auto"/>
              </w:rPr>
            </w:pPr>
            <w:r>
              <w:rPr>
                <w:rFonts w:ascii="Arial" w:cs="Arial" w:eastAsia="Arial" w:hAnsi="Arial"/>
                <w:sz w:val="16"/>
                <w:szCs w:val="16"/>
                <w:color w:val="auto"/>
              </w:rPr>
              <w:t>firm serving the capital markets and other industries, from June 2019 to April 2022</w:t>
            </w:r>
          </w:p>
        </w:tc>
        <w:tc>
          <w:tcPr>
            <w:tcW w:w="0" w:type="dxa"/>
            <w:vAlign w:val="bottom"/>
          </w:tcPr>
          <w:p>
            <w:pPr>
              <w:spacing w:after="0"/>
              <w:rPr>
                <w:sz w:val="1"/>
                <w:szCs w:val="1"/>
                <w:color w:val="auto"/>
              </w:rPr>
            </w:pPr>
          </w:p>
        </w:tc>
      </w:tr>
      <w:tr>
        <w:trPr>
          <w:trHeight w:val="217"/>
        </w:trPr>
        <w:tc>
          <w:tcPr>
            <w:tcW w:w="1760" w:type="dxa"/>
            <w:vAlign w:val="bottom"/>
            <w:gridSpan w:val="2"/>
          </w:tcPr>
          <w:p>
            <w:pPr>
              <w:spacing w:after="0"/>
              <w:rPr>
                <w:sz w:val="20"/>
                <w:szCs w:val="20"/>
                <w:color w:val="auto"/>
              </w:rPr>
            </w:pPr>
            <w:r>
              <w:rPr>
                <w:rFonts w:ascii="Arial" w:cs="Arial" w:eastAsia="Arial" w:hAnsi="Arial"/>
                <w:sz w:val="16"/>
                <w:szCs w:val="16"/>
                <w:b w:val="1"/>
                <w:bCs w:val="1"/>
                <w:color w:val="FFFFFF"/>
              </w:rPr>
              <w:t>Independent Director</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6"/>
                <w:szCs w:val="16"/>
                <w:color w:val="auto"/>
                <w:w w:val="99"/>
              </w:rPr>
              <w:t>•  Managing Director for the Carlyle Group, a global alternative asset manager, from 2011 to</w:t>
            </w:r>
          </w:p>
        </w:tc>
        <w:tc>
          <w:tcPr>
            <w:tcW w:w="0" w:type="dxa"/>
            <w:vAlign w:val="bottom"/>
          </w:tcPr>
          <w:p>
            <w:pPr>
              <w:spacing w:after="0"/>
              <w:rPr>
                <w:sz w:val="1"/>
                <w:szCs w:val="1"/>
                <w:color w:val="auto"/>
              </w:rPr>
            </w:pPr>
          </w:p>
        </w:tc>
      </w:tr>
      <w:tr>
        <w:trPr>
          <w:trHeight w:val="203"/>
        </w:trPr>
        <w:tc>
          <w:tcPr>
            <w:tcW w:w="1760" w:type="dxa"/>
            <w:vAlign w:val="bottom"/>
            <w:gridSpan w:val="2"/>
            <w:vMerge w:val="restart"/>
          </w:tcPr>
          <w:p>
            <w:pPr>
              <w:spacing w:after="0"/>
              <w:rPr>
                <w:sz w:val="20"/>
                <w:szCs w:val="20"/>
                <w:color w:val="auto"/>
              </w:rPr>
            </w:pPr>
            <w:r>
              <w:rPr>
                <w:rFonts w:ascii="Arial" w:cs="Arial" w:eastAsia="Arial" w:hAnsi="Arial"/>
                <w:sz w:val="16"/>
                <w:szCs w:val="16"/>
                <w:color w:val="FFFFFF"/>
              </w:rPr>
              <w:t xml:space="preserve">Director Since: </w:t>
            </w:r>
            <w:r>
              <w:rPr>
                <w:rFonts w:ascii="Arial" w:cs="Arial" w:eastAsia="Arial" w:hAnsi="Arial"/>
                <w:sz w:val="16"/>
                <w:szCs w:val="16"/>
                <w:b w:val="1"/>
                <w:bCs w:val="1"/>
                <w:color w:val="FFFFFF"/>
              </w:rPr>
              <w:t>2016</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80" w:type="dxa"/>
            <w:vAlign w:val="bottom"/>
          </w:tcPr>
          <w:p>
            <w:pPr>
              <w:ind w:left="180"/>
              <w:spacing w:after="0"/>
              <w:rPr>
                <w:sz w:val="20"/>
                <w:szCs w:val="20"/>
                <w:color w:val="auto"/>
              </w:rPr>
            </w:pPr>
            <w:r>
              <w:rPr>
                <w:rFonts w:ascii="Arial" w:cs="Arial" w:eastAsia="Arial" w:hAnsi="Arial"/>
                <w:sz w:val="16"/>
                <w:szCs w:val="16"/>
                <w:color w:val="auto"/>
              </w:rPr>
              <w:t>May 2019, head of Carlyle’s Investment Solutions Group from December 2015 to</w:t>
            </w:r>
          </w:p>
        </w:tc>
        <w:tc>
          <w:tcPr>
            <w:tcW w:w="0" w:type="dxa"/>
            <w:vAlign w:val="bottom"/>
          </w:tcPr>
          <w:p>
            <w:pPr>
              <w:spacing w:after="0"/>
              <w:rPr>
                <w:sz w:val="1"/>
                <w:szCs w:val="1"/>
                <w:color w:val="auto"/>
              </w:rPr>
            </w:pPr>
          </w:p>
        </w:tc>
      </w:tr>
      <w:tr>
        <w:trPr>
          <w:trHeight w:val="142"/>
        </w:trPr>
        <w:tc>
          <w:tcPr>
            <w:tcW w:w="17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80" w:type="dxa"/>
            <w:vAlign w:val="bottom"/>
            <w:vMerge w:val="restart"/>
          </w:tcPr>
          <w:p>
            <w:pPr>
              <w:ind w:left="180"/>
              <w:spacing w:after="0"/>
              <w:rPr>
                <w:sz w:val="20"/>
                <w:szCs w:val="20"/>
                <w:color w:val="auto"/>
              </w:rPr>
            </w:pPr>
            <w:r>
              <w:rPr>
                <w:rFonts w:ascii="Arial" w:cs="Arial" w:eastAsia="Arial" w:hAnsi="Arial"/>
                <w:sz w:val="16"/>
                <w:szCs w:val="16"/>
                <w:color w:val="auto"/>
              </w:rPr>
              <w:t>May 2019, and member of Carlyle’s Management Committee; joined Carlyle in 2002</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1760" w:type="dxa"/>
            <w:vAlign w:val="bottom"/>
            <w:gridSpan w:val="2"/>
          </w:tcPr>
          <w:p>
            <w:pPr>
              <w:spacing w:after="0"/>
              <w:rPr>
                <w:sz w:val="20"/>
                <w:szCs w:val="20"/>
                <w:color w:val="auto"/>
              </w:rPr>
            </w:pPr>
            <w:r>
              <w:rPr>
                <w:rFonts w:ascii="Arial" w:cs="Arial" w:eastAsia="Arial" w:hAnsi="Arial"/>
                <w:sz w:val="16"/>
                <w:szCs w:val="16"/>
                <w:color w:val="FFFFFF"/>
              </w:rPr>
              <w:t xml:space="preserve">Age: </w:t>
            </w:r>
            <w:r>
              <w:rPr>
                <w:rFonts w:ascii="Arial" w:cs="Arial" w:eastAsia="Arial" w:hAnsi="Arial"/>
                <w:sz w:val="16"/>
                <w:szCs w:val="16"/>
                <w:b w:val="1"/>
                <w:bCs w:val="1"/>
                <w:color w:val="FFFFFF"/>
              </w:rPr>
              <w:t>49</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80" w:type="dxa"/>
            <w:vAlign w:val="bottom"/>
          </w:tcPr>
          <w:p>
            <w:pPr>
              <w:spacing w:after="0"/>
              <w:rPr>
                <w:sz w:val="20"/>
                <w:szCs w:val="20"/>
                <w:color w:val="auto"/>
              </w:rPr>
            </w:pPr>
            <w:r>
              <w:rPr>
                <w:rFonts w:ascii="Arial" w:cs="Arial" w:eastAsia="Arial" w:hAnsi="Arial"/>
                <w:sz w:val="16"/>
                <w:szCs w:val="16"/>
                <w:color w:val="auto"/>
              </w:rPr>
              <w:t>•  Chief Operating Officer and Chief Financial Officer of Carlyle’s Investment Solutions</w:t>
            </w:r>
          </w:p>
        </w:tc>
        <w:tc>
          <w:tcPr>
            <w:tcW w:w="0" w:type="dxa"/>
            <w:vAlign w:val="bottom"/>
          </w:tcPr>
          <w:p>
            <w:pPr>
              <w:spacing w:after="0"/>
              <w:rPr>
                <w:sz w:val="1"/>
                <w:szCs w:val="1"/>
                <w:color w:val="auto"/>
              </w:rPr>
            </w:pPr>
          </w:p>
        </w:tc>
      </w:tr>
      <w:tr>
        <w:trPr>
          <w:trHeight w:val="203"/>
        </w:trPr>
        <w:tc>
          <w:tcPr>
            <w:tcW w:w="1760" w:type="dxa"/>
            <w:vAlign w:val="bottom"/>
            <w:gridSpan w:val="2"/>
            <w:vMerge w:val="restart"/>
          </w:tcPr>
          <w:p>
            <w:pPr>
              <w:spacing w:after="0"/>
              <w:rPr>
                <w:sz w:val="20"/>
                <w:szCs w:val="20"/>
                <w:color w:val="auto"/>
              </w:rPr>
            </w:pPr>
            <w:r>
              <w:rPr>
                <w:rFonts w:ascii="Arial" w:cs="Arial" w:eastAsia="Arial" w:hAnsi="Arial"/>
                <w:sz w:val="16"/>
                <w:szCs w:val="16"/>
                <w:color w:val="FFFFFF"/>
              </w:rPr>
              <w:t>SL Green</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80" w:type="dxa"/>
            <w:vAlign w:val="bottom"/>
          </w:tcPr>
          <w:p>
            <w:pPr>
              <w:ind w:left="180"/>
              <w:spacing w:after="0"/>
              <w:rPr>
                <w:sz w:val="20"/>
                <w:szCs w:val="20"/>
                <w:color w:val="auto"/>
              </w:rPr>
            </w:pPr>
            <w:r>
              <w:rPr>
                <w:rFonts w:ascii="Arial" w:cs="Arial" w:eastAsia="Arial" w:hAnsi="Arial"/>
                <w:sz w:val="16"/>
                <w:szCs w:val="16"/>
                <w:color w:val="auto"/>
                <w:w w:val="99"/>
              </w:rPr>
              <w:t>Group from 2013 to December 2015; former head of Global Tax Department and head of</w:t>
            </w:r>
          </w:p>
        </w:tc>
        <w:tc>
          <w:tcPr>
            <w:tcW w:w="0" w:type="dxa"/>
            <w:vAlign w:val="bottom"/>
          </w:tcPr>
          <w:p>
            <w:pPr>
              <w:spacing w:after="0"/>
              <w:rPr>
                <w:sz w:val="1"/>
                <w:szCs w:val="1"/>
                <w:color w:val="auto"/>
              </w:rPr>
            </w:pPr>
          </w:p>
        </w:tc>
      </w:tr>
      <w:tr>
        <w:trPr>
          <w:trHeight w:val="122"/>
        </w:trPr>
        <w:tc>
          <w:tcPr>
            <w:tcW w:w="17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80" w:type="dxa"/>
            <w:vAlign w:val="bottom"/>
            <w:vMerge w:val="restart"/>
          </w:tcPr>
          <w:p>
            <w:pPr>
              <w:ind w:left="180"/>
              <w:spacing w:after="0"/>
              <w:rPr>
                <w:sz w:val="20"/>
                <w:szCs w:val="20"/>
                <w:color w:val="auto"/>
              </w:rPr>
            </w:pPr>
            <w:r>
              <w:rPr>
                <w:rFonts w:ascii="Arial" w:cs="Arial" w:eastAsia="Arial" w:hAnsi="Arial"/>
                <w:sz w:val="16"/>
                <w:szCs w:val="16"/>
                <w:color w:val="auto"/>
              </w:rPr>
              <w:t>Global Equity Programs; and member of Carlyle’s Transaction Team where she played a</w:t>
            </w:r>
          </w:p>
        </w:tc>
        <w:tc>
          <w:tcPr>
            <w:tcW w:w="0" w:type="dxa"/>
            <w:vAlign w:val="bottom"/>
          </w:tcPr>
          <w:p>
            <w:pPr>
              <w:spacing w:after="0"/>
              <w:rPr>
                <w:sz w:val="1"/>
                <w:szCs w:val="1"/>
                <w:color w:val="auto"/>
              </w:rPr>
            </w:pPr>
          </w:p>
        </w:tc>
      </w:tr>
      <w:tr>
        <w:trPr>
          <w:trHeight w:val="81"/>
        </w:trPr>
        <w:tc>
          <w:tcPr>
            <w:tcW w:w="1760" w:type="dxa"/>
            <w:vAlign w:val="bottom"/>
            <w:gridSpan w:val="2"/>
            <w:vMerge w:val="restart"/>
          </w:tcPr>
          <w:p>
            <w:pPr>
              <w:spacing w:after="0"/>
              <w:rPr>
                <w:sz w:val="20"/>
                <w:szCs w:val="20"/>
                <w:color w:val="auto"/>
              </w:rPr>
            </w:pPr>
            <w:r>
              <w:rPr>
                <w:rFonts w:ascii="Arial" w:cs="Arial" w:eastAsia="Arial" w:hAnsi="Arial"/>
                <w:sz w:val="16"/>
                <w:szCs w:val="16"/>
                <w:color w:val="FFFFFF"/>
              </w:rPr>
              <w:t>Board Service:</w:t>
            </w: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80" w:type="dxa"/>
            <w:vAlign w:val="bottom"/>
            <w:vMerge w:val="restart"/>
          </w:tcPr>
          <w:p>
            <w:pPr>
              <w:ind w:left="180"/>
              <w:spacing w:after="0"/>
              <w:rPr>
                <w:sz w:val="20"/>
                <w:szCs w:val="20"/>
                <w:color w:val="auto"/>
              </w:rPr>
            </w:pPr>
            <w:r>
              <w:rPr>
                <w:rFonts w:ascii="Arial" w:cs="Arial" w:eastAsia="Arial" w:hAnsi="Arial"/>
                <w:sz w:val="16"/>
                <w:szCs w:val="16"/>
                <w:color w:val="auto"/>
              </w:rPr>
              <w:t>significant role in transactions, including Carlyle’s initial public offering</w:t>
            </w: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1760" w:type="dxa"/>
            <w:vAlign w:val="bottom"/>
            <w:gridSpan w:val="2"/>
          </w:tcPr>
          <w:p>
            <w:pPr>
              <w:spacing w:after="0"/>
              <w:rPr>
                <w:sz w:val="20"/>
                <w:szCs w:val="20"/>
                <w:color w:val="auto"/>
              </w:rPr>
            </w:pPr>
            <w:r>
              <w:rPr>
                <w:rFonts w:ascii="Arial" w:cs="Arial" w:eastAsia="Arial" w:hAnsi="Arial"/>
                <w:sz w:val="16"/>
                <w:szCs w:val="16"/>
                <w:color w:val="FFFFFF"/>
              </w:rPr>
              <w:t xml:space="preserve">• </w:t>
            </w:r>
            <w:r>
              <w:rPr>
                <w:rFonts w:ascii="Arial" w:cs="Arial" w:eastAsia="Arial" w:hAnsi="Arial"/>
                <w:sz w:val="16"/>
                <w:szCs w:val="16"/>
                <w:b w:val="1"/>
                <w:bCs w:val="1"/>
                <w:color w:val="FFFFFF"/>
              </w:rPr>
              <w:t>Audit Committee,</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6"/>
                <w:szCs w:val="16"/>
                <w:color w:val="auto"/>
              </w:rPr>
              <w:t>•  Served in the Real Estate and Financial Services Group of the Tax Practice of Arthur</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1700" w:type="dxa"/>
            <w:vAlign w:val="bottom"/>
          </w:tcPr>
          <w:p>
            <w:pPr>
              <w:ind w:left="100"/>
              <w:spacing w:after="0"/>
              <w:rPr>
                <w:sz w:val="20"/>
                <w:szCs w:val="20"/>
                <w:color w:val="auto"/>
              </w:rPr>
            </w:pPr>
            <w:r>
              <w:rPr>
                <w:rFonts w:ascii="Arial" w:cs="Arial" w:eastAsia="Arial" w:hAnsi="Arial"/>
                <w:sz w:val="16"/>
                <w:szCs w:val="16"/>
                <w:b w:val="1"/>
                <w:bCs w:val="1"/>
                <w:color w:val="FFFFFF"/>
              </w:rPr>
              <w:t>Chair</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80" w:type="dxa"/>
            <w:vAlign w:val="bottom"/>
          </w:tcPr>
          <w:p>
            <w:pPr>
              <w:ind w:left="180"/>
              <w:spacing w:after="0"/>
              <w:rPr>
                <w:sz w:val="20"/>
                <w:szCs w:val="20"/>
                <w:color w:val="auto"/>
              </w:rPr>
            </w:pPr>
            <w:r>
              <w:rPr>
                <w:rFonts w:ascii="Arial" w:cs="Arial" w:eastAsia="Arial" w:hAnsi="Arial"/>
                <w:sz w:val="16"/>
                <w:szCs w:val="16"/>
                <w:color w:val="auto"/>
              </w:rPr>
              <w:t>Andersen, LLP prior to 2002</w:t>
            </w: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80" w:type="dxa"/>
            <w:vAlign w:val="bottom"/>
          </w:tcPr>
          <w:p>
            <w:pPr>
              <w:spacing w:after="0" w:line="165" w:lineRule="exact"/>
              <w:rPr>
                <w:sz w:val="20"/>
                <w:szCs w:val="20"/>
                <w:color w:val="auto"/>
              </w:rPr>
            </w:pPr>
            <w:r>
              <w:rPr>
                <w:rFonts w:ascii="Arial" w:cs="Arial" w:eastAsia="Arial" w:hAnsi="Arial"/>
                <w:sz w:val="16"/>
                <w:szCs w:val="16"/>
                <w:color w:val="auto"/>
              </w:rPr>
              <w:t>•  B.S. in business administration from the University of Richmond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-3378200</wp:posOffset>
            </wp:positionV>
            <wp:extent cx="1328420" cy="39008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328420" cy="3900805"/>
                    </a:xfrm>
                    <a:prstGeom prst="rect">
                      <a:avLst/>
                    </a:prstGeom>
                    <a:noFill/>
                  </pic:spPr>
                </pic:pic>
              </a:graphicData>
            </a:graphic>
          </wp:anchor>
        </w:drawing>
      </w:r>
    </w:p>
    <w:p>
      <w:pPr>
        <w:ind w:left="1120" w:right="7360" w:hanging="169"/>
        <w:spacing w:after="0" w:line="270" w:lineRule="auto"/>
        <w:tabs>
          <w:tab w:leader="none" w:pos="1120" w:val="left"/>
        </w:tabs>
        <w:numPr>
          <w:ilvl w:val="0"/>
          <w:numId w:val="28"/>
        </w:numPr>
        <w:rPr>
          <w:rFonts w:ascii="Arial" w:cs="Arial" w:eastAsia="Arial" w:hAnsi="Arial"/>
          <w:sz w:val="16"/>
          <w:szCs w:val="16"/>
          <w:color w:val="FFFFFF"/>
        </w:rPr>
      </w:pPr>
      <w:r>
        <w:rPr>
          <w:rFonts w:ascii="Arial" w:cs="Arial" w:eastAsia="Arial" w:hAnsi="Arial"/>
          <w:sz w:val="16"/>
          <w:szCs w:val="16"/>
          <w:b w:val="1"/>
          <w:bCs w:val="1"/>
          <w:color w:val="FFFFFF"/>
        </w:rPr>
        <w:t>Compensation Committee, Interim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2154555</wp:posOffset>
            </wp:positionH>
            <wp:positionV relativeFrom="paragraph">
              <wp:posOffset>-206375</wp:posOffset>
            </wp:positionV>
            <wp:extent cx="412305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123055" cy="8890"/>
                    </a:xfrm>
                    <a:prstGeom prst="rect">
                      <a:avLst/>
                    </a:prstGeom>
                    <a:noFill/>
                  </pic:spPr>
                </pic:pic>
              </a:graphicData>
            </a:graphic>
          </wp:anchor>
        </w:drawing>
      </w:r>
    </w:p>
    <w:p>
      <w:pPr>
        <w:spacing w:after="0" w:line="9" w:lineRule="exact"/>
        <w:rPr>
          <w:sz w:val="20"/>
          <w:szCs w:val="20"/>
          <w:color w:val="auto"/>
        </w:rPr>
      </w:pPr>
    </w:p>
    <w:tbl>
      <w:tblPr>
        <w:tblLayout w:type="fixed"/>
        <w:tblInd w:w="960" w:type="dxa"/>
        <w:tblCellMar>
          <w:top w:w="0" w:type="dxa"/>
          <w:left w:w="0" w:type="dxa"/>
          <w:bottom w:w="0" w:type="dxa"/>
          <w:right w:w="0" w:type="dxa"/>
        </w:tblCellMar>
      </w:tblPr>
      <w:tr>
        <w:trPr>
          <w:trHeight w:val="172"/>
        </w:trPr>
        <w:tc>
          <w:tcPr>
            <w:tcW w:w="60" w:type="dxa"/>
            <w:vAlign w:val="bottom"/>
          </w:tcPr>
          <w:p>
            <w:pPr>
              <w:spacing w:after="0"/>
              <w:rPr>
                <w:sz w:val="14"/>
                <w:szCs w:val="14"/>
                <w:color w:val="auto"/>
              </w:rPr>
            </w:pPr>
          </w:p>
        </w:tc>
        <w:tc>
          <w:tcPr>
            <w:tcW w:w="1000" w:type="dxa"/>
            <w:vAlign w:val="bottom"/>
            <w:vMerge w:val="restart"/>
          </w:tcPr>
          <w:p>
            <w:pPr>
              <w:spacing w:after="0"/>
              <w:rPr>
                <w:sz w:val="20"/>
                <w:szCs w:val="20"/>
                <w:color w:val="auto"/>
              </w:rPr>
            </w:pPr>
            <w:r>
              <w:rPr>
                <w:rFonts w:ascii="Arial" w:cs="Arial" w:eastAsia="Arial" w:hAnsi="Arial"/>
                <w:sz w:val="22"/>
                <w:szCs w:val="22"/>
                <w:color w:val="auto"/>
              </w:rPr>
              <w:t>​</w:t>
            </w:r>
          </w:p>
        </w:tc>
        <w:tc>
          <w:tcPr>
            <w:tcW w:w="1200" w:type="dxa"/>
            <w:vAlign w:val="bottom"/>
            <w:gridSpan w:val="2"/>
            <w:vMerge w:val="restart"/>
          </w:tcPr>
          <w:p>
            <w:pPr>
              <w:ind w:left="960"/>
              <w:spacing w:after="0"/>
              <w:rPr>
                <w:sz w:val="20"/>
                <w:szCs w:val="20"/>
                <w:color w:val="auto"/>
              </w:rPr>
            </w:pPr>
            <w:r>
              <w:rPr>
                <w:rFonts w:ascii="Arial" w:cs="Arial" w:eastAsia="Arial" w:hAnsi="Arial"/>
                <w:sz w:val="22"/>
                <w:szCs w:val="22"/>
                <w:color w:val="auto"/>
              </w:rPr>
              <w:t>​</w:t>
            </w:r>
          </w:p>
        </w:tc>
        <w:tc>
          <w:tcPr>
            <w:tcW w:w="3800" w:type="dxa"/>
            <w:vAlign w:val="bottom"/>
            <w:gridSpan w:val="3"/>
            <w:vMerge w:val="restart"/>
          </w:tcPr>
          <w:p>
            <w:pPr>
              <w:ind w:left="180"/>
              <w:spacing w:after="0"/>
              <w:rPr>
                <w:sz w:val="20"/>
                <w:szCs w:val="20"/>
                <w:color w:val="auto"/>
              </w:rPr>
            </w:pPr>
            <w:r>
              <w:rPr>
                <w:rFonts w:ascii="Arial" w:cs="Arial" w:eastAsia="Arial" w:hAnsi="Arial"/>
                <w:sz w:val="20"/>
                <w:szCs w:val="20"/>
                <w:b w:val="1"/>
                <w:bCs w:val="1"/>
                <w:color w:val="1F2668"/>
              </w:rPr>
              <w:t>Skills, Experiences and Attributes</w:t>
            </w:r>
          </w:p>
        </w:tc>
        <w:tc>
          <w:tcPr>
            <w:tcW w:w="4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60" w:type="dxa"/>
            <w:vAlign w:val="bottom"/>
            <w:shd w:val="clear" w:color="auto" w:fill="83AD40"/>
          </w:tcPr>
          <w:p>
            <w:pPr>
              <w:spacing w:after="0"/>
              <w:rPr>
                <w:sz w:val="8"/>
                <w:szCs w:val="8"/>
                <w:color w:val="auto"/>
              </w:rPr>
            </w:pPr>
          </w:p>
        </w:tc>
        <w:tc>
          <w:tcPr>
            <w:tcW w:w="10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3800" w:type="dxa"/>
            <w:vAlign w:val="bottom"/>
            <w:gridSpan w:val="3"/>
            <w:vMerge w:val="continue"/>
          </w:tcPr>
          <w:p>
            <w:pPr>
              <w:spacing w:after="0"/>
              <w:rPr>
                <w:sz w:val="8"/>
                <w:szCs w:val="8"/>
                <w:color w:val="auto"/>
              </w:rPr>
            </w:pPr>
          </w:p>
        </w:tc>
        <w:tc>
          <w:tcPr>
            <w:tcW w:w="4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60" w:type="dxa"/>
            <w:vAlign w:val="bottom"/>
            <w:shd w:val="clear" w:color="auto" w:fill="83AD40"/>
          </w:tcPr>
          <w:p>
            <w:pPr>
              <w:spacing w:after="0"/>
              <w:rPr>
                <w:sz w:val="15"/>
                <w:szCs w:val="15"/>
                <w:color w:val="auto"/>
              </w:rPr>
            </w:pPr>
          </w:p>
        </w:tc>
        <w:tc>
          <w:tcPr>
            <w:tcW w:w="1000" w:type="dxa"/>
            <w:vAlign w:val="bottom"/>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9"/>
        </w:trPr>
        <w:tc>
          <w:tcPr>
            <w:tcW w:w="60" w:type="dxa"/>
            <w:vAlign w:val="bottom"/>
            <w:tcBorders>
              <w:top w:val="single" w:sz="8" w:color="83AD40"/>
            </w:tcBorders>
          </w:tcPr>
          <w:p>
            <w:pPr>
              <w:spacing w:after="0"/>
              <w:rPr>
                <w:sz w:val="24"/>
                <w:szCs w:val="24"/>
                <w:color w:val="auto"/>
              </w:rPr>
            </w:pPr>
          </w:p>
        </w:tc>
        <w:tc>
          <w:tcPr>
            <w:tcW w:w="1000" w:type="dxa"/>
            <w:vAlign w:val="bottom"/>
            <w:tcBorders>
              <w:top w:val="single" w:sz="8" w:color="83AD40"/>
            </w:tcBorders>
          </w:tcPr>
          <w:p>
            <w:pPr>
              <w:spacing w:after="0"/>
              <w:rPr>
                <w:sz w:val="24"/>
                <w:szCs w:val="24"/>
                <w:color w:val="auto"/>
              </w:rPr>
            </w:pPr>
          </w:p>
        </w:tc>
        <w:tc>
          <w:tcPr>
            <w:tcW w:w="1000" w:type="dxa"/>
            <w:vAlign w:val="bottom"/>
            <w:tcBorders>
              <w:top w:val="single" w:sz="8" w:color="83AD40"/>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ind w:left="180"/>
              <w:spacing w:after="0"/>
              <w:rPr>
                <w:sz w:val="20"/>
                <w:szCs w:val="20"/>
                <w:color w:val="auto"/>
              </w:rPr>
            </w:pPr>
            <w:r>
              <w:rPr>
                <w:rFonts w:ascii="Arial" w:cs="Arial" w:eastAsia="Arial" w:hAnsi="Arial"/>
                <w:sz w:val="16"/>
                <w:szCs w:val="16"/>
                <w:color w:val="auto"/>
              </w:rPr>
              <w:t>​</w:t>
            </w:r>
          </w:p>
        </w:tc>
        <w:tc>
          <w:tcPr>
            <w:tcW w:w="2540" w:type="dxa"/>
            <w:vAlign w:val="bottom"/>
          </w:tcPr>
          <w:p>
            <w:pPr>
              <w:ind w:left="260"/>
              <w:spacing w:after="0"/>
              <w:rPr>
                <w:sz w:val="20"/>
                <w:szCs w:val="20"/>
                <w:color w:val="auto"/>
              </w:rPr>
            </w:pPr>
            <w:r>
              <w:rPr>
                <w:rFonts w:ascii="Arial" w:cs="Arial" w:eastAsia="Arial" w:hAnsi="Arial"/>
                <w:sz w:val="16"/>
                <w:szCs w:val="16"/>
                <w:color w:val="auto"/>
              </w:rPr>
              <w:t>​ ​ Executive Leadership</w:t>
            </w:r>
          </w:p>
        </w:tc>
        <w:tc>
          <w:tcPr>
            <w:tcW w:w="800" w:type="dxa"/>
            <w:vAlign w:val="bottom"/>
          </w:tcPr>
          <w:p>
            <w:pPr>
              <w:ind w:left="280"/>
              <w:spacing w:after="0"/>
              <w:rPr>
                <w:sz w:val="20"/>
                <w:szCs w:val="20"/>
                <w:color w:val="auto"/>
              </w:rPr>
            </w:pPr>
            <w:r>
              <w:rPr>
                <w:rFonts w:ascii="Arial" w:cs="Arial" w:eastAsia="Arial" w:hAnsi="Arial"/>
                <w:sz w:val="16"/>
                <w:szCs w:val="16"/>
                <w:color w:val="auto"/>
              </w:rPr>
              <w:t>​ ​</w:t>
            </w:r>
          </w:p>
        </w:tc>
        <w:tc>
          <w:tcPr>
            <w:tcW w:w="2780" w:type="dxa"/>
            <w:vAlign w:val="bottom"/>
            <w:gridSpan w:val="2"/>
          </w:tcPr>
          <w:p>
            <w:pPr>
              <w:ind w:left="280"/>
              <w:spacing w:after="0"/>
              <w:rPr>
                <w:sz w:val="20"/>
                <w:szCs w:val="20"/>
                <w:color w:val="auto"/>
              </w:rPr>
            </w:pPr>
            <w:r>
              <w:rPr>
                <w:rFonts w:ascii="Arial" w:cs="Arial" w:eastAsia="Arial" w:hAnsi="Arial"/>
                <w:sz w:val="16"/>
                <w:szCs w:val="16"/>
                <w:color w:val="auto"/>
              </w:rPr>
              <w:t>​ ​ Finance/Capital Markets</w:t>
            </w:r>
          </w:p>
        </w:tc>
        <w:tc>
          <w:tcPr>
            <w:tcW w:w="120" w:type="dxa"/>
            <w:vAlign w:val="bottom"/>
          </w:tcPr>
          <w:p>
            <w:pPr>
              <w:ind w:lef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36"/>
        </w:trPr>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ind w:left="180"/>
              <w:spacing w:after="0"/>
              <w:rPr>
                <w:sz w:val="20"/>
                <w:szCs w:val="20"/>
                <w:color w:val="auto"/>
              </w:rPr>
            </w:pPr>
            <w:r>
              <w:rPr>
                <w:rFonts w:ascii="Arial" w:cs="Arial" w:eastAsia="Arial" w:hAnsi="Arial"/>
                <w:sz w:val="16"/>
                <w:szCs w:val="16"/>
                <w:color w:val="auto"/>
              </w:rPr>
              <w:t>​</w:t>
            </w:r>
          </w:p>
        </w:tc>
        <w:tc>
          <w:tcPr>
            <w:tcW w:w="2540" w:type="dxa"/>
            <w:vAlign w:val="bottom"/>
          </w:tcPr>
          <w:p>
            <w:pPr>
              <w:ind w:left="260"/>
              <w:spacing w:after="0"/>
              <w:rPr>
                <w:sz w:val="20"/>
                <w:szCs w:val="20"/>
                <w:color w:val="auto"/>
              </w:rPr>
            </w:pPr>
            <w:r>
              <w:rPr>
                <w:rFonts w:ascii="Arial" w:cs="Arial" w:eastAsia="Arial" w:hAnsi="Arial"/>
                <w:sz w:val="16"/>
                <w:szCs w:val="16"/>
                <w:color w:val="auto"/>
              </w:rPr>
              <w:t>​ ​ Risk Management</w:t>
            </w:r>
          </w:p>
        </w:tc>
        <w:tc>
          <w:tcPr>
            <w:tcW w:w="800" w:type="dxa"/>
            <w:vAlign w:val="bottom"/>
          </w:tcPr>
          <w:p>
            <w:pPr>
              <w:ind w:left="280"/>
              <w:spacing w:after="0"/>
              <w:rPr>
                <w:sz w:val="20"/>
                <w:szCs w:val="20"/>
                <w:color w:val="auto"/>
              </w:rPr>
            </w:pPr>
            <w:r>
              <w:rPr>
                <w:rFonts w:ascii="Arial" w:cs="Arial" w:eastAsia="Arial" w:hAnsi="Arial"/>
                <w:sz w:val="16"/>
                <w:szCs w:val="16"/>
                <w:color w:val="auto"/>
              </w:rPr>
              <w:t>​ ​</w:t>
            </w:r>
          </w:p>
        </w:tc>
        <w:tc>
          <w:tcPr>
            <w:tcW w:w="420" w:type="dxa"/>
            <w:vAlign w:val="bottom"/>
          </w:tcPr>
          <w:p>
            <w:pPr>
              <w:ind w:left="280"/>
              <w:spacing w:after="0"/>
              <w:rPr>
                <w:sz w:val="20"/>
                <w:szCs w:val="20"/>
                <w:color w:val="auto"/>
              </w:rPr>
            </w:pPr>
            <w:r>
              <w:rPr>
                <w:rFonts w:ascii="Arial" w:cs="Arial" w:eastAsia="Arial" w:hAnsi="Arial"/>
                <w:sz w:val="16"/>
                <w:szCs w:val="16"/>
                <w:color w:val="auto"/>
              </w:rPr>
              <w:t>​ ​</w:t>
            </w:r>
          </w:p>
        </w:tc>
        <w:tc>
          <w:tcPr>
            <w:tcW w:w="2360" w:type="dxa"/>
            <w:vAlign w:val="bottom"/>
          </w:tcPr>
          <w:p>
            <w:pPr>
              <w:ind w:left="20"/>
              <w:spacing w:after="0"/>
              <w:rPr>
                <w:sz w:val="20"/>
                <w:szCs w:val="20"/>
                <w:color w:val="auto"/>
              </w:rPr>
            </w:pPr>
            <w:r>
              <w:rPr>
                <w:rFonts w:ascii="Arial" w:cs="Arial" w:eastAsia="Arial" w:hAnsi="Arial"/>
                <w:sz w:val="16"/>
                <w:szCs w:val="16"/>
                <w:color w:val="auto"/>
              </w:rPr>
              <w:t>Public Company Board Service/</w:t>
            </w:r>
          </w:p>
        </w:tc>
        <w:tc>
          <w:tcPr>
            <w:tcW w:w="120" w:type="dxa"/>
            <w:vAlign w:val="bottom"/>
          </w:tcPr>
          <w:p>
            <w:pPr>
              <w:ind w:lef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60" w:type="dxa"/>
            <w:vAlign w:val="bottom"/>
          </w:tcPr>
          <w:p>
            <w:pPr>
              <w:ind w:left="20"/>
              <w:spacing w:after="0"/>
              <w:rPr>
                <w:sz w:val="20"/>
                <w:szCs w:val="20"/>
                <w:color w:val="auto"/>
              </w:rPr>
            </w:pPr>
            <w:r>
              <w:rPr>
                <w:rFonts w:ascii="Arial" w:cs="Arial" w:eastAsia="Arial" w:hAnsi="Arial"/>
                <w:sz w:val="16"/>
                <w:szCs w:val="16"/>
                <w:color w:val="auto"/>
              </w:rPr>
              <w:t>Corporate Governance</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7"/>
        </w:trPr>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ind w:left="180"/>
              <w:spacing w:after="0"/>
              <w:rPr>
                <w:sz w:val="20"/>
                <w:szCs w:val="20"/>
                <w:color w:val="auto"/>
              </w:rPr>
            </w:pPr>
            <w:r>
              <w:rPr>
                <w:rFonts w:ascii="Arial" w:cs="Arial" w:eastAsia="Arial" w:hAnsi="Arial"/>
                <w:sz w:val="16"/>
                <w:szCs w:val="16"/>
                <w:color w:val="auto"/>
              </w:rPr>
              <w:t>​</w:t>
            </w:r>
          </w:p>
        </w:tc>
        <w:tc>
          <w:tcPr>
            <w:tcW w:w="2540" w:type="dxa"/>
            <w:vAlign w:val="bottom"/>
          </w:tcPr>
          <w:p>
            <w:pPr>
              <w:ind w:left="260"/>
              <w:spacing w:after="0"/>
              <w:rPr>
                <w:sz w:val="20"/>
                <w:szCs w:val="20"/>
                <w:color w:val="auto"/>
              </w:rPr>
            </w:pPr>
            <w:r>
              <w:rPr>
                <w:rFonts w:ascii="Arial" w:cs="Arial" w:eastAsia="Arial" w:hAnsi="Arial"/>
                <w:sz w:val="16"/>
                <w:szCs w:val="16"/>
                <w:color w:val="auto"/>
              </w:rPr>
              <w:t>​ ​ REIT/Real Estate Industry</w:t>
            </w:r>
          </w:p>
        </w:tc>
        <w:tc>
          <w:tcPr>
            <w:tcW w:w="800" w:type="dxa"/>
            <w:vAlign w:val="bottom"/>
          </w:tcPr>
          <w:p>
            <w:pPr>
              <w:ind w:left="280"/>
              <w:spacing w:after="0"/>
              <w:rPr>
                <w:sz w:val="20"/>
                <w:szCs w:val="20"/>
                <w:color w:val="auto"/>
              </w:rPr>
            </w:pPr>
            <w:r>
              <w:rPr>
                <w:rFonts w:ascii="Arial" w:cs="Arial" w:eastAsia="Arial" w:hAnsi="Arial"/>
                <w:sz w:val="16"/>
                <w:szCs w:val="16"/>
                <w:color w:val="auto"/>
              </w:rPr>
              <w:t>​ ​</w:t>
            </w:r>
          </w:p>
        </w:tc>
        <w:tc>
          <w:tcPr>
            <w:tcW w:w="420" w:type="dxa"/>
            <w:vAlign w:val="bottom"/>
          </w:tcPr>
          <w:p>
            <w:pPr>
              <w:ind w:left="280"/>
              <w:spacing w:after="0"/>
              <w:rPr>
                <w:sz w:val="20"/>
                <w:szCs w:val="20"/>
                <w:color w:val="auto"/>
              </w:rPr>
            </w:pPr>
            <w:r>
              <w:rPr>
                <w:rFonts w:ascii="Arial" w:cs="Arial" w:eastAsia="Arial" w:hAnsi="Arial"/>
                <w:sz w:val="16"/>
                <w:szCs w:val="16"/>
                <w:color w:val="auto"/>
              </w:rPr>
              <w:t>​ ​</w:t>
            </w:r>
          </w:p>
        </w:tc>
        <w:tc>
          <w:tcPr>
            <w:tcW w:w="2360" w:type="dxa"/>
            <w:vAlign w:val="bottom"/>
          </w:tcPr>
          <w:p>
            <w:pPr>
              <w:ind w:left="20"/>
              <w:spacing w:after="0"/>
              <w:rPr>
                <w:sz w:val="20"/>
                <w:szCs w:val="20"/>
                <w:color w:val="auto"/>
              </w:rPr>
            </w:pPr>
            <w:r>
              <w:rPr>
                <w:rFonts w:ascii="Arial" w:cs="Arial" w:eastAsia="Arial" w:hAnsi="Arial"/>
                <w:sz w:val="16"/>
                <w:szCs w:val="16"/>
                <w:color w:val="auto"/>
              </w:rPr>
              <w:t>Experience Over Several</w:t>
            </w:r>
          </w:p>
        </w:tc>
        <w:tc>
          <w:tcPr>
            <w:tcW w:w="120" w:type="dxa"/>
            <w:vAlign w:val="bottom"/>
          </w:tcPr>
          <w:p>
            <w:pPr>
              <w:ind w:lef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60" w:type="dxa"/>
            <w:vAlign w:val="bottom"/>
          </w:tcPr>
          <w:p>
            <w:pPr>
              <w:ind w:left="20"/>
              <w:spacing w:after="0"/>
              <w:rPr>
                <w:sz w:val="20"/>
                <w:szCs w:val="20"/>
                <w:color w:val="auto"/>
              </w:rPr>
            </w:pPr>
            <w:r>
              <w:rPr>
                <w:rFonts w:ascii="Arial" w:cs="Arial" w:eastAsia="Arial" w:hAnsi="Arial"/>
                <w:sz w:val="16"/>
                <w:szCs w:val="16"/>
                <w:color w:val="auto"/>
              </w:rPr>
              <w:t>Business Cycles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9"/>
        </w:trPr>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ind w:left="180"/>
              <w:spacing w:after="0"/>
              <w:rPr>
                <w:sz w:val="20"/>
                <w:szCs w:val="20"/>
                <w:color w:val="auto"/>
              </w:rPr>
            </w:pPr>
            <w:r>
              <w:rPr>
                <w:rFonts w:ascii="Arial" w:cs="Arial" w:eastAsia="Arial" w:hAnsi="Arial"/>
                <w:sz w:val="16"/>
                <w:szCs w:val="16"/>
                <w:color w:val="auto"/>
              </w:rPr>
              <w:t>​</w:t>
            </w:r>
          </w:p>
        </w:tc>
        <w:tc>
          <w:tcPr>
            <w:tcW w:w="2540" w:type="dxa"/>
            <w:vAlign w:val="bottom"/>
          </w:tcPr>
          <w:p>
            <w:pPr>
              <w:ind w:left="260"/>
              <w:spacing w:after="0"/>
              <w:rPr>
                <w:sz w:val="20"/>
                <w:szCs w:val="20"/>
                <w:color w:val="auto"/>
              </w:rPr>
            </w:pPr>
            <w:r>
              <w:rPr>
                <w:rFonts w:ascii="Arial" w:cs="Arial" w:eastAsia="Arial" w:hAnsi="Arial"/>
                <w:sz w:val="16"/>
                <w:szCs w:val="16"/>
                <w:color w:val="auto"/>
              </w:rPr>
              <w:t>​ ​ Talent Management</w:t>
            </w:r>
          </w:p>
        </w:tc>
        <w:tc>
          <w:tcPr>
            <w:tcW w:w="800" w:type="dxa"/>
            <w:vAlign w:val="bottom"/>
          </w:tcPr>
          <w:p>
            <w:pPr>
              <w:ind w:left="280"/>
              <w:spacing w:after="0"/>
              <w:rPr>
                <w:sz w:val="20"/>
                <w:szCs w:val="20"/>
                <w:color w:val="auto"/>
              </w:rPr>
            </w:pPr>
            <w:r>
              <w:rPr>
                <w:rFonts w:ascii="Arial" w:cs="Arial" w:eastAsia="Arial" w:hAnsi="Arial"/>
                <w:sz w:val="16"/>
                <w:szCs w:val="16"/>
                <w:color w:val="auto"/>
              </w:rPr>
              <w:t>​ ​</w:t>
            </w:r>
          </w:p>
        </w:tc>
        <w:tc>
          <w:tcPr>
            <w:tcW w:w="2780" w:type="dxa"/>
            <w:vAlign w:val="bottom"/>
            <w:gridSpan w:val="2"/>
          </w:tcPr>
          <w:p>
            <w:pPr>
              <w:ind w:left="280"/>
              <w:spacing w:after="0"/>
              <w:rPr>
                <w:sz w:val="20"/>
                <w:szCs w:val="20"/>
                <w:color w:val="auto"/>
              </w:rPr>
            </w:pPr>
            <w:r>
              <w:rPr>
                <w:rFonts w:ascii="Arial" w:cs="Arial" w:eastAsia="Arial" w:hAnsi="Arial"/>
                <w:sz w:val="16"/>
                <w:szCs w:val="16"/>
                <w:color w:val="auto"/>
              </w:rPr>
              <w:t>​ ​ Accounting</w:t>
            </w:r>
          </w:p>
        </w:tc>
        <w:tc>
          <w:tcPr>
            <w:tcW w:w="120" w:type="dxa"/>
            <w:vAlign w:val="bottom"/>
          </w:tcPr>
          <w:p>
            <w:pPr>
              <w:ind w:lef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48"/>
        </w:trPr>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ind w:left="180"/>
              <w:spacing w:after="0"/>
              <w:rPr>
                <w:sz w:val="20"/>
                <w:szCs w:val="20"/>
                <w:color w:val="auto"/>
              </w:rPr>
            </w:pPr>
            <w:r>
              <w:rPr>
                <w:rFonts w:ascii="Arial" w:cs="Arial" w:eastAsia="Arial" w:hAnsi="Arial"/>
                <w:sz w:val="16"/>
                <w:szCs w:val="16"/>
                <w:color w:val="auto"/>
              </w:rPr>
              <w:t>​</w:t>
            </w:r>
          </w:p>
        </w:tc>
        <w:tc>
          <w:tcPr>
            <w:tcW w:w="2540" w:type="dxa"/>
            <w:vAlign w:val="bottom"/>
          </w:tcPr>
          <w:p>
            <w:pPr>
              <w:ind w:left="260"/>
              <w:spacing w:after="0"/>
              <w:rPr>
                <w:sz w:val="20"/>
                <w:szCs w:val="20"/>
                <w:color w:val="auto"/>
              </w:rPr>
            </w:pPr>
            <w:r>
              <w:rPr>
                <w:rFonts w:ascii="Arial" w:cs="Arial" w:eastAsia="Arial" w:hAnsi="Arial"/>
                <w:sz w:val="16"/>
                <w:szCs w:val="16"/>
                <w:color w:val="auto"/>
              </w:rPr>
              <w:t>​ ​ Technology/Cybersecurity</w:t>
            </w:r>
          </w:p>
        </w:tc>
        <w:tc>
          <w:tcPr>
            <w:tcW w:w="800" w:type="dxa"/>
            <w:vAlign w:val="bottom"/>
          </w:tcPr>
          <w:p>
            <w:pPr>
              <w:ind w:left="280"/>
              <w:spacing w:after="0"/>
              <w:rPr>
                <w:sz w:val="20"/>
                <w:szCs w:val="20"/>
                <w:color w:val="auto"/>
              </w:rPr>
            </w:pPr>
            <w:r>
              <w:rPr>
                <w:rFonts w:ascii="Arial" w:cs="Arial" w:eastAsia="Arial" w:hAnsi="Arial"/>
                <w:sz w:val="16"/>
                <w:szCs w:val="16"/>
                <w:color w:val="auto"/>
              </w:rPr>
              <w:t>​ ​ ​</w:t>
            </w:r>
          </w:p>
        </w:tc>
        <w:tc>
          <w:tcPr>
            <w:tcW w:w="2780" w:type="dxa"/>
            <w:vAlign w:val="bottom"/>
            <w:gridSpan w:val="2"/>
          </w:tcPr>
          <w:p>
            <w:pPr>
              <w:ind w:left="280"/>
              <w:spacing w:after="0"/>
              <w:rPr>
                <w:sz w:val="20"/>
                <w:szCs w:val="20"/>
                <w:color w:val="auto"/>
              </w:rPr>
            </w:pPr>
            <w:r>
              <w:rPr>
                <w:rFonts w:ascii="Arial" w:cs="Arial" w:eastAsia="Arial" w:hAnsi="Arial"/>
                <w:sz w:val="16"/>
                <w:szCs w:val="16"/>
                <w:color w:val="auto"/>
              </w:rPr>
              <w:t>​ ​ ​</w:t>
            </w:r>
          </w:p>
        </w:tc>
        <w:tc>
          <w:tcPr>
            <w:tcW w:w="120" w:type="dxa"/>
            <w:vAlign w:val="bottom"/>
          </w:tcPr>
          <w:p>
            <w:pPr>
              <w:ind w:lef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1882775</wp:posOffset>
            </wp:positionV>
            <wp:extent cx="68319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-1978025</wp:posOffset>
            </wp:positionV>
            <wp:extent cx="334010" cy="3511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4010" cy="351155"/>
                    </a:xfrm>
                    <a:prstGeom prst="rect">
                      <a:avLst/>
                    </a:prstGeom>
                    <a:noFill/>
                  </pic:spPr>
                </pic:pic>
              </a:graphicData>
            </a:graphic>
          </wp:anchor>
        </w:drawing>
        <w:drawing>
          <wp:anchor simplePos="0" relativeHeight="251657728" behindDoc="1" locked="0" layoutInCell="0" allowOverlap="1">
            <wp:simplePos x="0" y="0"/>
            <wp:positionH relativeFrom="column">
              <wp:posOffset>4246245</wp:posOffset>
            </wp:positionH>
            <wp:positionV relativeFrom="paragraph">
              <wp:posOffset>-1943735</wp:posOffset>
            </wp:positionV>
            <wp:extent cx="334010" cy="3340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4010" cy="334010"/>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-1524000</wp:posOffset>
            </wp:positionV>
            <wp:extent cx="317500" cy="3683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17500" cy="368300"/>
                    </a:xfrm>
                    <a:prstGeom prst="rect">
                      <a:avLst/>
                    </a:prstGeom>
                    <a:noFill/>
                  </pic:spPr>
                </pic:pic>
              </a:graphicData>
            </a:graphic>
          </wp:anchor>
        </w:drawing>
        <w:drawing>
          <wp:anchor simplePos="0" relativeHeight="251657728" behindDoc="1" locked="0" layoutInCell="0" allowOverlap="1">
            <wp:simplePos x="0" y="0"/>
            <wp:positionH relativeFrom="column">
              <wp:posOffset>4246245</wp:posOffset>
            </wp:positionH>
            <wp:positionV relativeFrom="paragraph">
              <wp:posOffset>-1532255</wp:posOffset>
            </wp:positionV>
            <wp:extent cx="377190" cy="3771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77190" cy="377190"/>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-1035050</wp:posOffset>
            </wp:positionV>
            <wp:extent cx="300355" cy="2743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00355" cy="274320"/>
                    </a:xfrm>
                    <a:prstGeom prst="rect">
                      <a:avLst/>
                    </a:prstGeom>
                    <a:noFill/>
                  </pic:spPr>
                </pic:pic>
              </a:graphicData>
            </a:graphic>
          </wp:anchor>
        </w:drawing>
        <w:drawing>
          <wp:anchor simplePos="0" relativeHeight="251657728" behindDoc="1" locked="0" layoutInCell="0" allowOverlap="1">
            <wp:simplePos x="0" y="0"/>
            <wp:positionH relativeFrom="column">
              <wp:posOffset>4246245</wp:posOffset>
            </wp:positionH>
            <wp:positionV relativeFrom="paragraph">
              <wp:posOffset>-1061085</wp:posOffset>
            </wp:positionV>
            <wp:extent cx="316865" cy="3340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16865" cy="334010"/>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-632460</wp:posOffset>
            </wp:positionV>
            <wp:extent cx="317500" cy="3168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17500" cy="316865"/>
                    </a:xfrm>
                    <a:prstGeom prst="rect">
                      <a:avLst/>
                    </a:prstGeom>
                    <a:noFill/>
                  </pic:spPr>
                </pic:pic>
              </a:graphicData>
            </a:graphic>
          </wp:anchor>
        </w:drawing>
        <w:drawing>
          <wp:anchor simplePos="0" relativeHeight="251657728" behindDoc="1" locked="0" layoutInCell="0" allowOverlap="1">
            <wp:simplePos x="0" y="0"/>
            <wp:positionH relativeFrom="column">
              <wp:posOffset>4246245</wp:posOffset>
            </wp:positionH>
            <wp:positionV relativeFrom="paragraph">
              <wp:posOffset>-640715</wp:posOffset>
            </wp:positionV>
            <wp:extent cx="316865" cy="3346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16865" cy="334645"/>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-194945</wp:posOffset>
            </wp:positionV>
            <wp:extent cx="334010" cy="2654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4010" cy="265430"/>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p>
      <w:pPr>
        <w:ind w:left="820"/>
        <w:spacing w:after="0"/>
        <w:tabs>
          <w:tab w:leader="none" w:pos="1440" w:val="left"/>
          <w:tab w:leader="none" w:pos="9860" w:val="left"/>
        </w:tabs>
        <w:rPr>
          <w:sz w:val="20"/>
          <w:szCs w:val="20"/>
          <w:color w:val="auto"/>
        </w:rPr>
      </w:pPr>
      <w:r>
        <w:rPr>
          <w:rFonts w:ascii="Arial" w:cs="Arial" w:eastAsia="Arial" w:hAnsi="Arial"/>
          <w:sz w:val="22"/>
          <w:szCs w:val="22"/>
          <w:b w:val="1"/>
          <w:bCs w:val="1"/>
          <w:color w:val="1F2668"/>
        </w:rPr>
        <w:t>​16</w:t>
      </w:r>
      <w:r>
        <w:rPr>
          <w:sz w:val="20"/>
          <w:szCs w:val="20"/>
          <w:color w:val="auto"/>
        </w:rPr>
        <w:tab/>
      </w:r>
      <w:r>
        <w:rPr>
          <w:rFonts w:ascii="Arial" w:cs="Arial" w:eastAsia="Arial" w:hAnsi="Arial"/>
          <w:sz w:val="22"/>
          <w:szCs w:val="22"/>
          <w:b w:val="1"/>
          <w:bCs w:val="1"/>
          <w:color w:val="1F2668"/>
        </w:rPr>
        <w:t xml:space="preserve">​ ​ </w:t>
      </w:r>
      <w:r>
        <w:rPr>
          <w:rFonts w:ascii="Arial" w:cs="Arial" w:eastAsia="Arial" w:hAnsi="Arial"/>
          <w:sz w:val="14"/>
          <w:szCs w:val="14"/>
          <w:b w:val="1"/>
          <w:bCs w:val="1"/>
          <w:color w:val="1F2668"/>
        </w:rPr>
        <w:t>SL GREEN REALTY CORP. 2025 PROXY STATEMENT</w:t>
      </w:r>
      <w:r>
        <w:rPr>
          <w:sz w:val="20"/>
          <w:szCs w:val="20"/>
          <w:color w:val="auto"/>
        </w:rPr>
        <w:tab/>
      </w:r>
      <w:r>
        <w:rPr>
          <w:rFonts w:ascii="Arial" w:cs="Arial" w:eastAsia="Arial" w:hAnsi="Arial"/>
          <w:sz w:val="22"/>
          <w:szCs w:val="22"/>
          <w:b w:val="1"/>
          <w:bCs w:val="1"/>
          <w:color w:val="1F2668"/>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1888490</wp:posOffset>
            </wp:positionH>
            <wp:positionV relativeFrom="paragraph">
              <wp:posOffset>594995</wp:posOffset>
            </wp:positionV>
            <wp:extent cx="34290" cy="37973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290" cy="3797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960" w:type="dxa"/>
        <w:tblCellMar>
          <w:top w:w="0" w:type="dxa"/>
          <w:left w:w="0" w:type="dxa"/>
          <w:bottom w:w="0" w:type="dxa"/>
          <w:right w:w="0" w:type="dxa"/>
        </w:tblCellMar>
      </w:tblPr>
      <w:tr>
        <w:trPr>
          <w:trHeight w:val="297"/>
        </w:trPr>
        <w:tc>
          <w:tcPr>
            <w:tcW w:w="60" w:type="dxa"/>
            <w:vAlign w:val="bottom"/>
            <w:tcBorders>
              <w:top w:val="single" w:sz="8" w:color="83AD40"/>
            </w:tcBorders>
            <w:shd w:val="clear" w:color="auto" w:fill="83AD40"/>
          </w:tcPr>
          <w:p>
            <w:pPr>
              <w:spacing w:after="0"/>
              <w:rPr>
                <w:sz w:val="24"/>
                <w:szCs w:val="24"/>
                <w:color w:val="auto"/>
              </w:rPr>
            </w:pPr>
          </w:p>
        </w:tc>
        <w:tc>
          <w:tcPr>
            <w:tcW w:w="1540" w:type="dxa"/>
            <w:vAlign w:val="bottom"/>
            <w:tcBorders>
              <w:top w:val="single" w:sz="8" w:color="83AD40"/>
            </w:tcBorders>
          </w:tcPr>
          <w:p>
            <w:pPr>
              <w:spacing w:after="0"/>
              <w:rPr>
                <w:sz w:val="20"/>
                <w:szCs w:val="20"/>
                <w:color w:val="auto"/>
              </w:rPr>
            </w:pPr>
            <w:r>
              <w:rPr>
                <w:rFonts w:ascii="Arial" w:cs="Arial" w:eastAsia="Arial" w:hAnsi="Arial"/>
                <w:sz w:val="22"/>
                <w:szCs w:val="22"/>
                <w:color w:val="auto"/>
              </w:rPr>
              <w:t>​</w:t>
            </w:r>
          </w:p>
        </w:tc>
        <w:tc>
          <w:tcPr>
            <w:tcW w:w="480" w:type="dxa"/>
            <w:vAlign w:val="bottom"/>
            <w:tcBorders>
              <w:top w:val="single" w:sz="8" w:color="83AD40"/>
            </w:tcBorders>
          </w:tcPr>
          <w:p>
            <w:pPr>
              <w:ind w:left="420"/>
              <w:spacing w:after="0"/>
              <w:rPr>
                <w:sz w:val="20"/>
                <w:szCs w:val="20"/>
                <w:color w:val="auto"/>
              </w:rPr>
            </w:pPr>
            <w:r>
              <w:rPr>
                <w:rFonts w:ascii="Arial" w:cs="Arial" w:eastAsia="Arial" w:hAnsi="Arial"/>
                <w:sz w:val="22"/>
                <w:szCs w:val="22"/>
                <w:color w:val="auto"/>
              </w:rPr>
              <w:t>​</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line="148" w:lineRule="exact"/>
              <w:rPr>
                <w:sz w:val="20"/>
                <w:szCs w:val="20"/>
                <w:color w:val="auto"/>
              </w:rPr>
            </w:pPr>
            <w:r>
              <w:rPr>
                <w:rFonts w:ascii="Arial" w:cs="Arial" w:eastAsia="Arial" w:hAnsi="Arial"/>
                <w:sz w:val="16"/>
                <w:szCs w:val="16"/>
                <w:b w:val="1"/>
                <w:bCs w:val="1"/>
                <w:color w:val="FFFFFF"/>
              </w:rPr>
              <w:t>​</w:t>
            </w:r>
          </w:p>
        </w:tc>
        <w:tc>
          <w:tcPr>
            <w:tcW w:w="1540" w:type="dxa"/>
            <w:vAlign w:val="bottom"/>
          </w:tcPr>
          <w:p>
            <w:pPr>
              <w:spacing w:after="0"/>
              <w:rPr>
                <w:sz w:val="12"/>
                <w:szCs w:val="12"/>
                <w:color w:val="auto"/>
              </w:rPr>
            </w:pPr>
          </w:p>
        </w:tc>
        <w:tc>
          <w:tcPr>
            <w:tcW w:w="7300" w:type="dxa"/>
            <w:vAlign w:val="bottom"/>
            <w:gridSpan w:val="2"/>
          </w:tcPr>
          <w:p>
            <w:pPr>
              <w:ind w:left="340"/>
              <w:spacing w:after="0" w:line="148" w:lineRule="exact"/>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02"/>
        </w:trPr>
        <w:tc>
          <w:tcPr>
            <w:tcW w:w="1600" w:type="dxa"/>
            <w:vAlign w:val="bottom"/>
            <w:gridSpan w:val="2"/>
            <w:vMerge w:val="restart"/>
          </w:tcPr>
          <w:p>
            <w:pPr>
              <w:spacing w:after="0"/>
              <w:rPr>
                <w:sz w:val="20"/>
                <w:szCs w:val="20"/>
                <w:color w:val="auto"/>
              </w:rPr>
            </w:pPr>
            <w:r>
              <w:rPr>
                <w:rFonts w:ascii="Arial" w:cs="Arial" w:eastAsia="Arial" w:hAnsi="Arial"/>
                <w:sz w:val="22"/>
                <w:szCs w:val="22"/>
                <w:b w:val="1"/>
                <w:bCs w:val="1"/>
                <w:color w:val="FFFFFF"/>
              </w:rPr>
              <w:t>STEPHEN L.</w:t>
            </w:r>
          </w:p>
        </w:tc>
        <w:tc>
          <w:tcPr>
            <w:tcW w:w="480" w:type="dxa"/>
            <w:vAlign w:val="bottom"/>
          </w:tcPr>
          <w:p>
            <w:pPr>
              <w:spacing w:after="0"/>
              <w:rPr>
                <w:sz w:val="17"/>
                <w:szCs w:val="17"/>
                <w:color w:val="auto"/>
              </w:rPr>
            </w:pPr>
          </w:p>
        </w:tc>
        <w:tc>
          <w:tcPr>
            <w:tcW w:w="6820" w:type="dxa"/>
            <w:vAlign w:val="bottom"/>
          </w:tcPr>
          <w:p>
            <w:pPr>
              <w:ind w:left="360"/>
              <w:spacing w:after="0"/>
              <w:rPr>
                <w:sz w:val="20"/>
                <w:szCs w:val="20"/>
                <w:color w:val="auto"/>
              </w:rPr>
            </w:pPr>
            <w:r>
              <w:rPr>
                <w:rFonts w:ascii="Arial" w:cs="Arial" w:eastAsia="Arial" w:hAnsi="Arial"/>
                <w:sz w:val="16"/>
                <w:szCs w:val="16"/>
                <w:color w:val="auto"/>
                <w:w w:val="98"/>
              </w:rPr>
              <w:t>In addition to his industry-wide reputation, Mr. Green’s extensive skills and experience in real</w:t>
            </w:r>
          </w:p>
        </w:tc>
        <w:tc>
          <w:tcPr>
            <w:tcW w:w="0" w:type="dxa"/>
            <w:vAlign w:val="bottom"/>
          </w:tcPr>
          <w:p>
            <w:pPr>
              <w:spacing w:after="0"/>
              <w:rPr>
                <w:sz w:val="1"/>
                <w:szCs w:val="1"/>
                <w:color w:val="auto"/>
              </w:rPr>
            </w:pPr>
          </w:p>
        </w:tc>
      </w:tr>
      <w:tr>
        <w:trPr>
          <w:trHeight w:val="163"/>
        </w:trPr>
        <w:tc>
          <w:tcPr>
            <w:tcW w:w="160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6820" w:type="dxa"/>
            <w:vAlign w:val="bottom"/>
          </w:tcPr>
          <w:p>
            <w:pPr>
              <w:ind w:left="360"/>
              <w:spacing w:after="0" w:line="163" w:lineRule="exact"/>
              <w:rPr>
                <w:sz w:val="20"/>
                <w:szCs w:val="20"/>
                <w:color w:val="auto"/>
              </w:rPr>
            </w:pPr>
            <w:r>
              <w:rPr>
                <w:rFonts w:ascii="Arial" w:cs="Arial" w:eastAsia="Arial" w:hAnsi="Arial"/>
                <w:sz w:val="16"/>
                <w:szCs w:val="16"/>
                <w:color w:val="auto"/>
              </w:rPr>
              <w:t>estate, including founding our predecessor company, provide the Board with invaluable</w:t>
            </w:r>
          </w:p>
        </w:tc>
        <w:tc>
          <w:tcPr>
            <w:tcW w:w="0" w:type="dxa"/>
            <w:vAlign w:val="bottom"/>
          </w:tcPr>
          <w:p>
            <w:pPr>
              <w:spacing w:after="0"/>
              <w:rPr>
                <w:sz w:val="1"/>
                <w:szCs w:val="1"/>
                <w:color w:val="auto"/>
              </w:rPr>
            </w:pPr>
          </w:p>
        </w:tc>
      </w:tr>
      <w:tr>
        <w:trPr>
          <w:trHeight w:val="256"/>
        </w:trPr>
        <w:tc>
          <w:tcPr>
            <w:tcW w:w="1600" w:type="dxa"/>
            <w:vAlign w:val="bottom"/>
            <w:gridSpan w:val="2"/>
          </w:tcPr>
          <w:p>
            <w:pPr>
              <w:spacing w:after="0"/>
              <w:rPr>
                <w:sz w:val="20"/>
                <w:szCs w:val="20"/>
                <w:color w:val="auto"/>
              </w:rPr>
            </w:pPr>
            <w:r>
              <w:rPr>
                <w:rFonts w:ascii="Arial" w:cs="Arial" w:eastAsia="Arial" w:hAnsi="Arial"/>
                <w:sz w:val="22"/>
                <w:szCs w:val="22"/>
                <w:b w:val="1"/>
                <w:bCs w:val="1"/>
                <w:color w:val="FFFFFF"/>
              </w:rPr>
              <w:t>GREEN</w:t>
            </w:r>
          </w:p>
        </w:tc>
        <w:tc>
          <w:tcPr>
            <w:tcW w:w="480" w:type="dxa"/>
            <w:vAlign w:val="bottom"/>
          </w:tcPr>
          <w:p>
            <w:pPr>
              <w:spacing w:after="0"/>
              <w:rPr>
                <w:sz w:val="22"/>
                <w:szCs w:val="22"/>
                <w:color w:val="auto"/>
              </w:rPr>
            </w:pPr>
          </w:p>
        </w:tc>
        <w:tc>
          <w:tcPr>
            <w:tcW w:w="6820" w:type="dxa"/>
            <w:vAlign w:val="bottom"/>
          </w:tcPr>
          <w:p>
            <w:pPr>
              <w:ind w:left="360"/>
              <w:spacing w:after="0"/>
              <w:rPr>
                <w:sz w:val="20"/>
                <w:szCs w:val="20"/>
                <w:color w:val="auto"/>
              </w:rPr>
            </w:pPr>
            <w:r>
              <w:rPr>
                <w:rFonts w:ascii="Arial" w:cs="Arial" w:eastAsia="Arial" w:hAnsi="Arial"/>
                <w:sz w:val="16"/>
                <w:szCs w:val="16"/>
                <w:color w:val="auto"/>
              </w:rPr>
              <w:t>knowledge of and expertise in our business and industry. This experience, particularly his</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20" w:type="dxa"/>
            <w:vAlign w:val="bottom"/>
          </w:tcPr>
          <w:p>
            <w:pPr>
              <w:ind w:left="360"/>
              <w:spacing w:after="0"/>
              <w:rPr>
                <w:sz w:val="20"/>
                <w:szCs w:val="20"/>
                <w:color w:val="auto"/>
              </w:rPr>
            </w:pPr>
            <w:r>
              <w:rPr>
                <w:rFonts w:ascii="Arial" w:cs="Arial" w:eastAsia="Arial" w:hAnsi="Arial"/>
                <w:sz w:val="16"/>
                <w:szCs w:val="16"/>
                <w:color w:val="auto"/>
              </w:rPr>
              <w:t>experience having led our predecessor and the Company, contributes depth and context to</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20" w:type="dxa"/>
            <w:vAlign w:val="bottom"/>
          </w:tcPr>
          <w:p>
            <w:pPr>
              <w:ind w:left="360"/>
              <w:spacing w:after="0"/>
              <w:rPr>
                <w:sz w:val="20"/>
                <w:szCs w:val="20"/>
                <w:color w:val="auto"/>
              </w:rPr>
            </w:pPr>
            <w:r>
              <w:rPr>
                <w:rFonts w:ascii="Arial" w:cs="Arial" w:eastAsia="Arial" w:hAnsi="Arial"/>
                <w:sz w:val="16"/>
                <w:szCs w:val="16"/>
                <w:color w:val="auto"/>
              </w:rPr>
              <w:t>the Board’s discussions of the Company’s business.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-752475</wp:posOffset>
            </wp:positionV>
            <wp:extent cx="5760720" cy="34201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760720" cy="342011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-752475</wp:posOffset>
            </wp:positionV>
            <wp:extent cx="5760720" cy="34201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760720" cy="3420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400"/>
        <w:spacing w:after="0"/>
        <w:rPr>
          <w:sz w:val="20"/>
          <w:szCs w:val="20"/>
          <w:color w:val="auto"/>
        </w:rPr>
      </w:pPr>
      <w:r>
        <w:rPr>
          <w:rFonts w:ascii="Arial" w:cs="Arial" w:eastAsia="Arial" w:hAnsi="Arial"/>
          <w:sz w:val="20"/>
          <w:szCs w:val="20"/>
          <w:b w:val="1"/>
          <w:bCs w:val="1"/>
          <w:color w:val="1F2668"/>
        </w:rPr>
        <w:t>Professional Experience</w:t>
      </w:r>
    </w:p>
    <w:p>
      <w:pPr>
        <w:spacing w:after="0" w:line="104" w:lineRule="exact"/>
        <w:rPr>
          <w:sz w:val="20"/>
          <w:szCs w:val="20"/>
          <w:color w:val="auto"/>
        </w:rPr>
      </w:pPr>
    </w:p>
    <w:tbl>
      <w:tblPr>
        <w:tblLayout w:type="fixed"/>
        <w:tblInd w:w="960" w:type="dxa"/>
        <w:tblCellMar>
          <w:top w:w="0" w:type="dxa"/>
          <w:left w:w="0" w:type="dxa"/>
          <w:bottom w:w="0" w:type="dxa"/>
          <w:right w:w="0" w:type="dxa"/>
        </w:tblCellMar>
      </w:tblPr>
      <w:tr>
        <w:trPr>
          <w:trHeight w:val="215"/>
        </w:trPr>
        <w:tc>
          <w:tcPr>
            <w:tcW w:w="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760" w:type="dxa"/>
            <w:vAlign w:val="bottom"/>
            <w:gridSpan w:val="6"/>
          </w:tcPr>
          <w:p>
            <w:pPr>
              <w:ind w:left="380"/>
              <w:spacing w:after="0"/>
              <w:rPr>
                <w:sz w:val="20"/>
                <w:szCs w:val="20"/>
                <w:color w:val="auto"/>
              </w:rPr>
            </w:pPr>
            <w:r>
              <w:rPr>
                <w:rFonts w:ascii="Arial" w:cs="Arial" w:eastAsia="Arial" w:hAnsi="Arial"/>
                <w:sz w:val="16"/>
                <w:szCs w:val="16"/>
                <w:color w:val="auto"/>
              </w:rPr>
              <w:t>•  Chairman Emeritus at the Company since January 2019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760" w:type="dxa"/>
            <w:vAlign w:val="bottom"/>
            <w:gridSpan w:val="6"/>
          </w:tcPr>
          <w:p>
            <w:pPr>
              <w:ind w:left="380"/>
              <w:spacing w:after="0"/>
              <w:rPr>
                <w:sz w:val="20"/>
                <w:szCs w:val="20"/>
                <w:color w:val="auto"/>
              </w:rPr>
            </w:pPr>
            <w:r>
              <w:rPr>
                <w:rFonts w:ascii="Arial" w:cs="Arial" w:eastAsia="Arial" w:hAnsi="Arial"/>
                <w:sz w:val="16"/>
                <w:szCs w:val="16"/>
                <w:color w:val="auto"/>
              </w:rPr>
              <w:t>•  Chairman of the Board of the Company from 1997 through January 2019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760" w:type="dxa"/>
            <w:vAlign w:val="bottom"/>
            <w:gridSpan w:val="6"/>
          </w:tcPr>
          <w:p>
            <w:pPr>
              <w:ind w:left="380"/>
              <w:spacing w:after="0"/>
              <w:rPr>
                <w:sz w:val="20"/>
                <w:szCs w:val="20"/>
                <w:color w:val="auto"/>
              </w:rPr>
            </w:pPr>
            <w:r>
              <w:rPr>
                <w:rFonts w:ascii="Arial" w:cs="Arial" w:eastAsia="Arial" w:hAnsi="Arial"/>
                <w:sz w:val="16"/>
                <w:szCs w:val="16"/>
                <w:color w:val="auto"/>
              </w:rPr>
              <w:t>•  Former executive officer working in conjunction with our Chief Executive Officer and</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80" w:type="dxa"/>
            <w:vAlign w:val="bottom"/>
            <w:gridSpan w:val="4"/>
          </w:tcPr>
          <w:p>
            <w:pPr>
              <w:ind w:left="80"/>
              <w:spacing w:after="0"/>
              <w:rPr>
                <w:sz w:val="20"/>
                <w:szCs w:val="20"/>
                <w:color w:val="auto"/>
              </w:rPr>
            </w:pPr>
            <w:r>
              <w:rPr>
                <w:rFonts w:ascii="Arial" w:cs="Arial" w:eastAsia="Arial" w:hAnsi="Arial"/>
                <w:sz w:val="16"/>
                <w:szCs w:val="16"/>
                <w:color w:val="auto"/>
              </w:rPr>
              <w:t>overseeing the Company’s long-term strategic direction; formerly served as our Chief</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gridSpan w:val="2"/>
          </w:tcPr>
          <w:p>
            <w:pPr>
              <w:ind w:left="80"/>
              <w:spacing w:after="0"/>
              <w:rPr>
                <w:sz w:val="20"/>
                <w:szCs w:val="20"/>
                <w:color w:val="auto"/>
              </w:rPr>
            </w:pPr>
            <w:r>
              <w:rPr>
                <w:rFonts w:ascii="Arial" w:cs="Arial" w:eastAsia="Arial" w:hAnsi="Arial"/>
                <w:sz w:val="16"/>
                <w:szCs w:val="16"/>
                <w:color w:val="auto"/>
              </w:rPr>
              <w:t>Executive Officer</w:t>
            </w:r>
          </w:p>
        </w:tc>
        <w:tc>
          <w:tcPr>
            <w:tcW w:w="4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880" w:type="dxa"/>
            <w:vAlign w:val="bottom"/>
            <w:gridSpan w:val="2"/>
          </w:tcPr>
          <w:p>
            <w:pPr>
              <w:spacing w:after="0"/>
              <w:rPr>
                <w:sz w:val="20"/>
                <w:szCs w:val="20"/>
                <w:color w:val="auto"/>
              </w:rPr>
            </w:pPr>
            <w:r>
              <w:rPr>
                <w:rFonts w:ascii="Arial" w:cs="Arial" w:eastAsia="Arial" w:hAnsi="Arial"/>
                <w:sz w:val="16"/>
                <w:szCs w:val="16"/>
                <w:b w:val="1"/>
                <w:bCs w:val="1"/>
                <w:color w:val="FFFFFF"/>
              </w:rPr>
              <w:t>Director</w:t>
            </w:r>
          </w:p>
        </w:tc>
        <w:tc>
          <w:tcPr>
            <w:tcW w:w="180" w:type="dxa"/>
            <w:vAlign w:val="bottom"/>
          </w:tcPr>
          <w:p>
            <w:pPr>
              <w:spacing w:after="0"/>
              <w:rPr>
                <w:sz w:val="20"/>
                <w:szCs w:val="20"/>
                <w:color w:val="auto"/>
              </w:rPr>
            </w:pPr>
          </w:p>
        </w:tc>
        <w:tc>
          <w:tcPr>
            <w:tcW w:w="48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6280" w:type="dxa"/>
            <w:vAlign w:val="bottom"/>
            <w:gridSpan w:val="4"/>
          </w:tcPr>
          <w:p>
            <w:pPr>
              <w:ind w:left="80"/>
              <w:spacing w:after="0"/>
              <w:rPr>
                <w:sz w:val="20"/>
                <w:szCs w:val="20"/>
                <w:color w:val="auto"/>
              </w:rPr>
            </w:pPr>
            <w:r>
              <w:rPr>
                <w:rFonts w:ascii="Arial" w:cs="Arial" w:eastAsia="Arial" w:hAnsi="Arial"/>
                <w:sz w:val="16"/>
                <w:szCs w:val="16"/>
                <w:color w:val="auto"/>
              </w:rPr>
              <w:t>Founded our predecessor, S.L. Green Properties, Inc., in 1980; prior to our initial public</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1880" w:type="dxa"/>
            <w:vAlign w:val="bottom"/>
            <w:gridSpan w:val="2"/>
            <w:vMerge w:val="restart"/>
          </w:tcPr>
          <w:p>
            <w:pPr>
              <w:spacing w:after="0"/>
              <w:rPr>
                <w:sz w:val="20"/>
                <w:szCs w:val="20"/>
                <w:color w:val="auto"/>
              </w:rPr>
            </w:pPr>
            <w:r>
              <w:rPr>
                <w:rFonts w:ascii="Arial" w:cs="Arial" w:eastAsia="Arial" w:hAnsi="Arial"/>
                <w:sz w:val="16"/>
                <w:szCs w:val="16"/>
                <w:color w:val="FFFFFF"/>
              </w:rPr>
              <w:t xml:space="preserve">Director Since: </w:t>
            </w:r>
            <w:r>
              <w:rPr>
                <w:rFonts w:ascii="Arial" w:cs="Arial" w:eastAsia="Arial" w:hAnsi="Arial"/>
                <w:sz w:val="16"/>
                <w:szCs w:val="16"/>
                <w:b w:val="1"/>
                <w:bCs w:val="1"/>
                <w:color w:val="FFFFFF"/>
              </w:rPr>
              <w:t>1997</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80" w:type="dxa"/>
            <w:vAlign w:val="bottom"/>
            <w:gridSpan w:val="4"/>
          </w:tcPr>
          <w:p>
            <w:pPr>
              <w:ind w:left="80"/>
              <w:spacing w:after="0"/>
              <w:rPr>
                <w:sz w:val="20"/>
                <w:szCs w:val="20"/>
                <w:color w:val="auto"/>
              </w:rPr>
            </w:pPr>
            <w:r>
              <w:rPr>
                <w:rFonts w:ascii="Arial" w:cs="Arial" w:eastAsia="Arial" w:hAnsi="Arial"/>
                <w:sz w:val="16"/>
                <w:szCs w:val="16"/>
                <w:color w:val="auto"/>
              </w:rPr>
              <w:t>offering in 1997, Mr. Green was involved in the acquisition of over 50 Manhattan office</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80" w:type="dxa"/>
            <w:vAlign w:val="bottom"/>
            <w:gridSpan w:val="4"/>
          </w:tcPr>
          <w:p>
            <w:pPr>
              <w:ind w:left="80"/>
              <w:spacing w:after="0"/>
              <w:rPr>
                <w:sz w:val="20"/>
                <w:szCs w:val="20"/>
                <w:color w:val="auto"/>
              </w:rPr>
            </w:pPr>
            <w:r>
              <w:rPr>
                <w:rFonts w:ascii="Arial" w:cs="Arial" w:eastAsia="Arial" w:hAnsi="Arial"/>
                <w:sz w:val="16"/>
                <w:szCs w:val="16"/>
                <w:color w:val="auto"/>
              </w:rPr>
              <w:t>buildings containing in excess of 10.0 million square feet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880" w:type="dxa"/>
            <w:vAlign w:val="bottom"/>
            <w:gridSpan w:val="2"/>
          </w:tcPr>
          <w:p>
            <w:pPr>
              <w:spacing w:after="0"/>
              <w:rPr>
                <w:sz w:val="20"/>
                <w:szCs w:val="20"/>
                <w:color w:val="auto"/>
              </w:rPr>
            </w:pPr>
            <w:r>
              <w:rPr>
                <w:rFonts w:ascii="Arial" w:cs="Arial" w:eastAsia="Arial" w:hAnsi="Arial"/>
                <w:sz w:val="16"/>
                <w:szCs w:val="16"/>
                <w:color w:val="FFFFFF"/>
              </w:rPr>
              <w:t xml:space="preserve">Age: </w:t>
            </w:r>
            <w:r>
              <w:rPr>
                <w:rFonts w:ascii="Arial" w:cs="Arial" w:eastAsia="Arial" w:hAnsi="Arial"/>
                <w:sz w:val="16"/>
                <w:szCs w:val="16"/>
                <w:b w:val="1"/>
                <w:bCs w:val="1"/>
                <w:color w:val="FFFFFF"/>
              </w:rPr>
              <w:t>87</w:t>
            </w:r>
          </w:p>
        </w:tc>
        <w:tc>
          <w:tcPr>
            <w:tcW w:w="180" w:type="dxa"/>
            <w:vAlign w:val="bottom"/>
          </w:tcPr>
          <w:p>
            <w:pPr>
              <w:spacing w:after="0"/>
              <w:rPr>
                <w:sz w:val="21"/>
                <w:szCs w:val="21"/>
                <w:color w:val="auto"/>
              </w:rPr>
            </w:pPr>
          </w:p>
        </w:tc>
        <w:tc>
          <w:tcPr>
            <w:tcW w:w="48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6280" w:type="dxa"/>
            <w:vAlign w:val="bottom"/>
            <w:gridSpan w:val="4"/>
          </w:tcPr>
          <w:p>
            <w:pPr>
              <w:ind w:left="80"/>
              <w:spacing w:after="0"/>
              <w:rPr>
                <w:sz w:val="20"/>
                <w:szCs w:val="20"/>
                <w:color w:val="auto"/>
              </w:rPr>
            </w:pPr>
            <w:r>
              <w:rPr>
                <w:rFonts w:ascii="Arial" w:cs="Arial" w:eastAsia="Arial" w:hAnsi="Arial"/>
                <w:sz w:val="16"/>
                <w:szCs w:val="16"/>
                <w:color w:val="auto"/>
              </w:rPr>
              <w:t>Chairman of the Board of Gramercy Capital Corp. from August 2004 to June 2009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880" w:type="dxa"/>
            <w:vAlign w:val="bottom"/>
            <w:gridSpan w:val="2"/>
            <w:vMerge w:val="restart"/>
          </w:tcPr>
          <w:p>
            <w:pPr>
              <w:spacing w:after="0"/>
              <w:rPr>
                <w:sz w:val="20"/>
                <w:szCs w:val="20"/>
                <w:color w:val="auto"/>
              </w:rPr>
            </w:pPr>
            <w:r>
              <w:rPr>
                <w:rFonts w:ascii="Arial" w:cs="Arial" w:eastAsia="Arial" w:hAnsi="Arial"/>
                <w:sz w:val="16"/>
                <w:szCs w:val="16"/>
                <w:color w:val="FFFFFF"/>
              </w:rPr>
              <w:t>SL Green</w:t>
            </w:r>
          </w:p>
        </w:tc>
        <w:tc>
          <w:tcPr>
            <w:tcW w:w="180" w:type="dxa"/>
            <w:vAlign w:val="bottom"/>
          </w:tcPr>
          <w:p>
            <w:pPr>
              <w:spacing w:after="0"/>
              <w:rPr>
                <w:sz w:val="17"/>
                <w:szCs w:val="17"/>
                <w:color w:val="auto"/>
              </w:rPr>
            </w:pPr>
          </w:p>
        </w:tc>
        <w:tc>
          <w:tcPr>
            <w:tcW w:w="6760" w:type="dxa"/>
            <w:vAlign w:val="bottom"/>
            <w:gridSpan w:val="6"/>
          </w:tcPr>
          <w:p>
            <w:pPr>
              <w:ind w:left="380"/>
              <w:spacing w:after="0"/>
              <w:rPr>
                <w:sz w:val="20"/>
                <w:szCs w:val="20"/>
                <w:color w:val="auto"/>
              </w:rPr>
            </w:pPr>
            <w:r>
              <w:rPr>
                <w:rFonts w:ascii="Arial" w:cs="Arial" w:eastAsia="Arial" w:hAnsi="Arial"/>
                <w:sz w:val="16"/>
                <w:szCs w:val="16"/>
                <w:color w:val="auto"/>
              </w:rPr>
              <w:t>•  At-large member of the Executive Committee of the Board of Governors of the Real</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8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20" w:type="dxa"/>
            <w:vAlign w:val="bottom"/>
            <w:gridSpan w:val="2"/>
            <w:vMerge w:val="restart"/>
          </w:tcPr>
          <w:p>
            <w:pPr>
              <w:ind w:left="80"/>
              <w:spacing w:after="0"/>
              <w:rPr>
                <w:sz w:val="20"/>
                <w:szCs w:val="20"/>
                <w:color w:val="auto"/>
              </w:rPr>
            </w:pPr>
            <w:r>
              <w:rPr>
                <w:rFonts w:ascii="Arial" w:cs="Arial" w:eastAsia="Arial" w:hAnsi="Arial"/>
                <w:sz w:val="16"/>
                <w:szCs w:val="16"/>
                <w:color w:val="auto"/>
              </w:rPr>
              <w:t>Estate Board of New York</w:t>
            </w:r>
          </w:p>
        </w:tc>
        <w:tc>
          <w:tcPr>
            <w:tcW w:w="4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880" w:type="dxa"/>
            <w:vAlign w:val="bottom"/>
            <w:gridSpan w:val="2"/>
            <w:vMerge w:val="restart"/>
          </w:tcPr>
          <w:p>
            <w:pPr>
              <w:spacing w:after="0"/>
              <w:rPr>
                <w:sz w:val="20"/>
                <w:szCs w:val="20"/>
                <w:color w:val="auto"/>
              </w:rPr>
            </w:pPr>
            <w:r>
              <w:rPr>
                <w:rFonts w:ascii="Arial" w:cs="Arial" w:eastAsia="Arial" w:hAnsi="Arial"/>
                <w:sz w:val="16"/>
                <w:szCs w:val="16"/>
                <w:color w:val="FFFFFF"/>
              </w:rPr>
              <w:t>Board Service:</w:t>
            </w: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20" w:type="dxa"/>
            <w:vAlign w:val="bottom"/>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760" w:type="dxa"/>
            <w:vAlign w:val="bottom"/>
            <w:gridSpan w:val="6"/>
            <w:vMerge w:val="restart"/>
          </w:tcPr>
          <w:p>
            <w:pPr>
              <w:ind w:left="380"/>
              <w:spacing w:after="0"/>
              <w:rPr>
                <w:sz w:val="20"/>
                <w:szCs w:val="20"/>
                <w:color w:val="auto"/>
              </w:rPr>
            </w:pPr>
            <w:r>
              <w:rPr>
                <w:rFonts w:ascii="Arial" w:cs="Arial" w:eastAsia="Arial" w:hAnsi="Arial"/>
                <w:sz w:val="16"/>
                <w:szCs w:val="16"/>
                <w:color w:val="auto"/>
              </w:rPr>
              <w:t>•  Member of the Board of Directors of Streetsquash, Inc., a Section 501(c)(3) tax-exempt</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760" w:type="dxa"/>
            <w:vAlign w:val="bottom"/>
            <w:gridSpan w:val="6"/>
            <w:vMerge w:val="continue"/>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880" w:type="dxa"/>
            <w:vAlign w:val="bottom"/>
            <w:gridSpan w:val="2"/>
          </w:tcPr>
          <w:p>
            <w:pPr>
              <w:spacing w:after="0"/>
              <w:rPr>
                <w:sz w:val="20"/>
                <w:szCs w:val="20"/>
                <w:color w:val="auto"/>
              </w:rPr>
            </w:pPr>
            <w:r>
              <w:rPr>
                <w:rFonts w:ascii="Arial" w:cs="Arial" w:eastAsia="Arial" w:hAnsi="Arial"/>
                <w:sz w:val="16"/>
                <w:szCs w:val="16"/>
                <w:color w:val="FFFFFF"/>
              </w:rPr>
              <w:t xml:space="preserve">• </w:t>
            </w:r>
            <w:r>
              <w:rPr>
                <w:rFonts w:ascii="Arial" w:cs="Arial" w:eastAsia="Arial" w:hAnsi="Arial"/>
                <w:sz w:val="16"/>
                <w:szCs w:val="16"/>
                <w:b w:val="1"/>
                <w:bCs w:val="1"/>
                <w:color w:val="FFFFFF"/>
              </w:rPr>
              <w:t>Executive Committee</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20" w:type="dxa"/>
            <w:vAlign w:val="bottom"/>
            <w:gridSpan w:val="2"/>
          </w:tcPr>
          <w:p>
            <w:pPr>
              <w:ind w:left="80"/>
              <w:spacing w:after="0"/>
              <w:rPr>
                <w:sz w:val="20"/>
                <w:szCs w:val="20"/>
                <w:color w:val="auto"/>
              </w:rPr>
            </w:pPr>
            <w:r>
              <w:rPr>
                <w:rFonts w:ascii="Arial" w:cs="Arial" w:eastAsia="Arial" w:hAnsi="Arial"/>
                <w:sz w:val="16"/>
                <w:szCs w:val="16"/>
                <w:color w:val="auto"/>
              </w:rPr>
              <w:t>organization</w:t>
            </w:r>
          </w:p>
        </w:tc>
        <w:tc>
          <w:tcPr>
            <w:tcW w:w="4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760" w:type="dxa"/>
            <w:vAlign w:val="bottom"/>
            <w:gridSpan w:val="6"/>
          </w:tcPr>
          <w:p>
            <w:pPr>
              <w:ind w:left="380"/>
              <w:spacing w:after="0"/>
              <w:rPr>
                <w:sz w:val="20"/>
                <w:szCs w:val="20"/>
                <w:color w:val="auto"/>
              </w:rPr>
            </w:pPr>
            <w:r>
              <w:rPr>
                <w:rFonts w:ascii="Arial" w:cs="Arial" w:eastAsia="Arial" w:hAnsi="Arial"/>
                <w:sz w:val="16"/>
                <w:szCs w:val="16"/>
                <w:color w:val="auto"/>
              </w:rPr>
              <w:t>•  Previously a member of the Board of Directors of Stemedica Cell Technologies, Inc.,</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80" w:type="dxa"/>
            <w:vAlign w:val="bottom"/>
            <w:gridSpan w:val="4"/>
          </w:tcPr>
          <w:p>
            <w:pPr>
              <w:ind w:left="80"/>
              <w:spacing w:after="0"/>
              <w:rPr>
                <w:sz w:val="20"/>
                <w:szCs w:val="20"/>
                <w:color w:val="auto"/>
              </w:rPr>
            </w:pPr>
            <w:r>
              <w:rPr>
                <w:rFonts w:ascii="Arial" w:cs="Arial" w:eastAsia="Arial" w:hAnsi="Arial"/>
                <w:sz w:val="16"/>
                <w:szCs w:val="16"/>
                <w:color w:val="auto"/>
              </w:rPr>
              <w:t>August 2007 to April 2009; Chairman of the Real Estate Board of New York’s Tax</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60" w:type="dxa"/>
            <w:vAlign w:val="bottom"/>
          </w:tcPr>
          <w:p>
            <w:pPr>
              <w:spacing w:after="0"/>
              <w:rPr>
                <w:sz w:val="2"/>
                <w:szCs w:val="2"/>
                <w:color w:val="auto"/>
              </w:rPr>
            </w:pPr>
          </w:p>
        </w:tc>
        <w:tc>
          <w:tcPr>
            <w:tcW w:w="1820" w:type="dxa"/>
            <w:vAlign w:val="bottom"/>
            <w:vMerge w:val="restart"/>
          </w:tcPr>
          <w:p>
            <w:pPr>
              <w:spacing w:after="0" w:line="243" w:lineRule="exact"/>
              <w:rPr>
                <w:sz w:val="20"/>
                <w:szCs w:val="20"/>
                <w:color w:val="auto"/>
              </w:rPr>
            </w:pPr>
            <w:r>
              <w:rPr>
                <w:rFonts w:ascii="Arial" w:cs="Arial" w:eastAsia="Arial" w:hAnsi="Arial"/>
                <w:sz w:val="22"/>
                <w:szCs w:val="22"/>
                <w:color w:val="auto"/>
              </w:rPr>
              <w:t>​</w:t>
            </w:r>
          </w:p>
        </w:tc>
        <w:tc>
          <w:tcPr>
            <w:tcW w:w="660" w:type="dxa"/>
            <w:vAlign w:val="bottom"/>
            <w:gridSpan w:val="3"/>
            <w:vMerge w:val="restart"/>
          </w:tcPr>
          <w:p>
            <w:pPr>
              <w:ind w:left="140"/>
              <w:spacing w:after="0" w:line="243" w:lineRule="exact"/>
              <w:rPr>
                <w:sz w:val="20"/>
                <w:szCs w:val="20"/>
                <w:color w:val="auto"/>
              </w:rPr>
            </w:pPr>
            <w:r>
              <w:rPr>
                <w:rFonts w:ascii="Arial" w:cs="Arial" w:eastAsia="Arial" w:hAnsi="Arial"/>
                <w:sz w:val="22"/>
                <w:szCs w:val="22"/>
                <w:color w:val="auto"/>
              </w:rPr>
              <w:t>​</w:t>
            </w:r>
          </w:p>
        </w:tc>
        <w:tc>
          <w:tcPr>
            <w:tcW w:w="3020" w:type="dxa"/>
            <w:vAlign w:val="bottom"/>
            <w:gridSpan w:val="2"/>
            <w:vMerge w:val="restart"/>
          </w:tcPr>
          <w:p>
            <w:pPr>
              <w:ind w:left="80"/>
              <w:spacing w:after="0"/>
              <w:rPr>
                <w:sz w:val="20"/>
                <w:szCs w:val="20"/>
                <w:color w:val="auto"/>
              </w:rPr>
            </w:pPr>
            <w:r>
              <w:rPr>
                <w:rFonts w:ascii="Arial" w:cs="Arial" w:eastAsia="Arial" w:hAnsi="Arial"/>
                <w:sz w:val="16"/>
                <w:szCs w:val="16"/>
                <w:color w:val="auto"/>
              </w:rPr>
              <w:t>Committee</w:t>
            </w:r>
          </w:p>
        </w:tc>
        <w:tc>
          <w:tcPr>
            <w:tcW w:w="4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60" w:type="dxa"/>
            <w:vAlign w:val="bottom"/>
            <w:shd w:val="clear" w:color="auto" w:fill="83AD40"/>
          </w:tcPr>
          <w:p>
            <w:pPr>
              <w:spacing w:after="0"/>
              <w:rPr>
                <w:sz w:val="18"/>
                <w:szCs w:val="18"/>
                <w:color w:val="auto"/>
              </w:rPr>
            </w:pPr>
          </w:p>
        </w:tc>
        <w:tc>
          <w:tcPr>
            <w:tcW w:w="1820" w:type="dxa"/>
            <w:vAlign w:val="bottom"/>
            <w:vMerge w:val="continue"/>
          </w:tcPr>
          <w:p>
            <w:pPr>
              <w:spacing w:after="0"/>
              <w:rPr>
                <w:sz w:val="18"/>
                <w:szCs w:val="18"/>
                <w:color w:val="auto"/>
              </w:rPr>
            </w:pPr>
          </w:p>
        </w:tc>
        <w:tc>
          <w:tcPr>
            <w:tcW w:w="660" w:type="dxa"/>
            <w:vAlign w:val="bottom"/>
            <w:gridSpan w:val="3"/>
            <w:vMerge w:val="continue"/>
          </w:tcPr>
          <w:p>
            <w:pPr>
              <w:spacing w:after="0"/>
              <w:rPr>
                <w:sz w:val="18"/>
                <w:szCs w:val="18"/>
                <w:color w:val="auto"/>
              </w:rPr>
            </w:pPr>
          </w:p>
        </w:tc>
        <w:tc>
          <w:tcPr>
            <w:tcW w:w="302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60" w:type="dxa"/>
            <w:vAlign w:val="bottom"/>
            <w:tcBorders>
              <w:bottom w:val="single" w:sz="8" w:color="83AD40"/>
            </w:tcBorders>
            <w:shd w:val="clear" w:color="auto" w:fill="83AD40"/>
          </w:tcPr>
          <w:p>
            <w:pPr>
              <w:spacing w:after="0"/>
              <w:rPr>
                <w:sz w:val="5"/>
                <w:szCs w:val="5"/>
                <w:color w:val="auto"/>
              </w:rPr>
            </w:pPr>
          </w:p>
        </w:tc>
        <w:tc>
          <w:tcPr>
            <w:tcW w:w="1820" w:type="dxa"/>
            <w:vAlign w:val="bottom"/>
            <w:tcBorders>
              <w:bottom w:val="single" w:sz="8" w:color="83AD40"/>
            </w:tcBorders>
          </w:tcPr>
          <w:p>
            <w:pPr>
              <w:spacing w:after="0"/>
              <w:rPr>
                <w:sz w:val="5"/>
                <w:szCs w:val="5"/>
                <w:color w:val="auto"/>
              </w:rPr>
            </w:pPr>
          </w:p>
        </w:tc>
        <w:tc>
          <w:tcPr>
            <w:tcW w:w="180" w:type="dxa"/>
            <w:vAlign w:val="bottom"/>
            <w:tcBorders>
              <w:bottom w:val="single" w:sz="8" w:color="83AD40"/>
            </w:tcBorders>
          </w:tcPr>
          <w:p>
            <w:pPr>
              <w:spacing w:after="0"/>
              <w:rPr>
                <w:sz w:val="5"/>
                <w:szCs w:val="5"/>
                <w:color w:val="auto"/>
              </w:rPr>
            </w:pPr>
          </w:p>
        </w:tc>
        <w:tc>
          <w:tcPr>
            <w:tcW w:w="6760" w:type="dxa"/>
            <w:vAlign w:val="bottom"/>
            <w:gridSpan w:val="6"/>
            <w:vMerge w:val="restart"/>
          </w:tcPr>
          <w:p>
            <w:pPr>
              <w:ind w:left="380"/>
              <w:spacing w:after="0"/>
              <w:rPr>
                <w:sz w:val="20"/>
                <w:szCs w:val="20"/>
                <w:color w:val="auto"/>
              </w:rPr>
            </w:pPr>
            <w:r>
              <w:rPr>
                <w:rFonts w:ascii="Arial" w:cs="Arial" w:eastAsia="Arial" w:hAnsi="Arial"/>
                <w:sz w:val="16"/>
                <w:szCs w:val="16"/>
                <w:color w:val="auto"/>
              </w:rPr>
              <w:t>•  B.A. degree from Hartwick College and J.D. degree from Boston College Law School</w:t>
            </w: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760" w:type="dxa"/>
            <w:vAlign w:val="bottom"/>
            <w:gridSpan w:val="6"/>
            <w:vMerge w:val="continue"/>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120" w:type="dxa"/>
            <w:vAlign w:val="bottom"/>
            <w:tcBorders>
              <w:bottom w:val="single" w:sz="8" w:color="83AD40"/>
            </w:tcBorders>
            <w:gridSpan w:val="3"/>
          </w:tcPr>
          <w:p>
            <w:pPr>
              <w:spacing w:after="0"/>
              <w:rPr>
                <w:sz w:val="21"/>
                <w:szCs w:val="21"/>
                <w:color w:val="auto"/>
              </w:rPr>
            </w:pPr>
          </w:p>
        </w:tc>
        <w:tc>
          <w:tcPr>
            <w:tcW w:w="480" w:type="dxa"/>
            <w:vAlign w:val="bottom"/>
            <w:tcBorders>
              <w:bottom w:val="single" w:sz="8" w:color="83AD40"/>
            </w:tcBorders>
          </w:tcPr>
          <w:p>
            <w:pPr>
              <w:spacing w:after="0"/>
              <w:rPr>
                <w:sz w:val="21"/>
                <w:szCs w:val="21"/>
                <w:color w:val="auto"/>
              </w:rPr>
            </w:pPr>
          </w:p>
        </w:tc>
        <w:tc>
          <w:tcPr>
            <w:tcW w:w="2780" w:type="dxa"/>
            <w:vAlign w:val="bottom"/>
            <w:tcBorders>
              <w:bottom w:val="single" w:sz="8" w:color="83AD40"/>
            </w:tcBorders>
          </w:tcPr>
          <w:p>
            <w:pPr>
              <w:spacing w:after="0"/>
              <w:rPr>
                <w:sz w:val="21"/>
                <w:szCs w:val="21"/>
                <w:color w:val="auto"/>
              </w:rPr>
            </w:pPr>
          </w:p>
        </w:tc>
        <w:tc>
          <w:tcPr>
            <w:tcW w:w="100" w:type="dxa"/>
            <w:vAlign w:val="bottom"/>
            <w:tcBorders>
              <w:bottom w:val="single" w:sz="8" w:color="83AD40"/>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1"/>
        </w:trPr>
        <w:tc>
          <w:tcPr>
            <w:tcW w:w="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00" w:type="dxa"/>
            <w:vAlign w:val="bottom"/>
            <w:gridSpan w:val="4"/>
          </w:tcPr>
          <w:p>
            <w:pPr>
              <w:ind w:left="380"/>
              <w:spacing w:after="0"/>
              <w:rPr>
                <w:sz w:val="20"/>
                <w:szCs w:val="20"/>
                <w:color w:val="auto"/>
              </w:rPr>
            </w:pPr>
            <w:r>
              <w:rPr>
                <w:rFonts w:ascii="Arial" w:cs="Arial" w:eastAsia="Arial" w:hAnsi="Arial"/>
                <w:sz w:val="20"/>
                <w:szCs w:val="20"/>
                <w:b w:val="1"/>
                <w:bCs w:val="1"/>
                <w:color w:val="1F2668"/>
                <w:w w:val="96"/>
              </w:rPr>
              <w:t>Skills, Experiences and Attributes</w:t>
            </w:r>
          </w:p>
        </w:tc>
        <w:tc>
          <w:tcPr>
            <w:tcW w:w="4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5"/>
        </w:trPr>
        <w:tc>
          <w:tcPr>
            <w:tcW w:w="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3020" w:type="dxa"/>
            <w:vAlign w:val="bottom"/>
            <w:gridSpan w:val="2"/>
          </w:tcPr>
          <w:p>
            <w:pPr>
              <w:ind w:left="420"/>
              <w:spacing w:after="0"/>
              <w:rPr>
                <w:sz w:val="20"/>
                <w:szCs w:val="20"/>
                <w:color w:val="auto"/>
              </w:rPr>
            </w:pPr>
            <w:r>
              <w:rPr>
                <w:rFonts w:ascii="Arial" w:cs="Arial" w:eastAsia="Arial" w:hAnsi="Arial"/>
                <w:sz w:val="16"/>
                <w:szCs w:val="16"/>
                <w:color w:val="auto"/>
              </w:rPr>
              <w:t>​ ​ Executive Leadership</w:t>
            </w:r>
          </w:p>
        </w:tc>
        <w:tc>
          <w:tcPr>
            <w:tcW w:w="480" w:type="dxa"/>
            <w:vAlign w:val="bottom"/>
          </w:tcPr>
          <w:p>
            <w:pPr>
              <w:ind w:left="20"/>
              <w:spacing w:after="0"/>
              <w:rPr>
                <w:sz w:val="20"/>
                <w:szCs w:val="20"/>
                <w:color w:val="auto"/>
              </w:rPr>
            </w:pPr>
            <w:r>
              <w:rPr>
                <w:rFonts w:ascii="Arial" w:cs="Arial" w:eastAsia="Arial" w:hAnsi="Arial"/>
                <w:sz w:val="16"/>
                <w:szCs w:val="16"/>
                <w:color w:val="auto"/>
              </w:rPr>
              <w:t>​ ​</w:t>
            </w:r>
          </w:p>
        </w:tc>
        <w:tc>
          <w:tcPr>
            <w:tcW w:w="2780" w:type="dxa"/>
            <w:vAlign w:val="bottom"/>
          </w:tcPr>
          <w:p>
            <w:pPr>
              <w:ind w:left="260"/>
              <w:spacing w:after="0"/>
              <w:rPr>
                <w:sz w:val="20"/>
                <w:szCs w:val="20"/>
                <w:color w:val="auto"/>
              </w:rPr>
            </w:pPr>
            <w:r>
              <w:rPr>
                <w:rFonts w:ascii="Arial" w:cs="Arial" w:eastAsia="Arial" w:hAnsi="Arial"/>
                <w:sz w:val="16"/>
                <w:szCs w:val="16"/>
                <w:color w:val="auto"/>
              </w:rPr>
              <w:t>​ ​ Finance/Capital Markets</w:t>
            </w:r>
          </w:p>
        </w:tc>
        <w:tc>
          <w:tcPr>
            <w:tcW w:w="1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75"/>
        </w:trPr>
        <w:tc>
          <w:tcPr>
            <w:tcW w:w="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3020" w:type="dxa"/>
            <w:vAlign w:val="bottom"/>
            <w:gridSpan w:val="2"/>
          </w:tcPr>
          <w:p>
            <w:pPr>
              <w:ind w:left="420"/>
              <w:spacing w:after="0"/>
              <w:rPr>
                <w:sz w:val="20"/>
                <w:szCs w:val="20"/>
                <w:color w:val="auto"/>
              </w:rPr>
            </w:pPr>
            <w:r>
              <w:rPr>
                <w:rFonts w:ascii="Arial" w:cs="Arial" w:eastAsia="Arial" w:hAnsi="Arial"/>
                <w:sz w:val="16"/>
                <w:szCs w:val="16"/>
                <w:color w:val="auto"/>
              </w:rPr>
              <w:t>​ ​ Risk Management</w:t>
            </w:r>
          </w:p>
        </w:tc>
        <w:tc>
          <w:tcPr>
            <w:tcW w:w="480" w:type="dxa"/>
            <w:vAlign w:val="bottom"/>
          </w:tcPr>
          <w:p>
            <w:pPr>
              <w:ind w:left="20"/>
              <w:spacing w:after="0"/>
              <w:rPr>
                <w:sz w:val="20"/>
                <w:szCs w:val="20"/>
                <w:color w:val="auto"/>
              </w:rPr>
            </w:pPr>
            <w:r>
              <w:rPr>
                <w:rFonts w:ascii="Arial" w:cs="Arial" w:eastAsia="Arial" w:hAnsi="Arial"/>
                <w:sz w:val="16"/>
                <w:szCs w:val="16"/>
                <w:color w:val="auto"/>
              </w:rPr>
              <w:t>​ ​</w:t>
            </w:r>
          </w:p>
        </w:tc>
        <w:tc>
          <w:tcPr>
            <w:tcW w:w="2780" w:type="dxa"/>
            <w:vAlign w:val="bottom"/>
          </w:tcPr>
          <w:p>
            <w:pPr>
              <w:ind w:left="260"/>
              <w:spacing w:after="0"/>
              <w:rPr>
                <w:sz w:val="20"/>
                <w:szCs w:val="20"/>
                <w:color w:val="auto"/>
              </w:rPr>
            </w:pPr>
            <w:r>
              <w:rPr>
                <w:rFonts w:ascii="Arial" w:cs="Arial" w:eastAsia="Arial" w:hAnsi="Arial"/>
                <w:sz w:val="16"/>
                <w:szCs w:val="16"/>
                <w:color w:val="auto"/>
              </w:rPr>
              <w:t>​ ​ REIT/Real Estate Industry</w:t>
            </w:r>
          </w:p>
        </w:tc>
        <w:tc>
          <w:tcPr>
            <w:tcW w:w="1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68"/>
        </w:trPr>
        <w:tc>
          <w:tcPr>
            <w:tcW w:w="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gridSpan w:val="2"/>
            <w:vMerge w:val="restart"/>
          </w:tcPr>
          <w:p>
            <w:pPr>
              <w:ind w:left="380"/>
              <w:spacing w:after="0"/>
              <w:rPr>
                <w:sz w:val="20"/>
                <w:szCs w:val="20"/>
                <w:color w:val="auto"/>
              </w:rPr>
            </w:pPr>
            <w:r>
              <w:rPr>
                <w:rFonts w:ascii="Arial" w:cs="Arial" w:eastAsia="Arial" w:hAnsi="Arial"/>
                <w:sz w:val="16"/>
                <w:szCs w:val="16"/>
                <w:color w:val="auto"/>
              </w:rPr>
              <w:t>​</w:t>
            </w:r>
          </w:p>
        </w:tc>
        <w:tc>
          <w:tcPr>
            <w:tcW w:w="560" w:type="dxa"/>
            <w:vAlign w:val="bottom"/>
            <w:vMerge w:val="restart"/>
          </w:tcPr>
          <w:p>
            <w:pPr>
              <w:ind w:left="420"/>
              <w:spacing w:after="0"/>
              <w:rPr>
                <w:sz w:val="20"/>
                <w:szCs w:val="20"/>
                <w:color w:val="auto"/>
              </w:rPr>
            </w:pPr>
            <w:r>
              <w:rPr>
                <w:rFonts w:ascii="Arial" w:cs="Arial" w:eastAsia="Arial" w:hAnsi="Arial"/>
                <w:sz w:val="16"/>
                <w:szCs w:val="16"/>
                <w:color w:val="auto"/>
              </w:rPr>
              <w:t>​ ​</w:t>
            </w:r>
          </w:p>
        </w:tc>
        <w:tc>
          <w:tcPr>
            <w:tcW w:w="2460" w:type="dxa"/>
            <w:vAlign w:val="bottom"/>
          </w:tcPr>
          <w:p>
            <w:pPr>
              <w:ind w:left="40"/>
              <w:spacing w:after="0"/>
              <w:rPr>
                <w:sz w:val="20"/>
                <w:szCs w:val="20"/>
                <w:color w:val="auto"/>
              </w:rPr>
            </w:pPr>
            <w:r>
              <w:rPr>
                <w:rFonts w:ascii="Arial" w:cs="Arial" w:eastAsia="Arial" w:hAnsi="Arial"/>
                <w:sz w:val="16"/>
                <w:szCs w:val="16"/>
                <w:color w:val="auto"/>
              </w:rPr>
              <w:t>Experience Over Several</w:t>
            </w:r>
          </w:p>
        </w:tc>
        <w:tc>
          <w:tcPr>
            <w:tcW w:w="480" w:type="dxa"/>
            <w:vAlign w:val="bottom"/>
            <w:vMerge w:val="restart"/>
          </w:tcPr>
          <w:p>
            <w:pPr>
              <w:ind w:left="20"/>
              <w:spacing w:after="0"/>
              <w:rPr>
                <w:sz w:val="20"/>
                <w:szCs w:val="20"/>
                <w:color w:val="auto"/>
              </w:rPr>
            </w:pPr>
            <w:r>
              <w:rPr>
                <w:rFonts w:ascii="Arial" w:cs="Arial" w:eastAsia="Arial" w:hAnsi="Arial"/>
                <w:sz w:val="16"/>
                <w:szCs w:val="16"/>
                <w:color w:val="auto"/>
              </w:rPr>
              <w:t>​ ​</w:t>
            </w:r>
          </w:p>
        </w:tc>
        <w:tc>
          <w:tcPr>
            <w:tcW w:w="2780" w:type="dxa"/>
            <w:vAlign w:val="bottom"/>
            <w:vMerge w:val="restart"/>
          </w:tcPr>
          <w:p>
            <w:pPr>
              <w:ind w:left="260"/>
              <w:spacing w:after="0"/>
              <w:rPr>
                <w:sz w:val="20"/>
                <w:szCs w:val="20"/>
                <w:color w:val="auto"/>
              </w:rPr>
            </w:pPr>
            <w:r>
              <w:rPr>
                <w:rFonts w:ascii="Arial" w:cs="Arial" w:eastAsia="Arial" w:hAnsi="Arial"/>
                <w:sz w:val="16"/>
                <w:szCs w:val="16"/>
                <w:color w:val="auto"/>
              </w:rPr>
              <w:t>​ ​ Talent Management</w:t>
            </w:r>
          </w:p>
        </w:tc>
        <w:tc>
          <w:tcPr>
            <w:tcW w:w="14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2460" w:type="dxa"/>
            <w:vAlign w:val="bottom"/>
          </w:tcPr>
          <w:p>
            <w:pPr>
              <w:ind w:left="40"/>
              <w:spacing w:after="0"/>
              <w:rPr>
                <w:sz w:val="20"/>
                <w:szCs w:val="20"/>
                <w:color w:val="auto"/>
              </w:rPr>
            </w:pPr>
            <w:r>
              <w:rPr>
                <w:rFonts w:ascii="Arial" w:cs="Arial" w:eastAsia="Arial" w:hAnsi="Arial"/>
                <w:sz w:val="16"/>
                <w:szCs w:val="16"/>
                <w:color w:val="auto"/>
              </w:rPr>
              <w:t>Business Cycles</w:t>
            </w:r>
          </w:p>
        </w:tc>
        <w:tc>
          <w:tcPr>
            <w:tcW w:w="480" w:type="dxa"/>
            <w:vAlign w:val="bottom"/>
            <w:vMerge w:val="continue"/>
          </w:tcPr>
          <w:p>
            <w:pPr>
              <w:spacing w:after="0"/>
              <w:rPr>
                <w:sz w:val="18"/>
                <w:szCs w:val="18"/>
                <w:color w:val="auto"/>
              </w:rPr>
            </w:pPr>
          </w:p>
        </w:tc>
        <w:tc>
          <w:tcPr>
            <w:tcW w:w="2780" w:type="dxa"/>
            <w:vAlign w:val="bottom"/>
            <w:vMerge w:val="continue"/>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87"/>
        </w:trPr>
        <w:tc>
          <w:tcPr>
            <w:tcW w:w="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gridSpan w:val="2"/>
            <w:vMerge w:val="restart"/>
          </w:tcPr>
          <w:p>
            <w:pPr>
              <w:ind w:left="380"/>
              <w:spacing w:after="0"/>
              <w:rPr>
                <w:sz w:val="20"/>
                <w:szCs w:val="20"/>
                <w:color w:val="auto"/>
              </w:rPr>
            </w:pPr>
            <w:r>
              <w:rPr>
                <w:rFonts w:ascii="Arial" w:cs="Arial" w:eastAsia="Arial" w:hAnsi="Arial"/>
                <w:sz w:val="16"/>
                <w:szCs w:val="16"/>
                <w:color w:val="auto"/>
              </w:rPr>
              <w:t>​</w:t>
            </w:r>
          </w:p>
        </w:tc>
        <w:tc>
          <w:tcPr>
            <w:tcW w:w="560" w:type="dxa"/>
            <w:vAlign w:val="bottom"/>
            <w:vMerge w:val="restart"/>
          </w:tcPr>
          <w:p>
            <w:pPr>
              <w:ind w:left="420"/>
              <w:spacing w:after="0"/>
              <w:rPr>
                <w:sz w:val="20"/>
                <w:szCs w:val="20"/>
                <w:color w:val="auto"/>
              </w:rPr>
            </w:pPr>
            <w:r>
              <w:rPr>
                <w:rFonts w:ascii="Arial" w:cs="Arial" w:eastAsia="Arial" w:hAnsi="Arial"/>
                <w:sz w:val="16"/>
                <w:szCs w:val="16"/>
                <w:color w:val="auto"/>
              </w:rPr>
              <w:t>​ ​</w:t>
            </w:r>
          </w:p>
        </w:tc>
        <w:tc>
          <w:tcPr>
            <w:tcW w:w="2460" w:type="dxa"/>
            <w:vAlign w:val="bottom"/>
          </w:tcPr>
          <w:p>
            <w:pPr>
              <w:ind w:left="40"/>
              <w:spacing w:after="0"/>
              <w:rPr>
                <w:sz w:val="20"/>
                <w:szCs w:val="20"/>
                <w:color w:val="auto"/>
              </w:rPr>
            </w:pPr>
            <w:r>
              <w:rPr>
                <w:rFonts w:ascii="Arial" w:cs="Arial" w:eastAsia="Arial" w:hAnsi="Arial"/>
                <w:sz w:val="16"/>
                <w:szCs w:val="16"/>
                <w:color w:val="auto"/>
              </w:rPr>
              <w:t>Government/Regulatory</w:t>
            </w:r>
          </w:p>
        </w:tc>
        <w:tc>
          <w:tcPr>
            <w:tcW w:w="480" w:type="dxa"/>
            <w:vAlign w:val="bottom"/>
            <w:vMerge w:val="restart"/>
          </w:tcPr>
          <w:p>
            <w:pPr>
              <w:ind w:left="20"/>
              <w:spacing w:after="0"/>
              <w:rPr>
                <w:sz w:val="20"/>
                <w:szCs w:val="20"/>
                <w:color w:val="auto"/>
              </w:rPr>
            </w:pPr>
            <w:r>
              <w:rPr>
                <w:rFonts w:ascii="Arial" w:cs="Arial" w:eastAsia="Arial" w:hAnsi="Arial"/>
                <w:sz w:val="16"/>
                <w:szCs w:val="16"/>
                <w:color w:val="auto"/>
              </w:rPr>
              <w:t>​ ​ ​</w:t>
            </w:r>
          </w:p>
        </w:tc>
        <w:tc>
          <w:tcPr>
            <w:tcW w:w="2780" w:type="dxa"/>
            <w:vAlign w:val="bottom"/>
            <w:vMerge w:val="restart"/>
          </w:tcPr>
          <w:p>
            <w:pPr>
              <w:ind w:left="260"/>
              <w:spacing w:after="0"/>
              <w:rPr>
                <w:sz w:val="20"/>
                <w:szCs w:val="20"/>
                <w:color w:val="auto"/>
              </w:rPr>
            </w:pPr>
            <w:r>
              <w:rPr>
                <w:rFonts w:ascii="Arial" w:cs="Arial" w:eastAsia="Arial" w:hAnsi="Arial"/>
                <w:sz w:val="16"/>
                <w:szCs w:val="16"/>
                <w:color w:val="auto"/>
              </w:rPr>
              <w:t>​ ​ ​</w:t>
            </w:r>
          </w:p>
        </w:tc>
        <w:tc>
          <w:tcPr>
            <w:tcW w:w="14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2460" w:type="dxa"/>
            <w:vAlign w:val="bottom"/>
          </w:tcPr>
          <w:p>
            <w:pPr>
              <w:ind w:left="40"/>
              <w:spacing w:after="0"/>
              <w:rPr>
                <w:sz w:val="20"/>
                <w:szCs w:val="20"/>
                <w:color w:val="auto"/>
              </w:rPr>
            </w:pPr>
            <w:r>
              <w:rPr>
                <w:rFonts w:ascii="Arial" w:cs="Arial" w:eastAsia="Arial" w:hAnsi="Arial"/>
                <w:sz w:val="16"/>
                <w:szCs w:val="16"/>
                <w:color w:val="auto"/>
              </w:rPr>
              <w:t>Experience</w:t>
            </w:r>
          </w:p>
        </w:tc>
        <w:tc>
          <w:tcPr>
            <w:tcW w:w="480" w:type="dxa"/>
            <w:vAlign w:val="bottom"/>
            <w:vMerge w:val="continue"/>
          </w:tcPr>
          <w:p>
            <w:pPr>
              <w:spacing w:after="0"/>
              <w:rPr>
                <w:sz w:val="18"/>
                <w:szCs w:val="18"/>
                <w:color w:val="auto"/>
              </w:rPr>
            </w:pPr>
          </w:p>
        </w:tc>
        <w:tc>
          <w:tcPr>
            <w:tcW w:w="2780" w:type="dxa"/>
            <w:vAlign w:val="bottom"/>
            <w:vMerge w:val="continue"/>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1925955</wp:posOffset>
            </wp:positionV>
            <wp:extent cx="68319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-1635125</wp:posOffset>
            </wp:positionV>
            <wp:extent cx="334010" cy="3517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4010" cy="351790"/>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-1600835</wp:posOffset>
            </wp:positionV>
            <wp:extent cx="334645" cy="3340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4645" cy="334010"/>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-1189355</wp:posOffset>
            </wp:positionV>
            <wp:extent cx="317500" cy="3683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17500" cy="368300"/>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-1146810</wp:posOffset>
            </wp:positionV>
            <wp:extent cx="300355" cy="2743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00355" cy="274320"/>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-735330</wp:posOffset>
            </wp:positionV>
            <wp:extent cx="317500" cy="3346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17500" cy="334645"/>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-726440</wp:posOffset>
            </wp:positionV>
            <wp:extent cx="317500" cy="3168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17500" cy="316865"/>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-289560</wp:posOffset>
            </wp:positionV>
            <wp:extent cx="308610" cy="3429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08610" cy="34290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6260" w:type="dxa"/>
            <w:vAlign w:val="bottom"/>
          </w:tcPr>
          <w:p>
            <w:pPr>
              <w:spacing w:after="0"/>
              <w:rPr>
                <w:sz w:val="20"/>
                <w:szCs w:val="20"/>
                <w:color w:val="auto"/>
              </w:rPr>
            </w:pPr>
            <w:r>
              <w:rPr>
                <w:rFonts w:ascii="Arial" w:cs="Arial" w:eastAsia="Arial" w:hAnsi="Arial"/>
                <w:sz w:val="14"/>
                <w:szCs w:val="14"/>
                <w:b w:val="1"/>
                <w:bCs w:val="1"/>
                <w:color w:val="auto"/>
              </w:rPr>
              <w:t>​</w:t>
            </w:r>
          </w:p>
        </w:tc>
        <w:tc>
          <w:tcPr>
            <w:tcW w:w="2320" w:type="dxa"/>
            <w:vAlign w:val="bottom"/>
          </w:tcPr>
          <w:p>
            <w:pPr>
              <w:ind w:left="1940"/>
              <w:spacing w:after="0"/>
              <w:rPr>
                <w:sz w:val="20"/>
                <w:szCs w:val="20"/>
                <w:color w:val="auto"/>
              </w:rPr>
            </w:pPr>
            <w:r>
              <w:rPr>
                <w:rFonts w:ascii="Arial" w:cs="Arial" w:eastAsia="Arial" w:hAnsi="Arial"/>
                <w:sz w:val="14"/>
                <w:szCs w:val="14"/>
                <w:b w:val="1"/>
                <w:bCs w:val="1"/>
                <w:color w:val="auto"/>
              </w:rPr>
              <w:t>​ ​</w:t>
            </w:r>
          </w:p>
        </w:tc>
        <w:tc>
          <w:tcPr>
            <w:tcW w:w="480" w:type="dxa"/>
            <w:vAlign w:val="bottom"/>
            <w:vMerge w:val="restart"/>
          </w:tcPr>
          <w:p>
            <w:pPr>
              <w:jc w:val="right"/>
              <w:spacing w:after="0"/>
              <w:rPr>
                <w:sz w:val="20"/>
                <w:szCs w:val="20"/>
                <w:color w:val="auto"/>
              </w:rPr>
            </w:pPr>
            <w:r>
              <w:rPr>
                <w:rFonts w:ascii="Arial" w:cs="Arial" w:eastAsia="Arial" w:hAnsi="Arial"/>
                <w:sz w:val="22"/>
                <w:szCs w:val="22"/>
                <w:b w:val="1"/>
                <w:bCs w:val="1"/>
                <w:color w:val="1F2668"/>
              </w:rPr>
              <w:t>17</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6260" w:type="dxa"/>
            <w:vAlign w:val="bottom"/>
          </w:tcPr>
          <w:p>
            <w:pPr>
              <w:spacing w:after="0"/>
              <w:rPr>
                <w:sz w:val="20"/>
                <w:szCs w:val="20"/>
                <w:color w:val="auto"/>
              </w:rPr>
            </w:pPr>
            <w:r>
              <w:rPr>
                <w:rFonts w:ascii="Arial" w:cs="Arial" w:eastAsia="Arial" w:hAnsi="Arial"/>
                <w:sz w:val="14"/>
                <w:szCs w:val="14"/>
                <w:b w:val="1"/>
                <w:bCs w:val="1"/>
                <w:color w:val="auto"/>
              </w:rPr>
              <w:t>OUR BOARD OF DIRECTORS AND CORPORATE GOVERNANCE</w:t>
            </w:r>
          </w:p>
        </w:tc>
        <w:tc>
          <w:tcPr>
            <w:tcW w:w="232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820" w:type="dxa"/>
        <w:tblCellMar>
          <w:top w:w="0" w:type="dxa"/>
          <w:left w:w="0" w:type="dxa"/>
          <w:bottom w:w="0" w:type="dxa"/>
          <w:right w:w="0" w:type="dxa"/>
        </w:tblCellMar>
      </w:tblPr>
      <w:tr>
        <w:trPr>
          <w:trHeight w:val="297"/>
        </w:trPr>
        <w:tc>
          <w:tcPr>
            <w:tcW w:w="200" w:type="dxa"/>
            <w:vAlign w:val="bottom"/>
            <w:tcBorders>
              <w:right w:val="single" w:sz="8" w:color="83AD40"/>
            </w:tcBorders>
          </w:tcPr>
          <w:p>
            <w:pPr>
              <w:spacing w:after="0"/>
              <w:rPr>
                <w:sz w:val="24"/>
                <w:szCs w:val="24"/>
                <w:color w:val="auto"/>
              </w:rPr>
            </w:pPr>
          </w:p>
        </w:tc>
        <w:tc>
          <w:tcPr>
            <w:tcW w:w="1880" w:type="dxa"/>
            <w:vAlign w:val="bottom"/>
            <w:tcBorders>
              <w:top w:val="single" w:sz="8" w:color="83AD40"/>
            </w:tcBorders>
          </w:tcPr>
          <w:p>
            <w:pPr>
              <w:spacing w:after="0"/>
              <w:rPr>
                <w:sz w:val="20"/>
                <w:szCs w:val="20"/>
                <w:color w:val="auto"/>
              </w:rPr>
            </w:pPr>
            <w:r>
              <w:rPr>
                <w:rFonts w:ascii="Arial" w:cs="Arial" w:eastAsia="Arial" w:hAnsi="Arial"/>
                <w:sz w:val="22"/>
                <w:szCs w:val="22"/>
                <w:color w:val="auto"/>
              </w:rPr>
              <w:t>​</w:t>
            </w:r>
          </w:p>
        </w:tc>
        <w:tc>
          <w:tcPr>
            <w:tcW w:w="80" w:type="dxa"/>
            <w:vAlign w:val="bottom"/>
            <w:tcBorders>
              <w:top w:val="single" w:sz="8" w:color="83AD40"/>
            </w:tcBorders>
            <w:vMerge w:val="restart"/>
          </w:tcPr>
          <w:p>
            <w:pPr>
              <w:spacing w:after="0"/>
              <w:rPr>
                <w:sz w:val="20"/>
                <w:szCs w:val="20"/>
                <w:color w:val="auto"/>
              </w:rPr>
            </w:pPr>
            <w:r>
              <w:rPr>
                <w:rFonts w:ascii="Arial" w:cs="Arial" w:eastAsia="Arial" w:hAnsi="Arial"/>
                <w:sz w:val="16"/>
                <w:szCs w:val="16"/>
                <w:b w:val="1"/>
                <w:bCs w:val="1"/>
                <w:color w:val="FFFFFF"/>
              </w:rPr>
              <w:t>​</w:t>
            </w:r>
          </w:p>
        </w:tc>
        <w:tc>
          <w:tcPr>
            <w:tcW w:w="40" w:type="dxa"/>
            <w:vAlign w:val="bottom"/>
            <w:tcBorders>
              <w:top w:val="single" w:sz="8" w:color="83AD40"/>
            </w:tcBorders>
            <w:shd w:val="clear" w:color="auto" w:fill="83AD40"/>
          </w:tcPr>
          <w:p>
            <w:pPr>
              <w:spacing w:after="0"/>
              <w:rPr>
                <w:sz w:val="20"/>
                <w:szCs w:val="20"/>
                <w:color w:val="auto"/>
              </w:rPr>
            </w:pPr>
            <w:r>
              <w:rPr>
                <w:rFonts w:ascii="Arial" w:cs="Arial" w:eastAsia="Arial" w:hAnsi="Arial"/>
                <w:sz w:val="22"/>
                <w:szCs w:val="22"/>
                <w:color w:val="auto"/>
              </w:rPr>
              <w:t>​</w:t>
            </w:r>
          </w:p>
        </w:tc>
        <w:tc>
          <w:tcPr>
            <w:tcW w:w="20" w:type="dxa"/>
            <w:vAlign w:val="bottom"/>
            <w:tcBorders>
              <w:top w:val="single" w:sz="8" w:color="83AD40"/>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0" w:type="dxa"/>
            <w:vAlign w:val="bottom"/>
            <w:tcBorders>
              <w:right w:val="single" w:sz="8" w:color="1F2668"/>
            </w:tcBorders>
            <w:shd w:val="clear" w:color="auto" w:fill="1F2668"/>
          </w:tcPr>
          <w:p>
            <w:pPr>
              <w:ind w:left="140"/>
              <w:spacing w:after="0"/>
              <w:rPr>
                <w:sz w:val="20"/>
                <w:szCs w:val="20"/>
                <w:color w:val="auto"/>
              </w:rPr>
            </w:pPr>
            <w:r>
              <w:rPr>
                <w:rFonts w:ascii="Arial" w:cs="Arial" w:eastAsia="Arial" w:hAnsi="Arial"/>
                <w:sz w:val="16"/>
                <w:szCs w:val="16"/>
                <w:b w:val="1"/>
                <w:bCs w:val="1"/>
                <w:color w:val="FFFFFF"/>
              </w:rPr>
              <w:t>​</w:t>
            </w:r>
          </w:p>
        </w:tc>
        <w:tc>
          <w:tcPr>
            <w:tcW w:w="1880" w:type="dxa"/>
            <w:vAlign w:val="bottom"/>
            <w:shd w:val="clear" w:color="auto" w:fill="1F2668"/>
          </w:tcPr>
          <w:p>
            <w:pPr>
              <w:spacing w:after="0"/>
              <w:rPr>
                <w:sz w:val="19"/>
                <w:szCs w:val="19"/>
                <w:color w:val="auto"/>
              </w:rPr>
            </w:pPr>
          </w:p>
        </w:tc>
        <w:tc>
          <w:tcPr>
            <w:tcW w:w="80" w:type="dxa"/>
            <w:vAlign w:val="bottom"/>
            <w:vMerge w:val="continue"/>
          </w:tcPr>
          <w:p>
            <w:pPr>
              <w:spacing w:after="0"/>
              <w:rPr>
                <w:sz w:val="19"/>
                <w:szCs w:val="19"/>
                <w:color w:val="auto"/>
              </w:rPr>
            </w:pPr>
          </w:p>
        </w:tc>
        <w:tc>
          <w:tcPr>
            <w:tcW w:w="40" w:type="dxa"/>
            <w:vAlign w:val="bottom"/>
            <w:shd w:val="clear" w:color="auto" w:fill="83AD40"/>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80" w:type="dxa"/>
            <w:vAlign w:val="bottom"/>
            <w:gridSpan w:val="2"/>
            <w:vMerge w:val="restart"/>
          </w:tcPr>
          <w:p>
            <w:pPr>
              <w:spacing w:after="0"/>
              <w:rPr>
                <w:sz w:val="20"/>
                <w:szCs w:val="20"/>
                <w:color w:val="auto"/>
              </w:rPr>
            </w:pPr>
            <w:r>
              <w:rPr>
                <w:rFonts w:ascii="Arial" w:cs="Arial" w:eastAsia="Arial" w:hAnsi="Arial"/>
                <w:sz w:val="16"/>
                <w:szCs w:val="16"/>
                <w:color w:val="auto"/>
              </w:rPr>
              <w:t>Mr. Hatkoff has in-depth expertise and knowledge of real estate, capital markets, finance,</w:t>
            </w:r>
          </w:p>
        </w:tc>
        <w:tc>
          <w:tcPr>
            <w:tcW w:w="0" w:type="dxa"/>
            <w:vAlign w:val="bottom"/>
          </w:tcPr>
          <w:p>
            <w:pPr>
              <w:spacing w:after="0"/>
              <w:rPr>
                <w:sz w:val="1"/>
                <w:szCs w:val="1"/>
                <w:color w:val="auto"/>
              </w:rPr>
            </w:pPr>
          </w:p>
        </w:tc>
      </w:tr>
      <w:tr>
        <w:trPr>
          <w:trHeight w:val="74"/>
        </w:trPr>
        <w:tc>
          <w:tcPr>
            <w:tcW w:w="2080" w:type="dxa"/>
            <w:vAlign w:val="bottom"/>
            <w:gridSpan w:val="2"/>
            <w:vMerge w:val="restart"/>
            <w:shd w:val="clear" w:color="auto" w:fill="1F2668"/>
          </w:tcPr>
          <w:p>
            <w:pPr>
              <w:ind w:left="140"/>
              <w:spacing w:after="0" w:line="249" w:lineRule="exact"/>
              <w:rPr>
                <w:sz w:val="20"/>
                <w:szCs w:val="20"/>
                <w:color w:val="auto"/>
              </w:rPr>
            </w:pPr>
            <w:r>
              <w:rPr>
                <w:rFonts w:ascii="Arial" w:cs="Arial" w:eastAsia="Arial" w:hAnsi="Arial"/>
                <w:sz w:val="22"/>
                <w:szCs w:val="22"/>
                <w:b w:val="1"/>
                <w:bCs w:val="1"/>
                <w:color w:val="FFFFFF"/>
              </w:rPr>
              <w:t>CRAIG M.</w:t>
            </w:r>
          </w:p>
        </w:tc>
        <w:tc>
          <w:tcPr>
            <w:tcW w:w="80" w:type="dxa"/>
            <w:vAlign w:val="bottom"/>
          </w:tcPr>
          <w:p>
            <w:pPr>
              <w:spacing w:after="0"/>
              <w:rPr>
                <w:sz w:val="6"/>
                <w:szCs w:val="6"/>
                <w:color w:val="auto"/>
              </w:rPr>
            </w:pPr>
          </w:p>
        </w:tc>
        <w:tc>
          <w:tcPr>
            <w:tcW w:w="40" w:type="dxa"/>
            <w:vAlign w:val="bottom"/>
            <w:shd w:val="clear" w:color="auto" w:fill="83AD40"/>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4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080" w:type="dxa"/>
            <w:vAlign w:val="bottom"/>
            <w:gridSpan w:val="2"/>
            <w:vMerge w:val="continue"/>
            <w:shd w:val="clear" w:color="auto" w:fill="1F2668"/>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shd w:val="clear" w:color="auto" w:fill="83AD40"/>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80" w:type="dxa"/>
            <w:vAlign w:val="bottom"/>
            <w:gridSpan w:val="2"/>
          </w:tcPr>
          <w:p>
            <w:pPr>
              <w:spacing w:after="0" w:line="175" w:lineRule="exact"/>
              <w:rPr>
                <w:sz w:val="20"/>
                <w:szCs w:val="20"/>
                <w:color w:val="auto"/>
              </w:rPr>
            </w:pPr>
            <w:r>
              <w:rPr>
                <w:rFonts w:ascii="Arial" w:cs="Arial" w:eastAsia="Arial" w:hAnsi="Arial"/>
                <w:sz w:val="16"/>
                <w:szCs w:val="16"/>
                <w:color w:val="auto"/>
              </w:rPr>
              <w:t>private investing, entrepreneurship and executive management through his work with</w:t>
            </w:r>
          </w:p>
        </w:tc>
        <w:tc>
          <w:tcPr>
            <w:tcW w:w="0" w:type="dxa"/>
            <w:vAlign w:val="bottom"/>
          </w:tcPr>
          <w:p>
            <w:pPr>
              <w:spacing w:after="0"/>
              <w:rPr>
                <w:sz w:val="1"/>
                <w:szCs w:val="1"/>
                <w:color w:val="auto"/>
              </w:rPr>
            </w:pPr>
          </w:p>
        </w:tc>
      </w:tr>
      <w:tr>
        <w:trPr>
          <w:trHeight w:val="175"/>
        </w:trPr>
        <w:tc>
          <w:tcPr>
            <w:tcW w:w="2080" w:type="dxa"/>
            <w:vAlign w:val="bottom"/>
            <w:gridSpan w:val="2"/>
            <w:vMerge w:val="restart"/>
            <w:shd w:val="clear" w:color="auto" w:fill="1F2668"/>
          </w:tcPr>
          <w:p>
            <w:pPr>
              <w:ind w:left="140"/>
              <w:spacing w:after="0"/>
              <w:rPr>
                <w:sz w:val="20"/>
                <w:szCs w:val="20"/>
                <w:color w:val="auto"/>
              </w:rPr>
            </w:pPr>
            <w:r>
              <w:rPr>
                <w:rFonts w:ascii="Arial" w:cs="Arial" w:eastAsia="Arial" w:hAnsi="Arial"/>
                <w:sz w:val="22"/>
                <w:szCs w:val="22"/>
                <w:b w:val="1"/>
                <w:bCs w:val="1"/>
                <w:color w:val="FFFFFF"/>
              </w:rPr>
              <w:t>HATKOFF</w:t>
            </w:r>
          </w:p>
        </w:tc>
        <w:tc>
          <w:tcPr>
            <w:tcW w:w="80" w:type="dxa"/>
            <w:vAlign w:val="bottom"/>
          </w:tcPr>
          <w:p>
            <w:pPr>
              <w:spacing w:after="0"/>
              <w:rPr>
                <w:sz w:val="15"/>
                <w:szCs w:val="15"/>
                <w:color w:val="auto"/>
              </w:rPr>
            </w:pPr>
          </w:p>
        </w:tc>
        <w:tc>
          <w:tcPr>
            <w:tcW w:w="40" w:type="dxa"/>
            <w:vAlign w:val="bottom"/>
            <w:shd w:val="clear" w:color="auto" w:fill="83AD40"/>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80" w:type="dxa"/>
            <w:vAlign w:val="bottom"/>
            <w:gridSpan w:val="2"/>
          </w:tcPr>
          <w:p>
            <w:pPr>
              <w:spacing w:after="0" w:line="175" w:lineRule="exact"/>
              <w:rPr>
                <w:sz w:val="20"/>
                <w:szCs w:val="20"/>
                <w:color w:val="auto"/>
              </w:rPr>
            </w:pPr>
            <w:r>
              <w:rPr>
                <w:rFonts w:ascii="Arial" w:cs="Arial" w:eastAsia="Arial" w:hAnsi="Arial"/>
                <w:sz w:val="16"/>
                <w:szCs w:val="16"/>
                <w:color w:val="auto"/>
              </w:rPr>
              <w:t>Chemical Bank, Victor Capital Group, and Capital Trust. As a result of the foregoing,</w:t>
            </w:r>
          </w:p>
        </w:tc>
        <w:tc>
          <w:tcPr>
            <w:tcW w:w="0" w:type="dxa"/>
            <w:vAlign w:val="bottom"/>
          </w:tcPr>
          <w:p>
            <w:pPr>
              <w:spacing w:after="0"/>
              <w:rPr>
                <w:sz w:val="1"/>
                <w:szCs w:val="1"/>
                <w:color w:val="auto"/>
              </w:rPr>
            </w:pPr>
          </w:p>
        </w:tc>
      </w:tr>
      <w:tr>
        <w:trPr>
          <w:trHeight w:val="163"/>
        </w:trPr>
        <w:tc>
          <w:tcPr>
            <w:tcW w:w="2080" w:type="dxa"/>
            <w:vAlign w:val="bottom"/>
            <w:gridSpan w:val="2"/>
            <w:vMerge w:val="continue"/>
            <w:shd w:val="clear" w:color="auto" w:fill="1F2668"/>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shd w:val="clear" w:color="auto" w:fill="83AD40"/>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80" w:type="dxa"/>
            <w:vAlign w:val="bottom"/>
            <w:gridSpan w:val="2"/>
          </w:tcPr>
          <w:p>
            <w:pPr>
              <w:spacing w:after="0" w:line="163" w:lineRule="exact"/>
              <w:rPr>
                <w:sz w:val="20"/>
                <w:szCs w:val="20"/>
                <w:color w:val="auto"/>
              </w:rPr>
            </w:pPr>
            <w:r>
              <w:rPr>
                <w:rFonts w:ascii="Arial" w:cs="Arial" w:eastAsia="Arial" w:hAnsi="Arial"/>
                <w:sz w:val="16"/>
                <w:szCs w:val="16"/>
                <w:color w:val="auto"/>
              </w:rPr>
              <w:t>Mr. Hatkoff provides the Board with unique insight into the financial markets generally,</w:t>
            </w:r>
          </w:p>
        </w:tc>
        <w:tc>
          <w:tcPr>
            <w:tcW w:w="0" w:type="dxa"/>
            <w:vAlign w:val="bottom"/>
          </w:tcPr>
          <w:p>
            <w:pPr>
              <w:spacing w:after="0"/>
              <w:rPr>
                <w:sz w:val="1"/>
                <w:szCs w:val="1"/>
                <w:color w:val="auto"/>
              </w:rPr>
            </w:pPr>
          </w:p>
        </w:tc>
      </w:tr>
      <w:tr>
        <w:trPr>
          <w:trHeight w:val="175"/>
        </w:trPr>
        <w:tc>
          <w:tcPr>
            <w:tcW w:w="200" w:type="dxa"/>
            <w:vAlign w:val="bottom"/>
            <w:tcBorders>
              <w:right w:val="single" w:sz="8" w:color="1F2668"/>
            </w:tcBorders>
            <w:shd w:val="clear" w:color="auto" w:fill="1F2668"/>
          </w:tcPr>
          <w:p>
            <w:pPr>
              <w:spacing w:after="0"/>
              <w:rPr>
                <w:sz w:val="15"/>
                <w:szCs w:val="15"/>
                <w:color w:val="auto"/>
              </w:rPr>
            </w:pPr>
          </w:p>
        </w:tc>
        <w:tc>
          <w:tcPr>
            <w:tcW w:w="1880" w:type="dxa"/>
            <w:vAlign w:val="bottom"/>
            <w:shd w:val="clear" w:color="auto" w:fill="1F2668"/>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shd w:val="clear" w:color="auto" w:fill="83AD40"/>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80" w:type="dxa"/>
            <w:vAlign w:val="bottom"/>
            <w:gridSpan w:val="2"/>
          </w:tcPr>
          <w:p>
            <w:pPr>
              <w:spacing w:after="0" w:line="175" w:lineRule="exact"/>
              <w:rPr>
                <w:sz w:val="20"/>
                <w:szCs w:val="20"/>
                <w:color w:val="auto"/>
              </w:rPr>
            </w:pPr>
            <w:r>
              <w:rPr>
                <w:rFonts w:ascii="Arial" w:cs="Arial" w:eastAsia="Arial" w:hAnsi="Arial"/>
                <w:sz w:val="16"/>
                <w:szCs w:val="16"/>
                <w:color w:val="auto"/>
              </w:rPr>
              <w:t>valuation analysis, strategic planning and unique financing structures and alternatives. He</w:t>
            </w:r>
          </w:p>
        </w:tc>
        <w:tc>
          <w:tcPr>
            <w:tcW w:w="0" w:type="dxa"/>
            <w:vAlign w:val="bottom"/>
          </w:tcPr>
          <w:p>
            <w:pPr>
              <w:spacing w:after="0"/>
              <w:rPr>
                <w:sz w:val="1"/>
                <w:szCs w:val="1"/>
                <w:color w:val="auto"/>
              </w:rPr>
            </w:pPr>
          </w:p>
        </w:tc>
      </w:tr>
      <w:tr>
        <w:trPr>
          <w:trHeight w:val="176"/>
        </w:trPr>
        <w:tc>
          <w:tcPr>
            <w:tcW w:w="200" w:type="dxa"/>
            <w:vAlign w:val="bottom"/>
            <w:tcBorders>
              <w:right w:val="single" w:sz="8" w:color="1F2668"/>
            </w:tcBorders>
            <w:shd w:val="clear" w:color="auto" w:fill="1F2668"/>
          </w:tcPr>
          <w:p>
            <w:pPr>
              <w:spacing w:after="0"/>
              <w:rPr>
                <w:sz w:val="15"/>
                <w:szCs w:val="15"/>
                <w:color w:val="auto"/>
              </w:rPr>
            </w:pPr>
          </w:p>
        </w:tc>
        <w:tc>
          <w:tcPr>
            <w:tcW w:w="1880" w:type="dxa"/>
            <w:vAlign w:val="bottom"/>
            <w:shd w:val="clear" w:color="auto" w:fill="1F2668"/>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shd w:val="clear" w:color="auto" w:fill="83AD40"/>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80" w:type="dxa"/>
            <w:vAlign w:val="bottom"/>
            <w:gridSpan w:val="2"/>
          </w:tcPr>
          <w:p>
            <w:pPr>
              <w:spacing w:after="0" w:line="175" w:lineRule="exact"/>
              <w:rPr>
                <w:sz w:val="20"/>
                <w:szCs w:val="20"/>
                <w:color w:val="auto"/>
              </w:rPr>
            </w:pPr>
            <w:r>
              <w:rPr>
                <w:rFonts w:ascii="Arial" w:cs="Arial" w:eastAsia="Arial" w:hAnsi="Arial"/>
                <w:sz w:val="16"/>
                <w:szCs w:val="16"/>
                <w:color w:val="auto"/>
              </w:rPr>
              <w:t>also possesses entrepreneurial, brand marketing, social media, technology and innovation,</w:t>
            </w:r>
          </w:p>
        </w:tc>
        <w:tc>
          <w:tcPr>
            <w:tcW w:w="0" w:type="dxa"/>
            <w:vAlign w:val="bottom"/>
          </w:tcPr>
          <w:p>
            <w:pPr>
              <w:spacing w:after="0"/>
              <w:rPr>
                <w:sz w:val="1"/>
                <w:szCs w:val="1"/>
                <w:color w:val="auto"/>
              </w:rPr>
            </w:pPr>
          </w:p>
        </w:tc>
      </w:tr>
      <w:tr>
        <w:trPr>
          <w:trHeight w:val="163"/>
        </w:trPr>
        <w:tc>
          <w:tcPr>
            <w:tcW w:w="200" w:type="dxa"/>
            <w:vAlign w:val="bottom"/>
            <w:tcBorders>
              <w:right w:val="single" w:sz="8" w:color="1F2668"/>
            </w:tcBorders>
            <w:shd w:val="clear" w:color="auto" w:fill="1F2668"/>
          </w:tcPr>
          <w:p>
            <w:pPr>
              <w:spacing w:after="0"/>
              <w:rPr>
                <w:sz w:val="14"/>
                <w:szCs w:val="14"/>
                <w:color w:val="auto"/>
              </w:rPr>
            </w:pPr>
          </w:p>
        </w:tc>
        <w:tc>
          <w:tcPr>
            <w:tcW w:w="1880" w:type="dxa"/>
            <w:vAlign w:val="bottom"/>
            <w:shd w:val="clear" w:color="auto" w:fill="1F2668"/>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shd w:val="clear" w:color="auto" w:fill="83AD40"/>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80" w:type="dxa"/>
            <w:vAlign w:val="bottom"/>
            <w:gridSpan w:val="2"/>
          </w:tcPr>
          <w:p>
            <w:pPr>
              <w:spacing w:after="0" w:line="163" w:lineRule="exact"/>
              <w:rPr>
                <w:sz w:val="20"/>
                <w:szCs w:val="20"/>
                <w:color w:val="auto"/>
              </w:rPr>
            </w:pPr>
            <w:r>
              <w:rPr>
                <w:rFonts w:ascii="Arial" w:cs="Arial" w:eastAsia="Arial" w:hAnsi="Arial"/>
                <w:sz w:val="16"/>
                <w:szCs w:val="16"/>
                <w:color w:val="auto"/>
                <w:w w:val="99"/>
              </w:rPr>
              <w:t>and senior leadership experience through his private investments and service on the Boards</w:t>
            </w:r>
          </w:p>
        </w:tc>
        <w:tc>
          <w:tcPr>
            <w:tcW w:w="0" w:type="dxa"/>
            <w:vAlign w:val="bottom"/>
          </w:tcPr>
          <w:p>
            <w:pPr>
              <w:spacing w:after="0"/>
              <w:rPr>
                <w:sz w:val="1"/>
                <w:szCs w:val="1"/>
                <w:color w:val="auto"/>
              </w:rPr>
            </w:pPr>
          </w:p>
        </w:tc>
      </w:tr>
      <w:tr>
        <w:trPr>
          <w:trHeight w:val="175"/>
        </w:trPr>
        <w:tc>
          <w:tcPr>
            <w:tcW w:w="200" w:type="dxa"/>
            <w:vAlign w:val="bottom"/>
            <w:tcBorders>
              <w:right w:val="single" w:sz="8" w:color="1F2668"/>
            </w:tcBorders>
            <w:shd w:val="clear" w:color="auto" w:fill="1F2668"/>
          </w:tcPr>
          <w:p>
            <w:pPr>
              <w:spacing w:after="0"/>
              <w:rPr>
                <w:sz w:val="15"/>
                <w:szCs w:val="15"/>
                <w:color w:val="auto"/>
              </w:rPr>
            </w:pPr>
          </w:p>
        </w:tc>
        <w:tc>
          <w:tcPr>
            <w:tcW w:w="1880" w:type="dxa"/>
            <w:vAlign w:val="bottom"/>
            <w:shd w:val="clear" w:color="auto" w:fill="1F2668"/>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shd w:val="clear" w:color="auto" w:fill="83AD40"/>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80" w:type="dxa"/>
            <w:vAlign w:val="bottom"/>
            <w:gridSpan w:val="2"/>
          </w:tcPr>
          <w:p>
            <w:pPr>
              <w:spacing w:after="0" w:line="175" w:lineRule="exact"/>
              <w:rPr>
                <w:sz w:val="20"/>
                <w:szCs w:val="20"/>
                <w:color w:val="auto"/>
              </w:rPr>
            </w:pPr>
            <w:r>
              <w:rPr>
                <w:rFonts w:ascii="Arial" w:cs="Arial" w:eastAsia="Arial" w:hAnsi="Arial"/>
                <w:sz w:val="16"/>
                <w:szCs w:val="16"/>
                <w:color w:val="auto"/>
                <w:w w:val="99"/>
              </w:rPr>
              <w:t>of numerous educational and charitable organizations. Mr. Hatkoff also has extensive Board</w:t>
            </w:r>
          </w:p>
        </w:tc>
        <w:tc>
          <w:tcPr>
            <w:tcW w:w="0" w:type="dxa"/>
            <w:vAlign w:val="bottom"/>
          </w:tcPr>
          <w:p>
            <w:pPr>
              <w:spacing w:after="0"/>
              <w:rPr>
                <w:sz w:val="1"/>
                <w:szCs w:val="1"/>
                <w:color w:val="auto"/>
              </w:rPr>
            </w:pPr>
          </w:p>
        </w:tc>
      </w:tr>
      <w:tr>
        <w:trPr>
          <w:trHeight w:val="176"/>
        </w:trPr>
        <w:tc>
          <w:tcPr>
            <w:tcW w:w="200" w:type="dxa"/>
            <w:vAlign w:val="bottom"/>
            <w:tcBorders>
              <w:right w:val="single" w:sz="8" w:color="1F2668"/>
            </w:tcBorders>
            <w:shd w:val="clear" w:color="auto" w:fill="1F2668"/>
          </w:tcPr>
          <w:p>
            <w:pPr>
              <w:spacing w:after="0"/>
              <w:rPr>
                <w:sz w:val="15"/>
                <w:szCs w:val="15"/>
                <w:color w:val="auto"/>
              </w:rPr>
            </w:pPr>
          </w:p>
        </w:tc>
        <w:tc>
          <w:tcPr>
            <w:tcW w:w="1880" w:type="dxa"/>
            <w:vAlign w:val="bottom"/>
            <w:shd w:val="clear" w:color="auto" w:fill="1F2668"/>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shd w:val="clear" w:color="auto" w:fill="83AD40"/>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80" w:type="dxa"/>
            <w:vAlign w:val="bottom"/>
            <w:gridSpan w:val="2"/>
          </w:tcPr>
          <w:p>
            <w:pPr>
              <w:spacing w:after="0" w:line="175" w:lineRule="exact"/>
              <w:rPr>
                <w:sz w:val="20"/>
                <w:szCs w:val="20"/>
                <w:color w:val="auto"/>
              </w:rPr>
            </w:pPr>
            <w:r>
              <w:rPr>
                <w:rFonts w:ascii="Arial" w:cs="Arial" w:eastAsia="Arial" w:hAnsi="Arial"/>
                <w:sz w:val="16"/>
                <w:szCs w:val="16"/>
                <w:color w:val="auto"/>
              </w:rPr>
              <w:t>and Board committee experience at other public companies, including his prior service at</w:t>
            </w:r>
          </w:p>
        </w:tc>
        <w:tc>
          <w:tcPr>
            <w:tcW w:w="0" w:type="dxa"/>
            <w:vAlign w:val="bottom"/>
          </w:tcPr>
          <w:p>
            <w:pPr>
              <w:spacing w:after="0"/>
              <w:rPr>
                <w:sz w:val="1"/>
                <w:szCs w:val="1"/>
                <w:color w:val="auto"/>
              </w:rPr>
            </w:pPr>
          </w:p>
        </w:tc>
      </w:tr>
      <w:tr>
        <w:trPr>
          <w:trHeight w:val="163"/>
        </w:trPr>
        <w:tc>
          <w:tcPr>
            <w:tcW w:w="200" w:type="dxa"/>
            <w:vAlign w:val="bottom"/>
            <w:tcBorders>
              <w:right w:val="single" w:sz="8" w:color="1F2668"/>
            </w:tcBorders>
            <w:shd w:val="clear" w:color="auto" w:fill="1F2668"/>
          </w:tcPr>
          <w:p>
            <w:pPr>
              <w:spacing w:after="0"/>
              <w:rPr>
                <w:sz w:val="14"/>
                <w:szCs w:val="14"/>
                <w:color w:val="auto"/>
              </w:rPr>
            </w:pPr>
          </w:p>
        </w:tc>
        <w:tc>
          <w:tcPr>
            <w:tcW w:w="1880" w:type="dxa"/>
            <w:vAlign w:val="bottom"/>
            <w:shd w:val="clear" w:color="auto" w:fill="1F2668"/>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shd w:val="clear" w:color="auto" w:fill="83AD40"/>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80" w:type="dxa"/>
            <w:vAlign w:val="bottom"/>
            <w:gridSpan w:val="2"/>
          </w:tcPr>
          <w:p>
            <w:pPr>
              <w:spacing w:after="0" w:line="163" w:lineRule="exact"/>
              <w:rPr>
                <w:sz w:val="20"/>
                <w:szCs w:val="20"/>
                <w:color w:val="auto"/>
              </w:rPr>
            </w:pPr>
            <w:r>
              <w:rPr>
                <w:rFonts w:ascii="Arial" w:cs="Arial" w:eastAsia="Arial" w:hAnsi="Arial"/>
                <w:sz w:val="16"/>
                <w:szCs w:val="16"/>
                <w:color w:val="auto"/>
              </w:rPr>
              <w:t>Taubman Centers, Inc. and his long-standing service to Capital Trust, Inc., which enables</w:t>
            </w:r>
          </w:p>
        </w:tc>
        <w:tc>
          <w:tcPr>
            <w:tcW w:w="0" w:type="dxa"/>
            <w:vAlign w:val="bottom"/>
          </w:tcPr>
          <w:p>
            <w:pPr>
              <w:spacing w:after="0"/>
              <w:rPr>
                <w:sz w:val="1"/>
                <w:szCs w:val="1"/>
                <w:color w:val="auto"/>
              </w:rPr>
            </w:pPr>
          </w:p>
        </w:tc>
      </w:tr>
      <w:tr>
        <w:trPr>
          <w:trHeight w:val="175"/>
        </w:trPr>
        <w:tc>
          <w:tcPr>
            <w:tcW w:w="200" w:type="dxa"/>
            <w:vAlign w:val="bottom"/>
            <w:tcBorders>
              <w:right w:val="single" w:sz="8" w:color="1F2668"/>
            </w:tcBorders>
            <w:shd w:val="clear" w:color="auto" w:fill="1F2668"/>
          </w:tcPr>
          <w:p>
            <w:pPr>
              <w:spacing w:after="0"/>
              <w:rPr>
                <w:sz w:val="15"/>
                <w:szCs w:val="15"/>
                <w:color w:val="auto"/>
              </w:rPr>
            </w:pPr>
          </w:p>
        </w:tc>
        <w:tc>
          <w:tcPr>
            <w:tcW w:w="1880" w:type="dxa"/>
            <w:vAlign w:val="bottom"/>
            <w:shd w:val="clear" w:color="auto" w:fill="1F2668"/>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shd w:val="clear" w:color="auto" w:fill="83AD40"/>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80" w:type="dxa"/>
            <w:vAlign w:val="bottom"/>
            <w:gridSpan w:val="2"/>
          </w:tcPr>
          <w:p>
            <w:pPr>
              <w:spacing w:after="0" w:line="175" w:lineRule="exact"/>
              <w:rPr>
                <w:sz w:val="20"/>
                <w:szCs w:val="20"/>
                <w:color w:val="auto"/>
              </w:rPr>
            </w:pPr>
            <w:r>
              <w:rPr>
                <w:rFonts w:ascii="Arial" w:cs="Arial" w:eastAsia="Arial" w:hAnsi="Arial"/>
                <w:sz w:val="16"/>
                <w:szCs w:val="16"/>
                <w:color w:val="auto"/>
                <w:w w:val="98"/>
              </w:rPr>
              <w:t>him to provide significant insight as to governance and compliance-related matters particular</w:t>
            </w:r>
          </w:p>
        </w:tc>
        <w:tc>
          <w:tcPr>
            <w:tcW w:w="0" w:type="dxa"/>
            <w:vAlign w:val="bottom"/>
          </w:tcPr>
          <w:p>
            <w:pPr>
              <w:spacing w:after="0"/>
              <w:rPr>
                <w:sz w:val="1"/>
                <w:szCs w:val="1"/>
                <w:color w:val="auto"/>
              </w:rPr>
            </w:pPr>
          </w:p>
        </w:tc>
      </w:tr>
      <w:tr>
        <w:trPr>
          <w:trHeight w:val="215"/>
        </w:trPr>
        <w:tc>
          <w:tcPr>
            <w:tcW w:w="200" w:type="dxa"/>
            <w:vAlign w:val="bottom"/>
            <w:tcBorders>
              <w:right w:val="single" w:sz="8" w:color="1F2668"/>
            </w:tcBorders>
            <w:shd w:val="clear" w:color="auto" w:fill="1F2668"/>
          </w:tcPr>
          <w:p>
            <w:pPr>
              <w:spacing w:after="0"/>
              <w:rPr>
                <w:sz w:val="18"/>
                <w:szCs w:val="18"/>
                <w:color w:val="auto"/>
              </w:rPr>
            </w:pPr>
          </w:p>
        </w:tc>
        <w:tc>
          <w:tcPr>
            <w:tcW w:w="1880" w:type="dxa"/>
            <w:vAlign w:val="bottom"/>
            <w:shd w:val="clear" w:color="auto" w:fill="1F2668"/>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shd w:val="clear" w:color="auto" w:fill="83AD40"/>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6"/>
                <w:szCs w:val="16"/>
                <w:color w:val="auto"/>
              </w:rPr>
              <w:t>to real estate companies.</w:t>
            </w:r>
          </w:p>
        </w:tc>
        <w:tc>
          <w:tcPr>
            <w:tcW w:w="0" w:type="dxa"/>
            <w:vAlign w:val="bottom"/>
          </w:tcPr>
          <w:p>
            <w:pPr>
              <w:spacing w:after="0"/>
              <w:rPr>
                <w:sz w:val="1"/>
                <w:szCs w:val="1"/>
                <w:color w:val="auto"/>
              </w:rPr>
            </w:pPr>
          </w:p>
        </w:tc>
      </w:tr>
      <w:tr>
        <w:trPr>
          <w:trHeight w:val="151"/>
        </w:trPr>
        <w:tc>
          <w:tcPr>
            <w:tcW w:w="200" w:type="dxa"/>
            <w:vAlign w:val="bottom"/>
            <w:tcBorders>
              <w:bottom w:val="single" w:sz="8" w:color="1F2668"/>
              <w:right w:val="single" w:sz="8" w:color="1F2668"/>
            </w:tcBorders>
            <w:shd w:val="clear" w:color="auto" w:fill="1F2668"/>
          </w:tcPr>
          <w:p>
            <w:pPr>
              <w:spacing w:after="0"/>
              <w:rPr>
                <w:sz w:val="13"/>
                <w:szCs w:val="13"/>
                <w:color w:val="auto"/>
              </w:rPr>
            </w:pPr>
          </w:p>
        </w:tc>
        <w:tc>
          <w:tcPr>
            <w:tcW w:w="1880" w:type="dxa"/>
            <w:vAlign w:val="bottom"/>
            <w:tcBorders>
              <w:bottom w:val="single" w:sz="8" w:color="1F2668"/>
            </w:tcBorders>
            <w:shd w:val="clear" w:color="auto" w:fill="1F2668"/>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bottom w:val="single" w:sz="8" w:color="83AD40"/>
            </w:tcBorders>
            <w:shd w:val="clear" w:color="auto" w:fill="83AD40"/>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80" w:type="dxa"/>
            <w:vAlign w:val="bottom"/>
            <w:tcBorders>
              <w:bottom w:val="single" w:sz="8" w:color="83AD40"/>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200" w:type="dxa"/>
            <w:vAlign w:val="bottom"/>
            <w:tcBorders>
              <w:right w:val="single" w:sz="8" w:color="1F2668"/>
            </w:tcBorders>
            <w:shd w:val="clear" w:color="auto" w:fill="1F2668"/>
          </w:tcPr>
          <w:p>
            <w:pPr>
              <w:spacing w:after="0"/>
              <w:rPr>
                <w:sz w:val="24"/>
                <w:szCs w:val="24"/>
                <w:color w:val="auto"/>
              </w:rPr>
            </w:pPr>
          </w:p>
        </w:tc>
        <w:tc>
          <w:tcPr>
            <w:tcW w:w="1880" w:type="dxa"/>
            <w:vAlign w:val="bottom"/>
            <w:shd w:val="clear" w:color="auto" w:fill="1F2668"/>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shd w:val="clear" w:color="auto" w:fill="83AD40"/>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Arial" w:cs="Arial" w:eastAsia="Arial" w:hAnsi="Arial"/>
                <w:sz w:val="20"/>
                <w:szCs w:val="20"/>
                <w:b w:val="1"/>
                <w:bCs w:val="1"/>
                <w:color w:val="1F2668"/>
              </w:rPr>
              <w:t>Professional Experience</w:t>
            </w:r>
          </w:p>
        </w:tc>
        <w:tc>
          <w:tcPr>
            <w:tcW w:w="0" w:type="dxa"/>
            <w:vAlign w:val="bottom"/>
          </w:tcPr>
          <w:p>
            <w:pPr>
              <w:spacing w:after="0"/>
              <w:rPr>
                <w:sz w:val="1"/>
                <w:szCs w:val="1"/>
                <w:color w:val="auto"/>
              </w:rPr>
            </w:pPr>
          </w:p>
        </w:tc>
      </w:tr>
      <w:tr>
        <w:trPr>
          <w:trHeight w:val="236"/>
        </w:trPr>
        <w:tc>
          <w:tcPr>
            <w:tcW w:w="200" w:type="dxa"/>
            <w:vAlign w:val="bottom"/>
            <w:tcBorders>
              <w:right w:val="single" w:sz="8" w:color="1F2668"/>
            </w:tcBorders>
            <w:shd w:val="clear" w:color="auto" w:fill="1F2668"/>
          </w:tcPr>
          <w:p>
            <w:pPr>
              <w:spacing w:after="0"/>
              <w:rPr>
                <w:sz w:val="20"/>
                <w:szCs w:val="20"/>
                <w:color w:val="auto"/>
              </w:rPr>
            </w:pPr>
          </w:p>
        </w:tc>
        <w:tc>
          <w:tcPr>
            <w:tcW w:w="1880" w:type="dxa"/>
            <w:vAlign w:val="bottom"/>
            <w:shd w:val="clear" w:color="auto" w:fill="1F2668"/>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shd w:val="clear" w:color="auto" w:fill="83AD40"/>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80" w:type="dxa"/>
            <w:vAlign w:val="bottom"/>
            <w:gridSpan w:val="2"/>
          </w:tcPr>
          <w:p>
            <w:pPr>
              <w:spacing w:after="0"/>
              <w:rPr>
                <w:sz w:val="20"/>
                <w:szCs w:val="20"/>
                <w:color w:val="auto"/>
              </w:rPr>
            </w:pPr>
            <w:r>
              <w:rPr>
                <w:rFonts w:ascii="Arial" w:cs="Arial" w:eastAsia="Arial" w:hAnsi="Arial"/>
                <w:sz w:val="16"/>
                <w:szCs w:val="16"/>
                <w:color w:val="auto"/>
              </w:rPr>
              <w:t>•  Vice Chairman of Capital Trust, Inc., a real estate investment management company that</w:t>
            </w:r>
          </w:p>
        </w:tc>
        <w:tc>
          <w:tcPr>
            <w:tcW w:w="0" w:type="dxa"/>
            <w:vAlign w:val="bottom"/>
          </w:tcPr>
          <w:p>
            <w:pPr>
              <w:spacing w:after="0"/>
              <w:rPr>
                <w:sz w:val="1"/>
                <w:szCs w:val="1"/>
                <w:color w:val="auto"/>
              </w:rPr>
            </w:pPr>
          </w:p>
        </w:tc>
      </w:tr>
      <w:tr>
        <w:trPr>
          <w:trHeight w:val="189"/>
        </w:trPr>
        <w:tc>
          <w:tcPr>
            <w:tcW w:w="200" w:type="dxa"/>
            <w:vAlign w:val="bottom"/>
            <w:tcBorders>
              <w:right w:val="single" w:sz="8" w:color="1F2668"/>
            </w:tcBorders>
            <w:shd w:val="clear" w:color="auto" w:fill="1F2668"/>
          </w:tcPr>
          <w:p>
            <w:pPr>
              <w:spacing w:after="0"/>
              <w:rPr>
                <w:sz w:val="16"/>
                <w:szCs w:val="16"/>
                <w:color w:val="auto"/>
              </w:rPr>
            </w:pPr>
          </w:p>
        </w:tc>
        <w:tc>
          <w:tcPr>
            <w:tcW w:w="1880" w:type="dxa"/>
            <w:vAlign w:val="bottom"/>
            <w:shd w:val="clear" w:color="auto" w:fill="1F2668"/>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shd w:val="clear" w:color="auto" w:fill="83AD40"/>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380" w:type="dxa"/>
            <w:vAlign w:val="bottom"/>
          </w:tcPr>
          <w:p>
            <w:pPr>
              <w:ind w:left="80"/>
              <w:spacing w:after="0"/>
              <w:rPr>
                <w:sz w:val="20"/>
                <w:szCs w:val="20"/>
                <w:color w:val="auto"/>
              </w:rPr>
            </w:pPr>
            <w:r>
              <w:rPr>
                <w:rFonts w:ascii="Arial" w:cs="Arial" w:eastAsia="Arial" w:hAnsi="Arial"/>
                <w:sz w:val="16"/>
                <w:szCs w:val="16"/>
                <w:color w:val="auto"/>
                <w:w w:val="99"/>
              </w:rPr>
              <w:t>was listed on the New York Stock Exchange, and one of the largest dedicated real estate</w:t>
            </w:r>
          </w:p>
        </w:tc>
        <w:tc>
          <w:tcPr>
            <w:tcW w:w="0" w:type="dxa"/>
            <w:vAlign w:val="bottom"/>
          </w:tcPr>
          <w:p>
            <w:pPr>
              <w:spacing w:after="0"/>
              <w:rPr>
                <w:sz w:val="1"/>
                <w:szCs w:val="1"/>
                <w:color w:val="auto"/>
              </w:rPr>
            </w:pPr>
          </w:p>
        </w:tc>
      </w:tr>
      <w:tr>
        <w:trPr>
          <w:trHeight w:val="176"/>
        </w:trPr>
        <w:tc>
          <w:tcPr>
            <w:tcW w:w="2080" w:type="dxa"/>
            <w:vAlign w:val="bottom"/>
            <w:gridSpan w:val="2"/>
            <w:vMerge w:val="restart"/>
            <w:shd w:val="clear" w:color="auto" w:fill="1F2668"/>
          </w:tcPr>
          <w:p>
            <w:pPr>
              <w:ind w:left="140"/>
              <w:spacing w:after="0"/>
              <w:rPr>
                <w:sz w:val="20"/>
                <w:szCs w:val="20"/>
                <w:color w:val="auto"/>
              </w:rPr>
            </w:pPr>
            <w:r>
              <w:rPr>
                <w:rFonts w:ascii="Arial" w:cs="Arial" w:eastAsia="Arial" w:hAnsi="Arial"/>
                <w:sz w:val="16"/>
                <w:szCs w:val="16"/>
                <w:b w:val="1"/>
                <w:bCs w:val="1"/>
                <w:color w:val="FFFFFF"/>
              </w:rPr>
              <w:t>Independent Director</w:t>
            </w:r>
          </w:p>
        </w:tc>
        <w:tc>
          <w:tcPr>
            <w:tcW w:w="80" w:type="dxa"/>
            <w:vAlign w:val="bottom"/>
          </w:tcPr>
          <w:p>
            <w:pPr>
              <w:spacing w:after="0"/>
              <w:rPr>
                <w:sz w:val="15"/>
                <w:szCs w:val="15"/>
                <w:color w:val="auto"/>
              </w:rPr>
            </w:pPr>
          </w:p>
        </w:tc>
        <w:tc>
          <w:tcPr>
            <w:tcW w:w="40" w:type="dxa"/>
            <w:vAlign w:val="bottom"/>
            <w:shd w:val="clear" w:color="auto" w:fill="83AD40"/>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380" w:type="dxa"/>
            <w:vAlign w:val="bottom"/>
          </w:tcPr>
          <w:p>
            <w:pPr>
              <w:ind w:left="80"/>
              <w:spacing w:after="0" w:line="175" w:lineRule="exact"/>
              <w:rPr>
                <w:sz w:val="20"/>
                <w:szCs w:val="20"/>
                <w:color w:val="auto"/>
              </w:rPr>
            </w:pPr>
            <w:r>
              <w:rPr>
                <w:rFonts w:ascii="Arial" w:cs="Arial" w:eastAsia="Arial" w:hAnsi="Arial"/>
                <w:sz w:val="16"/>
                <w:szCs w:val="16"/>
                <w:color w:val="auto"/>
                <w:w w:val="99"/>
              </w:rPr>
              <w:t>mezzanine lenders, from 1997 to 2000, and served on its Board of Directors from 1997 to</w:t>
            </w:r>
          </w:p>
        </w:tc>
        <w:tc>
          <w:tcPr>
            <w:tcW w:w="0" w:type="dxa"/>
            <w:vAlign w:val="bottom"/>
          </w:tcPr>
          <w:p>
            <w:pPr>
              <w:spacing w:after="0"/>
              <w:rPr>
                <w:sz w:val="1"/>
                <w:szCs w:val="1"/>
                <w:color w:val="auto"/>
              </w:rPr>
            </w:pPr>
          </w:p>
        </w:tc>
      </w:tr>
      <w:tr>
        <w:trPr>
          <w:trHeight w:val="128"/>
        </w:trPr>
        <w:tc>
          <w:tcPr>
            <w:tcW w:w="2080" w:type="dxa"/>
            <w:vAlign w:val="bottom"/>
            <w:gridSpan w:val="2"/>
            <w:vMerge w:val="continue"/>
            <w:shd w:val="clear" w:color="auto" w:fill="1F2668"/>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shd w:val="clear" w:color="auto" w:fill="83AD40"/>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380" w:type="dxa"/>
            <w:vAlign w:val="bottom"/>
            <w:vMerge w:val="restart"/>
          </w:tcPr>
          <w:p>
            <w:pPr>
              <w:ind w:left="80"/>
              <w:spacing w:after="0"/>
              <w:rPr>
                <w:sz w:val="20"/>
                <w:szCs w:val="20"/>
                <w:color w:val="auto"/>
              </w:rPr>
            </w:pPr>
            <w:r>
              <w:rPr>
                <w:rFonts w:ascii="Arial" w:cs="Arial" w:eastAsia="Arial" w:hAnsi="Arial"/>
                <w:sz w:val="16"/>
                <w:szCs w:val="16"/>
                <w:color w:val="auto"/>
              </w:rPr>
              <w:t>2010</w:t>
            </w:r>
          </w:p>
        </w:tc>
        <w:tc>
          <w:tcPr>
            <w:tcW w:w="0" w:type="dxa"/>
            <w:vAlign w:val="bottom"/>
          </w:tcPr>
          <w:p>
            <w:pPr>
              <w:spacing w:after="0"/>
              <w:rPr>
                <w:sz w:val="1"/>
                <w:szCs w:val="1"/>
                <w:color w:val="auto"/>
              </w:rPr>
            </w:pPr>
          </w:p>
        </w:tc>
      </w:tr>
      <w:tr>
        <w:trPr>
          <w:trHeight w:val="87"/>
        </w:trPr>
        <w:tc>
          <w:tcPr>
            <w:tcW w:w="2080" w:type="dxa"/>
            <w:vAlign w:val="bottom"/>
            <w:gridSpan w:val="2"/>
            <w:vMerge w:val="restart"/>
            <w:shd w:val="clear" w:color="auto" w:fill="1F2668"/>
          </w:tcPr>
          <w:p>
            <w:pPr>
              <w:ind w:left="140"/>
              <w:spacing w:after="0"/>
              <w:rPr>
                <w:sz w:val="20"/>
                <w:szCs w:val="20"/>
                <w:color w:val="auto"/>
              </w:rPr>
            </w:pPr>
            <w:r>
              <w:rPr>
                <w:rFonts w:ascii="Arial" w:cs="Arial" w:eastAsia="Arial" w:hAnsi="Arial"/>
                <w:sz w:val="16"/>
                <w:szCs w:val="16"/>
                <w:color w:val="FFFFFF"/>
              </w:rPr>
              <w:t xml:space="preserve">Director Since: </w:t>
            </w:r>
            <w:r>
              <w:rPr>
                <w:rFonts w:ascii="Arial" w:cs="Arial" w:eastAsia="Arial" w:hAnsi="Arial"/>
                <w:sz w:val="16"/>
                <w:szCs w:val="16"/>
                <w:b w:val="1"/>
                <w:bCs w:val="1"/>
                <w:color w:val="FFFFFF"/>
              </w:rPr>
              <w:t>2011</w:t>
            </w:r>
          </w:p>
        </w:tc>
        <w:tc>
          <w:tcPr>
            <w:tcW w:w="80" w:type="dxa"/>
            <w:vAlign w:val="bottom"/>
          </w:tcPr>
          <w:p>
            <w:pPr>
              <w:spacing w:after="0"/>
              <w:rPr>
                <w:sz w:val="7"/>
                <w:szCs w:val="7"/>
                <w:color w:val="auto"/>
              </w:rPr>
            </w:pPr>
          </w:p>
        </w:tc>
        <w:tc>
          <w:tcPr>
            <w:tcW w:w="40" w:type="dxa"/>
            <w:vAlign w:val="bottom"/>
            <w:shd w:val="clear" w:color="auto" w:fill="83AD40"/>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080" w:type="dxa"/>
            <w:vAlign w:val="bottom"/>
            <w:gridSpan w:val="2"/>
            <w:vMerge w:val="continue"/>
            <w:shd w:val="clear" w:color="auto" w:fill="1F2668"/>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shd w:val="clear" w:color="auto" w:fill="83AD40"/>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80" w:type="dxa"/>
            <w:vAlign w:val="bottom"/>
            <w:gridSpan w:val="2"/>
          </w:tcPr>
          <w:p>
            <w:pPr>
              <w:spacing w:after="0"/>
              <w:rPr>
                <w:sz w:val="20"/>
                <w:szCs w:val="20"/>
                <w:color w:val="auto"/>
              </w:rPr>
            </w:pPr>
            <w:r>
              <w:rPr>
                <w:rFonts w:ascii="Arial" w:cs="Arial" w:eastAsia="Arial" w:hAnsi="Arial"/>
                <w:sz w:val="16"/>
                <w:szCs w:val="16"/>
                <w:color w:val="auto"/>
              </w:rPr>
              <w:t>•  Trustee of the New York City School Construction Authority, the agency responsible for</w:t>
            </w:r>
          </w:p>
        </w:tc>
        <w:tc>
          <w:tcPr>
            <w:tcW w:w="0" w:type="dxa"/>
            <w:vAlign w:val="bottom"/>
          </w:tcPr>
          <w:p>
            <w:pPr>
              <w:spacing w:after="0"/>
              <w:rPr>
                <w:sz w:val="1"/>
                <w:szCs w:val="1"/>
                <w:color w:val="auto"/>
              </w:rPr>
            </w:pPr>
          </w:p>
        </w:tc>
      </w:tr>
      <w:tr>
        <w:trPr>
          <w:trHeight w:val="215"/>
        </w:trPr>
        <w:tc>
          <w:tcPr>
            <w:tcW w:w="2080" w:type="dxa"/>
            <w:vAlign w:val="bottom"/>
            <w:gridSpan w:val="2"/>
            <w:vMerge w:val="restart"/>
            <w:shd w:val="clear" w:color="auto" w:fill="1F2668"/>
          </w:tcPr>
          <w:p>
            <w:pPr>
              <w:ind w:left="140"/>
              <w:spacing w:after="0"/>
              <w:rPr>
                <w:sz w:val="20"/>
                <w:szCs w:val="20"/>
                <w:color w:val="auto"/>
              </w:rPr>
            </w:pPr>
            <w:r>
              <w:rPr>
                <w:rFonts w:ascii="Arial" w:cs="Arial" w:eastAsia="Arial" w:hAnsi="Arial"/>
                <w:sz w:val="16"/>
                <w:szCs w:val="16"/>
                <w:color w:val="FFFFFF"/>
              </w:rPr>
              <w:t xml:space="preserve">Age: </w:t>
            </w:r>
            <w:r>
              <w:rPr>
                <w:rFonts w:ascii="Arial" w:cs="Arial" w:eastAsia="Arial" w:hAnsi="Arial"/>
                <w:sz w:val="16"/>
                <w:szCs w:val="16"/>
                <w:b w:val="1"/>
                <w:bCs w:val="1"/>
                <w:color w:val="FFFFFF"/>
              </w:rPr>
              <w:t>71</w:t>
            </w:r>
          </w:p>
        </w:tc>
        <w:tc>
          <w:tcPr>
            <w:tcW w:w="80" w:type="dxa"/>
            <w:vAlign w:val="bottom"/>
          </w:tcPr>
          <w:p>
            <w:pPr>
              <w:spacing w:after="0"/>
              <w:rPr>
                <w:sz w:val="18"/>
                <w:szCs w:val="18"/>
                <w:color w:val="auto"/>
              </w:rPr>
            </w:pPr>
          </w:p>
        </w:tc>
        <w:tc>
          <w:tcPr>
            <w:tcW w:w="40" w:type="dxa"/>
            <w:vAlign w:val="bottom"/>
            <w:shd w:val="clear" w:color="auto" w:fill="83AD40"/>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Arial" w:cs="Arial" w:eastAsia="Arial" w:hAnsi="Arial"/>
                <w:sz w:val="16"/>
                <w:szCs w:val="16"/>
                <w:color w:val="auto"/>
              </w:rPr>
              <w:t>the construction of all public schools in New York City, from 2002 to 2005</w:t>
            </w:r>
          </w:p>
        </w:tc>
        <w:tc>
          <w:tcPr>
            <w:tcW w:w="0" w:type="dxa"/>
            <w:vAlign w:val="bottom"/>
          </w:tcPr>
          <w:p>
            <w:pPr>
              <w:spacing w:after="0"/>
              <w:rPr>
                <w:sz w:val="1"/>
                <w:szCs w:val="1"/>
                <w:color w:val="auto"/>
              </w:rPr>
            </w:pPr>
          </w:p>
        </w:tc>
      </w:tr>
      <w:tr>
        <w:trPr>
          <w:trHeight w:val="103"/>
        </w:trPr>
        <w:tc>
          <w:tcPr>
            <w:tcW w:w="2080" w:type="dxa"/>
            <w:vAlign w:val="bottom"/>
            <w:gridSpan w:val="2"/>
            <w:vMerge w:val="continue"/>
            <w:shd w:val="clear" w:color="auto" w:fill="1F2668"/>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shd w:val="clear" w:color="auto" w:fill="83AD40"/>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80" w:type="dxa"/>
            <w:vAlign w:val="bottom"/>
            <w:gridSpan w:val="2"/>
            <w:vMerge w:val="restart"/>
          </w:tcPr>
          <w:p>
            <w:pPr>
              <w:spacing w:after="0"/>
              <w:rPr>
                <w:sz w:val="20"/>
                <w:szCs w:val="20"/>
                <w:color w:val="auto"/>
              </w:rPr>
            </w:pPr>
            <w:r>
              <w:rPr>
                <w:rFonts w:ascii="Arial" w:cs="Arial" w:eastAsia="Arial" w:hAnsi="Arial"/>
                <w:sz w:val="16"/>
                <w:szCs w:val="16"/>
                <w:color w:val="auto"/>
              </w:rPr>
              <w:t>•  Founder and a managing partner of Victor Capital Group, L.P. from 1989 until its</w:t>
            </w:r>
          </w:p>
        </w:tc>
        <w:tc>
          <w:tcPr>
            <w:tcW w:w="0" w:type="dxa"/>
            <w:vAlign w:val="bottom"/>
          </w:tcPr>
          <w:p>
            <w:pPr>
              <w:spacing w:after="0"/>
              <w:rPr>
                <w:sz w:val="1"/>
                <w:szCs w:val="1"/>
                <w:color w:val="auto"/>
              </w:rPr>
            </w:pPr>
          </w:p>
        </w:tc>
      </w:tr>
      <w:tr>
        <w:trPr>
          <w:trHeight w:val="88"/>
        </w:trPr>
        <w:tc>
          <w:tcPr>
            <w:tcW w:w="200" w:type="dxa"/>
            <w:vAlign w:val="bottom"/>
            <w:tcBorders>
              <w:right w:val="single" w:sz="8" w:color="1F2668"/>
            </w:tcBorders>
            <w:shd w:val="clear" w:color="auto" w:fill="1F2668"/>
          </w:tcPr>
          <w:p>
            <w:pPr>
              <w:spacing w:after="0"/>
              <w:rPr>
                <w:sz w:val="7"/>
                <w:szCs w:val="7"/>
                <w:color w:val="auto"/>
              </w:rPr>
            </w:pPr>
          </w:p>
        </w:tc>
        <w:tc>
          <w:tcPr>
            <w:tcW w:w="1880" w:type="dxa"/>
            <w:vAlign w:val="bottom"/>
            <w:shd w:val="clear" w:color="auto" w:fill="1F2668"/>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shd w:val="clear" w:color="auto" w:fill="83AD40"/>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80" w:type="dxa"/>
            <w:vAlign w:val="bottom"/>
            <w:gridSpan w:val="2"/>
            <w:shd w:val="clear" w:color="auto" w:fill="1F2668"/>
          </w:tcPr>
          <w:p>
            <w:pPr>
              <w:ind w:left="140"/>
              <w:spacing w:after="0"/>
              <w:rPr>
                <w:sz w:val="20"/>
                <w:szCs w:val="20"/>
                <w:color w:val="auto"/>
              </w:rPr>
            </w:pPr>
            <w:r>
              <w:rPr>
                <w:rFonts w:ascii="Arial" w:cs="Arial" w:eastAsia="Arial" w:hAnsi="Arial"/>
                <w:sz w:val="16"/>
                <w:szCs w:val="16"/>
                <w:color w:val="FFFFFF"/>
              </w:rPr>
              <w:t>SL Green</w:t>
            </w:r>
          </w:p>
        </w:tc>
        <w:tc>
          <w:tcPr>
            <w:tcW w:w="80" w:type="dxa"/>
            <w:vAlign w:val="bottom"/>
          </w:tcPr>
          <w:p>
            <w:pPr>
              <w:spacing w:after="0"/>
              <w:rPr>
                <w:sz w:val="17"/>
                <w:szCs w:val="17"/>
                <w:color w:val="auto"/>
              </w:rPr>
            </w:pPr>
          </w:p>
        </w:tc>
        <w:tc>
          <w:tcPr>
            <w:tcW w:w="40" w:type="dxa"/>
            <w:vAlign w:val="bottom"/>
            <w:shd w:val="clear" w:color="auto" w:fill="83AD40"/>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380" w:type="dxa"/>
            <w:vAlign w:val="bottom"/>
          </w:tcPr>
          <w:p>
            <w:pPr>
              <w:ind w:left="80"/>
              <w:spacing w:after="0"/>
              <w:rPr>
                <w:sz w:val="20"/>
                <w:szCs w:val="20"/>
                <w:color w:val="auto"/>
              </w:rPr>
            </w:pPr>
            <w:r>
              <w:rPr>
                <w:rFonts w:ascii="Arial" w:cs="Arial" w:eastAsia="Arial" w:hAnsi="Arial"/>
                <w:sz w:val="16"/>
                <w:szCs w:val="16"/>
                <w:color w:val="auto"/>
              </w:rPr>
              <w:t>acquisition by Capital Trust, Inc. in 1997</w:t>
            </w: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1F2668"/>
          </w:tcPr>
          <w:p>
            <w:pPr>
              <w:ind w:left="140"/>
              <w:spacing w:after="0"/>
              <w:rPr>
                <w:sz w:val="20"/>
                <w:szCs w:val="20"/>
                <w:color w:val="auto"/>
              </w:rPr>
            </w:pPr>
            <w:r>
              <w:rPr>
                <w:rFonts w:ascii="Arial" w:cs="Arial" w:eastAsia="Arial" w:hAnsi="Arial"/>
                <w:sz w:val="16"/>
                <w:szCs w:val="16"/>
                <w:color w:val="FFFFFF"/>
              </w:rPr>
              <w:t>Board Service:</w:t>
            </w:r>
          </w:p>
        </w:tc>
        <w:tc>
          <w:tcPr>
            <w:tcW w:w="80" w:type="dxa"/>
            <w:vAlign w:val="bottom"/>
          </w:tcPr>
          <w:p>
            <w:pPr>
              <w:spacing w:after="0"/>
              <w:rPr>
                <w:sz w:val="18"/>
                <w:szCs w:val="18"/>
                <w:color w:val="auto"/>
              </w:rPr>
            </w:pPr>
          </w:p>
        </w:tc>
        <w:tc>
          <w:tcPr>
            <w:tcW w:w="40" w:type="dxa"/>
            <w:vAlign w:val="bottom"/>
            <w:shd w:val="clear" w:color="auto" w:fill="83AD40"/>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6"/>
                <w:szCs w:val="16"/>
                <w:color w:val="auto"/>
              </w:rPr>
              <w:t>•  Former co-head of the real estate investment banking unit at Chemical Bank, where he</w:t>
            </w:r>
          </w:p>
        </w:tc>
        <w:tc>
          <w:tcPr>
            <w:tcW w:w="0" w:type="dxa"/>
            <w:vAlign w:val="bottom"/>
          </w:tcPr>
          <w:p>
            <w:pPr>
              <w:spacing w:after="0"/>
              <w:rPr>
                <w:sz w:val="1"/>
                <w:szCs w:val="1"/>
                <w:color w:val="auto"/>
              </w:rPr>
            </w:pPr>
          </w:p>
        </w:tc>
      </w:tr>
      <w:tr>
        <w:trPr>
          <w:trHeight w:val="215"/>
        </w:trPr>
        <w:tc>
          <w:tcPr>
            <w:tcW w:w="200" w:type="dxa"/>
            <w:vAlign w:val="bottom"/>
            <w:tcBorders>
              <w:right w:val="single" w:sz="8" w:color="1F2668"/>
            </w:tcBorders>
            <w:vMerge w:val="restart"/>
            <w:shd w:val="clear" w:color="auto" w:fill="1F2668"/>
          </w:tcPr>
          <w:p>
            <w:pPr>
              <w:ind w:left="140"/>
              <w:spacing w:after="0"/>
              <w:rPr>
                <w:sz w:val="20"/>
                <w:szCs w:val="20"/>
                <w:color w:val="auto"/>
              </w:rPr>
            </w:pPr>
            <w:r>
              <w:rPr>
                <w:rFonts w:ascii="Arial" w:cs="Arial" w:eastAsia="Arial" w:hAnsi="Arial"/>
                <w:sz w:val="7"/>
                <w:szCs w:val="7"/>
                <w:color w:val="FFFFFF"/>
                <w:w w:val="79"/>
              </w:rPr>
              <w:t>•</w:t>
            </w:r>
          </w:p>
        </w:tc>
        <w:tc>
          <w:tcPr>
            <w:tcW w:w="1880" w:type="dxa"/>
            <w:vAlign w:val="bottom"/>
            <w:vMerge w:val="restart"/>
            <w:shd w:val="clear" w:color="auto" w:fill="1F2668"/>
          </w:tcPr>
          <w:p>
            <w:pPr>
              <w:ind w:left="100"/>
              <w:spacing w:after="0"/>
              <w:rPr>
                <w:sz w:val="20"/>
                <w:szCs w:val="20"/>
                <w:color w:val="auto"/>
              </w:rPr>
            </w:pPr>
            <w:r>
              <w:rPr>
                <w:rFonts w:ascii="Arial" w:cs="Arial" w:eastAsia="Arial" w:hAnsi="Arial"/>
                <w:sz w:val="16"/>
                <w:szCs w:val="16"/>
                <w:b w:val="1"/>
                <w:bCs w:val="1"/>
                <w:color w:val="FFFFFF"/>
              </w:rPr>
              <w:t>Audit Committee</w:t>
            </w:r>
          </w:p>
        </w:tc>
        <w:tc>
          <w:tcPr>
            <w:tcW w:w="80" w:type="dxa"/>
            <w:vAlign w:val="bottom"/>
          </w:tcPr>
          <w:p>
            <w:pPr>
              <w:spacing w:after="0"/>
              <w:rPr>
                <w:sz w:val="18"/>
                <w:szCs w:val="18"/>
                <w:color w:val="auto"/>
              </w:rPr>
            </w:pPr>
          </w:p>
        </w:tc>
        <w:tc>
          <w:tcPr>
            <w:tcW w:w="40" w:type="dxa"/>
            <w:vAlign w:val="bottom"/>
            <w:shd w:val="clear" w:color="auto" w:fill="83AD40"/>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Arial" w:cs="Arial" w:eastAsia="Arial" w:hAnsi="Arial"/>
                <w:sz w:val="16"/>
                <w:szCs w:val="16"/>
                <w:color w:val="auto"/>
              </w:rPr>
              <w:t>was a pioneer in commercial mortgage securitization</w:t>
            </w:r>
          </w:p>
        </w:tc>
        <w:tc>
          <w:tcPr>
            <w:tcW w:w="0" w:type="dxa"/>
            <w:vAlign w:val="bottom"/>
          </w:tcPr>
          <w:p>
            <w:pPr>
              <w:spacing w:after="0"/>
              <w:rPr>
                <w:sz w:val="1"/>
                <w:szCs w:val="1"/>
                <w:color w:val="auto"/>
              </w:rPr>
            </w:pPr>
          </w:p>
        </w:tc>
      </w:tr>
      <w:tr>
        <w:trPr>
          <w:trHeight w:val="130"/>
        </w:trPr>
        <w:tc>
          <w:tcPr>
            <w:tcW w:w="200" w:type="dxa"/>
            <w:vAlign w:val="bottom"/>
            <w:tcBorders>
              <w:right w:val="single" w:sz="8" w:color="1F2668"/>
            </w:tcBorders>
            <w:vMerge w:val="continue"/>
            <w:shd w:val="clear" w:color="auto" w:fill="1F2668"/>
          </w:tcPr>
          <w:p>
            <w:pPr>
              <w:spacing w:after="0"/>
              <w:rPr>
                <w:sz w:val="11"/>
                <w:szCs w:val="11"/>
                <w:color w:val="auto"/>
              </w:rPr>
            </w:pPr>
          </w:p>
        </w:tc>
        <w:tc>
          <w:tcPr>
            <w:tcW w:w="1880" w:type="dxa"/>
            <w:vAlign w:val="bottom"/>
            <w:vMerge w:val="continue"/>
            <w:shd w:val="clear" w:color="auto" w:fill="1F2668"/>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shd w:val="clear" w:color="auto" w:fill="83AD40"/>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80" w:type="dxa"/>
            <w:vAlign w:val="bottom"/>
            <w:gridSpan w:val="2"/>
            <w:vMerge w:val="restart"/>
          </w:tcPr>
          <w:p>
            <w:pPr>
              <w:spacing w:after="0"/>
              <w:rPr>
                <w:sz w:val="20"/>
                <w:szCs w:val="20"/>
                <w:color w:val="auto"/>
              </w:rPr>
            </w:pPr>
            <w:r>
              <w:rPr>
                <w:rFonts w:ascii="Arial" w:cs="Arial" w:eastAsia="Arial" w:hAnsi="Arial"/>
                <w:sz w:val="16"/>
                <w:szCs w:val="16"/>
                <w:color w:val="auto"/>
                <w:w w:val="99"/>
              </w:rPr>
              <w:t>•  Co-founder of the Tribeca Film Festival; Chairman of Turtle Pond Publications LLC, which</w:t>
            </w:r>
          </w:p>
        </w:tc>
        <w:tc>
          <w:tcPr>
            <w:tcW w:w="0" w:type="dxa"/>
            <w:vAlign w:val="bottom"/>
          </w:tcPr>
          <w:p>
            <w:pPr>
              <w:spacing w:after="0"/>
              <w:rPr>
                <w:sz w:val="1"/>
                <w:szCs w:val="1"/>
                <w:color w:val="auto"/>
              </w:rPr>
            </w:pPr>
          </w:p>
        </w:tc>
      </w:tr>
      <w:tr>
        <w:trPr>
          <w:trHeight w:val="74"/>
        </w:trPr>
        <w:tc>
          <w:tcPr>
            <w:tcW w:w="200" w:type="dxa"/>
            <w:vAlign w:val="bottom"/>
            <w:tcBorders>
              <w:right w:val="single" w:sz="8" w:color="1F2668"/>
            </w:tcBorders>
            <w:vMerge w:val="restart"/>
            <w:shd w:val="clear" w:color="auto" w:fill="1F2668"/>
          </w:tcPr>
          <w:p>
            <w:pPr>
              <w:ind w:left="140"/>
              <w:spacing w:after="0"/>
              <w:rPr>
                <w:sz w:val="20"/>
                <w:szCs w:val="20"/>
                <w:color w:val="auto"/>
              </w:rPr>
            </w:pPr>
            <w:r>
              <w:rPr>
                <w:rFonts w:ascii="Arial" w:cs="Arial" w:eastAsia="Arial" w:hAnsi="Arial"/>
                <w:sz w:val="7"/>
                <w:szCs w:val="7"/>
                <w:color w:val="FFFFFF"/>
                <w:w w:val="79"/>
              </w:rPr>
              <w:t>•</w:t>
            </w:r>
          </w:p>
        </w:tc>
        <w:tc>
          <w:tcPr>
            <w:tcW w:w="1880" w:type="dxa"/>
            <w:vAlign w:val="bottom"/>
            <w:vMerge w:val="restart"/>
            <w:shd w:val="clear" w:color="auto" w:fill="1F2668"/>
          </w:tcPr>
          <w:p>
            <w:pPr>
              <w:ind w:left="100"/>
              <w:spacing w:after="0"/>
              <w:rPr>
                <w:sz w:val="20"/>
                <w:szCs w:val="20"/>
                <w:color w:val="auto"/>
              </w:rPr>
            </w:pPr>
            <w:r>
              <w:rPr>
                <w:rFonts w:ascii="Arial" w:cs="Arial" w:eastAsia="Arial" w:hAnsi="Arial"/>
                <w:sz w:val="16"/>
                <w:szCs w:val="16"/>
                <w:b w:val="1"/>
                <w:bCs w:val="1"/>
                <w:color w:val="FFFFFF"/>
              </w:rPr>
              <w:t>Nominating and</w:t>
            </w:r>
          </w:p>
        </w:tc>
        <w:tc>
          <w:tcPr>
            <w:tcW w:w="80" w:type="dxa"/>
            <w:vAlign w:val="bottom"/>
          </w:tcPr>
          <w:p>
            <w:pPr>
              <w:spacing w:after="0"/>
              <w:rPr>
                <w:sz w:val="6"/>
                <w:szCs w:val="6"/>
                <w:color w:val="auto"/>
              </w:rPr>
            </w:pPr>
          </w:p>
        </w:tc>
        <w:tc>
          <w:tcPr>
            <w:tcW w:w="40" w:type="dxa"/>
            <w:vAlign w:val="bottom"/>
            <w:shd w:val="clear" w:color="auto" w:fill="83AD40"/>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4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0" w:type="dxa"/>
            <w:vAlign w:val="bottom"/>
            <w:tcBorders>
              <w:right w:val="single" w:sz="8" w:color="1F2668"/>
            </w:tcBorders>
            <w:vMerge w:val="continue"/>
            <w:shd w:val="clear" w:color="auto" w:fill="1F2668"/>
          </w:tcPr>
          <w:p>
            <w:pPr>
              <w:spacing w:after="0"/>
              <w:rPr>
                <w:sz w:val="14"/>
                <w:szCs w:val="14"/>
                <w:color w:val="auto"/>
              </w:rPr>
            </w:pPr>
          </w:p>
        </w:tc>
        <w:tc>
          <w:tcPr>
            <w:tcW w:w="1880" w:type="dxa"/>
            <w:vAlign w:val="bottom"/>
            <w:vMerge w:val="continue"/>
            <w:shd w:val="clear" w:color="auto" w:fill="1F2668"/>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shd w:val="clear" w:color="auto" w:fill="83AD40"/>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380" w:type="dxa"/>
            <w:vAlign w:val="bottom"/>
          </w:tcPr>
          <w:p>
            <w:pPr>
              <w:ind w:left="80"/>
              <w:spacing w:after="0" w:line="163" w:lineRule="exact"/>
              <w:rPr>
                <w:sz w:val="20"/>
                <w:szCs w:val="20"/>
                <w:color w:val="auto"/>
              </w:rPr>
            </w:pPr>
            <w:r>
              <w:rPr>
                <w:rFonts w:ascii="Arial" w:cs="Arial" w:eastAsia="Arial" w:hAnsi="Arial"/>
                <w:sz w:val="16"/>
                <w:szCs w:val="16"/>
                <w:color w:val="auto"/>
              </w:rPr>
              <w:t>is active in children’s publishing and entertainment, and private investor in other</w:t>
            </w:r>
          </w:p>
        </w:tc>
        <w:tc>
          <w:tcPr>
            <w:tcW w:w="0" w:type="dxa"/>
            <w:vAlign w:val="bottom"/>
          </w:tcPr>
          <w:p>
            <w:pPr>
              <w:spacing w:after="0"/>
              <w:rPr>
                <w:sz w:val="1"/>
                <w:szCs w:val="1"/>
                <w:color w:val="auto"/>
              </w:rPr>
            </w:pPr>
          </w:p>
        </w:tc>
      </w:tr>
      <w:tr>
        <w:trPr>
          <w:trHeight w:val="202"/>
        </w:trPr>
        <w:tc>
          <w:tcPr>
            <w:tcW w:w="200" w:type="dxa"/>
            <w:vAlign w:val="bottom"/>
            <w:tcBorders>
              <w:right w:val="single" w:sz="8" w:color="1F2668"/>
            </w:tcBorders>
            <w:shd w:val="clear" w:color="auto" w:fill="1F2668"/>
          </w:tcPr>
          <w:p>
            <w:pPr>
              <w:spacing w:after="0"/>
              <w:rPr>
                <w:sz w:val="17"/>
                <w:szCs w:val="17"/>
                <w:color w:val="auto"/>
              </w:rPr>
            </w:pPr>
          </w:p>
        </w:tc>
        <w:tc>
          <w:tcPr>
            <w:tcW w:w="1880" w:type="dxa"/>
            <w:vAlign w:val="bottom"/>
            <w:shd w:val="clear" w:color="auto" w:fill="1F2668"/>
          </w:tcPr>
          <w:p>
            <w:pPr>
              <w:ind w:left="100"/>
              <w:spacing w:after="0"/>
              <w:rPr>
                <w:sz w:val="20"/>
                <w:szCs w:val="20"/>
                <w:color w:val="auto"/>
              </w:rPr>
            </w:pPr>
            <w:r>
              <w:rPr>
                <w:rFonts w:ascii="Arial" w:cs="Arial" w:eastAsia="Arial" w:hAnsi="Arial"/>
                <w:sz w:val="16"/>
                <w:szCs w:val="16"/>
                <w:b w:val="1"/>
                <w:bCs w:val="1"/>
                <w:color w:val="FFFFFF"/>
              </w:rPr>
              <w:t>Corporate</w:t>
            </w:r>
          </w:p>
        </w:tc>
        <w:tc>
          <w:tcPr>
            <w:tcW w:w="80" w:type="dxa"/>
            <w:vAlign w:val="bottom"/>
          </w:tcPr>
          <w:p>
            <w:pPr>
              <w:spacing w:after="0"/>
              <w:rPr>
                <w:sz w:val="17"/>
                <w:szCs w:val="17"/>
                <w:color w:val="auto"/>
              </w:rPr>
            </w:pPr>
          </w:p>
        </w:tc>
        <w:tc>
          <w:tcPr>
            <w:tcW w:w="40" w:type="dxa"/>
            <w:vAlign w:val="bottom"/>
            <w:shd w:val="clear" w:color="auto" w:fill="83AD40"/>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380" w:type="dxa"/>
            <w:vAlign w:val="bottom"/>
          </w:tcPr>
          <w:p>
            <w:pPr>
              <w:ind w:left="80"/>
              <w:spacing w:after="0"/>
              <w:rPr>
                <w:sz w:val="20"/>
                <w:szCs w:val="20"/>
                <w:color w:val="auto"/>
              </w:rPr>
            </w:pPr>
            <w:r>
              <w:rPr>
                <w:rFonts w:ascii="Arial" w:cs="Arial" w:eastAsia="Arial" w:hAnsi="Arial"/>
                <w:sz w:val="16"/>
                <w:szCs w:val="16"/>
                <w:color w:val="auto"/>
              </w:rPr>
              <w:t>entrepreneurial ventures</w:t>
            </w:r>
          </w:p>
        </w:tc>
        <w:tc>
          <w:tcPr>
            <w:tcW w:w="0" w:type="dxa"/>
            <w:vAlign w:val="bottom"/>
          </w:tcPr>
          <w:p>
            <w:pPr>
              <w:spacing w:after="0"/>
              <w:rPr>
                <w:sz w:val="1"/>
                <w:szCs w:val="1"/>
                <w:color w:val="auto"/>
              </w:rPr>
            </w:pPr>
          </w:p>
        </w:tc>
      </w:tr>
      <w:tr>
        <w:trPr>
          <w:trHeight w:val="203"/>
        </w:trPr>
        <w:tc>
          <w:tcPr>
            <w:tcW w:w="200" w:type="dxa"/>
            <w:vAlign w:val="bottom"/>
            <w:tcBorders>
              <w:right w:val="single" w:sz="8" w:color="1F2668"/>
            </w:tcBorders>
            <w:shd w:val="clear" w:color="auto" w:fill="1F2668"/>
          </w:tcPr>
          <w:p>
            <w:pPr>
              <w:spacing w:after="0"/>
              <w:rPr>
                <w:sz w:val="17"/>
                <w:szCs w:val="17"/>
                <w:color w:val="auto"/>
              </w:rPr>
            </w:pPr>
          </w:p>
        </w:tc>
        <w:tc>
          <w:tcPr>
            <w:tcW w:w="1880" w:type="dxa"/>
            <w:vAlign w:val="bottom"/>
            <w:shd w:val="clear" w:color="auto" w:fill="1F2668"/>
          </w:tcPr>
          <w:p>
            <w:pPr>
              <w:ind w:left="100"/>
              <w:spacing w:after="0"/>
              <w:rPr>
                <w:sz w:val="20"/>
                <w:szCs w:val="20"/>
                <w:color w:val="auto"/>
              </w:rPr>
            </w:pPr>
            <w:r>
              <w:rPr>
                <w:rFonts w:ascii="Arial" w:cs="Arial" w:eastAsia="Arial" w:hAnsi="Arial"/>
                <w:sz w:val="16"/>
                <w:szCs w:val="16"/>
                <w:b w:val="1"/>
                <w:bCs w:val="1"/>
                <w:color w:val="FFFFFF"/>
              </w:rPr>
              <w:t>Governance</w:t>
            </w:r>
          </w:p>
        </w:tc>
        <w:tc>
          <w:tcPr>
            <w:tcW w:w="80" w:type="dxa"/>
            <w:vAlign w:val="bottom"/>
          </w:tcPr>
          <w:p>
            <w:pPr>
              <w:spacing w:after="0"/>
              <w:rPr>
                <w:sz w:val="17"/>
                <w:szCs w:val="17"/>
                <w:color w:val="auto"/>
              </w:rPr>
            </w:pPr>
          </w:p>
        </w:tc>
        <w:tc>
          <w:tcPr>
            <w:tcW w:w="40" w:type="dxa"/>
            <w:vAlign w:val="bottom"/>
            <w:shd w:val="clear" w:color="auto" w:fill="83AD40"/>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6380" w:type="dxa"/>
            <w:vAlign w:val="bottom"/>
          </w:tcPr>
          <w:p>
            <w:pPr>
              <w:ind w:left="80"/>
              <w:spacing w:after="0"/>
              <w:rPr>
                <w:sz w:val="20"/>
                <w:szCs w:val="20"/>
                <w:color w:val="auto"/>
              </w:rPr>
            </w:pPr>
            <w:r>
              <w:rPr>
                <w:rFonts w:ascii="Arial" w:cs="Arial" w:eastAsia="Arial" w:hAnsi="Arial"/>
                <w:sz w:val="16"/>
                <w:szCs w:val="16"/>
                <w:color w:val="auto"/>
              </w:rPr>
              <w:t>Adjunct Professor at Columbia Business School</w:t>
            </w:r>
          </w:p>
        </w:tc>
        <w:tc>
          <w:tcPr>
            <w:tcW w:w="0" w:type="dxa"/>
            <w:vAlign w:val="bottom"/>
          </w:tcPr>
          <w:p>
            <w:pPr>
              <w:spacing w:after="0"/>
              <w:rPr>
                <w:sz w:val="1"/>
                <w:szCs w:val="1"/>
                <w:color w:val="auto"/>
              </w:rPr>
            </w:pPr>
          </w:p>
        </w:tc>
      </w:tr>
      <w:tr>
        <w:trPr>
          <w:trHeight w:val="223"/>
        </w:trPr>
        <w:tc>
          <w:tcPr>
            <w:tcW w:w="200" w:type="dxa"/>
            <w:vAlign w:val="bottom"/>
            <w:tcBorders>
              <w:right w:val="single" w:sz="8" w:color="1F2668"/>
            </w:tcBorders>
            <w:shd w:val="clear" w:color="auto" w:fill="1F2668"/>
          </w:tcPr>
          <w:p>
            <w:pPr>
              <w:spacing w:after="0"/>
              <w:rPr>
                <w:sz w:val="19"/>
                <w:szCs w:val="19"/>
                <w:color w:val="auto"/>
              </w:rPr>
            </w:pPr>
          </w:p>
        </w:tc>
        <w:tc>
          <w:tcPr>
            <w:tcW w:w="1880" w:type="dxa"/>
            <w:vAlign w:val="bottom"/>
            <w:shd w:val="clear" w:color="auto" w:fill="1F2668"/>
          </w:tcPr>
          <w:p>
            <w:pPr>
              <w:ind w:left="100"/>
              <w:spacing w:after="0"/>
              <w:rPr>
                <w:sz w:val="20"/>
                <w:szCs w:val="20"/>
                <w:color w:val="auto"/>
              </w:rPr>
            </w:pPr>
            <w:r>
              <w:rPr>
                <w:rFonts w:ascii="Arial" w:cs="Arial" w:eastAsia="Arial" w:hAnsi="Arial"/>
                <w:sz w:val="16"/>
                <w:szCs w:val="16"/>
                <w:b w:val="1"/>
                <w:bCs w:val="1"/>
                <w:color w:val="FFFFFF"/>
              </w:rPr>
              <w:t>Committee, Chair</w:t>
            </w:r>
          </w:p>
        </w:tc>
        <w:tc>
          <w:tcPr>
            <w:tcW w:w="80" w:type="dxa"/>
            <w:vAlign w:val="bottom"/>
          </w:tcPr>
          <w:p>
            <w:pPr>
              <w:spacing w:after="0"/>
              <w:rPr>
                <w:sz w:val="19"/>
                <w:szCs w:val="19"/>
                <w:color w:val="auto"/>
              </w:rPr>
            </w:pPr>
          </w:p>
        </w:tc>
        <w:tc>
          <w:tcPr>
            <w:tcW w:w="40" w:type="dxa"/>
            <w:vAlign w:val="bottom"/>
            <w:shd w:val="clear" w:color="auto" w:fill="83AD40"/>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80" w:type="dxa"/>
            <w:vAlign w:val="bottom"/>
            <w:gridSpan w:val="2"/>
            <w:vMerge w:val="restart"/>
          </w:tcPr>
          <w:p>
            <w:pPr>
              <w:spacing w:after="0"/>
              <w:rPr>
                <w:sz w:val="20"/>
                <w:szCs w:val="20"/>
                <w:color w:val="auto"/>
              </w:rPr>
            </w:pPr>
            <w:r>
              <w:rPr>
                <w:rFonts w:ascii="Arial" w:cs="Arial" w:eastAsia="Arial" w:hAnsi="Arial"/>
                <w:sz w:val="16"/>
                <w:szCs w:val="16"/>
                <w:color w:val="auto"/>
              </w:rPr>
              <w:t>•  Colgate University Entrepreneur of the Year (2024)</w:t>
            </w:r>
          </w:p>
        </w:tc>
        <w:tc>
          <w:tcPr>
            <w:tcW w:w="0" w:type="dxa"/>
            <w:vAlign w:val="bottom"/>
          </w:tcPr>
          <w:p>
            <w:pPr>
              <w:spacing w:after="0"/>
              <w:rPr>
                <w:sz w:val="1"/>
                <w:szCs w:val="1"/>
                <w:color w:val="auto"/>
              </w:rPr>
            </w:pPr>
          </w:p>
        </w:tc>
      </w:tr>
      <w:tr>
        <w:trPr>
          <w:trHeight w:val="59"/>
        </w:trPr>
        <w:tc>
          <w:tcPr>
            <w:tcW w:w="200" w:type="dxa"/>
            <w:vAlign w:val="bottom"/>
            <w:tcBorders>
              <w:right w:val="single" w:sz="8" w:color="1F2668"/>
            </w:tcBorders>
            <w:shd w:val="clear" w:color="auto" w:fill="1F2668"/>
          </w:tcPr>
          <w:p>
            <w:pPr>
              <w:spacing w:after="0"/>
              <w:rPr>
                <w:sz w:val="5"/>
                <w:szCs w:val="5"/>
                <w:color w:val="auto"/>
              </w:rPr>
            </w:pPr>
          </w:p>
        </w:tc>
        <w:tc>
          <w:tcPr>
            <w:tcW w:w="1880" w:type="dxa"/>
            <w:vAlign w:val="bottom"/>
            <w:shd w:val="clear" w:color="auto" w:fill="1F2668"/>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shd w:val="clear" w:color="auto" w:fill="83AD40"/>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200" w:type="dxa"/>
            <w:vAlign w:val="bottom"/>
            <w:tcBorders>
              <w:right w:val="single" w:sz="8" w:color="1F2668"/>
            </w:tcBorders>
            <w:shd w:val="clear" w:color="auto" w:fill="1F2668"/>
          </w:tcPr>
          <w:p>
            <w:pPr>
              <w:spacing w:after="0"/>
              <w:rPr>
                <w:sz w:val="15"/>
                <w:szCs w:val="15"/>
                <w:color w:val="auto"/>
              </w:rPr>
            </w:pPr>
          </w:p>
        </w:tc>
        <w:tc>
          <w:tcPr>
            <w:tcW w:w="1880" w:type="dxa"/>
            <w:vAlign w:val="bottom"/>
            <w:shd w:val="clear" w:color="auto" w:fill="1F2668"/>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83AD40"/>
            </w:tcBorders>
            <w:shd w:val="clear" w:color="auto" w:fill="83AD40"/>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80" w:type="dxa"/>
            <w:vAlign w:val="bottom"/>
            <w:gridSpan w:val="2"/>
          </w:tcPr>
          <w:p>
            <w:pPr>
              <w:spacing w:after="0"/>
              <w:rPr>
                <w:sz w:val="20"/>
                <w:szCs w:val="20"/>
                <w:color w:val="auto"/>
              </w:rPr>
            </w:pPr>
            <w:r>
              <w:rPr>
                <w:rFonts w:ascii="Arial" w:cs="Arial" w:eastAsia="Arial" w:hAnsi="Arial"/>
                <w:sz w:val="16"/>
                <w:szCs w:val="16"/>
                <w:color w:val="auto"/>
              </w:rPr>
              <w:t>•  Other Current or Previous Non-Profit Directorships: Sesame Workshop; Rock &amp; Roll Hall</w:t>
            </w:r>
          </w:p>
        </w:tc>
        <w:tc>
          <w:tcPr>
            <w:tcW w:w="0" w:type="dxa"/>
            <w:vAlign w:val="bottom"/>
          </w:tcPr>
          <w:p>
            <w:pPr>
              <w:spacing w:after="0"/>
              <w:rPr>
                <w:sz w:val="1"/>
                <w:szCs w:val="1"/>
                <w:color w:val="auto"/>
              </w:rPr>
            </w:pPr>
          </w:p>
        </w:tc>
      </w:tr>
      <w:tr>
        <w:trPr>
          <w:trHeight w:val="175"/>
        </w:trPr>
        <w:tc>
          <w:tcPr>
            <w:tcW w:w="200" w:type="dxa"/>
            <w:vAlign w:val="bottom"/>
            <w:tcBorders>
              <w:right w:val="single" w:sz="8" w:color="83AD40"/>
            </w:tcBorders>
          </w:tcPr>
          <w:p>
            <w:pPr>
              <w:spacing w:after="0"/>
              <w:rPr>
                <w:sz w:val="15"/>
                <w:szCs w:val="15"/>
                <w:color w:val="auto"/>
              </w:rPr>
            </w:pPr>
          </w:p>
        </w:tc>
        <w:tc>
          <w:tcPr>
            <w:tcW w:w="1880" w:type="dxa"/>
            <w:vAlign w:val="bottom"/>
          </w:tcPr>
          <w:p>
            <w:pPr>
              <w:spacing w:after="0" w:line="175" w:lineRule="exact"/>
              <w:rPr>
                <w:sz w:val="20"/>
                <w:szCs w:val="20"/>
                <w:color w:val="auto"/>
              </w:rPr>
            </w:pPr>
            <w:r>
              <w:rPr>
                <w:rFonts w:ascii="Arial" w:cs="Arial" w:eastAsia="Arial" w:hAnsi="Arial"/>
                <w:sz w:val="19"/>
                <w:szCs w:val="19"/>
                <w:color w:val="auto"/>
              </w:rPr>
              <w:t>​</w:t>
            </w:r>
          </w:p>
        </w:tc>
        <w:tc>
          <w:tcPr>
            <w:tcW w:w="80" w:type="dxa"/>
            <w:vAlign w:val="bottom"/>
          </w:tcPr>
          <w:p>
            <w:pPr>
              <w:spacing w:after="0"/>
              <w:rPr>
                <w:sz w:val="15"/>
                <w:szCs w:val="15"/>
                <w:color w:val="auto"/>
              </w:rPr>
            </w:pPr>
          </w:p>
        </w:tc>
        <w:tc>
          <w:tcPr>
            <w:tcW w:w="40" w:type="dxa"/>
            <w:vAlign w:val="bottom"/>
            <w:shd w:val="clear" w:color="auto" w:fill="83AD40"/>
          </w:tcPr>
          <w:p>
            <w:pPr>
              <w:spacing w:after="0" w:line="175" w:lineRule="exact"/>
              <w:rPr>
                <w:sz w:val="20"/>
                <w:szCs w:val="20"/>
                <w:color w:val="auto"/>
              </w:rPr>
            </w:pPr>
            <w:r>
              <w:rPr>
                <w:rFonts w:ascii="Arial" w:cs="Arial" w:eastAsia="Arial" w:hAnsi="Arial"/>
                <w:sz w:val="19"/>
                <w:szCs w:val="19"/>
                <w:color w:val="auto"/>
              </w:rPr>
              <w:t>​</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380" w:type="dxa"/>
            <w:vAlign w:val="bottom"/>
          </w:tcPr>
          <w:p>
            <w:pPr>
              <w:ind w:left="80"/>
              <w:spacing w:after="0" w:line="175" w:lineRule="exact"/>
              <w:rPr>
                <w:sz w:val="20"/>
                <w:szCs w:val="20"/>
                <w:color w:val="auto"/>
              </w:rPr>
            </w:pPr>
            <w:r>
              <w:rPr>
                <w:rFonts w:ascii="Arial" w:cs="Arial" w:eastAsia="Arial" w:hAnsi="Arial"/>
                <w:sz w:val="16"/>
                <w:szCs w:val="16"/>
                <w:color w:val="auto"/>
              </w:rPr>
              <w:t>of Fame; Mandela Institute for Humanity; Desmond Tutu Peace Foundation, Wildlife</w:t>
            </w:r>
          </w:p>
        </w:tc>
        <w:tc>
          <w:tcPr>
            <w:tcW w:w="0" w:type="dxa"/>
            <w:vAlign w:val="bottom"/>
          </w:tcPr>
          <w:p>
            <w:pPr>
              <w:spacing w:after="0"/>
              <w:rPr>
                <w:sz w:val="1"/>
                <w:szCs w:val="1"/>
                <w:color w:val="auto"/>
              </w:rPr>
            </w:pPr>
          </w:p>
        </w:tc>
      </w:tr>
      <w:tr>
        <w:trPr>
          <w:trHeight w:val="62"/>
        </w:trPr>
        <w:tc>
          <w:tcPr>
            <w:tcW w:w="200" w:type="dxa"/>
            <w:vAlign w:val="bottom"/>
            <w:tcBorders>
              <w:right w:val="single" w:sz="8" w:color="83AD40"/>
            </w:tcBorders>
          </w:tcPr>
          <w:p>
            <w:pPr>
              <w:spacing w:after="0"/>
              <w:rPr>
                <w:sz w:val="5"/>
                <w:szCs w:val="5"/>
                <w:color w:val="auto"/>
              </w:rPr>
            </w:pPr>
          </w:p>
        </w:tc>
        <w:tc>
          <w:tcPr>
            <w:tcW w:w="1880" w:type="dxa"/>
            <w:vAlign w:val="bottom"/>
            <w:tcBorders>
              <w:bottom w:val="single" w:sz="8" w:color="83AD40"/>
            </w:tcBorders>
          </w:tcPr>
          <w:p>
            <w:pPr>
              <w:spacing w:after="0"/>
              <w:rPr>
                <w:sz w:val="5"/>
                <w:szCs w:val="5"/>
                <w:color w:val="auto"/>
              </w:rPr>
            </w:pPr>
          </w:p>
        </w:tc>
        <w:tc>
          <w:tcPr>
            <w:tcW w:w="80" w:type="dxa"/>
            <w:vAlign w:val="bottom"/>
            <w:tcBorders>
              <w:bottom w:val="single" w:sz="8" w:color="83AD40"/>
            </w:tcBorders>
          </w:tcPr>
          <w:p>
            <w:pPr>
              <w:spacing w:after="0"/>
              <w:rPr>
                <w:sz w:val="5"/>
                <w:szCs w:val="5"/>
                <w:color w:val="auto"/>
              </w:rPr>
            </w:pPr>
          </w:p>
        </w:tc>
        <w:tc>
          <w:tcPr>
            <w:tcW w:w="40" w:type="dxa"/>
            <w:vAlign w:val="bottom"/>
            <w:tcBorders>
              <w:bottom w:val="single" w:sz="8" w:color="83AD40"/>
            </w:tcBorders>
            <w:shd w:val="clear" w:color="auto" w:fill="83AD40"/>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380" w:type="dxa"/>
            <w:vAlign w:val="bottom"/>
            <w:vMerge w:val="restart"/>
          </w:tcPr>
          <w:p>
            <w:pPr>
              <w:ind w:left="80"/>
              <w:spacing w:after="0"/>
              <w:rPr>
                <w:sz w:val="20"/>
                <w:szCs w:val="20"/>
                <w:color w:val="auto"/>
              </w:rPr>
            </w:pPr>
            <w:r>
              <w:rPr>
                <w:rFonts w:ascii="Arial" w:cs="Arial" w:eastAsia="Arial" w:hAnsi="Arial"/>
                <w:sz w:val="16"/>
                <w:szCs w:val="16"/>
                <w:color w:val="auto"/>
              </w:rPr>
              <w:t>Direct; Tribeca Film Institute</w:t>
            </w: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2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80" w:type="dxa"/>
            <w:vAlign w:val="bottom"/>
            <w:gridSpan w:val="2"/>
          </w:tcPr>
          <w:p>
            <w:pPr>
              <w:spacing w:after="0"/>
              <w:rPr>
                <w:sz w:val="20"/>
                <w:szCs w:val="20"/>
                <w:color w:val="auto"/>
              </w:rPr>
            </w:pPr>
            <w:r>
              <w:rPr>
                <w:rFonts w:ascii="Arial" w:cs="Arial" w:eastAsia="Arial" w:hAnsi="Arial"/>
                <w:sz w:val="16"/>
                <w:szCs w:val="16"/>
                <w:color w:val="auto"/>
              </w:rPr>
              <w:t>•  Former member of the Board of Directors of Taubman Centers, Inc., 2004 to</w:t>
            </w: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Arial" w:cs="Arial" w:eastAsia="Arial" w:hAnsi="Arial"/>
                <w:sz w:val="16"/>
                <w:szCs w:val="16"/>
                <w:color w:val="auto"/>
              </w:rPr>
              <w:t>January 2019 and Colony Capital, Inc. from February 2019 to February 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wp:posOffset>
            </wp:positionH>
            <wp:positionV relativeFrom="paragraph">
              <wp:posOffset>-3778885</wp:posOffset>
            </wp:positionV>
            <wp:extent cx="1097280" cy="13716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097280" cy="1371600"/>
                    </a:xfrm>
                    <a:prstGeom prst="rect">
                      <a:avLst/>
                    </a:prstGeom>
                    <a:noFill/>
                  </pic:spPr>
                </pic:pic>
              </a:graphicData>
            </a:graphic>
          </wp:anchor>
        </w:drawing>
      </w:r>
    </w:p>
    <w:p>
      <w:pPr>
        <w:spacing w:after="0" w:line="93" w:lineRule="exact"/>
        <w:rPr>
          <w:sz w:val="20"/>
          <w:szCs w:val="20"/>
          <w:color w:val="auto"/>
        </w:rPr>
      </w:pPr>
    </w:p>
    <w:p>
      <w:pPr>
        <w:ind w:left="3400"/>
        <w:spacing w:after="0"/>
        <w:rPr>
          <w:sz w:val="20"/>
          <w:szCs w:val="20"/>
          <w:color w:val="auto"/>
        </w:rPr>
      </w:pPr>
      <w:r>
        <w:rPr>
          <w:rFonts w:ascii="Arial" w:cs="Arial" w:eastAsia="Arial" w:hAnsi="Arial"/>
          <w:sz w:val="20"/>
          <w:szCs w:val="20"/>
          <w:b w:val="1"/>
          <w:bCs w:val="1"/>
          <w:color w:val="1F2668"/>
        </w:rPr>
        <w:t>Other Public Board Directorships</w:t>
      </w:r>
    </w:p>
    <w:p>
      <w:pPr>
        <w:spacing w:after="0" w:line="117" w:lineRule="exact"/>
        <w:rPr>
          <w:sz w:val="20"/>
          <w:szCs w:val="20"/>
          <w:color w:val="auto"/>
        </w:rPr>
      </w:pPr>
    </w:p>
    <w:p>
      <w:pPr>
        <w:ind w:left="3580" w:hanging="190"/>
        <w:spacing w:after="0"/>
        <w:tabs>
          <w:tab w:leader="none" w:pos="3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Jaguar Global Growth Corporation I since February 2022</w:t>
      </w:r>
    </w:p>
    <w:p>
      <w:pPr>
        <w:spacing w:after="0" w:line="45" w:lineRule="exact"/>
        <w:rPr>
          <w:rFonts w:ascii="Arial" w:cs="Arial" w:eastAsia="Arial" w:hAnsi="Arial"/>
          <w:sz w:val="16"/>
          <w:szCs w:val="16"/>
          <w:color w:val="auto"/>
        </w:rPr>
      </w:pPr>
    </w:p>
    <w:p>
      <w:pPr>
        <w:ind w:left="3580" w:hanging="190"/>
        <w:spacing w:after="0"/>
        <w:tabs>
          <w:tab w:leader="none" w:pos="3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Captivision since November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2154555</wp:posOffset>
            </wp:positionH>
            <wp:positionV relativeFrom="paragraph">
              <wp:posOffset>123825</wp:posOffset>
            </wp:positionV>
            <wp:extent cx="41230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313" w:lineRule="exact"/>
        <w:rPr>
          <w:sz w:val="20"/>
          <w:szCs w:val="20"/>
          <w:color w:val="auto"/>
        </w:rPr>
      </w:pPr>
    </w:p>
    <w:p>
      <w:pPr>
        <w:ind w:left="3400"/>
        <w:spacing w:after="0"/>
        <w:rPr>
          <w:sz w:val="20"/>
          <w:szCs w:val="20"/>
          <w:color w:val="auto"/>
        </w:rPr>
      </w:pPr>
      <w:r>
        <w:rPr>
          <w:rFonts w:ascii="Arial" w:cs="Arial" w:eastAsia="Arial" w:hAnsi="Arial"/>
          <w:sz w:val="20"/>
          <w:szCs w:val="20"/>
          <w:b w:val="1"/>
          <w:bCs w:val="1"/>
          <w:color w:val="1F2668"/>
        </w:rPr>
        <w:t>Skills, Experiences and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126365</wp:posOffset>
            </wp:positionV>
            <wp:extent cx="334010" cy="3517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4010" cy="351790"/>
                    </a:xfrm>
                    <a:prstGeom prst="rect">
                      <a:avLst/>
                    </a:prstGeom>
                    <a:noFill/>
                  </pic:spPr>
                </pic:pic>
              </a:graphicData>
            </a:graphic>
          </wp:anchor>
        </w:drawing>
        <w:drawing>
          <wp:anchor simplePos="0" relativeHeight="251657728" behindDoc="1" locked="0" layoutInCell="0" allowOverlap="1">
            <wp:simplePos x="0" y="0"/>
            <wp:positionH relativeFrom="column">
              <wp:posOffset>4246245</wp:posOffset>
            </wp:positionH>
            <wp:positionV relativeFrom="paragraph">
              <wp:posOffset>134620</wp:posOffset>
            </wp:positionV>
            <wp:extent cx="334010" cy="3340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4010" cy="334010"/>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80" w:type="dxa"/>
            <w:vAlign w:val="bottom"/>
          </w:tcPr>
          <w:p>
            <w:pPr>
              <w:ind w:left="3400"/>
              <w:spacing w:after="0"/>
              <w:rPr>
                <w:sz w:val="20"/>
                <w:szCs w:val="20"/>
                <w:color w:val="auto"/>
              </w:rPr>
            </w:pPr>
            <w:r>
              <w:rPr>
                <w:rFonts w:ascii="Arial" w:cs="Arial" w:eastAsia="Arial" w:hAnsi="Arial"/>
                <w:sz w:val="16"/>
                <w:szCs w:val="16"/>
                <w:color w:val="auto"/>
              </w:rPr>
              <w:t>​</w:t>
            </w:r>
          </w:p>
        </w:tc>
        <w:tc>
          <w:tcPr>
            <w:tcW w:w="2540" w:type="dxa"/>
            <w:vAlign w:val="bottom"/>
          </w:tcPr>
          <w:p>
            <w:pPr>
              <w:ind w:left="260"/>
              <w:spacing w:after="0"/>
              <w:rPr>
                <w:sz w:val="20"/>
                <w:szCs w:val="20"/>
                <w:color w:val="auto"/>
              </w:rPr>
            </w:pPr>
            <w:r>
              <w:rPr>
                <w:rFonts w:ascii="Arial" w:cs="Arial" w:eastAsia="Arial" w:hAnsi="Arial"/>
                <w:sz w:val="16"/>
                <w:szCs w:val="16"/>
                <w:color w:val="auto"/>
              </w:rPr>
              <w:t>​ ​ Executive Leadership</w:t>
            </w:r>
          </w:p>
        </w:tc>
        <w:tc>
          <w:tcPr>
            <w:tcW w:w="740" w:type="dxa"/>
            <w:vAlign w:val="bottom"/>
          </w:tcPr>
          <w:p>
            <w:pPr>
              <w:ind w:left="280"/>
              <w:spacing w:after="0"/>
              <w:rPr>
                <w:sz w:val="20"/>
                <w:szCs w:val="20"/>
                <w:color w:val="auto"/>
              </w:rPr>
            </w:pPr>
            <w:r>
              <w:rPr>
                <w:rFonts w:ascii="Arial" w:cs="Arial" w:eastAsia="Arial" w:hAnsi="Arial"/>
                <w:sz w:val="16"/>
                <w:szCs w:val="16"/>
                <w:color w:val="auto"/>
              </w:rPr>
              <w:t>​ ​</w:t>
            </w:r>
          </w:p>
        </w:tc>
        <w:tc>
          <w:tcPr>
            <w:tcW w:w="2840" w:type="dxa"/>
            <w:vAlign w:val="bottom"/>
            <w:gridSpan w:val="2"/>
          </w:tcPr>
          <w:p>
            <w:pPr>
              <w:ind w:left="340"/>
              <w:spacing w:after="0"/>
              <w:rPr>
                <w:sz w:val="20"/>
                <w:szCs w:val="20"/>
                <w:color w:val="auto"/>
              </w:rPr>
            </w:pPr>
            <w:r>
              <w:rPr>
                <w:rFonts w:ascii="Arial" w:cs="Arial" w:eastAsia="Arial" w:hAnsi="Arial"/>
                <w:sz w:val="16"/>
                <w:szCs w:val="16"/>
                <w:color w:val="auto"/>
              </w:rPr>
              <w:t>​ ​ Finance/Capital Markets</w:t>
            </w:r>
          </w:p>
        </w:tc>
        <w:tc>
          <w:tcPr>
            <w:tcW w:w="920" w:type="dxa"/>
            <w:vAlign w:val="bottom"/>
          </w:tcPr>
          <w:p>
            <w:pPr>
              <w:ind w:left="80"/>
              <w:spacing w:after="0"/>
              <w:rPr>
                <w:sz w:val="20"/>
                <w:szCs w:val="20"/>
                <w:color w:val="auto"/>
              </w:rPr>
            </w:pPr>
            <w:r>
              <w:rPr>
                <w:rFonts w:ascii="Arial" w:cs="Arial" w:eastAsia="Arial" w:hAnsi="Arial"/>
                <w:sz w:val="16"/>
                <w:szCs w:val="16"/>
                <w:color w:val="auto"/>
              </w:rPr>
              <w:t>​</w:t>
            </w:r>
          </w:p>
        </w:tc>
      </w:tr>
      <w:tr>
        <w:trPr>
          <w:trHeight w:val="596"/>
        </w:trPr>
        <w:tc>
          <w:tcPr>
            <w:tcW w:w="3680" w:type="dxa"/>
            <w:vAlign w:val="bottom"/>
          </w:tcPr>
          <w:p>
            <w:pPr>
              <w:ind w:left="3400"/>
              <w:spacing w:after="0"/>
              <w:rPr>
                <w:sz w:val="20"/>
                <w:szCs w:val="20"/>
                <w:color w:val="auto"/>
              </w:rPr>
            </w:pPr>
            <w:r>
              <w:rPr>
                <w:rFonts w:ascii="Arial" w:cs="Arial" w:eastAsia="Arial" w:hAnsi="Arial"/>
                <w:sz w:val="16"/>
                <w:szCs w:val="16"/>
                <w:color w:val="auto"/>
              </w:rPr>
              <w:t>​</w:t>
            </w:r>
          </w:p>
        </w:tc>
        <w:tc>
          <w:tcPr>
            <w:tcW w:w="2540" w:type="dxa"/>
            <w:vAlign w:val="bottom"/>
          </w:tcPr>
          <w:p>
            <w:pPr>
              <w:ind w:left="260"/>
              <w:spacing w:after="0"/>
              <w:rPr>
                <w:sz w:val="20"/>
                <w:szCs w:val="20"/>
                <w:color w:val="auto"/>
              </w:rPr>
            </w:pPr>
            <w:r>
              <w:rPr>
                <w:rFonts w:ascii="Arial" w:cs="Arial" w:eastAsia="Arial" w:hAnsi="Arial"/>
                <w:sz w:val="16"/>
                <w:szCs w:val="16"/>
                <w:color w:val="auto"/>
              </w:rPr>
              <w:t>​ ​ Risk Management</w:t>
            </w:r>
          </w:p>
        </w:tc>
        <w:tc>
          <w:tcPr>
            <w:tcW w:w="740" w:type="dxa"/>
            <w:vAlign w:val="bottom"/>
          </w:tcPr>
          <w:p>
            <w:pPr>
              <w:ind w:left="280"/>
              <w:spacing w:after="0"/>
              <w:rPr>
                <w:sz w:val="20"/>
                <w:szCs w:val="20"/>
                <w:color w:val="auto"/>
              </w:rPr>
            </w:pPr>
            <w:r>
              <w:rPr>
                <w:rFonts w:ascii="Arial" w:cs="Arial" w:eastAsia="Arial" w:hAnsi="Arial"/>
                <w:sz w:val="16"/>
                <w:szCs w:val="16"/>
                <w:color w:val="auto"/>
              </w:rPr>
              <w:t>​ ​</w:t>
            </w:r>
          </w:p>
        </w:tc>
        <w:tc>
          <w:tcPr>
            <w:tcW w:w="480" w:type="dxa"/>
            <w:vAlign w:val="bottom"/>
          </w:tcPr>
          <w:p>
            <w:pPr>
              <w:ind w:left="340"/>
              <w:spacing w:after="0"/>
              <w:rPr>
                <w:sz w:val="20"/>
                <w:szCs w:val="20"/>
                <w:color w:val="auto"/>
              </w:rPr>
            </w:pPr>
            <w:r>
              <w:rPr>
                <w:rFonts w:ascii="Arial" w:cs="Arial" w:eastAsia="Arial" w:hAnsi="Arial"/>
                <w:sz w:val="16"/>
                <w:szCs w:val="16"/>
                <w:color w:val="auto"/>
              </w:rPr>
              <w:t>​ ​</w:t>
            </w:r>
          </w:p>
        </w:tc>
        <w:tc>
          <w:tcPr>
            <w:tcW w:w="2360" w:type="dxa"/>
            <w:vAlign w:val="bottom"/>
          </w:tcPr>
          <w:p>
            <w:pPr>
              <w:ind w:left="20"/>
              <w:spacing w:after="0"/>
              <w:rPr>
                <w:sz w:val="20"/>
                <w:szCs w:val="20"/>
                <w:color w:val="auto"/>
              </w:rPr>
            </w:pPr>
            <w:r>
              <w:rPr>
                <w:rFonts w:ascii="Arial" w:cs="Arial" w:eastAsia="Arial" w:hAnsi="Arial"/>
                <w:sz w:val="16"/>
                <w:szCs w:val="16"/>
                <w:color w:val="auto"/>
              </w:rPr>
              <w:t>Public Company Board Service/</w:t>
            </w:r>
          </w:p>
        </w:tc>
        <w:tc>
          <w:tcPr>
            <w:tcW w:w="920" w:type="dxa"/>
            <w:vAlign w:val="bottom"/>
          </w:tcPr>
          <w:p>
            <w:pPr>
              <w:ind w:left="80"/>
              <w:spacing w:after="0"/>
              <w:rPr>
                <w:sz w:val="20"/>
                <w:szCs w:val="20"/>
                <w:color w:val="auto"/>
              </w:rPr>
            </w:pPr>
            <w:r>
              <w:rPr>
                <w:rFonts w:ascii="Arial" w:cs="Arial" w:eastAsia="Arial" w:hAnsi="Arial"/>
                <w:sz w:val="16"/>
                <w:szCs w:val="16"/>
                <w:color w:val="auto"/>
              </w:rPr>
              <w:t>​</w:t>
            </w:r>
          </w:p>
        </w:tc>
      </w:tr>
      <w:tr>
        <w:trPr>
          <w:trHeight w:val="215"/>
        </w:trPr>
        <w:tc>
          <w:tcPr>
            <w:tcW w:w="36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60" w:type="dxa"/>
            <w:vAlign w:val="bottom"/>
          </w:tcPr>
          <w:p>
            <w:pPr>
              <w:ind w:left="20"/>
              <w:spacing w:after="0"/>
              <w:rPr>
                <w:sz w:val="20"/>
                <w:szCs w:val="20"/>
                <w:color w:val="auto"/>
              </w:rPr>
            </w:pPr>
            <w:r>
              <w:rPr>
                <w:rFonts w:ascii="Arial" w:cs="Arial" w:eastAsia="Arial" w:hAnsi="Arial"/>
                <w:sz w:val="16"/>
                <w:szCs w:val="16"/>
                <w:color w:val="auto"/>
              </w:rPr>
              <w:t>Corporate Governance</w:t>
            </w:r>
          </w:p>
        </w:tc>
        <w:tc>
          <w:tcPr>
            <w:tcW w:w="920" w:type="dxa"/>
            <w:vAlign w:val="bottom"/>
          </w:tcPr>
          <w:p>
            <w:pPr>
              <w:spacing w:after="0"/>
              <w:rPr>
                <w:sz w:val="18"/>
                <w:szCs w:val="18"/>
                <w:color w:val="auto"/>
              </w:rPr>
            </w:pPr>
          </w:p>
        </w:tc>
      </w:tr>
      <w:tr>
        <w:trPr>
          <w:trHeight w:val="460"/>
        </w:trPr>
        <w:tc>
          <w:tcPr>
            <w:tcW w:w="3680" w:type="dxa"/>
            <w:vAlign w:val="bottom"/>
          </w:tcPr>
          <w:p>
            <w:pPr>
              <w:ind w:left="3400"/>
              <w:spacing w:after="0"/>
              <w:rPr>
                <w:sz w:val="20"/>
                <w:szCs w:val="20"/>
                <w:color w:val="auto"/>
              </w:rPr>
            </w:pPr>
            <w:r>
              <w:rPr>
                <w:rFonts w:ascii="Arial" w:cs="Arial" w:eastAsia="Arial" w:hAnsi="Arial"/>
                <w:sz w:val="16"/>
                <w:szCs w:val="16"/>
                <w:color w:val="auto"/>
              </w:rPr>
              <w:t>​</w:t>
            </w:r>
          </w:p>
        </w:tc>
        <w:tc>
          <w:tcPr>
            <w:tcW w:w="2540" w:type="dxa"/>
            <w:vAlign w:val="bottom"/>
          </w:tcPr>
          <w:p>
            <w:pPr>
              <w:ind w:left="260"/>
              <w:spacing w:after="0"/>
              <w:rPr>
                <w:sz w:val="20"/>
                <w:szCs w:val="20"/>
                <w:color w:val="auto"/>
              </w:rPr>
            </w:pPr>
            <w:r>
              <w:rPr>
                <w:rFonts w:ascii="Arial" w:cs="Arial" w:eastAsia="Arial" w:hAnsi="Arial"/>
                <w:sz w:val="16"/>
                <w:szCs w:val="16"/>
                <w:color w:val="auto"/>
              </w:rPr>
              <w:t>​ ​ REIT/Real Estate Industry</w:t>
            </w:r>
          </w:p>
        </w:tc>
        <w:tc>
          <w:tcPr>
            <w:tcW w:w="740" w:type="dxa"/>
            <w:vAlign w:val="bottom"/>
          </w:tcPr>
          <w:p>
            <w:pPr>
              <w:ind w:left="280"/>
              <w:spacing w:after="0"/>
              <w:rPr>
                <w:sz w:val="20"/>
                <w:szCs w:val="20"/>
                <w:color w:val="auto"/>
              </w:rPr>
            </w:pPr>
            <w:r>
              <w:rPr>
                <w:rFonts w:ascii="Arial" w:cs="Arial" w:eastAsia="Arial" w:hAnsi="Arial"/>
                <w:sz w:val="16"/>
                <w:szCs w:val="16"/>
                <w:color w:val="auto"/>
              </w:rPr>
              <w:t>​ ​</w:t>
            </w:r>
          </w:p>
        </w:tc>
        <w:tc>
          <w:tcPr>
            <w:tcW w:w="480" w:type="dxa"/>
            <w:vAlign w:val="bottom"/>
          </w:tcPr>
          <w:p>
            <w:pPr>
              <w:ind w:left="340"/>
              <w:spacing w:after="0"/>
              <w:rPr>
                <w:sz w:val="20"/>
                <w:szCs w:val="20"/>
                <w:color w:val="auto"/>
              </w:rPr>
            </w:pPr>
            <w:r>
              <w:rPr>
                <w:rFonts w:ascii="Arial" w:cs="Arial" w:eastAsia="Arial" w:hAnsi="Arial"/>
                <w:sz w:val="16"/>
                <w:szCs w:val="16"/>
                <w:color w:val="auto"/>
              </w:rPr>
              <w:t>​ ​</w:t>
            </w:r>
          </w:p>
        </w:tc>
        <w:tc>
          <w:tcPr>
            <w:tcW w:w="2360" w:type="dxa"/>
            <w:vAlign w:val="bottom"/>
          </w:tcPr>
          <w:p>
            <w:pPr>
              <w:ind w:left="20"/>
              <w:spacing w:after="0"/>
              <w:rPr>
                <w:sz w:val="20"/>
                <w:szCs w:val="20"/>
                <w:color w:val="auto"/>
              </w:rPr>
            </w:pPr>
            <w:r>
              <w:rPr>
                <w:rFonts w:ascii="Arial" w:cs="Arial" w:eastAsia="Arial" w:hAnsi="Arial"/>
                <w:sz w:val="16"/>
                <w:szCs w:val="16"/>
                <w:color w:val="auto"/>
              </w:rPr>
              <w:t>Experience Over Several</w:t>
            </w:r>
          </w:p>
        </w:tc>
        <w:tc>
          <w:tcPr>
            <w:tcW w:w="920" w:type="dxa"/>
            <w:vAlign w:val="bottom"/>
          </w:tcPr>
          <w:p>
            <w:pPr>
              <w:ind w:left="80"/>
              <w:spacing w:after="0"/>
              <w:rPr>
                <w:sz w:val="20"/>
                <w:szCs w:val="20"/>
                <w:color w:val="auto"/>
              </w:rPr>
            </w:pPr>
            <w:r>
              <w:rPr>
                <w:rFonts w:ascii="Arial" w:cs="Arial" w:eastAsia="Arial" w:hAnsi="Arial"/>
                <w:sz w:val="16"/>
                <w:szCs w:val="16"/>
                <w:color w:val="auto"/>
              </w:rPr>
              <w:t>​</w:t>
            </w:r>
          </w:p>
        </w:tc>
      </w:tr>
      <w:tr>
        <w:trPr>
          <w:trHeight w:val="215"/>
        </w:trPr>
        <w:tc>
          <w:tcPr>
            <w:tcW w:w="36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60" w:type="dxa"/>
            <w:vAlign w:val="bottom"/>
          </w:tcPr>
          <w:p>
            <w:pPr>
              <w:ind w:left="20"/>
              <w:spacing w:after="0"/>
              <w:rPr>
                <w:sz w:val="20"/>
                <w:szCs w:val="20"/>
                <w:color w:val="auto"/>
              </w:rPr>
            </w:pPr>
            <w:r>
              <w:rPr>
                <w:rFonts w:ascii="Arial" w:cs="Arial" w:eastAsia="Arial" w:hAnsi="Arial"/>
                <w:sz w:val="16"/>
                <w:szCs w:val="16"/>
                <w:color w:val="auto"/>
              </w:rPr>
              <w:t>Business Cycles</w:t>
            </w:r>
          </w:p>
        </w:tc>
        <w:tc>
          <w:tcPr>
            <w:tcW w:w="920" w:type="dxa"/>
            <w:vAlign w:val="bottom"/>
          </w:tcPr>
          <w:p>
            <w:pPr>
              <w:spacing w:after="0"/>
              <w:rPr>
                <w:sz w:val="18"/>
                <w:szCs w:val="18"/>
                <w:color w:val="auto"/>
              </w:rPr>
            </w:pPr>
          </w:p>
        </w:tc>
      </w:tr>
      <w:tr>
        <w:trPr>
          <w:trHeight w:val="458"/>
        </w:trPr>
        <w:tc>
          <w:tcPr>
            <w:tcW w:w="3680" w:type="dxa"/>
            <w:vAlign w:val="bottom"/>
          </w:tcPr>
          <w:p>
            <w:pPr>
              <w:ind w:left="3400"/>
              <w:spacing w:after="0"/>
              <w:rPr>
                <w:sz w:val="20"/>
                <w:szCs w:val="20"/>
                <w:color w:val="auto"/>
              </w:rPr>
            </w:pPr>
            <w:r>
              <w:rPr>
                <w:rFonts w:ascii="Arial" w:cs="Arial" w:eastAsia="Arial" w:hAnsi="Arial"/>
                <w:sz w:val="16"/>
                <w:szCs w:val="16"/>
                <w:color w:val="auto"/>
              </w:rPr>
              <w:t>​</w:t>
            </w:r>
          </w:p>
        </w:tc>
        <w:tc>
          <w:tcPr>
            <w:tcW w:w="2540" w:type="dxa"/>
            <w:vAlign w:val="bottom"/>
          </w:tcPr>
          <w:p>
            <w:pPr>
              <w:ind w:left="260"/>
              <w:spacing w:after="0"/>
              <w:rPr>
                <w:sz w:val="20"/>
                <w:szCs w:val="20"/>
                <w:color w:val="auto"/>
              </w:rPr>
            </w:pPr>
            <w:r>
              <w:rPr>
                <w:rFonts w:ascii="Arial" w:cs="Arial" w:eastAsia="Arial" w:hAnsi="Arial"/>
                <w:sz w:val="16"/>
                <w:szCs w:val="16"/>
                <w:color w:val="auto"/>
              </w:rPr>
              <w:t>​ ​ Talent Management</w:t>
            </w:r>
          </w:p>
        </w:tc>
        <w:tc>
          <w:tcPr>
            <w:tcW w:w="740" w:type="dxa"/>
            <w:vAlign w:val="bottom"/>
          </w:tcPr>
          <w:p>
            <w:pPr>
              <w:ind w:left="280"/>
              <w:spacing w:after="0"/>
              <w:rPr>
                <w:sz w:val="20"/>
                <w:szCs w:val="20"/>
                <w:color w:val="auto"/>
              </w:rPr>
            </w:pPr>
            <w:r>
              <w:rPr>
                <w:rFonts w:ascii="Arial" w:cs="Arial" w:eastAsia="Arial" w:hAnsi="Arial"/>
                <w:sz w:val="16"/>
                <w:szCs w:val="16"/>
                <w:color w:val="auto"/>
              </w:rPr>
              <w:t>​ ​</w:t>
            </w:r>
          </w:p>
        </w:tc>
        <w:tc>
          <w:tcPr>
            <w:tcW w:w="2840" w:type="dxa"/>
            <w:vAlign w:val="bottom"/>
            <w:gridSpan w:val="2"/>
          </w:tcPr>
          <w:p>
            <w:pPr>
              <w:ind w:left="340"/>
              <w:spacing w:after="0"/>
              <w:rPr>
                <w:sz w:val="20"/>
                <w:szCs w:val="20"/>
                <w:color w:val="auto"/>
              </w:rPr>
            </w:pPr>
            <w:r>
              <w:rPr>
                <w:rFonts w:ascii="Arial" w:cs="Arial" w:eastAsia="Arial" w:hAnsi="Arial"/>
                <w:sz w:val="16"/>
                <w:szCs w:val="16"/>
                <w:color w:val="auto"/>
              </w:rPr>
              <w:t>​ ​ Academia</w:t>
            </w:r>
          </w:p>
        </w:tc>
        <w:tc>
          <w:tcPr>
            <w:tcW w:w="920" w:type="dxa"/>
            <w:vAlign w:val="bottom"/>
          </w:tcPr>
          <w:p>
            <w:pPr>
              <w:ind w:left="80"/>
              <w:spacing w:after="0"/>
              <w:rPr>
                <w:sz w:val="20"/>
                <w:szCs w:val="20"/>
                <w:color w:val="auto"/>
              </w:rPr>
            </w:pPr>
            <w:r>
              <w:rPr>
                <w:rFonts w:ascii="Arial" w:cs="Arial" w:eastAsia="Arial" w:hAnsi="Arial"/>
                <w:sz w:val="16"/>
                <w:szCs w:val="16"/>
                <w:color w:val="auto"/>
              </w:rPr>
              <w:t>​</w:t>
            </w:r>
          </w:p>
        </w:tc>
      </w:tr>
      <w:tr>
        <w:trPr>
          <w:trHeight w:val="594"/>
        </w:trPr>
        <w:tc>
          <w:tcPr>
            <w:tcW w:w="3680" w:type="dxa"/>
            <w:vAlign w:val="bottom"/>
          </w:tcPr>
          <w:p>
            <w:pPr>
              <w:ind w:left="3400"/>
              <w:spacing w:after="0"/>
              <w:rPr>
                <w:sz w:val="20"/>
                <w:szCs w:val="20"/>
                <w:color w:val="auto"/>
              </w:rPr>
            </w:pPr>
            <w:r>
              <w:rPr>
                <w:rFonts w:ascii="Arial" w:cs="Arial" w:eastAsia="Arial" w:hAnsi="Arial"/>
                <w:sz w:val="16"/>
                <w:szCs w:val="16"/>
                <w:color w:val="auto"/>
              </w:rPr>
              <w:t>​</w:t>
            </w:r>
          </w:p>
        </w:tc>
        <w:tc>
          <w:tcPr>
            <w:tcW w:w="2540" w:type="dxa"/>
            <w:vAlign w:val="bottom"/>
          </w:tcPr>
          <w:p>
            <w:pPr>
              <w:ind w:left="260"/>
              <w:spacing w:after="0"/>
              <w:rPr>
                <w:sz w:val="20"/>
                <w:szCs w:val="20"/>
                <w:color w:val="auto"/>
              </w:rPr>
            </w:pPr>
            <w:r>
              <w:rPr>
                <w:rFonts w:ascii="Arial" w:cs="Arial" w:eastAsia="Arial" w:hAnsi="Arial"/>
                <w:sz w:val="16"/>
                <w:szCs w:val="16"/>
                <w:color w:val="auto"/>
              </w:rPr>
              <w:t>​ ​ Accounting</w:t>
            </w:r>
          </w:p>
        </w:tc>
        <w:tc>
          <w:tcPr>
            <w:tcW w:w="740" w:type="dxa"/>
            <w:vAlign w:val="bottom"/>
          </w:tcPr>
          <w:p>
            <w:pPr>
              <w:ind w:left="280"/>
              <w:spacing w:after="0"/>
              <w:rPr>
                <w:sz w:val="20"/>
                <w:szCs w:val="20"/>
                <w:color w:val="auto"/>
              </w:rPr>
            </w:pPr>
            <w:r>
              <w:rPr>
                <w:rFonts w:ascii="Arial" w:cs="Arial" w:eastAsia="Arial" w:hAnsi="Arial"/>
                <w:sz w:val="16"/>
                <w:szCs w:val="16"/>
                <w:color w:val="auto"/>
              </w:rPr>
              <w:t>​ ​</w:t>
            </w:r>
          </w:p>
        </w:tc>
        <w:tc>
          <w:tcPr>
            <w:tcW w:w="2840" w:type="dxa"/>
            <w:vAlign w:val="bottom"/>
            <w:gridSpan w:val="2"/>
          </w:tcPr>
          <w:p>
            <w:pPr>
              <w:ind w:left="340"/>
              <w:spacing w:after="0"/>
              <w:rPr>
                <w:sz w:val="20"/>
                <w:szCs w:val="20"/>
                <w:color w:val="auto"/>
              </w:rPr>
            </w:pPr>
            <w:r>
              <w:rPr>
                <w:rFonts w:ascii="Arial" w:cs="Arial" w:eastAsia="Arial" w:hAnsi="Arial"/>
                <w:sz w:val="16"/>
                <w:szCs w:val="16"/>
                <w:color w:val="auto"/>
              </w:rPr>
              <w:t>​ ​ Technology/Cybersecurity</w:t>
            </w:r>
          </w:p>
        </w:tc>
        <w:tc>
          <w:tcPr>
            <w:tcW w:w="920" w:type="dxa"/>
            <w:vAlign w:val="bottom"/>
          </w:tcPr>
          <w:p>
            <w:pPr>
              <w:ind w:left="80"/>
              <w:spacing w:after="0"/>
              <w:rPr>
                <w:sz w:val="20"/>
                <w:szCs w:val="20"/>
                <w:color w:val="auto"/>
              </w:rPr>
            </w:pPr>
            <w:r>
              <w:rPr>
                <w:rFonts w:ascii="Arial" w:cs="Arial" w:eastAsia="Arial" w:hAnsi="Arial"/>
                <w:sz w:val="16"/>
                <w:szCs w:val="16"/>
                <w:color w:val="auto"/>
              </w:rPr>
              <w:t>​</w:t>
            </w:r>
          </w:p>
        </w:tc>
      </w:tr>
      <w:tr>
        <w:trPr>
          <w:trHeight w:val="360"/>
        </w:trPr>
        <w:tc>
          <w:tcPr>
            <w:tcW w:w="368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-1688465</wp:posOffset>
            </wp:positionV>
            <wp:extent cx="317500" cy="3689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17500" cy="368935"/>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-1688465</wp:posOffset>
            </wp:positionV>
            <wp:extent cx="2459990" cy="1551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459990" cy="1551940"/>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-1688465</wp:posOffset>
            </wp:positionV>
            <wp:extent cx="2459990" cy="1551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459990" cy="1551940"/>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p>
      <w:pPr>
        <w:ind w:left="820"/>
        <w:spacing w:after="0"/>
        <w:tabs>
          <w:tab w:leader="none" w:pos="1440" w:val="left"/>
          <w:tab w:leader="none" w:pos="9860" w:val="left"/>
        </w:tabs>
        <w:rPr>
          <w:sz w:val="20"/>
          <w:szCs w:val="20"/>
          <w:color w:val="auto"/>
        </w:rPr>
      </w:pPr>
      <w:r>
        <w:rPr>
          <w:rFonts w:ascii="Arial" w:cs="Arial" w:eastAsia="Arial" w:hAnsi="Arial"/>
          <w:sz w:val="22"/>
          <w:szCs w:val="22"/>
          <w:b w:val="1"/>
          <w:bCs w:val="1"/>
          <w:color w:val="1F2668"/>
        </w:rPr>
        <w:t>18​</w:t>
      </w:r>
      <w:r>
        <w:rPr>
          <w:sz w:val="20"/>
          <w:szCs w:val="20"/>
          <w:color w:val="auto"/>
        </w:rPr>
        <w:tab/>
      </w:r>
      <w:r>
        <w:rPr>
          <w:rFonts w:ascii="Arial" w:cs="Arial" w:eastAsia="Arial" w:hAnsi="Arial"/>
          <w:sz w:val="22"/>
          <w:szCs w:val="22"/>
          <w:b w:val="1"/>
          <w:bCs w:val="1"/>
          <w:color w:val="1F2668"/>
        </w:rPr>
        <w:t xml:space="preserve">​ ​ </w:t>
      </w:r>
      <w:r>
        <w:rPr>
          <w:rFonts w:ascii="Arial" w:cs="Arial" w:eastAsia="Arial" w:hAnsi="Arial"/>
          <w:sz w:val="14"/>
          <w:szCs w:val="14"/>
          <w:b w:val="1"/>
          <w:bCs w:val="1"/>
          <w:color w:val="1F2668"/>
        </w:rPr>
        <w:t>SL GREEN REALTY CORP. 2025 PROXY STATEMENT</w:t>
      </w:r>
      <w:r>
        <w:rPr>
          <w:sz w:val="20"/>
          <w:szCs w:val="20"/>
          <w:color w:val="auto"/>
        </w:rPr>
        <w:tab/>
      </w:r>
      <w:r>
        <w:rPr>
          <w:rFonts w:ascii="Arial" w:cs="Arial" w:eastAsia="Arial" w:hAnsi="Arial"/>
          <w:sz w:val="22"/>
          <w:szCs w:val="22"/>
          <w:b w:val="1"/>
          <w:bCs w:val="1"/>
          <w:color w:val="1F2668"/>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594995</wp:posOffset>
            </wp:positionV>
            <wp:extent cx="1405890" cy="41148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405890" cy="411480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020"/>
        <w:spacing w:after="0"/>
        <w:tabs>
          <w:tab w:leader="none" w:pos="296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18" w:lineRule="exact"/>
        <w:rPr>
          <w:sz w:val="20"/>
          <w:szCs w:val="20"/>
          <w:color w:val="auto"/>
        </w:rPr>
      </w:pPr>
    </w:p>
    <w:p>
      <w:pPr>
        <w:ind w:left="960"/>
        <w:spacing w:after="0"/>
        <w:tabs>
          <w:tab w:leader="none" w:pos="2880" w:val="left"/>
        </w:tabs>
        <w:rPr>
          <w:sz w:val="20"/>
          <w:szCs w:val="20"/>
          <w:color w:val="auto"/>
        </w:rPr>
      </w:pPr>
      <w:r>
        <w:rPr>
          <w:rFonts w:ascii="Arial" w:cs="Arial" w:eastAsia="Arial" w:hAnsi="Arial"/>
          <w:sz w:val="16"/>
          <w:szCs w:val="16"/>
          <w:b w:val="1"/>
          <w:bCs w:val="1"/>
          <w:color w:val="FFFFFF"/>
        </w:rPr>
        <w:t>​</w:t>
      </w:r>
      <w:r>
        <w:rPr>
          <w:sz w:val="20"/>
          <w:szCs w:val="20"/>
          <w:color w:val="auto"/>
        </w:rPr>
        <w:tab/>
      </w:r>
      <w:r>
        <w:rPr>
          <w:rFonts w:ascii="Arial" w:cs="Arial" w:eastAsia="Arial" w:hAnsi="Arial"/>
          <w:sz w:val="16"/>
          <w:szCs w:val="16"/>
          <w:b w:val="1"/>
          <w:bCs w:val="1"/>
          <w:color w:val="FFFFFF"/>
        </w:rPr>
        <w:t>​</w:t>
      </w:r>
    </w:p>
    <w:p>
      <w:pPr>
        <w:spacing w:after="0" w:line="56" w:lineRule="exact"/>
        <w:rPr>
          <w:sz w:val="20"/>
          <w:szCs w:val="20"/>
          <w:color w:val="auto"/>
        </w:rPr>
      </w:pPr>
    </w:p>
    <w:p>
      <w:pPr>
        <w:ind w:left="960"/>
        <w:spacing w:after="0"/>
        <w:rPr>
          <w:sz w:val="20"/>
          <w:szCs w:val="20"/>
          <w:color w:val="auto"/>
        </w:rPr>
      </w:pPr>
      <w:r>
        <w:rPr>
          <w:rFonts w:ascii="Arial" w:cs="Arial" w:eastAsia="Arial" w:hAnsi="Arial"/>
          <w:sz w:val="22"/>
          <w:szCs w:val="22"/>
          <w:b w:val="1"/>
          <w:bCs w:val="1"/>
          <w:color w:val="FFFFFF"/>
        </w:rPr>
        <w:t>MARC</w:t>
      </w:r>
    </w:p>
    <w:p>
      <w:pPr>
        <w:spacing w:after="0" w:line="26" w:lineRule="exact"/>
        <w:rPr>
          <w:sz w:val="20"/>
          <w:szCs w:val="20"/>
          <w:color w:val="auto"/>
        </w:rPr>
      </w:pPr>
    </w:p>
    <w:p>
      <w:pPr>
        <w:ind w:left="960"/>
        <w:spacing w:after="0"/>
        <w:rPr>
          <w:sz w:val="20"/>
          <w:szCs w:val="20"/>
          <w:color w:val="auto"/>
        </w:rPr>
      </w:pPr>
      <w:r>
        <w:rPr>
          <w:rFonts w:ascii="Arial" w:cs="Arial" w:eastAsia="Arial" w:hAnsi="Arial"/>
          <w:sz w:val="22"/>
          <w:szCs w:val="22"/>
          <w:b w:val="1"/>
          <w:bCs w:val="1"/>
          <w:color w:val="FFFFFF"/>
        </w:rPr>
        <w:t>HOLLIDAY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FFFFFF"/>
        </w:rPr>
        <w:t>Chairman of the Board,</w:t>
      </w:r>
    </w:p>
    <w:p>
      <w:pPr>
        <w:spacing w:after="0" w:line="35"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FFFFFF"/>
        </w:rPr>
        <w:t>Chief Executive Officer</w:t>
      </w:r>
    </w:p>
    <w:p>
      <w:pPr>
        <w:spacing w:after="0" w:line="19"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FFFFFF"/>
        </w:rPr>
        <w:t>&amp; Interim President</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6"/>
          <w:szCs w:val="16"/>
          <w:color w:val="FFFFFF"/>
        </w:rPr>
        <w:t xml:space="preserve">Director Since: </w:t>
      </w:r>
      <w:r>
        <w:rPr>
          <w:rFonts w:ascii="Arial" w:cs="Arial" w:eastAsia="Arial" w:hAnsi="Arial"/>
          <w:sz w:val="16"/>
          <w:szCs w:val="16"/>
          <w:b w:val="1"/>
          <w:bCs w:val="1"/>
          <w:color w:val="FFFFFF"/>
        </w:rPr>
        <w:t>2001</w:t>
      </w:r>
    </w:p>
    <w:p>
      <w:pPr>
        <w:spacing w:after="0" w:line="127" w:lineRule="exact"/>
        <w:rPr>
          <w:sz w:val="20"/>
          <w:szCs w:val="20"/>
          <w:color w:val="auto"/>
        </w:rPr>
      </w:pPr>
    </w:p>
    <w:p>
      <w:pPr>
        <w:ind w:left="960"/>
        <w:spacing w:after="0"/>
        <w:rPr>
          <w:sz w:val="20"/>
          <w:szCs w:val="20"/>
          <w:color w:val="auto"/>
        </w:rPr>
      </w:pPr>
      <w:r>
        <w:rPr>
          <w:rFonts w:ascii="Arial" w:cs="Arial" w:eastAsia="Arial" w:hAnsi="Arial"/>
          <w:sz w:val="16"/>
          <w:szCs w:val="16"/>
          <w:color w:val="FFFFFF"/>
        </w:rPr>
        <w:t xml:space="preserve">Age: </w:t>
      </w:r>
      <w:r>
        <w:rPr>
          <w:rFonts w:ascii="Arial" w:cs="Arial" w:eastAsia="Arial" w:hAnsi="Arial"/>
          <w:sz w:val="16"/>
          <w:szCs w:val="16"/>
          <w:b w:val="1"/>
          <w:bCs w:val="1"/>
          <w:color w:val="FFFFFF"/>
        </w:rPr>
        <w:t>58</w:t>
      </w:r>
    </w:p>
    <w:p>
      <w:pPr>
        <w:spacing w:after="0" w:line="127" w:lineRule="exact"/>
        <w:rPr>
          <w:sz w:val="20"/>
          <w:szCs w:val="20"/>
          <w:color w:val="auto"/>
        </w:rPr>
      </w:pPr>
    </w:p>
    <w:p>
      <w:pPr>
        <w:ind w:left="960"/>
        <w:spacing w:after="0"/>
        <w:rPr>
          <w:sz w:val="20"/>
          <w:szCs w:val="20"/>
          <w:color w:val="auto"/>
        </w:rPr>
      </w:pPr>
      <w:r>
        <w:rPr>
          <w:rFonts w:ascii="Arial" w:cs="Arial" w:eastAsia="Arial" w:hAnsi="Arial"/>
          <w:sz w:val="16"/>
          <w:szCs w:val="16"/>
          <w:color w:val="FFFFFF"/>
        </w:rPr>
        <w:t>SL Green</w:t>
      </w:r>
    </w:p>
    <w:p>
      <w:pPr>
        <w:spacing w:after="0" w:line="31" w:lineRule="exact"/>
        <w:rPr>
          <w:sz w:val="20"/>
          <w:szCs w:val="20"/>
          <w:color w:val="auto"/>
        </w:rPr>
      </w:pPr>
    </w:p>
    <w:p>
      <w:pPr>
        <w:ind w:left="960"/>
        <w:spacing w:after="0"/>
        <w:rPr>
          <w:sz w:val="20"/>
          <w:szCs w:val="20"/>
          <w:color w:val="auto"/>
        </w:rPr>
      </w:pPr>
      <w:r>
        <w:rPr>
          <w:rFonts w:ascii="Arial" w:cs="Arial" w:eastAsia="Arial" w:hAnsi="Arial"/>
          <w:sz w:val="16"/>
          <w:szCs w:val="16"/>
          <w:color w:val="FFFFFF"/>
        </w:rPr>
        <w:t>Board Service:</w:t>
      </w:r>
    </w:p>
    <w:p>
      <w:pPr>
        <w:spacing w:after="0" w:line="141" w:lineRule="exact"/>
        <w:rPr>
          <w:sz w:val="20"/>
          <w:szCs w:val="20"/>
          <w:color w:val="auto"/>
        </w:rPr>
      </w:pPr>
    </w:p>
    <w:p>
      <w:pPr>
        <w:ind w:left="1120" w:right="280" w:hanging="169"/>
        <w:spacing w:after="0" w:line="314" w:lineRule="auto"/>
        <w:tabs>
          <w:tab w:leader="none" w:pos="1120" w:val="left"/>
        </w:tabs>
        <w:numPr>
          <w:ilvl w:val="0"/>
          <w:numId w:val="30"/>
        </w:numPr>
        <w:rPr>
          <w:rFonts w:ascii="Arial" w:cs="Arial" w:eastAsia="Arial" w:hAnsi="Arial"/>
          <w:sz w:val="16"/>
          <w:szCs w:val="16"/>
          <w:color w:val="FFFFFF"/>
        </w:rPr>
      </w:pPr>
      <w:r>
        <w:rPr>
          <w:rFonts w:ascii="Arial" w:cs="Arial" w:eastAsia="Arial" w:hAnsi="Arial"/>
          <w:sz w:val="16"/>
          <w:szCs w:val="16"/>
          <w:b w:val="1"/>
          <w:bCs w:val="1"/>
          <w:color w:val="FFFFFF"/>
        </w:rPr>
        <w:t>Executive Committee, Chair</w:t>
      </w:r>
    </w:p>
    <w:p>
      <w:pPr>
        <w:spacing w:after="0" w:line="303" w:lineRule="exact"/>
        <w:rPr>
          <w:sz w:val="20"/>
          <w:szCs w:val="20"/>
          <w:color w:val="auto"/>
        </w:rPr>
      </w:pPr>
    </w:p>
    <w:p>
      <w:pPr>
        <w:ind w:left="1020"/>
        <w:spacing w:after="0"/>
        <w:tabs>
          <w:tab w:leader="none" w:pos="296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0" w:right="240"/>
        <w:spacing w:after="0" w:line="270" w:lineRule="auto"/>
        <w:rPr>
          <w:sz w:val="20"/>
          <w:szCs w:val="20"/>
          <w:color w:val="auto"/>
        </w:rPr>
      </w:pPr>
      <w:r>
        <w:rPr>
          <w:rFonts w:ascii="Arial" w:cs="Arial" w:eastAsia="Arial" w:hAnsi="Arial"/>
          <w:sz w:val="16"/>
          <w:szCs w:val="16"/>
          <w:color w:val="auto"/>
        </w:rPr>
        <w:t>Mr. Holliday’s extensive experience and skills in real estate and finance, as well as his role as Chief Executive Officer and Interim President of the Company, provide the Board with valuable knowledge of and expertise in our business and industry. Furthermore,</w:t>
      </w:r>
    </w:p>
    <w:p>
      <w:pPr>
        <w:ind w:left="10" w:right="580"/>
        <w:spacing w:after="0" w:line="304" w:lineRule="auto"/>
        <w:rPr>
          <w:sz w:val="20"/>
          <w:szCs w:val="20"/>
          <w:color w:val="auto"/>
        </w:rPr>
      </w:pPr>
      <w:r>
        <w:rPr>
          <w:rFonts w:ascii="Arial" w:cs="Arial" w:eastAsia="Arial" w:hAnsi="Arial"/>
          <w:sz w:val="16"/>
          <w:szCs w:val="16"/>
          <w:color w:val="auto"/>
        </w:rPr>
        <w:t>Mr. Holliday’s role as Chairman and Chief Executive Officer facilitates communication between the Board and the Company’s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41230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10"/>
        <w:spacing w:after="0"/>
        <w:rPr>
          <w:sz w:val="20"/>
          <w:szCs w:val="20"/>
          <w:color w:val="auto"/>
        </w:rPr>
      </w:pPr>
      <w:r>
        <w:rPr>
          <w:rFonts w:ascii="Arial" w:cs="Arial" w:eastAsia="Arial" w:hAnsi="Arial"/>
          <w:sz w:val="20"/>
          <w:szCs w:val="20"/>
          <w:b w:val="1"/>
          <w:bCs w:val="1"/>
          <w:color w:val="1F2668"/>
        </w:rPr>
        <w:t>Professional Experience</w:t>
      </w:r>
    </w:p>
    <w:p>
      <w:pPr>
        <w:spacing w:after="0" w:line="104" w:lineRule="exact"/>
        <w:rPr>
          <w:sz w:val="20"/>
          <w:szCs w:val="20"/>
          <w:color w:val="auto"/>
        </w:rPr>
      </w:pPr>
    </w:p>
    <w:p>
      <w:pPr>
        <w:ind w:left="190" w:right="80" w:hanging="190"/>
        <w:spacing w:after="0" w:line="281" w:lineRule="auto"/>
        <w:tabs>
          <w:tab w:leader="none" w:pos="19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Chief Executive Officer of the Company since January 2004; Chairman of the Board since January 2019; Interim President of the Company since January 2024</w:t>
      </w:r>
    </w:p>
    <w:p>
      <w:pPr>
        <w:spacing w:after="0" w:line="1" w:lineRule="exact"/>
        <w:rPr>
          <w:rFonts w:ascii="Arial" w:cs="Arial" w:eastAsia="Arial" w:hAnsi="Arial"/>
          <w:sz w:val="16"/>
          <w:szCs w:val="16"/>
          <w:color w:val="auto"/>
        </w:rPr>
      </w:pPr>
    </w:p>
    <w:p>
      <w:pPr>
        <w:ind w:left="190" w:right="80" w:hanging="190"/>
        <w:spacing w:after="0" w:line="281" w:lineRule="auto"/>
        <w:tabs>
          <w:tab w:leader="none" w:pos="190" w:val="left"/>
        </w:tabs>
        <w:numPr>
          <w:ilvl w:val="0"/>
          <w:numId w:val="31"/>
        </w:numPr>
        <w:rPr>
          <w:rFonts w:ascii="Arial" w:cs="Arial" w:eastAsia="Arial" w:hAnsi="Arial"/>
          <w:sz w:val="16"/>
          <w:szCs w:val="16"/>
          <w:color w:val="auto"/>
        </w:rPr>
      </w:pPr>
      <w:r>
        <w:rPr>
          <w:rFonts w:ascii="Arial" w:cs="Arial" w:eastAsia="Arial" w:hAnsi="Arial"/>
          <w:sz w:val="16"/>
          <w:szCs w:val="16"/>
          <w:color w:val="auto"/>
        </w:rPr>
        <w:t>Joined the Company as Chief Investment Officer in July 1998; stepped down as President in April 2007 following promotion of Andrew Mathias to that position</w:t>
      </w:r>
    </w:p>
    <w:p>
      <w:pPr>
        <w:spacing w:after="0" w:line="1" w:lineRule="exact"/>
        <w:rPr>
          <w:rFonts w:ascii="Arial" w:cs="Arial" w:eastAsia="Arial" w:hAnsi="Arial"/>
          <w:sz w:val="16"/>
          <w:szCs w:val="16"/>
          <w:color w:val="auto"/>
        </w:rPr>
      </w:pPr>
    </w:p>
    <w:p>
      <w:pPr>
        <w:ind w:left="190" w:right="340" w:hanging="190"/>
        <w:spacing w:after="0" w:line="281" w:lineRule="auto"/>
        <w:tabs>
          <w:tab w:leader="none" w:pos="19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President and Chief Executive Officer of Gramercy Capital Corp., from August 2004 to October 2008</w:t>
      </w:r>
    </w:p>
    <w:p>
      <w:pPr>
        <w:spacing w:after="0" w:line="1" w:lineRule="exact"/>
        <w:rPr>
          <w:rFonts w:ascii="Arial" w:cs="Arial" w:eastAsia="Arial" w:hAnsi="Arial"/>
          <w:sz w:val="16"/>
          <w:szCs w:val="16"/>
          <w:color w:val="auto"/>
        </w:rPr>
      </w:pPr>
    </w:p>
    <w:p>
      <w:pPr>
        <w:ind w:left="190" w:right="120" w:hanging="190"/>
        <w:spacing w:after="0" w:line="268" w:lineRule="auto"/>
        <w:tabs>
          <w:tab w:leader="none" w:pos="19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Managing Director and Head of Direct Originations for New York-based Capital Trust Inc., a mezzanine finance company, where he was in charge of originating direct principal investments for the firm, consisting of mezzanine debt, preferred equity and first mortgages</w:t>
      </w:r>
    </w:p>
    <w:p>
      <w:pPr>
        <w:spacing w:after="0" w:line="1" w:lineRule="exact"/>
        <w:rPr>
          <w:rFonts w:ascii="Arial" w:cs="Arial" w:eastAsia="Arial" w:hAnsi="Arial"/>
          <w:sz w:val="16"/>
          <w:szCs w:val="16"/>
          <w:color w:val="auto"/>
        </w:rPr>
      </w:pPr>
    </w:p>
    <w:p>
      <w:pPr>
        <w:ind w:left="190" w:right="80" w:hanging="190"/>
        <w:spacing w:after="0" w:line="281" w:lineRule="auto"/>
        <w:tabs>
          <w:tab w:leader="none" w:pos="19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Served in various management positions, including Senior Vice President at Capital Trust, Inc.’s predecessor, Victor Capital Group, L.P. from 1991 to 1997</w:t>
      </w:r>
    </w:p>
    <w:p>
      <w:pPr>
        <w:spacing w:after="0" w:line="1" w:lineRule="exact"/>
        <w:rPr>
          <w:rFonts w:ascii="Arial" w:cs="Arial" w:eastAsia="Arial" w:hAnsi="Arial"/>
          <w:sz w:val="16"/>
          <w:szCs w:val="16"/>
          <w:color w:val="auto"/>
        </w:rPr>
      </w:pPr>
    </w:p>
    <w:p>
      <w:pPr>
        <w:ind w:left="190" w:right="400" w:hanging="190"/>
        <w:spacing w:after="0" w:line="270" w:lineRule="auto"/>
        <w:tabs>
          <w:tab w:leader="none" w:pos="19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Chairman of the Board of Directors of NYRA and executive officer and member of the Board of the Real Estate Board of New York, and a former member of the Board of Directors of Columbia University</w:t>
      </w:r>
    </w:p>
    <w:p>
      <w:pPr>
        <w:ind w:left="190" w:right="200" w:hanging="190"/>
        <w:spacing w:after="0" w:line="304" w:lineRule="auto"/>
        <w:tabs>
          <w:tab w:leader="none" w:pos="19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B.S. degree in Business and Finance from Lehigh University in 1988 and M.S. degree in Real Estate Development from Columbia University in 1990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41230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496" w:lineRule="exact"/>
        <w:rPr>
          <w:sz w:val="20"/>
          <w:szCs w:val="20"/>
          <w:color w:val="auto"/>
        </w:rPr>
      </w:pPr>
    </w:p>
    <w:p>
      <w:pPr>
        <w:sectPr>
          <w:pgSz w:w="11900" w:h="16838" w:orient="portrait"/>
          <w:cols w:equalWidth="0" w:num="2">
            <w:col w:w="3040" w:space="350"/>
            <w:col w:w="6550"/>
          </w:cols>
          <w:pgMar w:left="580" w:top="97" w:right="1379" w:bottom="1440" w:gutter="0" w:footer="0" w:header="0"/>
          <w:type w:val="continuous"/>
        </w:sectPr>
      </w:pPr>
    </w:p>
    <w:p>
      <w:pPr>
        <w:jc w:val="center"/>
        <w:ind w:right="20"/>
        <w:spacing w:after="0"/>
        <w:rPr>
          <w:sz w:val="20"/>
          <w:szCs w:val="20"/>
          <w:color w:val="auto"/>
        </w:rPr>
      </w:pPr>
      <w:r>
        <w:rPr>
          <w:rFonts w:ascii="Arial" w:cs="Arial" w:eastAsia="Arial" w:hAnsi="Arial"/>
          <w:sz w:val="19"/>
          <w:szCs w:val="19"/>
          <w:b w:val="1"/>
          <w:bCs w:val="1"/>
          <w:color w:val="1F2668"/>
        </w:rPr>
        <w:t>Skills, Experiences and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2154555</wp:posOffset>
            </wp:positionH>
            <wp:positionV relativeFrom="paragraph">
              <wp:posOffset>116205</wp:posOffset>
            </wp:positionV>
            <wp:extent cx="334010" cy="3511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4010" cy="351155"/>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150495</wp:posOffset>
            </wp:positionV>
            <wp:extent cx="334645" cy="3340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4645" cy="334010"/>
                    </a:xfrm>
                    <a:prstGeom prst="rect">
                      <a:avLst/>
                    </a:prstGeom>
                    <a:noFill/>
                  </pic:spPr>
                </pic:pic>
              </a:graphicData>
            </a:graphic>
          </wp:anchor>
        </w:drawing>
      </w:r>
    </w:p>
    <w:p>
      <w:pPr>
        <w:spacing w:after="0" w:line="365" w:lineRule="exact"/>
        <w:rPr>
          <w:sz w:val="20"/>
          <w:szCs w:val="20"/>
          <w:color w:val="auto"/>
        </w:rPr>
      </w:pPr>
    </w:p>
    <w:tbl>
      <w:tblPr>
        <w:tblLayout w:type="fixed"/>
        <w:tblInd w:w="3400" w:type="dxa"/>
        <w:tblCellMar>
          <w:top w:w="0" w:type="dxa"/>
          <w:left w:w="0" w:type="dxa"/>
          <w:bottom w:w="0" w:type="dxa"/>
          <w:right w:w="0" w:type="dxa"/>
        </w:tblCellMar>
      </w:tblPr>
      <w:tr>
        <w:trPr>
          <w:trHeight w:val="215"/>
        </w:trPr>
        <w:tc>
          <w:tcPr>
            <w:tcW w:w="280" w:type="dxa"/>
            <w:vAlign w:val="bottom"/>
          </w:tcPr>
          <w:p>
            <w:pPr>
              <w:spacing w:after="0"/>
              <w:rPr>
                <w:sz w:val="20"/>
                <w:szCs w:val="20"/>
                <w:color w:val="auto"/>
              </w:rPr>
            </w:pPr>
            <w:r>
              <w:rPr>
                <w:rFonts w:ascii="Arial" w:cs="Arial" w:eastAsia="Arial" w:hAnsi="Arial"/>
                <w:sz w:val="16"/>
                <w:szCs w:val="16"/>
                <w:color w:val="auto"/>
              </w:rPr>
              <w:t>​</w:t>
            </w:r>
          </w:p>
        </w:tc>
        <w:tc>
          <w:tcPr>
            <w:tcW w:w="2520" w:type="dxa"/>
            <w:vAlign w:val="bottom"/>
            <w:gridSpan w:val="2"/>
          </w:tcPr>
          <w:p>
            <w:pPr>
              <w:ind w:left="240"/>
              <w:spacing w:after="0"/>
              <w:rPr>
                <w:sz w:val="20"/>
                <w:szCs w:val="20"/>
                <w:color w:val="auto"/>
              </w:rPr>
            </w:pPr>
            <w:r>
              <w:rPr>
                <w:rFonts w:ascii="Arial" w:cs="Arial" w:eastAsia="Arial" w:hAnsi="Arial"/>
                <w:sz w:val="16"/>
                <w:szCs w:val="16"/>
                <w:color w:val="auto"/>
              </w:rPr>
              <w:t>​ ​ Executive Leadership</w:t>
            </w:r>
          </w:p>
        </w:tc>
        <w:tc>
          <w:tcPr>
            <w:tcW w:w="800" w:type="dxa"/>
            <w:vAlign w:val="bottom"/>
          </w:tcPr>
          <w:p>
            <w:pPr>
              <w:ind w:left="340"/>
              <w:spacing w:after="0"/>
              <w:rPr>
                <w:sz w:val="20"/>
                <w:szCs w:val="20"/>
                <w:color w:val="auto"/>
              </w:rPr>
            </w:pPr>
            <w:r>
              <w:rPr>
                <w:rFonts w:ascii="Arial" w:cs="Arial" w:eastAsia="Arial" w:hAnsi="Arial"/>
                <w:sz w:val="16"/>
                <w:szCs w:val="16"/>
                <w:color w:val="auto"/>
              </w:rPr>
              <w:t>​ ​</w:t>
            </w:r>
          </w:p>
        </w:tc>
        <w:tc>
          <w:tcPr>
            <w:tcW w:w="2580" w:type="dxa"/>
            <w:vAlign w:val="bottom"/>
          </w:tcPr>
          <w:p>
            <w:pPr>
              <w:ind w:left="260"/>
              <w:spacing w:after="0"/>
              <w:rPr>
                <w:sz w:val="20"/>
                <w:szCs w:val="20"/>
                <w:color w:val="auto"/>
              </w:rPr>
            </w:pPr>
            <w:r>
              <w:rPr>
                <w:rFonts w:ascii="Arial" w:cs="Arial" w:eastAsia="Arial" w:hAnsi="Arial"/>
                <w:sz w:val="16"/>
                <w:szCs w:val="16"/>
                <w:color w:val="auto"/>
              </w:rPr>
              <w:t>​ ​ Finance/Capital Markets</w:t>
            </w:r>
          </w:p>
        </w:tc>
        <w:tc>
          <w:tcPr>
            <w:tcW w:w="340" w:type="dxa"/>
            <w:vAlign w:val="bottom"/>
          </w:tcPr>
          <w:p>
            <w:pPr>
              <w:ind w:left="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75"/>
        </w:trPr>
        <w:tc>
          <w:tcPr>
            <w:tcW w:w="280" w:type="dxa"/>
            <w:vAlign w:val="bottom"/>
          </w:tcPr>
          <w:p>
            <w:pPr>
              <w:spacing w:after="0"/>
              <w:rPr>
                <w:sz w:val="20"/>
                <w:szCs w:val="20"/>
                <w:color w:val="auto"/>
              </w:rPr>
            </w:pPr>
            <w:r>
              <w:rPr>
                <w:rFonts w:ascii="Arial" w:cs="Arial" w:eastAsia="Arial" w:hAnsi="Arial"/>
                <w:sz w:val="16"/>
                <w:szCs w:val="16"/>
                <w:color w:val="auto"/>
              </w:rPr>
              <w:t>​</w:t>
            </w:r>
          </w:p>
        </w:tc>
        <w:tc>
          <w:tcPr>
            <w:tcW w:w="2520" w:type="dxa"/>
            <w:vAlign w:val="bottom"/>
            <w:gridSpan w:val="2"/>
          </w:tcPr>
          <w:p>
            <w:pPr>
              <w:ind w:left="240"/>
              <w:spacing w:after="0"/>
              <w:rPr>
                <w:sz w:val="20"/>
                <w:szCs w:val="20"/>
                <w:color w:val="auto"/>
              </w:rPr>
            </w:pPr>
            <w:r>
              <w:rPr>
                <w:rFonts w:ascii="Arial" w:cs="Arial" w:eastAsia="Arial" w:hAnsi="Arial"/>
                <w:sz w:val="16"/>
                <w:szCs w:val="16"/>
                <w:color w:val="auto"/>
              </w:rPr>
              <w:t>​ ​ Risk Management</w:t>
            </w:r>
          </w:p>
        </w:tc>
        <w:tc>
          <w:tcPr>
            <w:tcW w:w="800" w:type="dxa"/>
            <w:vAlign w:val="bottom"/>
          </w:tcPr>
          <w:p>
            <w:pPr>
              <w:ind w:left="340"/>
              <w:spacing w:after="0"/>
              <w:rPr>
                <w:sz w:val="20"/>
                <w:szCs w:val="20"/>
                <w:color w:val="auto"/>
              </w:rPr>
            </w:pPr>
            <w:r>
              <w:rPr>
                <w:rFonts w:ascii="Arial" w:cs="Arial" w:eastAsia="Arial" w:hAnsi="Arial"/>
                <w:sz w:val="16"/>
                <w:szCs w:val="16"/>
                <w:color w:val="auto"/>
              </w:rPr>
              <w:t>​ ​</w:t>
            </w:r>
          </w:p>
        </w:tc>
        <w:tc>
          <w:tcPr>
            <w:tcW w:w="2580" w:type="dxa"/>
            <w:vAlign w:val="bottom"/>
          </w:tcPr>
          <w:p>
            <w:pPr>
              <w:ind w:left="260"/>
              <w:spacing w:after="0"/>
              <w:rPr>
                <w:sz w:val="20"/>
                <w:szCs w:val="20"/>
                <w:color w:val="auto"/>
              </w:rPr>
            </w:pPr>
            <w:r>
              <w:rPr>
                <w:rFonts w:ascii="Arial" w:cs="Arial" w:eastAsia="Arial" w:hAnsi="Arial"/>
                <w:sz w:val="16"/>
                <w:szCs w:val="16"/>
                <w:color w:val="auto"/>
              </w:rPr>
              <w:t>​ ​ REIT/Real Estate Industry</w:t>
            </w:r>
          </w:p>
        </w:tc>
        <w:tc>
          <w:tcPr>
            <w:tcW w:w="340" w:type="dxa"/>
            <w:vAlign w:val="bottom"/>
          </w:tcPr>
          <w:p>
            <w:pPr>
              <w:ind w:left="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36"/>
        </w:trPr>
        <w:tc>
          <w:tcPr>
            <w:tcW w:w="280" w:type="dxa"/>
            <w:vAlign w:val="bottom"/>
          </w:tcPr>
          <w:p>
            <w:pPr>
              <w:spacing w:after="0"/>
              <w:rPr>
                <w:sz w:val="20"/>
                <w:szCs w:val="20"/>
                <w:color w:val="auto"/>
              </w:rPr>
            </w:pPr>
            <w:r>
              <w:rPr>
                <w:rFonts w:ascii="Arial" w:cs="Arial" w:eastAsia="Arial" w:hAnsi="Arial"/>
                <w:sz w:val="16"/>
                <w:szCs w:val="16"/>
                <w:color w:val="auto"/>
              </w:rPr>
              <w:t>​</w:t>
            </w:r>
          </w:p>
        </w:tc>
        <w:tc>
          <w:tcPr>
            <w:tcW w:w="380" w:type="dxa"/>
            <w:vAlign w:val="bottom"/>
          </w:tcPr>
          <w:p>
            <w:pPr>
              <w:ind w:left="240"/>
              <w:spacing w:after="0"/>
              <w:rPr>
                <w:sz w:val="20"/>
                <w:szCs w:val="20"/>
                <w:color w:val="auto"/>
              </w:rPr>
            </w:pPr>
            <w:r>
              <w:rPr>
                <w:rFonts w:ascii="Arial" w:cs="Arial" w:eastAsia="Arial" w:hAnsi="Arial"/>
                <w:sz w:val="16"/>
                <w:szCs w:val="16"/>
                <w:color w:val="auto"/>
              </w:rPr>
              <w:t>​ ​</w:t>
            </w:r>
          </w:p>
        </w:tc>
        <w:tc>
          <w:tcPr>
            <w:tcW w:w="2140" w:type="dxa"/>
            <w:vAlign w:val="bottom"/>
          </w:tcPr>
          <w:p>
            <w:pPr>
              <w:ind w:left="40"/>
              <w:spacing w:after="0"/>
              <w:rPr>
                <w:sz w:val="20"/>
                <w:szCs w:val="20"/>
                <w:color w:val="auto"/>
              </w:rPr>
            </w:pPr>
            <w:r>
              <w:rPr>
                <w:rFonts w:ascii="Arial" w:cs="Arial" w:eastAsia="Arial" w:hAnsi="Arial"/>
                <w:sz w:val="16"/>
                <w:szCs w:val="16"/>
                <w:color w:val="auto"/>
              </w:rPr>
              <w:t>Experience Over Several</w:t>
            </w:r>
          </w:p>
        </w:tc>
        <w:tc>
          <w:tcPr>
            <w:tcW w:w="800" w:type="dxa"/>
            <w:vAlign w:val="bottom"/>
          </w:tcPr>
          <w:p>
            <w:pPr>
              <w:ind w:left="340"/>
              <w:spacing w:after="0"/>
              <w:rPr>
                <w:sz w:val="20"/>
                <w:szCs w:val="20"/>
                <w:color w:val="auto"/>
              </w:rPr>
            </w:pPr>
            <w:r>
              <w:rPr>
                <w:rFonts w:ascii="Arial" w:cs="Arial" w:eastAsia="Arial" w:hAnsi="Arial"/>
                <w:sz w:val="16"/>
                <w:szCs w:val="16"/>
                <w:color w:val="auto"/>
              </w:rPr>
              <w:t>​ ​</w:t>
            </w:r>
          </w:p>
        </w:tc>
        <w:tc>
          <w:tcPr>
            <w:tcW w:w="2580" w:type="dxa"/>
            <w:vAlign w:val="bottom"/>
          </w:tcPr>
          <w:p>
            <w:pPr>
              <w:ind w:left="260"/>
              <w:spacing w:after="0"/>
              <w:rPr>
                <w:sz w:val="20"/>
                <w:szCs w:val="20"/>
                <w:color w:val="auto"/>
              </w:rPr>
            </w:pPr>
            <w:r>
              <w:rPr>
                <w:rFonts w:ascii="Arial" w:cs="Arial" w:eastAsia="Arial" w:hAnsi="Arial"/>
                <w:sz w:val="16"/>
                <w:szCs w:val="16"/>
                <w:color w:val="auto"/>
              </w:rPr>
              <w:t>​ ​ Talent Management</w:t>
            </w:r>
          </w:p>
        </w:tc>
        <w:tc>
          <w:tcPr>
            <w:tcW w:w="340" w:type="dxa"/>
            <w:vAlign w:val="bottom"/>
          </w:tcPr>
          <w:p>
            <w:pPr>
              <w:ind w:left="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tcPr>
          <w:p>
            <w:pPr>
              <w:ind w:left="40"/>
              <w:spacing w:after="0"/>
              <w:rPr>
                <w:sz w:val="20"/>
                <w:szCs w:val="20"/>
                <w:color w:val="auto"/>
              </w:rPr>
            </w:pPr>
            <w:r>
              <w:rPr>
                <w:rFonts w:ascii="Arial" w:cs="Arial" w:eastAsia="Arial" w:hAnsi="Arial"/>
                <w:sz w:val="16"/>
                <w:szCs w:val="16"/>
                <w:color w:val="auto"/>
              </w:rPr>
              <w:t>Business Cycles</w:t>
            </w:r>
          </w:p>
        </w:tc>
        <w:tc>
          <w:tcPr>
            <w:tcW w:w="8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3"/>
        </w:trPr>
        <w:tc>
          <w:tcPr>
            <w:tcW w:w="280" w:type="dxa"/>
            <w:vAlign w:val="bottom"/>
            <w:vMerge w:val="restart"/>
          </w:tcPr>
          <w:p>
            <w:pPr>
              <w:spacing w:after="0"/>
              <w:rPr>
                <w:sz w:val="20"/>
                <w:szCs w:val="20"/>
                <w:color w:val="auto"/>
              </w:rPr>
            </w:pPr>
            <w:r>
              <w:rPr>
                <w:rFonts w:ascii="Arial" w:cs="Arial" w:eastAsia="Arial" w:hAnsi="Arial"/>
                <w:sz w:val="16"/>
                <w:szCs w:val="16"/>
                <w:color w:val="auto"/>
              </w:rPr>
              <w:t>​</w:t>
            </w:r>
          </w:p>
        </w:tc>
        <w:tc>
          <w:tcPr>
            <w:tcW w:w="380" w:type="dxa"/>
            <w:vAlign w:val="bottom"/>
            <w:vMerge w:val="restart"/>
          </w:tcPr>
          <w:p>
            <w:pPr>
              <w:ind w:left="240"/>
              <w:spacing w:after="0"/>
              <w:rPr>
                <w:sz w:val="20"/>
                <w:szCs w:val="20"/>
                <w:color w:val="auto"/>
              </w:rPr>
            </w:pPr>
            <w:r>
              <w:rPr>
                <w:rFonts w:ascii="Arial" w:cs="Arial" w:eastAsia="Arial" w:hAnsi="Arial"/>
                <w:sz w:val="16"/>
                <w:szCs w:val="16"/>
                <w:color w:val="auto"/>
              </w:rPr>
              <w:t>​ ​</w:t>
            </w:r>
          </w:p>
        </w:tc>
        <w:tc>
          <w:tcPr>
            <w:tcW w:w="2140" w:type="dxa"/>
            <w:vAlign w:val="bottom"/>
          </w:tcPr>
          <w:p>
            <w:pPr>
              <w:ind w:left="40"/>
              <w:spacing w:after="0"/>
              <w:rPr>
                <w:sz w:val="20"/>
                <w:szCs w:val="20"/>
                <w:color w:val="auto"/>
              </w:rPr>
            </w:pPr>
            <w:r>
              <w:rPr>
                <w:rFonts w:ascii="Arial" w:cs="Arial" w:eastAsia="Arial" w:hAnsi="Arial"/>
                <w:sz w:val="16"/>
                <w:szCs w:val="16"/>
                <w:color w:val="auto"/>
              </w:rPr>
              <w:t>Government/Regulatory</w:t>
            </w:r>
          </w:p>
        </w:tc>
        <w:tc>
          <w:tcPr>
            <w:tcW w:w="800" w:type="dxa"/>
            <w:vAlign w:val="bottom"/>
            <w:vMerge w:val="restart"/>
          </w:tcPr>
          <w:p>
            <w:pPr>
              <w:ind w:left="340"/>
              <w:spacing w:after="0"/>
              <w:rPr>
                <w:sz w:val="20"/>
                <w:szCs w:val="20"/>
                <w:color w:val="auto"/>
              </w:rPr>
            </w:pPr>
            <w:r>
              <w:rPr>
                <w:rFonts w:ascii="Arial" w:cs="Arial" w:eastAsia="Arial" w:hAnsi="Arial"/>
                <w:sz w:val="16"/>
                <w:szCs w:val="16"/>
                <w:color w:val="auto"/>
              </w:rPr>
              <w:t>​ ​ ​</w:t>
            </w:r>
          </w:p>
        </w:tc>
        <w:tc>
          <w:tcPr>
            <w:tcW w:w="2580" w:type="dxa"/>
            <w:vAlign w:val="bottom"/>
            <w:vMerge w:val="restart"/>
          </w:tcPr>
          <w:p>
            <w:pPr>
              <w:ind w:left="260"/>
              <w:spacing w:after="0"/>
              <w:rPr>
                <w:sz w:val="20"/>
                <w:szCs w:val="20"/>
                <w:color w:val="auto"/>
              </w:rPr>
            </w:pPr>
            <w:r>
              <w:rPr>
                <w:rFonts w:ascii="Arial" w:cs="Arial" w:eastAsia="Arial" w:hAnsi="Arial"/>
                <w:sz w:val="16"/>
                <w:szCs w:val="16"/>
                <w:color w:val="auto"/>
              </w:rPr>
              <w:t>​ ​ ​</w:t>
            </w:r>
          </w:p>
        </w:tc>
        <w:tc>
          <w:tcPr>
            <w:tcW w:w="34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80" w:type="dxa"/>
            <w:vAlign w:val="bottom"/>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2140" w:type="dxa"/>
            <w:vAlign w:val="bottom"/>
          </w:tcPr>
          <w:p>
            <w:pPr>
              <w:ind w:left="40"/>
              <w:spacing w:after="0"/>
              <w:rPr>
                <w:sz w:val="20"/>
                <w:szCs w:val="20"/>
                <w:color w:val="auto"/>
              </w:rPr>
            </w:pPr>
            <w:r>
              <w:rPr>
                <w:rFonts w:ascii="Arial" w:cs="Arial" w:eastAsia="Arial" w:hAnsi="Arial"/>
                <w:sz w:val="16"/>
                <w:szCs w:val="16"/>
                <w:color w:val="auto"/>
              </w:rPr>
              <w:t>Experience</w:t>
            </w:r>
          </w:p>
        </w:tc>
        <w:tc>
          <w:tcPr>
            <w:tcW w:w="800" w:type="dxa"/>
            <w:vAlign w:val="bottom"/>
            <w:vMerge w:val="continue"/>
          </w:tcPr>
          <w:p>
            <w:pPr>
              <w:spacing w:after="0"/>
              <w:rPr>
                <w:sz w:val="18"/>
                <w:szCs w:val="18"/>
                <w:color w:val="auto"/>
              </w:rPr>
            </w:pPr>
          </w:p>
        </w:tc>
        <w:tc>
          <w:tcPr>
            <w:tcW w:w="258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2165985</wp:posOffset>
            </wp:positionV>
            <wp:extent cx="68319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-1198245</wp:posOffset>
            </wp:positionV>
            <wp:extent cx="317500" cy="3683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17500" cy="368300"/>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-1155700</wp:posOffset>
            </wp:positionV>
            <wp:extent cx="300355" cy="2743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00355" cy="274320"/>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-744220</wp:posOffset>
            </wp:positionV>
            <wp:extent cx="317500" cy="3346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17500" cy="334645"/>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-735330</wp:posOffset>
            </wp:positionV>
            <wp:extent cx="317500" cy="3175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17500" cy="317500"/>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-298450</wp:posOffset>
            </wp:positionV>
            <wp:extent cx="308610" cy="3429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08610" cy="34290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6260" w:type="dxa"/>
            <w:vAlign w:val="bottom"/>
          </w:tcPr>
          <w:p>
            <w:pPr>
              <w:spacing w:after="0"/>
              <w:rPr>
                <w:sz w:val="20"/>
                <w:szCs w:val="20"/>
                <w:color w:val="auto"/>
              </w:rPr>
            </w:pPr>
            <w:r>
              <w:rPr>
                <w:rFonts w:ascii="Arial" w:cs="Arial" w:eastAsia="Arial" w:hAnsi="Arial"/>
                <w:sz w:val="14"/>
                <w:szCs w:val="14"/>
                <w:b w:val="1"/>
                <w:bCs w:val="1"/>
                <w:color w:val="auto"/>
              </w:rPr>
              <w:t>​</w:t>
            </w:r>
          </w:p>
        </w:tc>
        <w:tc>
          <w:tcPr>
            <w:tcW w:w="2320" w:type="dxa"/>
            <w:vAlign w:val="bottom"/>
          </w:tcPr>
          <w:p>
            <w:pPr>
              <w:ind w:left="1940"/>
              <w:spacing w:after="0"/>
              <w:rPr>
                <w:sz w:val="20"/>
                <w:szCs w:val="20"/>
                <w:color w:val="auto"/>
              </w:rPr>
            </w:pPr>
            <w:r>
              <w:rPr>
                <w:rFonts w:ascii="Arial" w:cs="Arial" w:eastAsia="Arial" w:hAnsi="Arial"/>
                <w:sz w:val="14"/>
                <w:szCs w:val="14"/>
                <w:b w:val="1"/>
                <w:bCs w:val="1"/>
                <w:color w:val="auto"/>
              </w:rPr>
              <w:t>​ ​</w:t>
            </w:r>
          </w:p>
        </w:tc>
        <w:tc>
          <w:tcPr>
            <w:tcW w:w="480" w:type="dxa"/>
            <w:vAlign w:val="bottom"/>
            <w:vMerge w:val="restart"/>
          </w:tcPr>
          <w:p>
            <w:pPr>
              <w:jc w:val="right"/>
              <w:spacing w:after="0"/>
              <w:rPr>
                <w:sz w:val="20"/>
                <w:szCs w:val="20"/>
                <w:color w:val="auto"/>
              </w:rPr>
            </w:pPr>
            <w:r>
              <w:rPr>
                <w:rFonts w:ascii="Arial" w:cs="Arial" w:eastAsia="Arial" w:hAnsi="Arial"/>
                <w:sz w:val="22"/>
                <w:szCs w:val="22"/>
                <w:b w:val="1"/>
                <w:bCs w:val="1"/>
                <w:color w:val="1F2668"/>
              </w:rPr>
              <w:t>19</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6260" w:type="dxa"/>
            <w:vAlign w:val="bottom"/>
          </w:tcPr>
          <w:p>
            <w:pPr>
              <w:spacing w:after="0"/>
              <w:rPr>
                <w:sz w:val="20"/>
                <w:szCs w:val="20"/>
                <w:color w:val="auto"/>
              </w:rPr>
            </w:pPr>
            <w:r>
              <w:rPr>
                <w:rFonts w:ascii="Arial" w:cs="Arial" w:eastAsia="Arial" w:hAnsi="Arial"/>
                <w:sz w:val="14"/>
                <w:szCs w:val="14"/>
                <w:b w:val="1"/>
                <w:bCs w:val="1"/>
                <w:color w:val="auto"/>
              </w:rPr>
              <w:t>OUR BOARD OF DIRECTORS AND CORPORATE GOVERNANCE</w:t>
            </w:r>
          </w:p>
        </w:tc>
        <w:tc>
          <w:tcPr>
            <w:tcW w:w="232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1888490</wp:posOffset>
            </wp:positionH>
            <wp:positionV relativeFrom="paragraph">
              <wp:posOffset>501015</wp:posOffset>
            </wp:positionV>
            <wp:extent cx="34290" cy="35229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 cy="3522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960" w:type="dxa"/>
        <w:tblCellMar>
          <w:top w:w="0" w:type="dxa"/>
          <w:left w:w="0" w:type="dxa"/>
          <w:bottom w:w="0" w:type="dxa"/>
          <w:right w:w="0" w:type="dxa"/>
        </w:tblCellMar>
      </w:tblPr>
      <w:tr>
        <w:trPr>
          <w:trHeight w:val="297"/>
        </w:trPr>
        <w:tc>
          <w:tcPr>
            <w:tcW w:w="60" w:type="dxa"/>
            <w:vAlign w:val="bottom"/>
            <w:tcBorders>
              <w:top w:val="single" w:sz="8" w:color="83AD40"/>
            </w:tcBorders>
            <w:shd w:val="clear" w:color="auto" w:fill="83AD40"/>
          </w:tcPr>
          <w:p>
            <w:pPr>
              <w:spacing w:after="0"/>
              <w:rPr>
                <w:sz w:val="24"/>
                <w:szCs w:val="24"/>
                <w:color w:val="auto"/>
              </w:rPr>
            </w:pPr>
          </w:p>
        </w:tc>
        <w:tc>
          <w:tcPr>
            <w:tcW w:w="1620" w:type="dxa"/>
            <w:vAlign w:val="bottom"/>
            <w:tcBorders>
              <w:top w:val="single" w:sz="8" w:color="83AD40"/>
            </w:tcBorders>
          </w:tcPr>
          <w:p>
            <w:pPr>
              <w:spacing w:after="0"/>
              <w:rPr>
                <w:sz w:val="20"/>
                <w:szCs w:val="20"/>
                <w:color w:val="auto"/>
              </w:rPr>
            </w:pPr>
            <w:r>
              <w:rPr>
                <w:rFonts w:ascii="Arial" w:cs="Arial" w:eastAsia="Arial" w:hAnsi="Arial"/>
                <w:sz w:val="22"/>
                <w:szCs w:val="22"/>
                <w:color w:val="auto"/>
              </w:rPr>
              <w:t>​</w:t>
            </w:r>
          </w:p>
        </w:tc>
        <w:tc>
          <w:tcPr>
            <w:tcW w:w="400" w:type="dxa"/>
            <w:vAlign w:val="bottom"/>
            <w:tcBorders>
              <w:top w:val="single" w:sz="8" w:color="83AD40"/>
            </w:tcBorders>
          </w:tcPr>
          <w:p>
            <w:pPr>
              <w:ind w:left="340"/>
              <w:spacing w:after="0"/>
              <w:rPr>
                <w:sz w:val="20"/>
                <w:szCs w:val="20"/>
                <w:color w:val="auto"/>
              </w:rPr>
            </w:pPr>
            <w:r>
              <w:rPr>
                <w:rFonts w:ascii="Arial" w:cs="Arial" w:eastAsia="Arial" w:hAnsi="Arial"/>
                <w:sz w:val="22"/>
                <w:szCs w:val="22"/>
                <w:color w:val="auto"/>
              </w:rPr>
              <w:t>​</w:t>
            </w:r>
          </w:p>
        </w:tc>
        <w:tc>
          <w:tcPr>
            <w:tcW w:w="6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line="148" w:lineRule="exact"/>
              <w:rPr>
                <w:sz w:val="20"/>
                <w:szCs w:val="20"/>
                <w:color w:val="auto"/>
              </w:rPr>
            </w:pPr>
            <w:r>
              <w:rPr>
                <w:rFonts w:ascii="Arial" w:cs="Arial" w:eastAsia="Arial" w:hAnsi="Arial"/>
                <w:sz w:val="16"/>
                <w:szCs w:val="16"/>
                <w:b w:val="1"/>
                <w:bCs w:val="1"/>
                <w:color w:val="FFFFFF"/>
              </w:rPr>
              <w:t>​</w:t>
            </w:r>
          </w:p>
        </w:tc>
        <w:tc>
          <w:tcPr>
            <w:tcW w:w="1620" w:type="dxa"/>
            <w:vAlign w:val="bottom"/>
          </w:tcPr>
          <w:p>
            <w:pPr>
              <w:spacing w:after="0"/>
              <w:rPr>
                <w:sz w:val="12"/>
                <w:szCs w:val="12"/>
                <w:color w:val="auto"/>
              </w:rPr>
            </w:pPr>
          </w:p>
        </w:tc>
        <w:tc>
          <w:tcPr>
            <w:tcW w:w="7160" w:type="dxa"/>
            <w:vAlign w:val="bottom"/>
            <w:gridSpan w:val="2"/>
          </w:tcPr>
          <w:p>
            <w:pPr>
              <w:ind w:left="260"/>
              <w:spacing w:after="0" w:line="148" w:lineRule="exact"/>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02"/>
        </w:trPr>
        <w:tc>
          <w:tcPr>
            <w:tcW w:w="1680" w:type="dxa"/>
            <w:vAlign w:val="bottom"/>
            <w:gridSpan w:val="2"/>
            <w:vMerge w:val="restart"/>
          </w:tcPr>
          <w:p>
            <w:pPr>
              <w:spacing w:after="0"/>
              <w:rPr>
                <w:sz w:val="20"/>
                <w:szCs w:val="20"/>
                <w:color w:val="auto"/>
              </w:rPr>
            </w:pPr>
            <w:r>
              <w:rPr>
                <w:rFonts w:ascii="Arial" w:cs="Arial" w:eastAsia="Arial" w:hAnsi="Arial"/>
                <w:sz w:val="22"/>
                <w:szCs w:val="22"/>
                <w:b w:val="1"/>
                <w:bCs w:val="1"/>
                <w:color w:val="FFFFFF"/>
              </w:rPr>
              <w:t>PEGGY LAMB</w:t>
            </w:r>
          </w:p>
        </w:tc>
        <w:tc>
          <w:tcPr>
            <w:tcW w:w="400" w:type="dxa"/>
            <w:vAlign w:val="bottom"/>
          </w:tcPr>
          <w:p>
            <w:pPr>
              <w:spacing w:after="0"/>
              <w:rPr>
                <w:sz w:val="17"/>
                <w:szCs w:val="17"/>
                <w:color w:val="auto"/>
              </w:rPr>
            </w:pPr>
          </w:p>
        </w:tc>
        <w:tc>
          <w:tcPr>
            <w:tcW w:w="6760" w:type="dxa"/>
            <w:vAlign w:val="bottom"/>
          </w:tcPr>
          <w:p>
            <w:pPr>
              <w:ind w:left="360"/>
              <w:spacing w:after="0"/>
              <w:rPr>
                <w:sz w:val="20"/>
                <w:szCs w:val="20"/>
                <w:color w:val="auto"/>
              </w:rPr>
            </w:pPr>
            <w:r>
              <w:rPr>
                <w:rFonts w:ascii="Arial" w:cs="Arial" w:eastAsia="Arial" w:hAnsi="Arial"/>
                <w:sz w:val="16"/>
                <w:szCs w:val="16"/>
                <w:color w:val="auto"/>
              </w:rPr>
              <w:t>Ms. Lamb has extensive experience and skills in real estate, finance and executive</w:t>
            </w:r>
          </w:p>
        </w:tc>
        <w:tc>
          <w:tcPr>
            <w:tcW w:w="0" w:type="dxa"/>
            <w:vAlign w:val="bottom"/>
          </w:tcPr>
          <w:p>
            <w:pPr>
              <w:spacing w:after="0"/>
              <w:rPr>
                <w:sz w:val="1"/>
                <w:szCs w:val="1"/>
                <w:color w:val="auto"/>
              </w:rPr>
            </w:pPr>
          </w:p>
        </w:tc>
      </w:tr>
      <w:tr>
        <w:trPr>
          <w:trHeight w:val="163"/>
        </w:trPr>
        <w:tc>
          <w:tcPr>
            <w:tcW w:w="168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760" w:type="dxa"/>
            <w:vAlign w:val="bottom"/>
          </w:tcPr>
          <w:p>
            <w:pPr>
              <w:ind w:left="360"/>
              <w:spacing w:after="0" w:line="163" w:lineRule="exact"/>
              <w:rPr>
                <w:sz w:val="20"/>
                <w:szCs w:val="20"/>
                <w:color w:val="auto"/>
              </w:rPr>
            </w:pPr>
            <w:r>
              <w:rPr>
                <w:rFonts w:ascii="Arial" w:cs="Arial" w:eastAsia="Arial" w:hAnsi="Arial"/>
                <w:sz w:val="16"/>
                <w:szCs w:val="16"/>
                <w:color w:val="auto"/>
              </w:rPr>
              <w:t>management through her work with Goldman Sachs, Halstatt Real Estate Partners and</w:t>
            </w:r>
          </w:p>
        </w:tc>
        <w:tc>
          <w:tcPr>
            <w:tcW w:w="0" w:type="dxa"/>
            <w:vAlign w:val="bottom"/>
          </w:tcPr>
          <w:p>
            <w:pPr>
              <w:spacing w:after="0"/>
              <w:rPr>
                <w:sz w:val="1"/>
                <w:szCs w:val="1"/>
                <w:color w:val="auto"/>
              </w:rPr>
            </w:pPr>
          </w:p>
        </w:tc>
      </w:tr>
      <w:tr>
        <w:trPr>
          <w:trHeight w:val="256"/>
        </w:trPr>
        <w:tc>
          <w:tcPr>
            <w:tcW w:w="1680" w:type="dxa"/>
            <w:vAlign w:val="bottom"/>
            <w:gridSpan w:val="2"/>
          </w:tcPr>
          <w:p>
            <w:pPr>
              <w:spacing w:after="0"/>
              <w:rPr>
                <w:sz w:val="20"/>
                <w:szCs w:val="20"/>
                <w:color w:val="auto"/>
              </w:rPr>
            </w:pPr>
            <w:r>
              <w:rPr>
                <w:rFonts w:ascii="Arial" w:cs="Arial" w:eastAsia="Arial" w:hAnsi="Arial"/>
                <w:sz w:val="22"/>
                <w:szCs w:val="22"/>
                <w:b w:val="1"/>
                <w:bCs w:val="1"/>
                <w:color w:val="FFFFFF"/>
              </w:rPr>
              <w:t> </w:t>
            </w:r>
          </w:p>
        </w:tc>
        <w:tc>
          <w:tcPr>
            <w:tcW w:w="400" w:type="dxa"/>
            <w:vAlign w:val="bottom"/>
          </w:tcPr>
          <w:p>
            <w:pPr>
              <w:spacing w:after="0"/>
              <w:rPr>
                <w:sz w:val="22"/>
                <w:szCs w:val="22"/>
                <w:color w:val="auto"/>
              </w:rPr>
            </w:pPr>
          </w:p>
        </w:tc>
        <w:tc>
          <w:tcPr>
            <w:tcW w:w="6760" w:type="dxa"/>
            <w:vAlign w:val="bottom"/>
          </w:tcPr>
          <w:p>
            <w:pPr>
              <w:ind w:left="360"/>
              <w:spacing w:after="0"/>
              <w:rPr>
                <w:sz w:val="20"/>
                <w:szCs w:val="20"/>
                <w:color w:val="auto"/>
              </w:rPr>
            </w:pPr>
            <w:r>
              <w:rPr>
                <w:rFonts w:ascii="Arial" w:cs="Arial" w:eastAsia="Arial" w:hAnsi="Arial"/>
                <w:sz w:val="16"/>
                <w:szCs w:val="16"/>
                <w:color w:val="auto"/>
              </w:rPr>
              <w:t>Halstatt LLC. As a result, Ms. Lamb provides the Board with valuable knowledge of and</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760" w:type="dxa"/>
            <w:vAlign w:val="bottom"/>
          </w:tcPr>
          <w:p>
            <w:pPr>
              <w:ind w:left="360"/>
              <w:spacing w:after="0"/>
              <w:rPr>
                <w:sz w:val="20"/>
                <w:szCs w:val="20"/>
                <w:color w:val="auto"/>
              </w:rPr>
            </w:pPr>
            <w:r>
              <w:rPr>
                <w:rFonts w:ascii="Arial" w:cs="Arial" w:eastAsia="Arial" w:hAnsi="Arial"/>
                <w:sz w:val="16"/>
                <w:szCs w:val="16"/>
                <w:color w:val="auto"/>
                <w:w w:val="98"/>
              </w:rPr>
              <w:t>expertise in our business and industry. Ms. Lamb also has extensive public and other Board</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760" w:type="dxa"/>
            <w:vAlign w:val="bottom"/>
          </w:tcPr>
          <w:p>
            <w:pPr>
              <w:ind w:left="360"/>
              <w:spacing w:after="0"/>
              <w:rPr>
                <w:sz w:val="20"/>
                <w:szCs w:val="20"/>
                <w:color w:val="auto"/>
              </w:rPr>
            </w:pPr>
            <w:r>
              <w:rPr>
                <w:rFonts w:ascii="Arial" w:cs="Arial" w:eastAsia="Arial" w:hAnsi="Arial"/>
                <w:sz w:val="16"/>
                <w:szCs w:val="16"/>
                <w:color w:val="auto"/>
              </w:rPr>
              <w:t>and Board committee experience, which enables her to provide significant insight as to</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760" w:type="dxa"/>
            <w:vAlign w:val="bottom"/>
          </w:tcPr>
          <w:p>
            <w:pPr>
              <w:ind w:left="360"/>
              <w:spacing w:after="0"/>
              <w:rPr>
                <w:sz w:val="20"/>
                <w:szCs w:val="20"/>
                <w:color w:val="auto"/>
              </w:rPr>
            </w:pPr>
            <w:r>
              <w:rPr>
                <w:rFonts w:ascii="Arial" w:cs="Arial" w:eastAsia="Arial" w:hAnsi="Arial"/>
                <w:sz w:val="16"/>
                <w:szCs w:val="16"/>
                <w:color w:val="auto"/>
                <w:w w:val="98"/>
              </w:rPr>
              <w:t>governance and compliance-related matters particular to real estate investment companies.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-880745</wp:posOffset>
            </wp:positionV>
            <wp:extent cx="5760720" cy="31457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760720" cy="314579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-880745</wp:posOffset>
            </wp:positionV>
            <wp:extent cx="5760720" cy="31457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760720" cy="314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400"/>
        <w:spacing w:after="0"/>
        <w:rPr>
          <w:sz w:val="20"/>
          <w:szCs w:val="20"/>
          <w:color w:val="auto"/>
        </w:rPr>
      </w:pPr>
      <w:r>
        <w:rPr>
          <w:rFonts w:ascii="Arial" w:cs="Arial" w:eastAsia="Arial" w:hAnsi="Arial"/>
          <w:sz w:val="20"/>
          <w:szCs w:val="20"/>
          <w:b w:val="1"/>
          <w:bCs w:val="1"/>
          <w:color w:val="1F2668"/>
        </w:rPr>
        <w:t>Professional Experience</w:t>
      </w:r>
    </w:p>
    <w:p>
      <w:pPr>
        <w:spacing w:after="0" w:line="104" w:lineRule="exact"/>
        <w:rPr>
          <w:sz w:val="20"/>
          <w:szCs w:val="20"/>
          <w:color w:val="auto"/>
        </w:rPr>
      </w:pPr>
    </w:p>
    <w:tbl>
      <w:tblPr>
        <w:tblLayout w:type="fixed"/>
        <w:tblInd w:w="960" w:type="dxa"/>
        <w:tblCellMar>
          <w:top w:w="0" w:type="dxa"/>
          <w:left w:w="0" w:type="dxa"/>
          <w:bottom w:w="0" w:type="dxa"/>
          <w:right w:w="0" w:type="dxa"/>
        </w:tblCellMar>
      </w:tblPr>
      <w:tr>
        <w:trPr>
          <w:trHeight w:val="203"/>
        </w:trPr>
        <w:tc>
          <w:tcPr>
            <w:tcW w:w="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40" w:type="dxa"/>
            <w:vAlign w:val="bottom"/>
            <w:gridSpan w:val="5"/>
          </w:tcPr>
          <w:p>
            <w:pPr>
              <w:spacing w:after="0"/>
              <w:rPr>
                <w:sz w:val="20"/>
                <w:szCs w:val="20"/>
                <w:color w:val="auto"/>
              </w:rPr>
            </w:pPr>
            <w:r>
              <w:rPr>
                <w:rFonts w:ascii="Arial" w:cs="Arial" w:eastAsia="Arial" w:hAnsi="Arial"/>
                <w:sz w:val="16"/>
                <w:szCs w:val="16"/>
                <w:color w:val="auto"/>
              </w:rPr>
              <w:t>•  Managing Director of Halstatt LLC, a curated alternative investment platform that invests</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720" w:type="dxa"/>
            <w:vAlign w:val="bottom"/>
            <w:gridSpan w:val="2"/>
            <w:vMerge w:val="restart"/>
          </w:tcPr>
          <w:p>
            <w:pPr>
              <w:spacing w:after="0"/>
              <w:rPr>
                <w:sz w:val="20"/>
                <w:szCs w:val="20"/>
                <w:color w:val="auto"/>
              </w:rPr>
            </w:pPr>
            <w:r>
              <w:rPr>
                <w:rFonts w:ascii="Arial" w:cs="Arial" w:eastAsia="Arial" w:hAnsi="Arial"/>
                <w:sz w:val="16"/>
                <w:szCs w:val="16"/>
                <w:b w:val="1"/>
                <w:bCs w:val="1"/>
                <w:color w:val="FFFFFF"/>
              </w:rPr>
              <w:t>Director</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20" w:type="dxa"/>
            <w:vAlign w:val="bottom"/>
            <w:gridSpan w:val="2"/>
          </w:tcPr>
          <w:p>
            <w:pPr>
              <w:ind w:left="80"/>
              <w:spacing w:after="0"/>
              <w:rPr>
                <w:sz w:val="20"/>
                <w:szCs w:val="20"/>
                <w:color w:val="auto"/>
              </w:rPr>
            </w:pPr>
            <w:r>
              <w:rPr>
                <w:rFonts w:ascii="Arial" w:cs="Arial" w:eastAsia="Arial" w:hAnsi="Arial"/>
                <w:sz w:val="16"/>
                <w:szCs w:val="16"/>
                <w:color w:val="auto"/>
              </w:rPr>
              <w:t>on behalf of institutional investors, since 2017</w:t>
            </w:r>
          </w:p>
        </w:tc>
        <w:tc>
          <w:tcPr>
            <w:tcW w:w="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72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6340" w:type="dxa"/>
            <w:vAlign w:val="bottom"/>
            <w:gridSpan w:val="4"/>
          </w:tcPr>
          <w:p>
            <w:pPr>
              <w:ind w:left="80"/>
              <w:spacing w:after="0"/>
              <w:rPr>
                <w:sz w:val="20"/>
                <w:szCs w:val="20"/>
                <w:color w:val="auto"/>
              </w:rPr>
            </w:pPr>
            <w:r>
              <w:rPr>
                <w:rFonts w:ascii="Arial" w:cs="Arial" w:eastAsia="Arial" w:hAnsi="Arial"/>
                <w:sz w:val="16"/>
                <w:szCs w:val="16"/>
                <w:color w:val="auto"/>
              </w:rPr>
              <w:t>Principal in Halstatt Real Estate Partners private equity real estate funds since 2021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720" w:type="dxa"/>
            <w:vAlign w:val="bottom"/>
            <w:gridSpan w:val="2"/>
          </w:tcPr>
          <w:p>
            <w:pPr>
              <w:spacing w:after="0"/>
              <w:rPr>
                <w:sz w:val="20"/>
                <w:szCs w:val="20"/>
                <w:color w:val="auto"/>
              </w:rPr>
            </w:pPr>
            <w:r>
              <w:rPr>
                <w:rFonts w:ascii="Arial" w:cs="Arial" w:eastAsia="Arial" w:hAnsi="Arial"/>
                <w:sz w:val="16"/>
                <w:szCs w:val="16"/>
                <w:color w:val="FFFFFF"/>
              </w:rPr>
              <w:t xml:space="preserve">Director Since: </w:t>
            </w:r>
            <w:r>
              <w:rPr>
                <w:rFonts w:ascii="Arial" w:cs="Arial" w:eastAsia="Arial" w:hAnsi="Arial"/>
                <w:sz w:val="16"/>
                <w:szCs w:val="16"/>
                <w:b w:val="1"/>
                <w:bCs w:val="1"/>
                <w:color w:val="FFFFFF"/>
              </w:rPr>
              <w:t>2025</w:t>
            </w: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40" w:type="dxa"/>
            <w:vAlign w:val="bottom"/>
            <w:gridSpan w:val="5"/>
          </w:tcPr>
          <w:p>
            <w:pPr>
              <w:spacing w:after="0"/>
              <w:rPr>
                <w:sz w:val="20"/>
                <w:szCs w:val="20"/>
                <w:color w:val="auto"/>
              </w:rPr>
            </w:pPr>
            <w:r>
              <w:rPr>
                <w:rFonts w:ascii="Arial" w:cs="Arial" w:eastAsia="Arial" w:hAnsi="Arial"/>
                <w:sz w:val="16"/>
                <w:szCs w:val="16"/>
                <w:color w:val="auto"/>
                <w:w w:val="99"/>
              </w:rPr>
              <w:t>•  Serves on the Board of Starwood Credit Real Estate Income Trust since November 2023</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720" w:type="dxa"/>
            <w:vAlign w:val="bottom"/>
            <w:gridSpan w:val="2"/>
            <w:vMerge w:val="restart"/>
          </w:tcPr>
          <w:p>
            <w:pPr>
              <w:spacing w:after="0"/>
              <w:rPr>
                <w:sz w:val="20"/>
                <w:szCs w:val="20"/>
                <w:color w:val="auto"/>
              </w:rPr>
            </w:pPr>
            <w:r>
              <w:rPr>
                <w:rFonts w:ascii="Arial" w:cs="Arial" w:eastAsia="Arial" w:hAnsi="Arial"/>
                <w:sz w:val="16"/>
                <w:szCs w:val="16"/>
                <w:color w:val="FFFFFF"/>
              </w:rPr>
              <w:t xml:space="preserve">Age: </w:t>
            </w:r>
            <w:r>
              <w:rPr>
                <w:rFonts w:ascii="Arial" w:cs="Arial" w:eastAsia="Arial" w:hAnsi="Arial"/>
                <w:sz w:val="16"/>
                <w:szCs w:val="16"/>
                <w:b w:val="1"/>
                <w:bCs w:val="1"/>
                <w:color w:val="FFFFFF"/>
              </w:rPr>
              <w:t>60</w:t>
            </w: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40" w:type="dxa"/>
            <w:vAlign w:val="bottom"/>
            <w:gridSpan w:val="5"/>
          </w:tcPr>
          <w:p>
            <w:pPr>
              <w:spacing w:after="0"/>
              <w:rPr>
                <w:sz w:val="20"/>
                <w:szCs w:val="20"/>
                <w:color w:val="auto"/>
              </w:rPr>
            </w:pPr>
            <w:r>
              <w:rPr>
                <w:rFonts w:ascii="Arial" w:cs="Arial" w:eastAsia="Arial" w:hAnsi="Arial"/>
                <w:sz w:val="16"/>
                <w:szCs w:val="16"/>
                <w:color w:val="auto"/>
              </w:rPr>
              <w:t>•  Member of the real estate advisory board for the University of Florida Bergstrom Real</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17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80" w:type="dxa"/>
            <w:vAlign w:val="bottom"/>
            <w:vMerge w:val="restart"/>
          </w:tcPr>
          <w:p>
            <w:pPr>
              <w:ind w:left="80"/>
              <w:spacing w:after="0"/>
              <w:rPr>
                <w:sz w:val="20"/>
                <w:szCs w:val="20"/>
                <w:color w:val="auto"/>
              </w:rPr>
            </w:pPr>
            <w:r>
              <w:rPr>
                <w:rFonts w:ascii="Arial" w:cs="Arial" w:eastAsia="Arial" w:hAnsi="Arial"/>
                <w:sz w:val="16"/>
                <w:szCs w:val="16"/>
                <w:color w:val="auto"/>
              </w:rPr>
              <w:t>Estate Center</w:t>
            </w: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1720" w:type="dxa"/>
            <w:vAlign w:val="bottom"/>
            <w:gridSpan w:val="2"/>
          </w:tcPr>
          <w:p>
            <w:pPr>
              <w:spacing w:after="0"/>
              <w:rPr>
                <w:sz w:val="20"/>
                <w:szCs w:val="20"/>
                <w:color w:val="auto"/>
              </w:rPr>
            </w:pPr>
            <w:r>
              <w:rPr>
                <w:rFonts w:ascii="Arial" w:cs="Arial" w:eastAsia="Arial" w:hAnsi="Arial"/>
                <w:sz w:val="16"/>
                <w:szCs w:val="16"/>
                <w:color w:val="FFFFFF"/>
              </w:rPr>
              <w:t>SL Green</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6340" w:type="dxa"/>
            <w:vAlign w:val="bottom"/>
            <w:gridSpan w:val="4"/>
          </w:tcPr>
          <w:p>
            <w:pPr>
              <w:ind w:left="80"/>
              <w:spacing w:after="0"/>
              <w:rPr>
                <w:sz w:val="20"/>
                <w:szCs w:val="20"/>
                <w:color w:val="auto"/>
              </w:rPr>
            </w:pPr>
            <w:r>
              <w:rPr>
                <w:rFonts w:ascii="Arial" w:cs="Arial" w:eastAsia="Arial" w:hAnsi="Arial"/>
                <w:sz w:val="16"/>
                <w:szCs w:val="16"/>
                <w:color w:val="auto"/>
                <w:w w:val="99"/>
              </w:rPr>
              <w:t>Member of the Board of Directors of the Lucas Institute for Real Estate Development and</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720" w:type="dxa"/>
            <w:vAlign w:val="bottom"/>
            <w:gridSpan w:val="2"/>
          </w:tcPr>
          <w:p>
            <w:pPr>
              <w:spacing w:after="0"/>
              <w:rPr>
                <w:sz w:val="20"/>
                <w:szCs w:val="20"/>
                <w:color w:val="auto"/>
              </w:rPr>
            </w:pPr>
            <w:r>
              <w:rPr>
                <w:rFonts w:ascii="Arial" w:cs="Arial" w:eastAsia="Arial" w:hAnsi="Arial"/>
                <w:sz w:val="16"/>
                <w:szCs w:val="16"/>
                <w:color w:val="FFFFFF"/>
              </w:rPr>
              <w:t>Board Service:</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tcPr>
          <w:p>
            <w:pPr>
              <w:ind w:left="80"/>
              <w:spacing w:after="0"/>
              <w:rPr>
                <w:sz w:val="20"/>
                <w:szCs w:val="20"/>
                <w:color w:val="auto"/>
              </w:rPr>
            </w:pPr>
            <w:r>
              <w:rPr>
                <w:rFonts w:ascii="Arial" w:cs="Arial" w:eastAsia="Arial" w:hAnsi="Arial"/>
                <w:sz w:val="16"/>
                <w:szCs w:val="16"/>
                <w:color w:val="auto"/>
              </w:rPr>
              <w:t>Finance at Florida Gulf Coast University</w:t>
            </w: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720" w:type="dxa"/>
            <w:vAlign w:val="bottom"/>
            <w:gridSpan w:val="2"/>
            <w:vMerge w:val="restart"/>
          </w:tcPr>
          <w:p>
            <w:pPr>
              <w:spacing w:after="0"/>
              <w:rPr>
                <w:sz w:val="20"/>
                <w:szCs w:val="20"/>
                <w:color w:val="auto"/>
              </w:rPr>
            </w:pPr>
            <w:r>
              <w:rPr>
                <w:rFonts w:ascii="Arial" w:cs="Arial" w:eastAsia="Arial" w:hAnsi="Arial"/>
                <w:sz w:val="16"/>
                <w:szCs w:val="16"/>
                <w:color w:val="FFFFFF"/>
              </w:rPr>
              <w:t xml:space="preserve">• </w:t>
            </w:r>
            <w:r>
              <w:rPr>
                <w:rFonts w:ascii="Arial" w:cs="Arial" w:eastAsia="Arial" w:hAnsi="Arial"/>
                <w:sz w:val="16"/>
                <w:szCs w:val="16"/>
                <w:b w:val="1"/>
                <w:bCs w:val="1"/>
                <w:color w:val="FFFFFF"/>
              </w:rPr>
              <w:t>Compensation</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40" w:type="dxa"/>
            <w:vAlign w:val="bottom"/>
            <w:gridSpan w:val="5"/>
          </w:tcPr>
          <w:p>
            <w:pPr>
              <w:spacing w:after="0"/>
              <w:rPr>
                <w:sz w:val="20"/>
                <w:szCs w:val="20"/>
                <w:color w:val="auto"/>
              </w:rPr>
            </w:pPr>
            <w:r>
              <w:rPr>
                <w:rFonts w:ascii="Arial" w:cs="Arial" w:eastAsia="Arial" w:hAnsi="Arial"/>
                <w:sz w:val="16"/>
                <w:szCs w:val="16"/>
                <w:color w:val="auto"/>
              </w:rPr>
              <w:t>•  Worked at Goldman Sachs from 1990 to 2005 and served in a number of management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172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340" w:type="dxa"/>
            <w:vAlign w:val="bottom"/>
            <w:gridSpan w:val="4"/>
            <w:vMerge w:val="restart"/>
          </w:tcPr>
          <w:p>
            <w:pPr>
              <w:ind w:left="80"/>
              <w:spacing w:after="0"/>
              <w:rPr>
                <w:sz w:val="20"/>
                <w:szCs w:val="20"/>
                <w:color w:val="auto"/>
              </w:rPr>
            </w:pPr>
            <w:r>
              <w:rPr>
                <w:rFonts w:ascii="Arial" w:cs="Arial" w:eastAsia="Arial" w:hAnsi="Arial"/>
                <w:sz w:val="16"/>
                <w:szCs w:val="16"/>
                <w:color w:val="auto"/>
              </w:rPr>
              <w:t>roles, including as Chief Operating Officer for Investment Banking Real Estate</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1660" w:type="dxa"/>
            <w:vAlign w:val="bottom"/>
            <w:vMerge w:val="restart"/>
          </w:tcPr>
          <w:p>
            <w:pPr>
              <w:ind w:left="100"/>
              <w:spacing w:after="0"/>
              <w:rPr>
                <w:sz w:val="20"/>
                <w:szCs w:val="20"/>
                <w:color w:val="auto"/>
              </w:rPr>
            </w:pPr>
            <w:r>
              <w:rPr>
                <w:rFonts w:ascii="Arial" w:cs="Arial" w:eastAsia="Arial" w:hAnsi="Arial"/>
                <w:sz w:val="16"/>
                <w:szCs w:val="16"/>
                <w:b w:val="1"/>
                <w:bCs w:val="1"/>
                <w:color w:val="FFFFFF"/>
              </w:rPr>
              <w:t>Committee</w:t>
            </w: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340" w:type="dxa"/>
            <w:vAlign w:val="bottom"/>
            <w:gridSpan w:val="4"/>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6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940" w:type="dxa"/>
            <w:vAlign w:val="bottom"/>
            <w:gridSpan w:val="3"/>
            <w:vMerge w:val="restart"/>
          </w:tcPr>
          <w:p>
            <w:pPr>
              <w:ind w:left="80"/>
              <w:spacing w:after="0"/>
              <w:rPr>
                <w:sz w:val="20"/>
                <w:szCs w:val="20"/>
                <w:color w:val="auto"/>
              </w:rPr>
            </w:pPr>
            <w:r>
              <w:rPr>
                <w:rFonts w:ascii="Arial" w:cs="Arial" w:eastAsia="Arial" w:hAnsi="Arial"/>
                <w:sz w:val="16"/>
                <w:szCs w:val="16"/>
                <w:color w:val="auto"/>
                <w:w w:val="99"/>
              </w:rPr>
              <w:t>Department and Chief of Staff for the Financing Group</w:t>
            </w:r>
          </w:p>
        </w:tc>
        <w:tc>
          <w:tcPr>
            <w:tcW w:w="24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940" w:type="dxa"/>
            <w:vAlign w:val="bottom"/>
            <w:gridSpan w:val="3"/>
            <w:vMerge w:val="continue"/>
          </w:tcPr>
          <w:p>
            <w:pPr>
              <w:spacing w:after="0"/>
              <w:rPr>
                <w:sz w:val="8"/>
                <w:szCs w:val="8"/>
                <w:color w:val="auto"/>
              </w:rPr>
            </w:pPr>
          </w:p>
        </w:tc>
        <w:tc>
          <w:tcPr>
            <w:tcW w:w="24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660" w:type="dxa"/>
            <w:vAlign w:val="bottom"/>
            <w:vMerge w:val="restart"/>
          </w:tcPr>
          <w:p>
            <w:pPr>
              <w:spacing w:after="0"/>
              <w:rPr>
                <w:sz w:val="20"/>
                <w:szCs w:val="20"/>
                <w:color w:val="auto"/>
              </w:rPr>
            </w:pPr>
            <w:r>
              <w:rPr>
                <w:rFonts w:ascii="Arial" w:cs="Arial" w:eastAsia="Arial" w:hAnsi="Arial"/>
                <w:sz w:val="22"/>
                <w:szCs w:val="22"/>
                <w:color w:val="auto"/>
              </w:rPr>
              <w:t>​</w:t>
            </w:r>
          </w:p>
        </w:tc>
        <w:tc>
          <w:tcPr>
            <w:tcW w:w="720" w:type="dxa"/>
            <w:vAlign w:val="bottom"/>
            <w:gridSpan w:val="2"/>
            <w:vMerge w:val="restart"/>
          </w:tcPr>
          <w:p>
            <w:pPr>
              <w:ind w:left="300"/>
              <w:spacing w:after="0"/>
              <w:rPr>
                <w:sz w:val="20"/>
                <w:szCs w:val="20"/>
                <w:color w:val="auto"/>
              </w:rPr>
            </w:pPr>
            <w:r>
              <w:rPr>
                <w:rFonts w:ascii="Arial" w:cs="Arial" w:eastAsia="Arial" w:hAnsi="Arial"/>
                <w:sz w:val="22"/>
                <w:szCs w:val="22"/>
                <w:color w:val="auto"/>
              </w:rPr>
              <w:t>​</w:t>
            </w:r>
          </w:p>
        </w:tc>
        <w:tc>
          <w:tcPr>
            <w:tcW w:w="6440" w:type="dxa"/>
            <w:vAlign w:val="bottom"/>
            <w:gridSpan w:val="5"/>
            <w:vMerge w:val="restart"/>
          </w:tcPr>
          <w:p>
            <w:pPr>
              <w:spacing w:after="0"/>
              <w:rPr>
                <w:sz w:val="20"/>
                <w:szCs w:val="20"/>
                <w:color w:val="auto"/>
              </w:rPr>
            </w:pPr>
            <w:r>
              <w:rPr>
                <w:rFonts w:ascii="Arial" w:cs="Arial" w:eastAsia="Arial" w:hAnsi="Arial"/>
                <w:sz w:val="16"/>
                <w:szCs w:val="16"/>
                <w:color w:val="auto"/>
              </w:rPr>
              <w:t>•  Worked at JMB Realty from 1986 to 1988 in acquisitions</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60" w:type="dxa"/>
            <w:vAlign w:val="bottom"/>
            <w:shd w:val="clear" w:color="auto" w:fill="83AD40"/>
          </w:tcPr>
          <w:p>
            <w:pPr>
              <w:spacing w:after="0"/>
              <w:rPr>
                <w:sz w:val="9"/>
                <w:szCs w:val="9"/>
                <w:color w:val="auto"/>
              </w:rPr>
            </w:pPr>
          </w:p>
        </w:tc>
        <w:tc>
          <w:tcPr>
            <w:tcW w:w="166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40" w:type="dxa"/>
            <w:vAlign w:val="bottom"/>
            <w:gridSpan w:val="5"/>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60" w:type="dxa"/>
            <w:vAlign w:val="bottom"/>
            <w:shd w:val="clear" w:color="auto" w:fill="83AD40"/>
          </w:tcPr>
          <w:p>
            <w:pPr>
              <w:spacing w:after="0"/>
              <w:rPr>
                <w:sz w:val="14"/>
                <w:szCs w:val="14"/>
                <w:color w:val="auto"/>
              </w:rPr>
            </w:pPr>
          </w:p>
        </w:tc>
        <w:tc>
          <w:tcPr>
            <w:tcW w:w="166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440" w:type="dxa"/>
            <w:vAlign w:val="bottom"/>
            <w:gridSpan w:val="5"/>
          </w:tcPr>
          <w:p>
            <w:pPr>
              <w:spacing w:after="0" w:line="171" w:lineRule="exact"/>
              <w:rPr>
                <w:sz w:val="20"/>
                <w:szCs w:val="20"/>
                <w:color w:val="auto"/>
              </w:rPr>
            </w:pPr>
            <w:r>
              <w:rPr>
                <w:rFonts w:ascii="Arial" w:cs="Arial" w:eastAsia="Arial" w:hAnsi="Arial"/>
                <w:sz w:val="16"/>
                <w:szCs w:val="16"/>
                <w:color w:val="auto"/>
              </w:rPr>
              <w:t>•  B.S. degree from University of Illinois and M.B.A. degree from Harvard Business School</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3"/>
        </w:trPr>
        <w:tc>
          <w:tcPr>
            <w:tcW w:w="60" w:type="dxa"/>
            <w:vAlign w:val="bottom"/>
            <w:tcBorders>
              <w:top w:val="single" w:sz="8" w:color="83AD40"/>
            </w:tcBorders>
          </w:tcPr>
          <w:p>
            <w:pPr>
              <w:spacing w:after="0"/>
              <w:rPr>
                <w:sz w:val="24"/>
                <w:szCs w:val="24"/>
                <w:color w:val="auto"/>
              </w:rPr>
            </w:pPr>
          </w:p>
        </w:tc>
        <w:tc>
          <w:tcPr>
            <w:tcW w:w="1660" w:type="dxa"/>
            <w:vAlign w:val="bottom"/>
            <w:tcBorders>
              <w:top w:val="single" w:sz="8" w:color="83AD40"/>
            </w:tcBorders>
          </w:tcPr>
          <w:p>
            <w:pPr>
              <w:spacing w:after="0"/>
              <w:rPr>
                <w:sz w:val="24"/>
                <w:szCs w:val="24"/>
                <w:color w:val="auto"/>
              </w:rPr>
            </w:pPr>
          </w:p>
        </w:tc>
        <w:tc>
          <w:tcPr>
            <w:tcW w:w="340" w:type="dxa"/>
            <w:vAlign w:val="bottom"/>
            <w:tcBorders>
              <w:top w:val="single" w:sz="8" w:color="83AD40"/>
            </w:tcBorders>
          </w:tcPr>
          <w:p>
            <w:pPr>
              <w:spacing w:after="0"/>
              <w:rPr>
                <w:sz w:val="24"/>
                <w:szCs w:val="24"/>
                <w:color w:val="auto"/>
              </w:rPr>
            </w:pPr>
          </w:p>
        </w:tc>
        <w:tc>
          <w:tcPr>
            <w:tcW w:w="380" w:type="dxa"/>
            <w:vAlign w:val="bottom"/>
          </w:tcPr>
          <w:p>
            <w:pPr>
              <w:spacing w:after="0"/>
              <w:rPr>
                <w:sz w:val="24"/>
                <w:szCs w:val="24"/>
                <w:color w:val="auto"/>
              </w:rPr>
            </w:pPr>
          </w:p>
        </w:tc>
        <w:tc>
          <w:tcPr>
            <w:tcW w:w="3080" w:type="dxa"/>
            <w:vAlign w:val="bottom"/>
            <w:gridSpan w:val="2"/>
          </w:tcPr>
          <w:p>
            <w:pPr>
              <w:spacing w:after="0"/>
              <w:rPr>
                <w:sz w:val="20"/>
                <w:szCs w:val="20"/>
                <w:color w:val="auto"/>
              </w:rPr>
            </w:pPr>
            <w:r>
              <w:rPr>
                <w:rFonts w:ascii="Arial" w:cs="Arial" w:eastAsia="Arial" w:hAnsi="Arial"/>
                <w:sz w:val="20"/>
                <w:szCs w:val="20"/>
                <w:b w:val="1"/>
                <w:bCs w:val="1"/>
                <w:color w:val="1F2668"/>
                <w:w w:val="96"/>
              </w:rPr>
              <w:t>Other Public Board Directorships</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40" w:type="dxa"/>
            <w:vAlign w:val="bottom"/>
            <w:gridSpan w:val="5"/>
          </w:tcPr>
          <w:p>
            <w:pPr>
              <w:spacing w:after="0"/>
              <w:rPr>
                <w:sz w:val="20"/>
                <w:szCs w:val="20"/>
                <w:color w:val="auto"/>
              </w:rPr>
            </w:pPr>
            <w:r>
              <w:rPr>
                <w:rFonts w:ascii="Arial" w:cs="Arial" w:eastAsia="Arial" w:hAnsi="Arial"/>
                <w:sz w:val="16"/>
                <w:szCs w:val="16"/>
                <w:color w:val="auto"/>
              </w:rPr>
              <w:t>•  Starwood Real Estate Income Trust, Inc. since January 2021 (non-exchange traded)</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20" w:type="dxa"/>
            <w:vAlign w:val="bottom"/>
            <w:tcBorders>
              <w:bottom w:val="single" w:sz="8" w:color="83AD40"/>
            </w:tcBorders>
            <w:gridSpan w:val="3"/>
          </w:tcPr>
          <w:p>
            <w:pPr>
              <w:spacing w:after="0"/>
              <w:rPr>
                <w:sz w:val="11"/>
                <w:szCs w:val="11"/>
                <w:color w:val="auto"/>
              </w:rPr>
            </w:pPr>
          </w:p>
        </w:tc>
        <w:tc>
          <w:tcPr>
            <w:tcW w:w="420" w:type="dxa"/>
            <w:vAlign w:val="bottom"/>
            <w:tcBorders>
              <w:bottom w:val="single" w:sz="8" w:color="83AD40"/>
            </w:tcBorders>
          </w:tcPr>
          <w:p>
            <w:pPr>
              <w:spacing w:after="0"/>
              <w:rPr>
                <w:sz w:val="11"/>
                <w:szCs w:val="11"/>
                <w:color w:val="auto"/>
              </w:rPr>
            </w:pPr>
          </w:p>
        </w:tc>
        <w:tc>
          <w:tcPr>
            <w:tcW w:w="2400" w:type="dxa"/>
            <w:vAlign w:val="bottom"/>
            <w:tcBorders>
              <w:bottom w:val="single" w:sz="8" w:color="83AD40"/>
            </w:tcBorders>
          </w:tcPr>
          <w:p>
            <w:pPr>
              <w:spacing w:after="0"/>
              <w:rPr>
                <w:sz w:val="11"/>
                <w:szCs w:val="11"/>
                <w:color w:val="auto"/>
              </w:rPr>
            </w:pPr>
          </w:p>
        </w:tc>
        <w:tc>
          <w:tcPr>
            <w:tcW w:w="40" w:type="dxa"/>
            <w:vAlign w:val="bottom"/>
            <w:tcBorders>
              <w:bottom w:val="single" w:sz="8" w:color="83AD4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20" w:type="dxa"/>
            <w:vAlign w:val="bottom"/>
            <w:gridSpan w:val="3"/>
          </w:tcPr>
          <w:p>
            <w:pPr>
              <w:spacing w:after="0"/>
              <w:rPr>
                <w:sz w:val="20"/>
                <w:szCs w:val="20"/>
                <w:color w:val="auto"/>
              </w:rPr>
            </w:pPr>
            <w:r>
              <w:rPr>
                <w:rFonts w:ascii="Arial" w:cs="Arial" w:eastAsia="Arial" w:hAnsi="Arial"/>
                <w:sz w:val="20"/>
                <w:szCs w:val="20"/>
                <w:b w:val="1"/>
                <w:bCs w:val="1"/>
                <w:color w:val="1F2668"/>
              </w:rPr>
              <w:t>Skills, Experiences and Attributes</w:t>
            </w:r>
          </w:p>
        </w:tc>
        <w:tc>
          <w:tcPr>
            <w:tcW w:w="4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2"/>
        </w:trPr>
        <w:tc>
          <w:tcPr>
            <w:tcW w:w="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2980" w:type="dxa"/>
            <w:vAlign w:val="bottom"/>
          </w:tcPr>
          <w:p>
            <w:pPr>
              <w:ind w:left="440"/>
              <w:spacing w:after="0"/>
              <w:rPr>
                <w:sz w:val="20"/>
                <w:szCs w:val="20"/>
                <w:color w:val="auto"/>
              </w:rPr>
            </w:pPr>
            <w:r>
              <w:rPr>
                <w:rFonts w:ascii="Arial" w:cs="Arial" w:eastAsia="Arial" w:hAnsi="Arial"/>
                <w:sz w:val="16"/>
                <w:szCs w:val="16"/>
                <w:color w:val="auto"/>
              </w:rPr>
              <w:t>​ ​ Executive Leadership</w:t>
            </w:r>
          </w:p>
        </w:tc>
        <w:tc>
          <w:tcPr>
            <w:tcW w:w="540" w:type="dxa"/>
            <w:vAlign w:val="bottom"/>
          </w:tcPr>
          <w:p>
            <w:pPr>
              <w:ind w:left="20"/>
              <w:spacing w:after="0"/>
              <w:rPr>
                <w:sz w:val="20"/>
                <w:szCs w:val="20"/>
                <w:color w:val="auto"/>
              </w:rPr>
            </w:pPr>
            <w:r>
              <w:rPr>
                <w:rFonts w:ascii="Arial" w:cs="Arial" w:eastAsia="Arial" w:hAnsi="Arial"/>
                <w:sz w:val="16"/>
                <w:szCs w:val="16"/>
                <w:color w:val="auto"/>
              </w:rPr>
              <w:t>​ ​</w:t>
            </w:r>
          </w:p>
        </w:tc>
        <w:tc>
          <w:tcPr>
            <w:tcW w:w="2820" w:type="dxa"/>
            <w:vAlign w:val="bottom"/>
            <w:gridSpan w:val="2"/>
          </w:tcPr>
          <w:p>
            <w:pPr>
              <w:ind w:left="280"/>
              <w:spacing w:after="0"/>
              <w:rPr>
                <w:sz w:val="20"/>
                <w:szCs w:val="20"/>
                <w:color w:val="auto"/>
              </w:rPr>
            </w:pPr>
            <w:r>
              <w:rPr>
                <w:rFonts w:ascii="Arial" w:cs="Arial" w:eastAsia="Arial" w:hAnsi="Arial"/>
                <w:sz w:val="16"/>
                <w:szCs w:val="16"/>
                <w:color w:val="auto"/>
              </w:rPr>
              <w:t>​ ​ Finance/Capital Markets</w:t>
            </w:r>
          </w:p>
        </w:tc>
        <w:tc>
          <w:tcPr>
            <w:tcW w:w="8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28"/>
        </w:trPr>
        <w:tc>
          <w:tcPr>
            <w:tcW w:w="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2980" w:type="dxa"/>
            <w:vAlign w:val="bottom"/>
            <w:vMerge w:val="restart"/>
          </w:tcPr>
          <w:p>
            <w:pPr>
              <w:ind w:left="440"/>
              <w:spacing w:after="0"/>
              <w:rPr>
                <w:sz w:val="20"/>
                <w:szCs w:val="20"/>
                <w:color w:val="auto"/>
              </w:rPr>
            </w:pPr>
            <w:r>
              <w:rPr>
                <w:rFonts w:ascii="Arial" w:cs="Arial" w:eastAsia="Arial" w:hAnsi="Arial"/>
                <w:sz w:val="16"/>
                <w:szCs w:val="16"/>
                <w:color w:val="auto"/>
              </w:rPr>
              <w:t>​ ​ Risk Management</w:t>
            </w:r>
          </w:p>
        </w:tc>
        <w:tc>
          <w:tcPr>
            <w:tcW w:w="540" w:type="dxa"/>
            <w:vAlign w:val="bottom"/>
            <w:vMerge w:val="restart"/>
          </w:tcPr>
          <w:p>
            <w:pPr>
              <w:ind w:left="20"/>
              <w:spacing w:after="0"/>
              <w:rPr>
                <w:sz w:val="20"/>
                <w:szCs w:val="20"/>
                <w:color w:val="auto"/>
              </w:rPr>
            </w:pPr>
            <w:r>
              <w:rPr>
                <w:rFonts w:ascii="Arial" w:cs="Arial" w:eastAsia="Arial" w:hAnsi="Arial"/>
                <w:sz w:val="16"/>
                <w:szCs w:val="16"/>
                <w:color w:val="auto"/>
              </w:rPr>
              <w:t>​ ​</w:t>
            </w:r>
          </w:p>
        </w:tc>
        <w:tc>
          <w:tcPr>
            <w:tcW w:w="420" w:type="dxa"/>
            <w:vAlign w:val="bottom"/>
            <w:vMerge w:val="restart"/>
          </w:tcPr>
          <w:p>
            <w:pPr>
              <w:ind w:left="280"/>
              <w:spacing w:after="0"/>
              <w:rPr>
                <w:sz w:val="20"/>
                <w:szCs w:val="20"/>
                <w:color w:val="auto"/>
              </w:rPr>
            </w:pPr>
            <w:r>
              <w:rPr>
                <w:rFonts w:ascii="Arial" w:cs="Arial" w:eastAsia="Arial" w:hAnsi="Arial"/>
                <w:sz w:val="16"/>
                <w:szCs w:val="16"/>
                <w:color w:val="auto"/>
              </w:rPr>
              <w:t>​ ​</w:t>
            </w:r>
          </w:p>
        </w:tc>
        <w:tc>
          <w:tcPr>
            <w:tcW w:w="2400" w:type="dxa"/>
            <w:vAlign w:val="bottom"/>
          </w:tcPr>
          <w:p>
            <w:pPr>
              <w:ind w:left="20"/>
              <w:spacing w:after="0"/>
              <w:rPr>
                <w:sz w:val="20"/>
                <w:szCs w:val="20"/>
                <w:color w:val="auto"/>
              </w:rPr>
            </w:pPr>
            <w:r>
              <w:rPr>
                <w:rFonts w:ascii="Arial" w:cs="Arial" w:eastAsia="Arial" w:hAnsi="Arial"/>
                <w:sz w:val="16"/>
                <w:szCs w:val="16"/>
                <w:color w:val="auto"/>
              </w:rPr>
              <w:t>Public Company Board Service/</w:t>
            </w:r>
          </w:p>
        </w:tc>
        <w:tc>
          <w:tcPr>
            <w:tcW w:w="80" w:type="dxa"/>
            <w:vAlign w:val="bottom"/>
            <w:gridSpan w:val="2"/>
            <w:vMerge w:val="restart"/>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298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2400" w:type="dxa"/>
            <w:vAlign w:val="bottom"/>
          </w:tcPr>
          <w:p>
            <w:pPr>
              <w:ind w:left="20"/>
              <w:spacing w:after="0"/>
              <w:rPr>
                <w:sz w:val="20"/>
                <w:szCs w:val="20"/>
                <w:color w:val="auto"/>
              </w:rPr>
            </w:pPr>
            <w:r>
              <w:rPr>
                <w:rFonts w:ascii="Arial" w:cs="Arial" w:eastAsia="Arial" w:hAnsi="Arial"/>
                <w:sz w:val="16"/>
                <w:szCs w:val="16"/>
                <w:color w:val="auto"/>
              </w:rPr>
              <w:t>Corporate Governance</w:t>
            </w:r>
          </w:p>
        </w:tc>
        <w:tc>
          <w:tcPr>
            <w:tcW w:w="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60"/>
        </w:trPr>
        <w:tc>
          <w:tcPr>
            <w:tcW w:w="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2980" w:type="dxa"/>
            <w:vAlign w:val="bottom"/>
            <w:vMerge w:val="restart"/>
          </w:tcPr>
          <w:p>
            <w:pPr>
              <w:ind w:left="440"/>
              <w:spacing w:after="0"/>
              <w:rPr>
                <w:sz w:val="20"/>
                <w:szCs w:val="20"/>
                <w:color w:val="auto"/>
              </w:rPr>
            </w:pPr>
            <w:r>
              <w:rPr>
                <w:rFonts w:ascii="Arial" w:cs="Arial" w:eastAsia="Arial" w:hAnsi="Arial"/>
                <w:sz w:val="16"/>
                <w:szCs w:val="16"/>
                <w:color w:val="auto"/>
              </w:rPr>
              <w:t>​ ​ REIT/Real Estate Industry</w:t>
            </w:r>
          </w:p>
        </w:tc>
        <w:tc>
          <w:tcPr>
            <w:tcW w:w="540" w:type="dxa"/>
            <w:vAlign w:val="bottom"/>
            <w:vMerge w:val="restart"/>
          </w:tcPr>
          <w:p>
            <w:pPr>
              <w:ind w:left="20"/>
              <w:spacing w:after="0"/>
              <w:rPr>
                <w:sz w:val="20"/>
                <w:szCs w:val="20"/>
                <w:color w:val="auto"/>
              </w:rPr>
            </w:pPr>
            <w:r>
              <w:rPr>
                <w:rFonts w:ascii="Arial" w:cs="Arial" w:eastAsia="Arial" w:hAnsi="Arial"/>
                <w:sz w:val="16"/>
                <w:szCs w:val="16"/>
                <w:color w:val="auto"/>
              </w:rPr>
              <w:t>​ ​</w:t>
            </w:r>
          </w:p>
        </w:tc>
        <w:tc>
          <w:tcPr>
            <w:tcW w:w="420" w:type="dxa"/>
            <w:vAlign w:val="bottom"/>
            <w:vMerge w:val="restart"/>
          </w:tcPr>
          <w:p>
            <w:pPr>
              <w:ind w:left="280"/>
              <w:spacing w:after="0"/>
              <w:rPr>
                <w:sz w:val="20"/>
                <w:szCs w:val="20"/>
                <w:color w:val="auto"/>
              </w:rPr>
            </w:pPr>
            <w:r>
              <w:rPr>
                <w:rFonts w:ascii="Arial" w:cs="Arial" w:eastAsia="Arial" w:hAnsi="Arial"/>
                <w:sz w:val="16"/>
                <w:szCs w:val="16"/>
                <w:color w:val="auto"/>
              </w:rPr>
              <w:t>​ ​</w:t>
            </w:r>
          </w:p>
        </w:tc>
        <w:tc>
          <w:tcPr>
            <w:tcW w:w="2400" w:type="dxa"/>
            <w:vAlign w:val="bottom"/>
          </w:tcPr>
          <w:p>
            <w:pPr>
              <w:ind w:left="20"/>
              <w:spacing w:after="0"/>
              <w:rPr>
                <w:sz w:val="20"/>
                <w:szCs w:val="20"/>
                <w:color w:val="auto"/>
              </w:rPr>
            </w:pPr>
            <w:r>
              <w:rPr>
                <w:rFonts w:ascii="Arial" w:cs="Arial" w:eastAsia="Arial" w:hAnsi="Arial"/>
                <w:sz w:val="16"/>
                <w:szCs w:val="16"/>
                <w:color w:val="auto"/>
              </w:rPr>
              <w:t>Experience Over Several</w:t>
            </w:r>
          </w:p>
        </w:tc>
        <w:tc>
          <w:tcPr>
            <w:tcW w:w="80" w:type="dxa"/>
            <w:vAlign w:val="bottom"/>
            <w:gridSpan w:val="2"/>
            <w:vMerge w:val="restart"/>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298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2400" w:type="dxa"/>
            <w:vAlign w:val="bottom"/>
          </w:tcPr>
          <w:p>
            <w:pPr>
              <w:ind w:left="20"/>
              <w:spacing w:after="0"/>
              <w:rPr>
                <w:sz w:val="20"/>
                <w:szCs w:val="20"/>
                <w:color w:val="auto"/>
              </w:rPr>
            </w:pPr>
            <w:r>
              <w:rPr>
                <w:rFonts w:ascii="Arial" w:cs="Arial" w:eastAsia="Arial" w:hAnsi="Arial"/>
                <w:sz w:val="16"/>
                <w:szCs w:val="16"/>
                <w:color w:val="auto"/>
              </w:rPr>
              <w:t>Business Cycles</w:t>
            </w:r>
          </w:p>
        </w:tc>
        <w:tc>
          <w:tcPr>
            <w:tcW w:w="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2980" w:type="dxa"/>
            <w:vAlign w:val="bottom"/>
          </w:tcPr>
          <w:p>
            <w:pPr>
              <w:ind w:left="440"/>
              <w:spacing w:after="0"/>
              <w:rPr>
                <w:sz w:val="20"/>
                <w:szCs w:val="20"/>
                <w:color w:val="auto"/>
              </w:rPr>
            </w:pPr>
            <w:r>
              <w:rPr>
                <w:rFonts w:ascii="Arial" w:cs="Arial" w:eastAsia="Arial" w:hAnsi="Arial"/>
                <w:sz w:val="16"/>
                <w:szCs w:val="16"/>
                <w:color w:val="auto"/>
              </w:rPr>
              <w:t>​ ​ Talent Management</w:t>
            </w:r>
          </w:p>
        </w:tc>
        <w:tc>
          <w:tcPr>
            <w:tcW w:w="540" w:type="dxa"/>
            <w:vAlign w:val="bottom"/>
          </w:tcPr>
          <w:p>
            <w:pPr>
              <w:ind w:left="20"/>
              <w:spacing w:after="0"/>
              <w:rPr>
                <w:sz w:val="20"/>
                <w:szCs w:val="20"/>
                <w:color w:val="auto"/>
              </w:rPr>
            </w:pPr>
            <w:r>
              <w:rPr>
                <w:rFonts w:ascii="Arial" w:cs="Arial" w:eastAsia="Arial" w:hAnsi="Arial"/>
                <w:sz w:val="16"/>
                <w:szCs w:val="16"/>
                <w:color w:val="auto"/>
              </w:rPr>
              <w:t>​ ​ ​</w:t>
            </w:r>
          </w:p>
        </w:tc>
        <w:tc>
          <w:tcPr>
            <w:tcW w:w="2820" w:type="dxa"/>
            <w:vAlign w:val="bottom"/>
            <w:gridSpan w:val="2"/>
          </w:tcPr>
          <w:p>
            <w:pPr>
              <w:ind w:left="280"/>
              <w:spacing w:after="0"/>
              <w:rPr>
                <w:sz w:val="20"/>
                <w:szCs w:val="20"/>
                <w:color w:val="auto"/>
              </w:rPr>
            </w:pPr>
            <w:r>
              <w:rPr>
                <w:rFonts w:ascii="Arial" w:cs="Arial" w:eastAsia="Arial" w:hAnsi="Arial"/>
                <w:sz w:val="16"/>
                <w:szCs w:val="16"/>
                <w:color w:val="auto"/>
              </w:rPr>
              <w:t>​ ​ ​</w:t>
            </w:r>
          </w:p>
        </w:tc>
        <w:tc>
          <w:tcPr>
            <w:tcW w:w="8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1908810</wp:posOffset>
            </wp:positionV>
            <wp:extent cx="68319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-1455420</wp:posOffset>
            </wp:positionV>
            <wp:extent cx="2459990" cy="15513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459990" cy="155130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p>
      <w:pPr>
        <w:ind w:left="820"/>
        <w:spacing w:after="0"/>
        <w:tabs>
          <w:tab w:leader="none" w:pos="1440" w:val="left"/>
          <w:tab w:leader="none" w:pos="9860" w:val="left"/>
        </w:tabs>
        <w:rPr>
          <w:sz w:val="20"/>
          <w:szCs w:val="20"/>
          <w:color w:val="auto"/>
        </w:rPr>
      </w:pPr>
      <w:r>
        <w:rPr>
          <w:rFonts w:ascii="Arial" w:cs="Arial" w:eastAsia="Arial" w:hAnsi="Arial"/>
          <w:sz w:val="22"/>
          <w:szCs w:val="22"/>
          <w:b w:val="1"/>
          <w:bCs w:val="1"/>
          <w:color w:val="1F2668"/>
        </w:rPr>
        <w:t>​20</w:t>
      </w:r>
      <w:r>
        <w:rPr>
          <w:sz w:val="20"/>
          <w:szCs w:val="20"/>
          <w:color w:val="auto"/>
        </w:rPr>
        <w:tab/>
      </w:r>
      <w:r>
        <w:rPr>
          <w:rFonts w:ascii="Arial" w:cs="Arial" w:eastAsia="Arial" w:hAnsi="Arial"/>
          <w:sz w:val="22"/>
          <w:szCs w:val="22"/>
          <w:b w:val="1"/>
          <w:bCs w:val="1"/>
          <w:color w:val="1F2668"/>
        </w:rPr>
        <w:t xml:space="preserve">​ ​ </w:t>
      </w:r>
      <w:r>
        <w:rPr>
          <w:rFonts w:ascii="Arial" w:cs="Arial" w:eastAsia="Arial" w:hAnsi="Arial"/>
          <w:sz w:val="14"/>
          <w:szCs w:val="14"/>
          <w:b w:val="1"/>
          <w:bCs w:val="1"/>
          <w:color w:val="1F2668"/>
        </w:rPr>
        <w:t>SL GREEN REALTY CORP. 2025 PROXY STATEMENT</w:t>
      </w:r>
      <w:r>
        <w:rPr>
          <w:sz w:val="20"/>
          <w:szCs w:val="20"/>
          <w:color w:val="auto"/>
        </w:rPr>
        <w:tab/>
      </w:r>
      <w:r>
        <w:rPr>
          <w:rFonts w:ascii="Arial" w:cs="Arial" w:eastAsia="Arial" w:hAnsi="Arial"/>
          <w:sz w:val="22"/>
          <w:szCs w:val="22"/>
          <w:b w:val="1"/>
          <w:bCs w:val="1"/>
          <w:color w:val="1F2668"/>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1888490</wp:posOffset>
            </wp:positionH>
            <wp:positionV relativeFrom="paragraph">
              <wp:posOffset>594995</wp:posOffset>
            </wp:positionV>
            <wp:extent cx="34290" cy="37376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290" cy="3737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960" w:type="dxa"/>
        <w:tblCellMar>
          <w:top w:w="0" w:type="dxa"/>
          <w:left w:w="0" w:type="dxa"/>
          <w:bottom w:w="0" w:type="dxa"/>
          <w:right w:w="0" w:type="dxa"/>
        </w:tblCellMar>
      </w:tblPr>
      <w:tr>
        <w:trPr>
          <w:trHeight w:val="297"/>
        </w:trPr>
        <w:tc>
          <w:tcPr>
            <w:tcW w:w="60" w:type="dxa"/>
            <w:vAlign w:val="bottom"/>
            <w:tcBorders>
              <w:top w:val="single" w:sz="8" w:color="83AD40"/>
            </w:tcBorders>
            <w:shd w:val="clear" w:color="auto" w:fill="83AD40"/>
          </w:tcPr>
          <w:p>
            <w:pPr>
              <w:spacing w:after="0"/>
              <w:rPr>
                <w:sz w:val="24"/>
                <w:szCs w:val="24"/>
                <w:color w:val="auto"/>
              </w:rPr>
            </w:pPr>
          </w:p>
        </w:tc>
        <w:tc>
          <w:tcPr>
            <w:tcW w:w="1540" w:type="dxa"/>
            <w:vAlign w:val="bottom"/>
            <w:tcBorders>
              <w:top w:val="single" w:sz="8" w:color="83AD40"/>
            </w:tcBorders>
          </w:tcPr>
          <w:p>
            <w:pPr>
              <w:spacing w:after="0"/>
              <w:rPr>
                <w:sz w:val="20"/>
                <w:szCs w:val="20"/>
                <w:color w:val="auto"/>
              </w:rPr>
            </w:pPr>
            <w:r>
              <w:rPr>
                <w:rFonts w:ascii="Arial" w:cs="Arial" w:eastAsia="Arial" w:hAnsi="Arial"/>
                <w:sz w:val="22"/>
                <w:szCs w:val="22"/>
                <w:color w:val="auto"/>
              </w:rPr>
              <w:t>​</w:t>
            </w:r>
          </w:p>
        </w:tc>
        <w:tc>
          <w:tcPr>
            <w:tcW w:w="480" w:type="dxa"/>
            <w:vAlign w:val="bottom"/>
            <w:tcBorders>
              <w:top w:val="single" w:sz="8" w:color="83AD40"/>
            </w:tcBorders>
          </w:tcPr>
          <w:p>
            <w:pPr>
              <w:ind w:left="420"/>
              <w:spacing w:after="0"/>
              <w:rPr>
                <w:sz w:val="20"/>
                <w:szCs w:val="20"/>
                <w:color w:val="auto"/>
              </w:rPr>
            </w:pPr>
            <w:r>
              <w:rPr>
                <w:rFonts w:ascii="Arial" w:cs="Arial" w:eastAsia="Arial" w:hAnsi="Arial"/>
                <w:sz w:val="22"/>
                <w:szCs w:val="22"/>
                <w:color w:val="auto"/>
              </w:rPr>
              <w:t>​</w:t>
            </w:r>
          </w:p>
        </w:tc>
        <w:tc>
          <w:tcPr>
            <w:tcW w:w="6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line="148" w:lineRule="exact"/>
              <w:rPr>
                <w:sz w:val="20"/>
                <w:szCs w:val="20"/>
                <w:color w:val="auto"/>
              </w:rPr>
            </w:pPr>
            <w:r>
              <w:rPr>
                <w:rFonts w:ascii="Arial" w:cs="Arial" w:eastAsia="Arial" w:hAnsi="Arial"/>
                <w:sz w:val="16"/>
                <w:szCs w:val="16"/>
                <w:b w:val="1"/>
                <w:bCs w:val="1"/>
                <w:color w:val="FFFFFF"/>
              </w:rPr>
              <w:t>​</w:t>
            </w:r>
          </w:p>
        </w:tc>
        <w:tc>
          <w:tcPr>
            <w:tcW w:w="1540" w:type="dxa"/>
            <w:vAlign w:val="bottom"/>
          </w:tcPr>
          <w:p>
            <w:pPr>
              <w:spacing w:after="0"/>
              <w:rPr>
                <w:sz w:val="12"/>
                <w:szCs w:val="12"/>
                <w:color w:val="auto"/>
              </w:rPr>
            </w:pPr>
          </w:p>
        </w:tc>
        <w:tc>
          <w:tcPr>
            <w:tcW w:w="7220" w:type="dxa"/>
            <w:vAlign w:val="bottom"/>
            <w:gridSpan w:val="2"/>
          </w:tcPr>
          <w:p>
            <w:pPr>
              <w:ind w:left="340"/>
              <w:spacing w:after="0" w:line="148" w:lineRule="exact"/>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02"/>
        </w:trPr>
        <w:tc>
          <w:tcPr>
            <w:tcW w:w="1600" w:type="dxa"/>
            <w:vAlign w:val="bottom"/>
            <w:gridSpan w:val="2"/>
            <w:vMerge w:val="restart"/>
          </w:tcPr>
          <w:p>
            <w:pPr>
              <w:spacing w:after="0"/>
              <w:rPr>
                <w:sz w:val="20"/>
                <w:szCs w:val="20"/>
                <w:color w:val="auto"/>
              </w:rPr>
            </w:pPr>
            <w:r>
              <w:rPr>
                <w:rFonts w:ascii="Arial" w:cs="Arial" w:eastAsia="Arial" w:hAnsi="Arial"/>
                <w:sz w:val="22"/>
                <w:szCs w:val="22"/>
                <w:b w:val="1"/>
                <w:bCs w:val="1"/>
                <w:color w:val="FFFFFF"/>
              </w:rPr>
              <w:t>ANDREW W.</w:t>
            </w:r>
          </w:p>
        </w:tc>
        <w:tc>
          <w:tcPr>
            <w:tcW w:w="480" w:type="dxa"/>
            <w:vAlign w:val="bottom"/>
          </w:tcPr>
          <w:p>
            <w:pPr>
              <w:spacing w:after="0"/>
              <w:rPr>
                <w:sz w:val="17"/>
                <w:szCs w:val="17"/>
                <w:color w:val="auto"/>
              </w:rPr>
            </w:pPr>
          </w:p>
        </w:tc>
        <w:tc>
          <w:tcPr>
            <w:tcW w:w="6740" w:type="dxa"/>
            <w:vAlign w:val="bottom"/>
          </w:tcPr>
          <w:p>
            <w:pPr>
              <w:ind w:left="360"/>
              <w:spacing w:after="0"/>
              <w:rPr>
                <w:sz w:val="20"/>
                <w:szCs w:val="20"/>
                <w:color w:val="auto"/>
              </w:rPr>
            </w:pPr>
            <w:r>
              <w:rPr>
                <w:rFonts w:ascii="Arial" w:cs="Arial" w:eastAsia="Arial" w:hAnsi="Arial"/>
                <w:sz w:val="16"/>
                <w:szCs w:val="16"/>
                <w:color w:val="auto"/>
              </w:rPr>
              <w:t>Mr. Mathias’ extensive experience in real estate, including commercial real estate</w:t>
            </w:r>
          </w:p>
        </w:tc>
        <w:tc>
          <w:tcPr>
            <w:tcW w:w="0" w:type="dxa"/>
            <w:vAlign w:val="bottom"/>
          </w:tcPr>
          <w:p>
            <w:pPr>
              <w:spacing w:after="0"/>
              <w:rPr>
                <w:sz w:val="1"/>
                <w:szCs w:val="1"/>
                <w:color w:val="auto"/>
              </w:rPr>
            </w:pPr>
          </w:p>
        </w:tc>
      </w:tr>
      <w:tr>
        <w:trPr>
          <w:trHeight w:val="163"/>
        </w:trPr>
        <w:tc>
          <w:tcPr>
            <w:tcW w:w="160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6740" w:type="dxa"/>
            <w:vAlign w:val="bottom"/>
          </w:tcPr>
          <w:p>
            <w:pPr>
              <w:ind w:left="360"/>
              <w:spacing w:after="0" w:line="163" w:lineRule="exact"/>
              <w:rPr>
                <w:sz w:val="20"/>
                <w:szCs w:val="20"/>
                <w:color w:val="auto"/>
              </w:rPr>
            </w:pPr>
            <w:r>
              <w:rPr>
                <w:rFonts w:ascii="Arial" w:cs="Arial" w:eastAsia="Arial" w:hAnsi="Arial"/>
                <w:sz w:val="16"/>
                <w:szCs w:val="16"/>
                <w:color w:val="auto"/>
                <w:w w:val="98"/>
              </w:rPr>
              <w:t>investment, and in-depth knowledge of the New York City real estate market, as well as his</w:t>
            </w:r>
          </w:p>
        </w:tc>
        <w:tc>
          <w:tcPr>
            <w:tcW w:w="0" w:type="dxa"/>
            <w:vAlign w:val="bottom"/>
          </w:tcPr>
          <w:p>
            <w:pPr>
              <w:spacing w:after="0"/>
              <w:rPr>
                <w:sz w:val="1"/>
                <w:szCs w:val="1"/>
                <w:color w:val="auto"/>
              </w:rPr>
            </w:pPr>
          </w:p>
        </w:tc>
      </w:tr>
      <w:tr>
        <w:trPr>
          <w:trHeight w:val="256"/>
        </w:trPr>
        <w:tc>
          <w:tcPr>
            <w:tcW w:w="1600" w:type="dxa"/>
            <w:vAlign w:val="bottom"/>
            <w:gridSpan w:val="2"/>
          </w:tcPr>
          <w:p>
            <w:pPr>
              <w:spacing w:after="0"/>
              <w:rPr>
                <w:sz w:val="20"/>
                <w:szCs w:val="20"/>
                <w:color w:val="auto"/>
              </w:rPr>
            </w:pPr>
            <w:r>
              <w:rPr>
                <w:rFonts w:ascii="Arial" w:cs="Arial" w:eastAsia="Arial" w:hAnsi="Arial"/>
                <w:sz w:val="22"/>
                <w:szCs w:val="22"/>
                <w:b w:val="1"/>
                <w:bCs w:val="1"/>
                <w:color w:val="FFFFFF"/>
              </w:rPr>
              <w:t>MATHIAS</w:t>
            </w:r>
          </w:p>
        </w:tc>
        <w:tc>
          <w:tcPr>
            <w:tcW w:w="480" w:type="dxa"/>
            <w:vAlign w:val="bottom"/>
          </w:tcPr>
          <w:p>
            <w:pPr>
              <w:spacing w:after="0"/>
              <w:rPr>
                <w:sz w:val="22"/>
                <w:szCs w:val="22"/>
                <w:color w:val="auto"/>
              </w:rPr>
            </w:pPr>
          </w:p>
        </w:tc>
        <w:tc>
          <w:tcPr>
            <w:tcW w:w="6740" w:type="dxa"/>
            <w:vAlign w:val="bottom"/>
          </w:tcPr>
          <w:p>
            <w:pPr>
              <w:ind w:left="360"/>
              <w:spacing w:after="0"/>
              <w:rPr>
                <w:sz w:val="20"/>
                <w:szCs w:val="20"/>
                <w:color w:val="auto"/>
              </w:rPr>
            </w:pPr>
            <w:r>
              <w:rPr>
                <w:rFonts w:ascii="Arial" w:cs="Arial" w:eastAsia="Arial" w:hAnsi="Arial"/>
                <w:sz w:val="16"/>
                <w:szCs w:val="16"/>
                <w:color w:val="auto"/>
                <w:w w:val="98"/>
              </w:rPr>
              <w:t>former role as President of the Company, provide the Board with valuable knowledge of our</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740" w:type="dxa"/>
            <w:vAlign w:val="bottom"/>
          </w:tcPr>
          <w:p>
            <w:pPr>
              <w:ind w:left="360"/>
              <w:spacing w:after="0"/>
              <w:rPr>
                <w:sz w:val="20"/>
                <w:szCs w:val="20"/>
                <w:color w:val="auto"/>
              </w:rPr>
            </w:pPr>
            <w:r>
              <w:rPr>
                <w:rFonts w:ascii="Arial" w:cs="Arial" w:eastAsia="Arial" w:hAnsi="Arial"/>
                <w:sz w:val="16"/>
                <w:szCs w:val="16"/>
                <w:color w:val="auto"/>
              </w:rPr>
              <w:t>business and industry.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-623570</wp:posOffset>
            </wp:positionV>
            <wp:extent cx="5760720" cy="33604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760720" cy="336042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-623570</wp:posOffset>
            </wp:positionV>
            <wp:extent cx="5760720" cy="33604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760720" cy="336042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3400"/>
        <w:spacing w:after="0"/>
        <w:rPr>
          <w:sz w:val="20"/>
          <w:szCs w:val="20"/>
          <w:color w:val="auto"/>
        </w:rPr>
      </w:pPr>
      <w:r>
        <w:rPr>
          <w:rFonts w:ascii="Arial" w:cs="Arial" w:eastAsia="Arial" w:hAnsi="Arial"/>
          <w:sz w:val="20"/>
          <w:szCs w:val="20"/>
          <w:b w:val="1"/>
          <w:bCs w:val="1"/>
          <w:color w:val="1F2668"/>
        </w:rPr>
        <w:t>Professional Experience</w:t>
      </w:r>
    </w:p>
    <w:p>
      <w:pPr>
        <w:spacing w:after="0" w:line="104" w:lineRule="exact"/>
        <w:rPr>
          <w:sz w:val="20"/>
          <w:szCs w:val="20"/>
          <w:color w:val="auto"/>
        </w:rPr>
      </w:pPr>
    </w:p>
    <w:tbl>
      <w:tblPr>
        <w:tblLayout w:type="fixed"/>
        <w:tblInd w:w="960" w:type="dxa"/>
        <w:tblCellMar>
          <w:top w:w="0" w:type="dxa"/>
          <w:left w:w="0" w:type="dxa"/>
          <w:bottom w:w="0" w:type="dxa"/>
          <w:right w:w="0" w:type="dxa"/>
        </w:tblCellMar>
      </w:tblPr>
      <w:tr>
        <w:trPr>
          <w:trHeight w:val="203"/>
        </w:trPr>
        <w:tc>
          <w:tcPr>
            <w:tcW w:w="2100" w:type="dxa"/>
            <w:vAlign w:val="bottom"/>
          </w:tcPr>
          <w:p>
            <w:pPr>
              <w:spacing w:after="0"/>
              <w:rPr>
                <w:sz w:val="17"/>
                <w:szCs w:val="17"/>
                <w:color w:val="auto"/>
              </w:rPr>
            </w:pPr>
          </w:p>
        </w:tc>
        <w:tc>
          <w:tcPr>
            <w:tcW w:w="6820" w:type="dxa"/>
            <w:vAlign w:val="bottom"/>
          </w:tcPr>
          <w:p>
            <w:pPr>
              <w:ind w:left="340"/>
              <w:spacing w:after="0"/>
              <w:rPr>
                <w:sz w:val="20"/>
                <w:szCs w:val="20"/>
                <w:color w:val="auto"/>
              </w:rPr>
            </w:pPr>
            <w:r>
              <w:rPr>
                <w:rFonts w:ascii="Arial" w:cs="Arial" w:eastAsia="Arial" w:hAnsi="Arial"/>
                <w:sz w:val="16"/>
                <w:szCs w:val="16"/>
                <w:color w:val="auto"/>
                <w:w w:val="99"/>
              </w:rPr>
              <w:t>•  Founder of Edge Park Mgmt. LLC, a general investment and advisory services firm, since</w:t>
            </w:r>
          </w:p>
        </w:tc>
        <w:tc>
          <w:tcPr>
            <w:tcW w:w="0" w:type="dxa"/>
            <w:vAlign w:val="bottom"/>
          </w:tcPr>
          <w:p>
            <w:pPr>
              <w:spacing w:after="0"/>
              <w:rPr>
                <w:sz w:val="1"/>
                <w:szCs w:val="1"/>
                <w:color w:val="auto"/>
              </w:rPr>
            </w:pPr>
          </w:p>
        </w:tc>
      </w:tr>
      <w:tr>
        <w:trPr>
          <w:trHeight w:val="215"/>
        </w:trPr>
        <w:tc>
          <w:tcPr>
            <w:tcW w:w="2100" w:type="dxa"/>
            <w:vAlign w:val="bottom"/>
          </w:tcPr>
          <w:p>
            <w:pPr>
              <w:spacing w:after="0"/>
              <w:rPr>
                <w:sz w:val="18"/>
                <w:szCs w:val="18"/>
                <w:color w:val="auto"/>
              </w:rPr>
            </w:pPr>
          </w:p>
        </w:tc>
        <w:tc>
          <w:tcPr>
            <w:tcW w:w="6820" w:type="dxa"/>
            <w:vAlign w:val="bottom"/>
          </w:tcPr>
          <w:p>
            <w:pPr>
              <w:ind w:left="520"/>
              <w:spacing w:after="0"/>
              <w:rPr>
                <w:sz w:val="20"/>
                <w:szCs w:val="20"/>
                <w:color w:val="auto"/>
              </w:rPr>
            </w:pPr>
            <w:r>
              <w:rPr>
                <w:rFonts w:ascii="Arial" w:cs="Arial" w:eastAsia="Arial" w:hAnsi="Arial"/>
                <w:sz w:val="16"/>
                <w:szCs w:val="16"/>
                <w:color w:val="auto"/>
              </w:rPr>
              <w:t>January 2024</w:t>
            </w:r>
          </w:p>
        </w:tc>
        <w:tc>
          <w:tcPr>
            <w:tcW w:w="0" w:type="dxa"/>
            <w:vAlign w:val="bottom"/>
          </w:tcPr>
          <w:p>
            <w:pPr>
              <w:spacing w:after="0"/>
              <w:rPr>
                <w:sz w:val="1"/>
                <w:szCs w:val="1"/>
                <w:color w:val="auto"/>
              </w:rPr>
            </w:pPr>
          </w:p>
        </w:tc>
      </w:tr>
      <w:tr>
        <w:trPr>
          <w:trHeight w:val="229"/>
        </w:trPr>
        <w:tc>
          <w:tcPr>
            <w:tcW w:w="2100" w:type="dxa"/>
            <w:vAlign w:val="bottom"/>
          </w:tcPr>
          <w:p>
            <w:pPr>
              <w:spacing w:after="0"/>
              <w:rPr>
                <w:sz w:val="19"/>
                <w:szCs w:val="19"/>
                <w:color w:val="auto"/>
              </w:rPr>
            </w:pPr>
          </w:p>
        </w:tc>
        <w:tc>
          <w:tcPr>
            <w:tcW w:w="6820" w:type="dxa"/>
            <w:vAlign w:val="bottom"/>
          </w:tcPr>
          <w:p>
            <w:pPr>
              <w:ind w:left="340"/>
              <w:spacing w:after="0"/>
              <w:rPr>
                <w:sz w:val="20"/>
                <w:szCs w:val="20"/>
                <w:color w:val="auto"/>
              </w:rPr>
            </w:pPr>
            <w:r>
              <w:rPr>
                <w:rFonts w:ascii="Arial" w:cs="Arial" w:eastAsia="Arial" w:hAnsi="Arial"/>
                <w:sz w:val="16"/>
                <w:szCs w:val="16"/>
                <w:color w:val="auto"/>
              </w:rPr>
              <w:t>•  Advisor to the Company since January 2024</w:t>
            </w:r>
          </w:p>
        </w:tc>
        <w:tc>
          <w:tcPr>
            <w:tcW w:w="0" w:type="dxa"/>
            <w:vAlign w:val="bottom"/>
          </w:tcPr>
          <w:p>
            <w:pPr>
              <w:spacing w:after="0"/>
              <w:rPr>
                <w:sz w:val="1"/>
                <w:szCs w:val="1"/>
                <w:color w:val="auto"/>
              </w:rPr>
            </w:pPr>
          </w:p>
        </w:tc>
      </w:tr>
      <w:tr>
        <w:trPr>
          <w:trHeight w:val="230"/>
        </w:trPr>
        <w:tc>
          <w:tcPr>
            <w:tcW w:w="2100" w:type="dxa"/>
            <w:vAlign w:val="bottom"/>
          </w:tcPr>
          <w:p>
            <w:pPr>
              <w:spacing w:after="0"/>
              <w:rPr>
                <w:sz w:val="19"/>
                <w:szCs w:val="19"/>
                <w:color w:val="auto"/>
              </w:rPr>
            </w:pPr>
          </w:p>
        </w:tc>
        <w:tc>
          <w:tcPr>
            <w:tcW w:w="6820" w:type="dxa"/>
            <w:vAlign w:val="bottom"/>
          </w:tcPr>
          <w:p>
            <w:pPr>
              <w:ind w:left="340"/>
              <w:spacing w:after="0"/>
              <w:rPr>
                <w:sz w:val="20"/>
                <w:szCs w:val="20"/>
                <w:color w:val="auto"/>
              </w:rPr>
            </w:pPr>
            <w:r>
              <w:rPr>
                <w:rFonts w:ascii="Arial" w:cs="Arial" w:eastAsia="Arial" w:hAnsi="Arial"/>
                <w:sz w:val="16"/>
                <w:szCs w:val="16"/>
                <w:color w:val="auto"/>
              </w:rPr>
              <w:t>•  President of the Company from April 2007 until December 2023</w:t>
            </w:r>
          </w:p>
        </w:tc>
        <w:tc>
          <w:tcPr>
            <w:tcW w:w="0" w:type="dxa"/>
            <w:vAlign w:val="bottom"/>
          </w:tcPr>
          <w:p>
            <w:pPr>
              <w:spacing w:after="0"/>
              <w:rPr>
                <w:sz w:val="1"/>
                <w:szCs w:val="1"/>
                <w:color w:val="auto"/>
              </w:rPr>
            </w:pPr>
          </w:p>
        </w:tc>
      </w:tr>
      <w:tr>
        <w:trPr>
          <w:trHeight w:val="217"/>
        </w:trPr>
        <w:tc>
          <w:tcPr>
            <w:tcW w:w="2100" w:type="dxa"/>
            <w:vAlign w:val="bottom"/>
          </w:tcPr>
          <w:p>
            <w:pPr>
              <w:spacing w:after="0"/>
              <w:rPr>
                <w:sz w:val="18"/>
                <w:szCs w:val="18"/>
                <w:color w:val="auto"/>
              </w:rPr>
            </w:pPr>
          </w:p>
        </w:tc>
        <w:tc>
          <w:tcPr>
            <w:tcW w:w="6820" w:type="dxa"/>
            <w:vAlign w:val="bottom"/>
          </w:tcPr>
          <w:p>
            <w:pPr>
              <w:ind w:left="340"/>
              <w:spacing w:after="0"/>
              <w:rPr>
                <w:sz w:val="20"/>
                <w:szCs w:val="20"/>
                <w:color w:val="auto"/>
              </w:rPr>
            </w:pPr>
            <w:r>
              <w:rPr>
                <w:rFonts w:ascii="Arial" w:cs="Arial" w:eastAsia="Arial" w:hAnsi="Arial"/>
                <w:sz w:val="16"/>
                <w:szCs w:val="16"/>
                <w:color w:val="auto"/>
              </w:rPr>
              <w:t>•  Joined the Company in March 1999 as Vice President and was promoted to Director of</w:t>
            </w:r>
          </w:p>
        </w:tc>
        <w:tc>
          <w:tcPr>
            <w:tcW w:w="0" w:type="dxa"/>
            <w:vAlign w:val="bottom"/>
          </w:tcPr>
          <w:p>
            <w:pPr>
              <w:spacing w:after="0"/>
              <w:rPr>
                <w:sz w:val="1"/>
                <w:szCs w:val="1"/>
                <w:color w:val="auto"/>
              </w:rPr>
            </w:pPr>
          </w:p>
        </w:tc>
      </w:tr>
      <w:tr>
        <w:trPr>
          <w:trHeight w:val="215"/>
        </w:trPr>
        <w:tc>
          <w:tcPr>
            <w:tcW w:w="2100" w:type="dxa"/>
            <w:vAlign w:val="bottom"/>
            <w:vMerge w:val="restart"/>
          </w:tcPr>
          <w:p>
            <w:pPr>
              <w:spacing w:after="0"/>
              <w:rPr>
                <w:sz w:val="20"/>
                <w:szCs w:val="20"/>
                <w:color w:val="auto"/>
              </w:rPr>
            </w:pPr>
            <w:r>
              <w:rPr>
                <w:rFonts w:ascii="Arial" w:cs="Arial" w:eastAsia="Arial" w:hAnsi="Arial"/>
                <w:sz w:val="16"/>
                <w:szCs w:val="16"/>
                <w:b w:val="1"/>
                <w:bCs w:val="1"/>
                <w:color w:val="FFFFFF"/>
              </w:rPr>
              <w:t>Director</w:t>
            </w:r>
          </w:p>
        </w:tc>
        <w:tc>
          <w:tcPr>
            <w:tcW w:w="6820" w:type="dxa"/>
            <w:vAlign w:val="bottom"/>
          </w:tcPr>
          <w:p>
            <w:pPr>
              <w:ind w:left="520"/>
              <w:spacing w:after="0"/>
              <w:rPr>
                <w:sz w:val="20"/>
                <w:szCs w:val="20"/>
                <w:color w:val="auto"/>
              </w:rPr>
            </w:pPr>
            <w:r>
              <w:rPr>
                <w:rFonts w:ascii="Arial" w:cs="Arial" w:eastAsia="Arial" w:hAnsi="Arial"/>
                <w:sz w:val="16"/>
                <w:szCs w:val="16"/>
                <w:color w:val="auto"/>
              </w:rPr>
              <w:t>Investments in 2002</w:t>
            </w:r>
          </w:p>
        </w:tc>
        <w:tc>
          <w:tcPr>
            <w:tcW w:w="0" w:type="dxa"/>
            <w:vAlign w:val="bottom"/>
          </w:tcPr>
          <w:p>
            <w:pPr>
              <w:spacing w:after="0"/>
              <w:rPr>
                <w:sz w:val="1"/>
                <w:szCs w:val="1"/>
                <w:color w:val="auto"/>
              </w:rPr>
            </w:pPr>
          </w:p>
        </w:tc>
      </w:tr>
      <w:tr>
        <w:trPr>
          <w:trHeight w:val="229"/>
        </w:trPr>
        <w:tc>
          <w:tcPr>
            <w:tcW w:w="2100" w:type="dxa"/>
            <w:vAlign w:val="bottom"/>
            <w:vMerge w:val="continue"/>
          </w:tcPr>
          <w:p>
            <w:pPr>
              <w:spacing w:after="0"/>
              <w:rPr>
                <w:sz w:val="19"/>
                <w:szCs w:val="19"/>
                <w:color w:val="auto"/>
              </w:rPr>
            </w:pPr>
          </w:p>
        </w:tc>
        <w:tc>
          <w:tcPr>
            <w:tcW w:w="6820" w:type="dxa"/>
            <w:vAlign w:val="bottom"/>
          </w:tcPr>
          <w:p>
            <w:pPr>
              <w:ind w:left="340"/>
              <w:spacing w:after="0"/>
              <w:rPr>
                <w:sz w:val="20"/>
                <w:szCs w:val="20"/>
                <w:color w:val="auto"/>
              </w:rPr>
            </w:pPr>
            <w:r>
              <w:rPr>
                <w:rFonts w:ascii="Arial" w:cs="Arial" w:eastAsia="Arial" w:hAnsi="Arial"/>
                <w:sz w:val="16"/>
                <w:szCs w:val="16"/>
                <w:color w:val="auto"/>
              </w:rPr>
              <w:t>•  Chief Investment Officer of the Company from January 2004 until January 2011</w:t>
            </w:r>
          </w:p>
        </w:tc>
        <w:tc>
          <w:tcPr>
            <w:tcW w:w="0" w:type="dxa"/>
            <w:vAlign w:val="bottom"/>
          </w:tcPr>
          <w:p>
            <w:pPr>
              <w:spacing w:after="0"/>
              <w:rPr>
                <w:sz w:val="1"/>
                <w:szCs w:val="1"/>
                <w:color w:val="auto"/>
              </w:rPr>
            </w:pPr>
          </w:p>
        </w:tc>
      </w:tr>
      <w:tr>
        <w:trPr>
          <w:trHeight w:val="258"/>
        </w:trPr>
        <w:tc>
          <w:tcPr>
            <w:tcW w:w="2100" w:type="dxa"/>
            <w:vAlign w:val="bottom"/>
          </w:tcPr>
          <w:p>
            <w:pPr>
              <w:spacing w:after="0"/>
              <w:rPr>
                <w:sz w:val="20"/>
                <w:szCs w:val="20"/>
                <w:color w:val="auto"/>
              </w:rPr>
            </w:pPr>
            <w:r>
              <w:rPr>
                <w:rFonts w:ascii="Arial" w:cs="Arial" w:eastAsia="Arial" w:hAnsi="Arial"/>
                <w:sz w:val="16"/>
                <w:szCs w:val="16"/>
                <w:color w:val="FFFFFF"/>
              </w:rPr>
              <w:t xml:space="preserve">Director Since: </w:t>
            </w:r>
            <w:r>
              <w:rPr>
                <w:rFonts w:ascii="Arial" w:cs="Arial" w:eastAsia="Arial" w:hAnsi="Arial"/>
                <w:sz w:val="16"/>
                <w:szCs w:val="16"/>
                <w:b w:val="1"/>
                <w:bCs w:val="1"/>
                <w:color w:val="FFFFFF"/>
              </w:rPr>
              <w:t>2014</w:t>
            </w:r>
          </w:p>
        </w:tc>
        <w:tc>
          <w:tcPr>
            <w:tcW w:w="6820" w:type="dxa"/>
            <w:vAlign w:val="bottom"/>
          </w:tcPr>
          <w:p>
            <w:pPr>
              <w:ind w:left="340"/>
              <w:spacing w:after="0"/>
              <w:rPr>
                <w:sz w:val="20"/>
                <w:szCs w:val="20"/>
                <w:color w:val="auto"/>
              </w:rPr>
            </w:pPr>
            <w:r>
              <w:rPr>
                <w:rFonts w:ascii="Arial" w:cs="Arial" w:eastAsia="Arial" w:hAnsi="Arial"/>
                <w:sz w:val="16"/>
                <w:szCs w:val="16"/>
                <w:color w:val="auto"/>
              </w:rPr>
              <w:t>•  Chief Investment Officer of Gramercy Capital Corp. from August 2004 to October 2008</w:t>
            </w:r>
          </w:p>
        </w:tc>
        <w:tc>
          <w:tcPr>
            <w:tcW w:w="0" w:type="dxa"/>
            <w:vAlign w:val="bottom"/>
          </w:tcPr>
          <w:p>
            <w:pPr>
              <w:spacing w:after="0"/>
              <w:rPr>
                <w:sz w:val="1"/>
                <w:szCs w:val="1"/>
                <w:color w:val="auto"/>
              </w:rPr>
            </w:pPr>
          </w:p>
        </w:tc>
      </w:tr>
      <w:tr>
        <w:trPr>
          <w:trHeight w:val="215"/>
        </w:trPr>
        <w:tc>
          <w:tcPr>
            <w:tcW w:w="2100" w:type="dxa"/>
            <w:vAlign w:val="bottom"/>
            <w:vMerge w:val="restart"/>
          </w:tcPr>
          <w:p>
            <w:pPr>
              <w:spacing w:after="0"/>
              <w:rPr>
                <w:sz w:val="20"/>
                <w:szCs w:val="20"/>
                <w:color w:val="auto"/>
              </w:rPr>
            </w:pPr>
            <w:r>
              <w:rPr>
                <w:rFonts w:ascii="Arial" w:cs="Arial" w:eastAsia="Arial" w:hAnsi="Arial"/>
                <w:sz w:val="16"/>
                <w:szCs w:val="16"/>
                <w:color w:val="FFFFFF"/>
              </w:rPr>
              <w:t xml:space="preserve">Age: </w:t>
            </w:r>
            <w:r>
              <w:rPr>
                <w:rFonts w:ascii="Arial" w:cs="Arial" w:eastAsia="Arial" w:hAnsi="Arial"/>
                <w:sz w:val="16"/>
                <w:szCs w:val="16"/>
                <w:b w:val="1"/>
                <w:bCs w:val="1"/>
                <w:color w:val="FFFFFF"/>
              </w:rPr>
              <w:t>51</w:t>
            </w:r>
          </w:p>
        </w:tc>
        <w:tc>
          <w:tcPr>
            <w:tcW w:w="6820" w:type="dxa"/>
            <w:vAlign w:val="bottom"/>
          </w:tcPr>
          <w:p>
            <w:pPr>
              <w:ind w:left="340"/>
              <w:spacing w:after="0"/>
              <w:rPr>
                <w:sz w:val="20"/>
                <w:szCs w:val="20"/>
                <w:color w:val="auto"/>
              </w:rPr>
            </w:pPr>
            <w:r>
              <w:rPr>
                <w:rFonts w:ascii="Arial" w:cs="Arial" w:eastAsia="Arial" w:hAnsi="Arial"/>
                <w:sz w:val="16"/>
                <w:szCs w:val="16"/>
                <w:color w:val="auto"/>
              </w:rPr>
              <w:t>•  Worked at Capital Trust, Inc. and its predecessor, Victor Capital Group, L.P.</w:t>
            </w:r>
          </w:p>
        </w:tc>
        <w:tc>
          <w:tcPr>
            <w:tcW w:w="0" w:type="dxa"/>
            <w:vAlign w:val="bottom"/>
          </w:tcPr>
          <w:p>
            <w:pPr>
              <w:spacing w:after="0"/>
              <w:rPr>
                <w:sz w:val="1"/>
                <w:szCs w:val="1"/>
                <w:color w:val="auto"/>
              </w:rPr>
            </w:pPr>
          </w:p>
        </w:tc>
      </w:tr>
      <w:tr>
        <w:trPr>
          <w:trHeight w:val="116"/>
        </w:trPr>
        <w:tc>
          <w:tcPr>
            <w:tcW w:w="2100" w:type="dxa"/>
            <w:vAlign w:val="bottom"/>
            <w:vMerge w:val="continue"/>
          </w:tcPr>
          <w:p>
            <w:pPr>
              <w:spacing w:after="0"/>
              <w:rPr>
                <w:sz w:val="10"/>
                <w:szCs w:val="10"/>
                <w:color w:val="auto"/>
              </w:rPr>
            </w:pPr>
          </w:p>
        </w:tc>
        <w:tc>
          <w:tcPr>
            <w:tcW w:w="6820" w:type="dxa"/>
            <w:vAlign w:val="bottom"/>
            <w:vMerge w:val="restart"/>
          </w:tcPr>
          <w:p>
            <w:pPr>
              <w:ind w:left="340"/>
              <w:spacing w:after="0"/>
              <w:rPr>
                <w:sz w:val="20"/>
                <w:szCs w:val="20"/>
                <w:color w:val="auto"/>
              </w:rPr>
            </w:pPr>
            <w:r>
              <w:rPr>
                <w:rFonts w:ascii="Arial" w:cs="Arial" w:eastAsia="Arial" w:hAnsi="Arial"/>
                <w:sz w:val="16"/>
                <w:szCs w:val="16"/>
                <w:color w:val="auto"/>
              </w:rPr>
              <w:t>•  Worked on the high yield and restructuring desk at Bear Stearns and Co.</w:t>
            </w:r>
          </w:p>
        </w:tc>
        <w:tc>
          <w:tcPr>
            <w:tcW w:w="0" w:type="dxa"/>
            <w:vAlign w:val="bottom"/>
          </w:tcPr>
          <w:p>
            <w:pPr>
              <w:spacing w:after="0"/>
              <w:rPr>
                <w:sz w:val="1"/>
                <w:szCs w:val="1"/>
                <w:color w:val="auto"/>
              </w:rPr>
            </w:pPr>
          </w:p>
        </w:tc>
      </w:tr>
      <w:tr>
        <w:trPr>
          <w:trHeight w:val="113"/>
        </w:trPr>
        <w:tc>
          <w:tcPr>
            <w:tcW w:w="2100" w:type="dxa"/>
            <w:vAlign w:val="bottom"/>
            <w:vMerge w:val="restart"/>
          </w:tcPr>
          <w:p>
            <w:pPr>
              <w:spacing w:after="0"/>
              <w:rPr>
                <w:sz w:val="20"/>
                <w:szCs w:val="20"/>
                <w:color w:val="auto"/>
              </w:rPr>
            </w:pPr>
            <w:r>
              <w:rPr>
                <w:rFonts w:ascii="Arial" w:cs="Arial" w:eastAsia="Arial" w:hAnsi="Arial"/>
                <w:sz w:val="16"/>
                <w:szCs w:val="16"/>
                <w:color w:val="FFFFFF"/>
              </w:rPr>
              <w:t>SL Green</w:t>
            </w:r>
          </w:p>
        </w:tc>
        <w:tc>
          <w:tcPr>
            <w:tcW w:w="6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2100" w:type="dxa"/>
            <w:vAlign w:val="bottom"/>
            <w:vMerge w:val="continue"/>
          </w:tcPr>
          <w:p>
            <w:pPr>
              <w:spacing w:after="0"/>
              <w:rPr>
                <w:sz w:val="15"/>
                <w:szCs w:val="15"/>
                <w:color w:val="auto"/>
              </w:rPr>
            </w:pPr>
          </w:p>
        </w:tc>
        <w:tc>
          <w:tcPr>
            <w:tcW w:w="6820" w:type="dxa"/>
            <w:vAlign w:val="bottom"/>
          </w:tcPr>
          <w:p>
            <w:pPr>
              <w:ind w:left="340"/>
              <w:spacing w:after="0" w:line="178" w:lineRule="exact"/>
              <w:rPr>
                <w:sz w:val="20"/>
                <w:szCs w:val="20"/>
                <w:color w:val="auto"/>
              </w:rPr>
            </w:pPr>
            <w:r>
              <w:rPr>
                <w:rFonts w:ascii="Arial" w:cs="Arial" w:eastAsia="Arial" w:hAnsi="Arial"/>
                <w:sz w:val="16"/>
                <w:szCs w:val="16"/>
                <w:color w:val="auto"/>
              </w:rPr>
              <w:t>•  Member of the Board of Directors for the Regional Plan Association, which works to</w:t>
            </w:r>
          </w:p>
        </w:tc>
        <w:tc>
          <w:tcPr>
            <w:tcW w:w="0" w:type="dxa"/>
            <w:vAlign w:val="bottom"/>
          </w:tcPr>
          <w:p>
            <w:pPr>
              <w:spacing w:after="0"/>
              <w:rPr>
                <w:sz w:val="1"/>
                <w:szCs w:val="1"/>
                <w:color w:val="auto"/>
              </w:rPr>
            </w:pPr>
          </w:p>
        </w:tc>
      </w:tr>
      <w:tr>
        <w:trPr>
          <w:trHeight w:val="242"/>
        </w:trPr>
        <w:tc>
          <w:tcPr>
            <w:tcW w:w="2100" w:type="dxa"/>
            <w:vAlign w:val="bottom"/>
          </w:tcPr>
          <w:p>
            <w:pPr>
              <w:spacing w:after="0"/>
              <w:rPr>
                <w:sz w:val="20"/>
                <w:szCs w:val="20"/>
                <w:color w:val="auto"/>
              </w:rPr>
            </w:pPr>
            <w:r>
              <w:rPr>
                <w:rFonts w:ascii="Arial" w:cs="Arial" w:eastAsia="Arial" w:hAnsi="Arial"/>
                <w:sz w:val="16"/>
                <w:szCs w:val="16"/>
                <w:color w:val="FFFFFF"/>
              </w:rPr>
              <w:t>Board Service:</w:t>
            </w:r>
          </w:p>
        </w:tc>
        <w:tc>
          <w:tcPr>
            <w:tcW w:w="6820" w:type="dxa"/>
            <w:vAlign w:val="bottom"/>
          </w:tcPr>
          <w:p>
            <w:pPr>
              <w:ind w:left="520"/>
              <w:spacing w:after="0"/>
              <w:rPr>
                <w:sz w:val="20"/>
                <w:szCs w:val="20"/>
                <w:color w:val="auto"/>
              </w:rPr>
            </w:pPr>
            <w:r>
              <w:rPr>
                <w:rFonts w:ascii="Arial" w:cs="Arial" w:eastAsia="Arial" w:hAnsi="Arial"/>
                <w:sz w:val="16"/>
                <w:szCs w:val="16"/>
                <w:color w:val="auto"/>
                <w:w w:val="97"/>
              </w:rPr>
              <w:t>improve the prosperity, infrastructure, sustainability and quality of life of the New York-New</w:t>
            </w:r>
          </w:p>
        </w:tc>
        <w:tc>
          <w:tcPr>
            <w:tcW w:w="0" w:type="dxa"/>
            <w:vAlign w:val="bottom"/>
          </w:tcPr>
          <w:p>
            <w:pPr>
              <w:spacing w:after="0"/>
              <w:rPr>
                <w:sz w:val="1"/>
                <w:szCs w:val="1"/>
                <w:color w:val="auto"/>
              </w:rPr>
            </w:pPr>
          </w:p>
        </w:tc>
      </w:tr>
      <w:tr>
        <w:trPr>
          <w:trHeight w:val="215"/>
        </w:trPr>
        <w:tc>
          <w:tcPr>
            <w:tcW w:w="2100" w:type="dxa"/>
            <w:vAlign w:val="bottom"/>
            <w:vMerge w:val="restart"/>
          </w:tcPr>
          <w:p>
            <w:pPr>
              <w:spacing w:after="0"/>
              <w:rPr>
                <w:sz w:val="20"/>
                <w:szCs w:val="20"/>
                <w:color w:val="auto"/>
              </w:rPr>
            </w:pPr>
            <w:r>
              <w:rPr>
                <w:rFonts w:ascii="Arial" w:cs="Arial" w:eastAsia="Arial" w:hAnsi="Arial"/>
                <w:sz w:val="16"/>
                <w:szCs w:val="16"/>
                <w:color w:val="FFFFFF"/>
              </w:rPr>
              <w:t xml:space="preserve">• </w:t>
            </w:r>
            <w:r>
              <w:rPr>
                <w:rFonts w:ascii="Arial" w:cs="Arial" w:eastAsia="Arial" w:hAnsi="Arial"/>
                <w:sz w:val="16"/>
                <w:szCs w:val="16"/>
                <w:b w:val="1"/>
                <w:bCs w:val="1"/>
                <w:color w:val="FFFFFF"/>
              </w:rPr>
              <w:t>Executive Committee</w:t>
            </w:r>
          </w:p>
        </w:tc>
        <w:tc>
          <w:tcPr>
            <w:tcW w:w="6820" w:type="dxa"/>
            <w:vAlign w:val="bottom"/>
          </w:tcPr>
          <w:p>
            <w:pPr>
              <w:ind w:left="520"/>
              <w:spacing w:after="0"/>
              <w:rPr>
                <w:sz w:val="20"/>
                <w:szCs w:val="20"/>
                <w:color w:val="auto"/>
              </w:rPr>
            </w:pPr>
            <w:r>
              <w:rPr>
                <w:rFonts w:ascii="Arial" w:cs="Arial" w:eastAsia="Arial" w:hAnsi="Arial"/>
                <w:sz w:val="16"/>
                <w:szCs w:val="16"/>
                <w:color w:val="auto"/>
              </w:rPr>
              <w:t>Jersey-Connecticut metropolitan region</w:t>
            </w:r>
          </w:p>
        </w:tc>
        <w:tc>
          <w:tcPr>
            <w:tcW w:w="0" w:type="dxa"/>
            <w:vAlign w:val="bottom"/>
          </w:tcPr>
          <w:p>
            <w:pPr>
              <w:spacing w:after="0"/>
              <w:rPr>
                <w:sz w:val="1"/>
                <w:szCs w:val="1"/>
                <w:color w:val="auto"/>
              </w:rPr>
            </w:pPr>
          </w:p>
        </w:tc>
      </w:tr>
      <w:tr>
        <w:trPr>
          <w:trHeight w:val="116"/>
        </w:trPr>
        <w:tc>
          <w:tcPr>
            <w:tcW w:w="2100" w:type="dxa"/>
            <w:vAlign w:val="bottom"/>
            <w:vMerge w:val="continue"/>
          </w:tcPr>
          <w:p>
            <w:pPr>
              <w:spacing w:after="0"/>
              <w:rPr>
                <w:sz w:val="10"/>
                <w:szCs w:val="10"/>
                <w:color w:val="auto"/>
              </w:rPr>
            </w:pPr>
          </w:p>
        </w:tc>
        <w:tc>
          <w:tcPr>
            <w:tcW w:w="6820" w:type="dxa"/>
            <w:vAlign w:val="bottom"/>
            <w:vMerge w:val="restart"/>
          </w:tcPr>
          <w:p>
            <w:pPr>
              <w:ind w:left="340"/>
              <w:spacing w:after="0"/>
              <w:rPr>
                <w:sz w:val="20"/>
                <w:szCs w:val="20"/>
                <w:color w:val="auto"/>
              </w:rPr>
            </w:pPr>
            <w:r>
              <w:rPr>
                <w:rFonts w:ascii="Arial" w:cs="Arial" w:eastAsia="Arial" w:hAnsi="Arial"/>
                <w:sz w:val="16"/>
                <w:szCs w:val="16"/>
                <w:color w:val="auto"/>
              </w:rPr>
              <w:t>•  B.S. degree in Economics from the Wharton School at the University of Pennsylvania</w:t>
            </w:r>
          </w:p>
        </w:tc>
        <w:tc>
          <w:tcPr>
            <w:tcW w:w="0" w:type="dxa"/>
            <w:vAlign w:val="bottom"/>
          </w:tcPr>
          <w:p>
            <w:pPr>
              <w:spacing w:after="0"/>
              <w:rPr>
                <w:sz w:val="1"/>
                <w:szCs w:val="1"/>
                <w:color w:val="auto"/>
              </w:rPr>
            </w:pPr>
          </w:p>
        </w:tc>
      </w:tr>
      <w:tr>
        <w:trPr>
          <w:trHeight w:val="114"/>
        </w:trPr>
        <w:tc>
          <w:tcPr>
            <w:tcW w:w="2100" w:type="dxa"/>
            <w:vAlign w:val="bottom"/>
          </w:tcPr>
          <w:p>
            <w:pPr>
              <w:spacing w:after="0"/>
              <w:rPr>
                <w:sz w:val="9"/>
                <w:szCs w:val="9"/>
                <w:color w:val="auto"/>
              </w:rPr>
            </w:pPr>
          </w:p>
        </w:tc>
        <w:tc>
          <w:tcPr>
            <w:tcW w:w="6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2154555</wp:posOffset>
            </wp:positionH>
            <wp:positionV relativeFrom="paragraph">
              <wp:posOffset>155575</wp:posOffset>
            </wp:positionV>
            <wp:extent cx="41230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239" w:lineRule="exact"/>
        <w:rPr>
          <w:sz w:val="20"/>
          <w:szCs w:val="20"/>
          <w:color w:val="auto"/>
        </w:rPr>
      </w:pPr>
    </w:p>
    <w:tbl>
      <w:tblPr>
        <w:tblLayout w:type="fixed"/>
        <w:tblInd w:w="960" w:type="dxa"/>
        <w:tblCellMar>
          <w:top w:w="0" w:type="dxa"/>
          <w:left w:w="0" w:type="dxa"/>
          <w:bottom w:w="0" w:type="dxa"/>
          <w:right w:w="0" w:type="dxa"/>
        </w:tblCellMar>
      </w:tblPr>
      <w:tr>
        <w:trPr>
          <w:trHeight w:val="26"/>
        </w:trPr>
        <w:tc>
          <w:tcPr>
            <w:tcW w:w="60" w:type="dxa"/>
            <w:vAlign w:val="bottom"/>
          </w:tcPr>
          <w:p>
            <w:pPr>
              <w:spacing w:after="0"/>
              <w:rPr>
                <w:sz w:val="2"/>
                <w:szCs w:val="2"/>
                <w:color w:val="auto"/>
              </w:rPr>
            </w:pPr>
          </w:p>
        </w:tc>
        <w:tc>
          <w:tcPr>
            <w:tcW w:w="1000" w:type="dxa"/>
            <w:vAlign w:val="bottom"/>
            <w:vMerge w:val="restart"/>
          </w:tcPr>
          <w:p>
            <w:pPr>
              <w:spacing w:after="0"/>
              <w:rPr>
                <w:sz w:val="20"/>
                <w:szCs w:val="20"/>
                <w:color w:val="auto"/>
              </w:rPr>
            </w:pPr>
            <w:r>
              <w:rPr>
                <w:rFonts w:ascii="Arial" w:cs="Arial" w:eastAsia="Arial" w:hAnsi="Arial"/>
                <w:sz w:val="22"/>
                <w:szCs w:val="22"/>
                <w:color w:val="auto"/>
              </w:rPr>
              <w:t>​</w:t>
            </w:r>
          </w:p>
        </w:tc>
        <w:tc>
          <w:tcPr>
            <w:tcW w:w="1660" w:type="dxa"/>
            <w:vAlign w:val="bottom"/>
            <w:gridSpan w:val="2"/>
            <w:vMerge w:val="restart"/>
          </w:tcPr>
          <w:p>
            <w:pPr>
              <w:ind w:left="960"/>
              <w:spacing w:after="0"/>
              <w:rPr>
                <w:sz w:val="20"/>
                <w:szCs w:val="20"/>
                <w:color w:val="auto"/>
              </w:rPr>
            </w:pPr>
            <w:r>
              <w:rPr>
                <w:rFonts w:ascii="Arial" w:cs="Arial" w:eastAsia="Arial" w:hAnsi="Arial"/>
                <w:sz w:val="22"/>
                <w:szCs w:val="22"/>
                <w:color w:val="auto"/>
              </w:rPr>
              <w:t>​</w:t>
            </w:r>
          </w:p>
        </w:tc>
        <w:tc>
          <w:tcPr>
            <w:tcW w:w="3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0" w:type="dxa"/>
            <w:vAlign w:val="bottom"/>
            <w:shd w:val="clear" w:color="auto" w:fill="83AD40"/>
          </w:tcPr>
          <w:p>
            <w:pPr>
              <w:spacing w:after="0"/>
              <w:rPr>
                <w:sz w:val="24"/>
                <w:szCs w:val="24"/>
                <w:color w:val="auto"/>
              </w:rPr>
            </w:pPr>
          </w:p>
        </w:tc>
        <w:tc>
          <w:tcPr>
            <w:tcW w:w="1000" w:type="dxa"/>
            <w:vAlign w:val="bottom"/>
            <w:vMerge w:val="continue"/>
          </w:tcPr>
          <w:p>
            <w:pPr>
              <w:spacing w:after="0"/>
              <w:rPr>
                <w:sz w:val="24"/>
                <w:szCs w:val="24"/>
                <w:color w:val="auto"/>
              </w:rPr>
            </w:pPr>
          </w:p>
        </w:tc>
        <w:tc>
          <w:tcPr>
            <w:tcW w:w="166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0" w:type="dxa"/>
            <w:vAlign w:val="bottom"/>
            <w:tcBorders>
              <w:top w:val="single" w:sz="8" w:color="83AD40"/>
            </w:tcBorders>
          </w:tcPr>
          <w:p>
            <w:pPr>
              <w:spacing w:after="0"/>
              <w:rPr>
                <w:sz w:val="20"/>
                <w:szCs w:val="20"/>
                <w:color w:val="auto"/>
              </w:rPr>
            </w:pPr>
          </w:p>
        </w:tc>
        <w:tc>
          <w:tcPr>
            <w:tcW w:w="1000" w:type="dxa"/>
            <w:vAlign w:val="bottom"/>
            <w:tcBorders>
              <w:top w:val="single" w:sz="8" w:color="83AD40"/>
            </w:tcBorders>
          </w:tcPr>
          <w:p>
            <w:pPr>
              <w:spacing w:after="0"/>
              <w:rPr>
                <w:sz w:val="20"/>
                <w:szCs w:val="20"/>
                <w:color w:val="auto"/>
              </w:rPr>
            </w:pPr>
          </w:p>
        </w:tc>
        <w:tc>
          <w:tcPr>
            <w:tcW w:w="1000" w:type="dxa"/>
            <w:vAlign w:val="bottom"/>
            <w:tcBorders>
              <w:top w:val="single" w:sz="8" w:color="83AD40"/>
            </w:tcBorders>
          </w:tcPr>
          <w:p>
            <w:pPr>
              <w:spacing w:after="0"/>
              <w:rPr>
                <w:sz w:val="20"/>
                <w:szCs w:val="20"/>
                <w:color w:val="auto"/>
              </w:rPr>
            </w:pPr>
          </w:p>
        </w:tc>
        <w:tc>
          <w:tcPr>
            <w:tcW w:w="3500" w:type="dxa"/>
            <w:vAlign w:val="bottom"/>
            <w:gridSpan w:val="3"/>
          </w:tcPr>
          <w:p>
            <w:pPr>
              <w:ind w:left="380"/>
              <w:spacing w:after="0"/>
              <w:rPr>
                <w:sz w:val="20"/>
                <w:szCs w:val="20"/>
                <w:color w:val="auto"/>
              </w:rPr>
            </w:pPr>
            <w:r>
              <w:rPr>
                <w:rFonts w:ascii="Arial" w:cs="Arial" w:eastAsia="Arial" w:hAnsi="Arial"/>
                <w:sz w:val="20"/>
                <w:szCs w:val="20"/>
                <w:b w:val="1"/>
                <w:bCs w:val="1"/>
                <w:color w:val="1F2668"/>
                <w:w w:val="96"/>
              </w:rPr>
              <w:t>Skills, Experiences and Attributes</w:t>
            </w:r>
          </w:p>
        </w:tc>
        <w:tc>
          <w:tcPr>
            <w:tcW w:w="4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5"/>
        </w:trPr>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ind w:left="380"/>
              <w:spacing w:after="0"/>
              <w:rPr>
                <w:sz w:val="20"/>
                <w:szCs w:val="20"/>
                <w:color w:val="auto"/>
              </w:rPr>
            </w:pPr>
            <w:r>
              <w:rPr>
                <w:rFonts w:ascii="Arial" w:cs="Arial" w:eastAsia="Arial" w:hAnsi="Arial"/>
                <w:sz w:val="16"/>
                <w:szCs w:val="16"/>
                <w:color w:val="auto"/>
              </w:rPr>
              <w:t>​</w:t>
            </w:r>
          </w:p>
        </w:tc>
        <w:tc>
          <w:tcPr>
            <w:tcW w:w="2840" w:type="dxa"/>
            <w:vAlign w:val="bottom"/>
            <w:gridSpan w:val="2"/>
          </w:tcPr>
          <w:p>
            <w:pPr>
              <w:ind w:left="240"/>
              <w:spacing w:after="0"/>
              <w:rPr>
                <w:sz w:val="20"/>
                <w:szCs w:val="20"/>
                <w:color w:val="auto"/>
              </w:rPr>
            </w:pPr>
            <w:r>
              <w:rPr>
                <w:rFonts w:ascii="Arial" w:cs="Arial" w:eastAsia="Arial" w:hAnsi="Arial"/>
                <w:sz w:val="16"/>
                <w:szCs w:val="16"/>
                <w:color w:val="auto"/>
              </w:rPr>
              <w:t>​ ​ Executive Leadership</w:t>
            </w:r>
          </w:p>
        </w:tc>
        <w:tc>
          <w:tcPr>
            <w:tcW w:w="480" w:type="dxa"/>
            <w:vAlign w:val="bottom"/>
          </w:tcPr>
          <w:p>
            <w:pPr>
              <w:ind w:left="20"/>
              <w:spacing w:after="0"/>
              <w:rPr>
                <w:sz w:val="20"/>
                <w:szCs w:val="20"/>
                <w:color w:val="auto"/>
              </w:rPr>
            </w:pPr>
            <w:r>
              <w:rPr>
                <w:rFonts w:ascii="Arial" w:cs="Arial" w:eastAsia="Arial" w:hAnsi="Arial"/>
                <w:sz w:val="16"/>
                <w:szCs w:val="16"/>
                <w:color w:val="auto"/>
              </w:rPr>
              <w:t>​ ​</w:t>
            </w:r>
          </w:p>
        </w:tc>
        <w:tc>
          <w:tcPr>
            <w:tcW w:w="2580" w:type="dxa"/>
            <w:vAlign w:val="bottom"/>
          </w:tcPr>
          <w:p>
            <w:pPr>
              <w:ind w:left="260"/>
              <w:spacing w:after="0"/>
              <w:rPr>
                <w:sz w:val="20"/>
                <w:szCs w:val="20"/>
                <w:color w:val="auto"/>
              </w:rPr>
            </w:pPr>
            <w:r>
              <w:rPr>
                <w:rFonts w:ascii="Arial" w:cs="Arial" w:eastAsia="Arial" w:hAnsi="Arial"/>
                <w:sz w:val="16"/>
                <w:szCs w:val="16"/>
                <w:color w:val="auto"/>
              </w:rPr>
              <w:t>​ ​ Finance/Capital Markets</w:t>
            </w:r>
          </w:p>
        </w:tc>
        <w:tc>
          <w:tcPr>
            <w:tcW w:w="340" w:type="dxa"/>
            <w:vAlign w:val="bottom"/>
          </w:tcPr>
          <w:p>
            <w:pPr>
              <w:ind w:left="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75"/>
        </w:trPr>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ind w:left="380"/>
              <w:spacing w:after="0"/>
              <w:rPr>
                <w:sz w:val="20"/>
                <w:szCs w:val="20"/>
                <w:color w:val="auto"/>
              </w:rPr>
            </w:pPr>
            <w:r>
              <w:rPr>
                <w:rFonts w:ascii="Arial" w:cs="Arial" w:eastAsia="Arial" w:hAnsi="Arial"/>
                <w:sz w:val="16"/>
                <w:szCs w:val="16"/>
                <w:color w:val="auto"/>
              </w:rPr>
              <w:t>​</w:t>
            </w:r>
          </w:p>
        </w:tc>
        <w:tc>
          <w:tcPr>
            <w:tcW w:w="2840" w:type="dxa"/>
            <w:vAlign w:val="bottom"/>
            <w:gridSpan w:val="2"/>
          </w:tcPr>
          <w:p>
            <w:pPr>
              <w:ind w:left="240"/>
              <w:spacing w:after="0"/>
              <w:rPr>
                <w:sz w:val="20"/>
                <w:szCs w:val="20"/>
                <w:color w:val="auto"/>
              </w:rPr>
            </w:pPr>
            <w:r>
              <w:rPr>
                <w:rFonts w:ascii="Arial" w:cs="Arial" w:eastAsia="Arial" w:hAnsi="Arial"/>
                <w:sz w:val="16"/>
                <w:szCs w:val="16"/>
                <w:color w:val="auto"/>
              </w:rPr>
              <w:t>​ ​ Risk Management</w:t>
            </w:r>
          </w:p>
        </w:tc>
        <w:tc>
          <w:tcPr>
            <w:tcW w:w="480" w:type="dxa"/>
            <w:vAlign w:val="bottom"/>
          </w:tcPr>
          <w:p>
            <w:pPr>
              <w:ind w:left="20"/>
              <w:spacing w:after="0"/>
              <w:rPr>
                <w:sz w:val="20"/>
                <w:szCs w:val="20"/>
                <w:color w:val="auto"/>
              </w:rPr>
            </w:pPr>
            <w:r>
              <w:rPr>
                <w:rFonts w:ascii="Arial" w:cs="Arial" w:eastAsia="Arial" w:hAnsi="Arial"/>
                <w:sz w:val="16"/>
                <w:szCs w:val="16"/>
                <w:color w:val="auto"/>
              </w:rPr>
              <w:t>​ ​</w:t>
            </w:r>
          </w:p>
        </w:tc>
        <w:tc>
          <w:tcPr>
            <w:tcW w:w="2580" w:type="dxa"/>
            <w:vAlign w:val="bottom"/>
          </w:tcPr>
          <w:p>
            <w:pPr>
              <w:ind w:left="260"/>
              <w:spacing w:after="0"/>
              <w:rPr>
                <w:sz w:val="20"/>
                <w:szCs w:val="20"/>
                <w:color w:val="auto"/>
              </w:rPr>
            </w:pPr>
            <w:r>
              <w:rPr>
                <w:rFonts w:ascii="Arial" w:cs="Arial" w:eastAsia="Arial" w:hAnsi="Arial"/>
                <w:sz w:val="16"/>
                <w:szCs w:val="16"/>
                <w:color w:val="auto"/>
              </w:rPr>
              <w:t>​ ​ REIT/Real Estate Industry</w:t>
            </w:r>
          </w:p>
        </w:tc>
        <w:tc>
          <w:tcPr>
            <w:tcW w:w="340" w:type="dxa"/>
            <w:vAlign w:val="bottom"/>
          </w:tcPr>
          <w:p>
            <w:pPr>
              <w:ind w:left="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36"/>
        </w:trPr>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ind w:left="380"/>
              <w:spacing w:after="0"/>
              <w:rPr>
                <w:sz w:val="20"/>
                <w:szCs w:val="20"/>
                <w:color w:val="auto"/>
              </w:rPr>
            </w:pPr>
            <w:r>
              <w:rPr>
                <w:rFonts w:ascii="Arial" w:cs="Arial" w:eastAsia="Arial" w:hAnsi="Arial"/>
                <w:sz w:val="16"/>
                <w:szCs w:val="16"/>
                <w:color w:val="auto"/>
              </w:rPr>
              <w:t>​</w:t>
            </w:r>
          </w:p>
        </w:tc>
        <w:tc>
          <w:tcPr>
            <w:tcW w:w="380" w:type="dxa"/>
            <w:vAlign w:val="bottom"/>
          </w:tcPr>
          <w:p>
            <w:pPr>
              <w:ind w:left="240"/>
              <w:spacing w:after="0"/>
              <w:rPr>
                <w:sz w:val="20"/>
                <w:szCs w:val="20"/>
                <w:color w:val="auto"/>
              </w:rPr>
            </w:pPr>
            <w:r>
              <w:rPr>
                <w:rFonts w:ascii="Arial" w:cs="Arial" w:eastAsia="Arial" w:hAnsi="Arial"/>
                <w:sz w:val="16"/>
                <w:szCs w:val="16"/>
                <w:color w:val="auto"/>
              </w:rPr>
              <w:t>​ ​</w:t>
            </w:r>
          </w:p>
        </w:tc>
        <w:tc>
          <w:tcPr>
            <w:tcW w:w="2460" w:type="dxa"/>
            <w:vAlign w:val="bottom"/>
          </w:tcPr>
          <w:p>
            <w:pPr>
              <w:ind w:left="40"/>
              <w:spacing w:after="0"/>
              <w:rPr>
                <w:sz w:val="20"/>
                <w:szCs w:val="20"/>
                <w:color w:val="auto"/>
              </w:rPr>
            </w:pPr>
            <w:r>
              <w:rPr>
                <w:rFonts w:ascii="Arial" w:cs="Arial" w:eastAsia="Arial" w:hAnsi="Arial"/>
                <w:sz w:val="16"/>
                <w:szCs w:val="16"/>
                <w:color w:val="auto"/>
              </w:rPr>
              <w:t>Experience Over Several</w:t>
            </w:r>
          </w:p>
        </w:tc>
        <w:tc>
          <w:tcPr>
            <w:tcW w:w="480" w:type="dxa"/>
            <w:vAlign w:val="bottom"/>
          </w:tcPr>
          <w:p>
            <w:pPr>
              <w:ind w:left="20"/>
              <w:spacing w:after="0"/>
              <w:rPr>
                <w:sz w:val="20"/>
                <w:szCs w:val="20"/>
                <w:color w:val="auto"/>
              </w:rPr>
            </w:pPr>
            <w:r>
              <w:rPr>
                <w:rFonts w:ascii="Arial" w:cs="Arial" w:eastAsia="Arial" w:hAnsi="Arial"/>
                <w:sz w:val="16"/>
                <w:szCs w:val="16"/>
                <w:color w:val="auto"/>
              </w:rPr>
              <w:t>​ ​</w:t>
            </w:r>
          </w:p>
        </w:tc>
        <w:tc>
          <w:tcPr>
            <w:tcW w:w="2580" w:type="dxa"/>
            <w:vAlign w:val="bottom"/>
          </w:tcPr>
          <w:p>
            <w:pPr>
              <w:ind w:left="260"/>
              <w:spacing w:after="0"/>
              <w:rPr>
                <w:sz w:val="20"/>
                <w:szCs w:val="20"/>
                <w:color w:val="auto"/>
              </w:rPr>
            </w:pPr>
            <w:r>
              <w:rPr>
                <w:rFonts w:ascii="Arial" w:cs="Arial" w:eastAsia="Arial" w:hAnsi="Arial"/>
                <w:sz w:val="16"/>
                <w:szCs w:val="16"/>
                <w:color w:val="auto"/>
              </w:rPr>
              <w:t>​ ​ Talent Management</w:t>
            </w:r>
          </w:p>
        </w:tc>
        <w:tc>
          <w:tcPr>
            <w:tcW w:w="340" w:type="dxa"/>
            <w:vAlign w:val="bottom"/>
          </w:tcPr>
          <w:p>
            <w:pPr>
              <w:ind w:left="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60" w:type="dxa"/>
            <w:vAlign w:val="bottom"/>
          </w:tcPr>
          <w:p>
            <w:pPr>
              <w:ind w:left="40"/>
              <w:spacing w:after="0"/>
              <w:rPr>
                <w:sz w:val="20"/>
                <w:szCs w:val="20"/>
                <w:color w:val="auto"/>
              </w:rPr>
            </w:pPr>
            <w:r>
              <w:rPr>
                <w:rFonts w:ascii="Arial" w:cs="Arial" w:eastAsia="Arial" w:hAnsi="Arial"/>
                <w:sz w:val="16"/>
                <w:szCs w:val="16"/>
                <w:color w:val="auto"/>
              </w:rPr>
              <w:t>Business Cycles</w:t>
            </w:r>
          </w:p>
        </w:tc>
        <w:tc>
          <w:tcPr>
            <w:tcW w:w="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3"/>
        </w:trPr>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vMerge w:val="restart"/>
          </w:tcPr>
          <w:p>
            <w:pPr>
              <w:ind w:left="380"/>
              <w:spacing w:after="0"/>
              <w:rPr>
                <w:sz w:val="20"/>
                <w:szCs w:val="20"/>
                <w:color w:val="auto"/>
              </w:rPr>
            </w:pPr>
            <w:r>
              <w:rPr>
                <w:rFonts w:ascii="Arial" w:cs="Arial" w:eastAsia="Arial" w:hAnsi="Arial"/>
                <w:sz w:val="16"/>
                <w:szCs w:val="16"/>
                <w:color w:val="auto"/>
              </w:rPr>
              <w:t>​</w:t>
            </w:r>
          </w:p>
        </w:tc>
        <w:tc>
          <w:tcPr>
            <w:tcW w:w="380" w:type="dxa"/>
            <w:vAlign w:val="bottom"/>
            <w:vMerge w:val="restart"/>
          </w:tcPr>
          <w:p>
            <w:pPr>
              <w:ind w:left="240"/>
              <w:spacing w:after="0"/>
              <w:rPr>
                <w:sz w:val="20"/>
                <w:szCs w:val="20"/>
                <w:color w:val="auto"/>
              </w:rPr>
            </w:pPr>
            <w:r>
              <w:rPr>
                <w:rFonts w:ascii="Arial" w:cs="Arial" w:eastAsia="Arial" w:hAnsi="Arial"/>
                <w:sz w:val="16"/>
                <w:szCs w:val="16"/>
                <w:color w:val="auto"/>
              </w:rPr>
              <w:t>​ ​</w:t>
            </w:r>
          </w:p>
        </w:tc>
        <w:tc>
          <w:tcPr>
            <w:tcW w:w="2460" w:type="dxa"/>
            <w:vAlign w:val="bottom"/>
          </w:tcPr>
          <w:p>
            <w:pPr>
              <w:ind w:left="40"/>
              <w:spacing w:after="0"/>
              <w:rPr>
                <w:sz w:val="20"/>
                <w:szCs w:val="20"/>
                <w:color w:val="auto"/>
              </w:rPr>
            </w:pPr>
            <w:r>
              <w:rPr>
                <w:rFonts w:ascii="Arial" w:cs="Arial" w:eastAsia="Arial" w:hAnsi="Arial"/>
                <w:sz w:val="16"/>
                <w:szCs w:val="16"/>
                <w:color w:val="auto"/>
              </w:rPr>
              <w:t>Government/Regulatory</w:t>
            </w:r>
          </w:p>
        </w:tc>
        <w:tc>
          <w:tcPr>
            <w:tcW w:w="480" w:type="dxa"/>
            <w:vAlign w:val="bottom"/>
            <w:vMerge w:val="restart"/>
          </w:tcPr>
          <w:p>
            <w:pPr>
              <w:ind w:left="20"/>
              <w:spacing w:after="0"/>
              <w:rPr>
                <w:sz w:val="20"/>
                <w:szCs w:val="20"/>
                <w:color w:val="auto"/>
              </w:rPr>
            </w:pPr>
            <w:r>
              <w:rPr>
                <w:rFonts w:ascii="Arial" w:cs="Arial" w:eastAsia="Arial" w:hAnsi="Arial"/>
                <w:sz w:val="16"/>
                <w:szCs w:val="16"/>
                <w:color w:val="auto"/>
              </w:rPr>
              <w:t>​ ​ ​</w:t>
            </w:r>
          </w:p>
        </w:tc>
        <w:tc>
          <w:tcPr>
            <w:tcW w:w="2580" w:type="dxa"/>
            <w:vAlign w:val="bottom"/>
            <w:vMerge w:val="restart"/>
          </w:tcPr>
          <w:p>
            <w:pPr>
              <w:ind w:left="260"/>
              <w:spacing w:after="0"/>
              <w:rPr>
                <w:sz w:val="20"/>
                <w:szCs w:val="20"/>
                <w:color w:val="auto"/>
              </w:rPr>
            </w:pPr>
            <w:r>
              <w:rPr>
                <w:rFonts w:ascii="Arial" w:cs="Arial" w:eastAsia="Arial" w:hAnsi="Arial"/>
                <w:sz w:val="16"/>
                <w:szCs w:val="16"/>
                <w:color w:val="auto"/>
              </w:rPr>
              <w:t>​ ​ ​</w:t>
            </w:r>
          </w:p>
        </w:tc>
        <w:tc>
          <w:tcPr>
            <w:tcW w:w="340" w:type="dxa"/>
            <w:vAlign w:val="bottom"/>
            <w:vMerge w:val="restart"/>
          </w:tcPr>
          <w:p>
            <w:pPr>
              <w:ind w:left="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2460" w:type="dxa"/>
            <w:vAlign w:val="bottom"/>
          </w:tcPr>
          <w:p>
            <w:pPr>
              <w:ind w:left="40"/>
              <w:spacing w:after="0"/>
              <w:rPr>
                <w:sz w:val="20"/>
                <w:szCs w:val="20"/>
                <w:color w:val="auto"/>
              </w:rPr>
            </w:pPr>
            <w:r>
              <w:rPr>
                <w:rFonts w:ascii="Arial" w:cs="Arial" w:eastAsia="Arial" w:hAnsi="Arial"/>
                <w:sz w:val="16"/>
                <w:szCs w:val="16"/>
                <w:color w:val="auto"/>
              </w:rPr>
              <w:t>Experience</w:t>
            </w:r>
          </w:p>
        </w:tc>
        <w:tc>
          <w:tcPr>
            <w:tcW w:w="480" w:type="dxa"/>
            <w:vAlign w:val="bottom"/>
            <w:vMerge w:val="continue"/>
          </w:tcPr>
          <w:p>
            <w:pPr>
              <w:spacing w:after="0"/>
              <w:rPr>
                <w:sz w:val="18"/>
                <w:szCs w:val="18"/>
                <w:color w:val="auto"/>
              </w:rPr>
            </w:pPr>
          </w:p>
        </w:tc>
        <w:tc>
          <w:tcPr>
            <w:tcW w:w="258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2568575</wp:posOffset>
            </wp:positionV>
            <wp:extent cx="683196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-1644015</wp:posOffset>
            </wp:positionV>
            <wp:extent cx="334010" cy="3511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4010" cy="351155"/>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-1609725</wp:posOffset>
            </wp:positionV>
            <wp:extent cx="334645" cy="3346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4645" cy="334645"/>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-1198245</wp:posOffset>
            </wp:positionV>
            <wp:extent cx="317500" cy="3683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17500" cy="368300"/>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-1155700</wp:posOffset>
            </wp:positionV>
            <wp:extent cx="300355" cy="2743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00355" cy="274320"/>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-744220</wp:posOffset>
            </wp:positionV>
            <wp:extent cx="317500" cy="3340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17500" cy="334010"/>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-735330</wp:posOffset>
            </wp:positionV>
            <wp:extent cx="317500" cy="3175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17500" cy="317500"/>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-298450</wp:posOffset>
            </wp:positionV>
            <wp:extent cx="308610" cy="3429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08610" cy="34290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6260" w:type="dxa"/>
            <w:vAlign w:val="bottom"/>
          </w:tcPr>
          <w:p>
            <w:pPr>
              <w:spacing w:after="0"/>
              <w:rPr>
                <w:sz w:val="20"/>
                <w:szCs w:val="20"/>
                <w:color w:val="auto"/>
              </w:rPr>
            </w:pPr>
            <w:r>
              <w:rPr>
                <w:rFonts w:ascii="Arial" w:cs="Arial" w:eastAsia="Arial" w:hAnsi="Arial"/>
                <w:sz w:val="14"/>
                <w:szCs w:val="14"/>
                <w:b w:val="1"/>
                <w:bCs w:val="1"/>
                <w:color w:val="auto"/>
              </w:rPr>
              <w:t>​</w:t>
            </w:r>
          </w:p>
        </w:tc>
        <w:tc>
          <w:tcPr>
            <w:tcW w:w="2320" w:type="dxa"/>
            <w:vAlign w:val="bottom"/>
          </w:tcPr>
          <w:p>
            <w:pPr>
              <w:ind w:left="1940"/>
              <w:spacing w:after="0"/>
              <w:rPr>
                <w:sz w:val="20"/>
                <w:szCs w:val="20"/>
                <w:color w:val="auto"/>
              </w:rPr>
            </w:pPr>
            <w:r>
              <w:rPr>
                <w:rFonts w:ascii="Arial" w:cs="Arial" w:eastAsia="Arial" w:hAnsi="Arial"/>
                <w:sz w:val="14"/>
                <w:szCs w:val="14"/>
                <w:b w:val="1"/>
                <w:bCs w:val="1"/>
                <w:color w:val="auto"/>
              </w:rPr>
              <w:t>​ ​</w:t>
            </w:r>
          </w:p>
        </w:tc>
        <w:tc>
          <w:tcPr>
            <w:tcW w:w="480" w:type="dxa"/>
            <w:vAlign w:val="bottom"/>
            <w:vMerge w:val="restart"/>
          </w:tcPr>
          <w:p>
            <w:pPr>
              <w:jc w:val="right"/>
              <w:spacing w:after="0"/>
              <w:rPr>
                <w:sz w:val="20"/>
                <w:szCs w:val="20"/>
                <w:color w:val="auto"/>
              </w:rPr>
            </w:pPr>
            <w:r>
              <w:rPr>
                <w:rFonts w:ascii="Arial" w:cs="Arial" w:eastAsia="Arial" w:hAnsi="Arial"/>
                <w:sz w:val="22"/>
                <w:szCs w:val="22"/>
                <w:b w:val="1"/>
                <w:bCs w:val="1"/>
                <w:color w:val="1F2668"/>
              </w:rPr>
              <w:t>21</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6260" w:type="dxa"/>
            <w:vAlign w:val="bottom"/>
          </w:tcPr>
          <w:p>
            <w:pPr>
              <w:spacing w:after="0"/>
              <w:rPr>
                <w:sz w:val="20"/>
                <w:szCs w:val="20"/>
                <w:color w:val="auto"/>
              </w:rPr>
            </w:pPr>
            <w:r>
              <w:rPr>
                <w:rFonts w:ascii="Arial" w:cs="Arial" w:eastAsia="Arial" w:hAnsi="Arial"/>
                <w:sz w:val="14"/>
                <w:szCs w:val="14"/>
                <w:b w:val="1"/>
                <w:bCs w:val="1"/>
                <w:color w:val="auto"/>
              </w:rPr>
              <w:t>OUR BOARD OF DIRECTORS AND CORPORATE GOVERNANCE</w:t>
            </w:r>
          </w:p>
        </w:tc>
        <w:tc>
          <w:tcPr>
            <w:tcW w:w="232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38"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Board Refreshment</w:t>
      </w:r>
    </w:p>
    <w:p>
      <w:pPr>
        <w:spacing w:after="0" w:line="133" w:lineRule="exact"/>
        <w:rPr>
          <w:sz w:val="20"/>
          <w:szCs w:val="20"/>
          <w:color w:val="auto"/>
        </w:rPr>
      </w:pPr>
    </w:p>
    <w:p>
      <w:pPr>
        <w:ind w:left="820" w:right="80"/>
        <w:spacing w:after="0" w:line="291" w:lineRule="auto"/>
        <w:rPr>
          <w:sz w:val="20"/>
          <w:szCs w:val="20"/>
          <w:color w:val="auto"/>
        </w:rPr>
      </w:pPr>
      <w:r>
        <w:rPr>
          <w:rFonts w:ascii="Arial" w:cs="Arial" w:eastAsia="Arial" w:hAnsi="Arial"/>
          <w:sz w:val="16"/>
          <w:szCs w:val="16"/>
          <w:color w:val="auto"/>
        </w:rPr>
        <w:t>Led by our Nominating and Corporate Governance Committee, the Board engages in ongoing director succession planning, including a focus on refreshing the membership and leadership of the Board and its Committees. In January 2019, the leadership of the Board was transitioned from Stephen L. Green, our founder and Chairman of the Board for over 20 years, to Marc Holliday, who also serves as our Chief Executive Officer and Interim President. Mr. Green continues to serve as a director and as our Chairman Emeritus.</w:t>
      </w:r>
    </w:p>
    <w:p>
      <w:pPr>
        <w:spacing w:after="0" w:line="113" w:lineRule="exact"/>
        <w:rPr>
          <w:sz w:val="20"/>
          <w:szCs w:val="20"/>
          <w:color w:val="auto"/>
        </w:rPr>
      </w:pPr>
    </w:p>
    <w:p>
      <w:pPr>
        <w:ind w:left="820" w:right="100"/>
        <w:spacing w:after="0" w:line="288" w:lineRule="auto"/>
        <w:rPr>
          <w:sz w:val="20"/>
          <w:szCs w:val="20"/>
          <w:color w:val="auto"/>
        </w:rPr>
      </w:pPr>
      <w:r>
        <w:rPr>
          <w:rFonts w:ascii="Arial" w:cs="Arial" w:eastAsia="Arial" w:hAnsi="Arial"/>
          <w:sz w:val="16"/>
          <w:szCs w:val="16"/>
          <w:color w:val="auto"/>
        </w:rPr>
        <w:t>In March 2022, we added Carol N. Brown to our Board, and in March 2025, we added Peggy Lamb to our Board, as independent directors. As part of our Board succession planning, Betsy S. Atkins and Edwin T. Burton retired from our Board following our 2024 Annual Meeting of stockholders, and John S. Levy retired from our Board following our 2023 Annual Meeting of stockholders. As part of the Nominating and Corporate Governance Committee’s search for a director with significant REIT, finance and public board experience, Ms. Lamb was initially recommended by Ferguson Partners Consulting L.P., or Ferguson Partners, in their capacity as an executive search firm and was subsequently recommended by our Nominating and Corporate Governance Committee and appointed to our Board of Directors.</w:t>
      </w:r>
    </w:p>
    <w:p>
      <w:pPr>
        <w:spacing w:after="0" w:line="169" w:lineRule="exact"/>
        <w:rPr>
          <w:sz w:val="20"/>
          <w:szCs w:val="20"/>
          <w:color w:val="auto"/>
        </w:rPr>
      </w:pPr>
    </w:p>
    <w:tbl>
      <w:tblPr>
        <w:tblLayout w:type="fixed"/>
        <w:tblInd w:w="820" w:type="dxa"/>
        <w:tblCellMar>
          <w:top w:w="0" w:type="dxa"/>
          <w:left w:w="0" w:type="dxa"/>
          <w:bottom w:w="0" w:type="dxa"/>
          <w:right w:w="0" w:type="dxa"/>
        </w:tblCellMar>
      </w:tblPr>
      <w:tr>
        <w:trPr>
          <w:trHeight w:val="215"/>
        </w:trPr>
        <w:tc>
          <w:tcPr>
            <w:tcW w:w="380" w:type="dxa"/>
            <w:vAlign w:val="bottom"/>
          </w:tcPr>
          <w:p>
            <w:pPr>
              <w:spacing w:after="0"/>
              <w:rPr>
                <w:sz w:val="20"/>
                <w:szCs w:val="20"/>
                <w:color w:val="auto"/>
              </w:rPr>
            </w:pPr>
            <w:r>
              <w:rPr>
                <w:rFonts w:ascii="Arial" w:cs="Arial" w:eastAsia="Arial" w:hAnsi="Arial"/>
                <w:sz w:val="16"/>
                <w:szCs w:val="16"/>
                <w:color w:val="575C8E"/>
              </w:rPr>
              <w:t>​</w:t>
            </w:r>
          </w:p>
        </w:tc>
        <w:tc>
          <w:tcPr>
            <w:tcW w:w="1400" w:type="dxa"/>
            <w:vAlign w:val="bottom"/>
          </w:tcPr>
          <w:p>
            <w:pPr>
              <w:ind w:left="340"/>
              <w:spacing w:after="0"/>
              <w:rPr>
                <w:sz w:val="20"/>
                <w:szCs w:val="20"/>
                <w:color w:val="auto"/>
              </w:rPr>
            </w:pPr>
            <w:r>
              <w:rPr>
                <w:rFonts w:ascii="Arial" w:cs="Arial" w:eastAsia="Arial" w:hAnsi="Arial"/>
                <w:sz w:val="16"/>
                <w:szCs w:val="16"/>
                <w:color w:val="575C8E"/>
              </w:rPr>
              <w:t>​ ​</w:t>
            </w:r>
          </w:p>
        </w:tc>
        <w:tc>
          <w:tcPr>
            <w:tcW w:w="1080" w:type="dxa"/>
            <w:vAlign w:val="bottom"/>
          </w:tcPr>
          <w:p>
            <w:pPr>
              <w:ind w:left="940"/>
              <w:spacing w:after="0"/>
              <w:rPr>
                <w:sz w:val="20"/>
                <w:szCs w:val="20"/>
                <w:color w:val="auto"/>
              </w:rPr>
            </w:pPr>
            <w:r>
              <w:rPr>
                <w:rFonts w:ascii="Arial" w:cs="Arial" w:eastAsia="Arial" w:hAnsi="Arial"/>
                <w:sz w:val="16"/>
                <w:szCs w:val="16"/>
                <w:color w:val="575C8E"/>
              </w:rPr>
              <w:t>​</w:t>
            </w:r>
          </w:p>
        </w:tc>
        <w:tc>
          <w:tcPr>
            <w:tcW w:w="540" w:type="dxa"/>
            <w:vAlign w:val="bottom"/>
          </w:tcPr>
          <w:p>
            <w:pPr>
              <w:ind w:left="80"/>
              <w:spacing w:after="0"/>
              <w:rPr>
                <w:sz w:val="20"/>
                <w:szCs w:val="20"/>
                <w:color w:val="auto"/>
              </w:rPr>
            </w:pPr>
            <w:r>
              <w:rPr>
                <w:rFonts w:ascii="Arial" w:cs="Arial" w:eastAsia="Arial" w:hAnsi="Arial"/>
                <w:sz w:val="16"/>
                <w:szCs w:val="16"/>
                <w:color w:val="575C8E"/>
              </w:rPr>
              <w:t>​</w:t>
            </w:r>
          </w:p>
        </w:tc>
        <w:tc>
          <w:tcPr>
            <w:tcW w:w="1480" w:type="dxa"/>
            <w:vAlign w:val="bottom"/>
          </w:tcPr>
          <w:p>
            <w:pPr>
              <w:ind w:left="420"/>
              <w:spacing w:after="0"/>
              <w:rPr>
                <w:sz w:val="20"/>
                <w:szCs w:val="20"/>
                <w:color w:val="auto"/>
              </w:rPr>
            </w:pPr>
            <w:r>
              <w:rPr>
                <w:rFonts w:ascii="Arial" w:cs="Arial" w:eastAsia="Arial" w:hAnsi="Arial"/>
                <w:sz w:val="16"/>
                <w:szCs w:val="16"/>
                <w:color w:val="575C8E"/>
              </w:rPr>
              <w:t>​ ​</w:t>
            </w:r>
          </w:p>
        </w:tc>
        <w:tc>
          <w:tcPr>
            <w:tcW w:w="1080" w:type="dxa"/>
            <w:vAlign w:val="bottom"/>
          </w:tcPr>
          <w:p>
            <w:pPr>
              <w:ind w:left="940"/>
              <w:spacing w:after="0"/>
              <w:rPr>
                <w:sz w:val="20"/>
                <w:szCs w:val="20"/>
                <w:color w:val="auto"/>
              </w:rPr>
            </w:pPr>
            <w:r>
              <w:rPr>
                <w:rFonts w:ascii="Arial" w:cs="Arial" w:eastAsia="Arial" w:hAnsi="Arial"/>
                <w:sz w:val="16"/>
                <w:szCs w:val="16"/>
                <w:color w:val="575C8E"/>
              </w:rPr>
              <w:t>​</w:t>
            </w:r>
          </w:p>
        </w:tc>
        <w:tc>
          <w:tcPr>
            <w:tcW w:w="540" w:type="dxa"/>
            <w:vAlign w:val="bottom"/>
          </w:tcPr>
          <w:p>
            <w:pPr>
              <w:ind w:left="80"/>
              <w:spacing w:after="0"/>
              <w:rPr>
                <w:sz w:val="20"/>
                <w:szCs w:val="20"/>
                <w:color w:val="auto"/>
              </w:rPr>
            </w:pPr>
            <w:r>
              <w:rPr>
                <w:rFonts w:ascii="Arial" w:cs="Arial" w:eastAsia="Arial" w:hAnsi="Arial"/>
                <w:sz w:val="16"/>
                <w:szCs w:val="16"/>
                <w:color w:val="575C8E"/>
              </w:rPr>
              <w:t>​</w:t>
            </w:r>
          </w:p>
        </w:tc>
        <w:tc>
          <w:tcPr>
            <w:tcW w:w="1480" w:type="dxa"/>
            <w:vAlign w:val="bottom"/>
          </w:tcPr>
          <w:p>
            <w:pPr>
              <w:ind w:left="420"/>
              <w:spacing w:after="0"/>
              <w:rPr>
                <w:sz w:val="20"/>
                <w:szCs w:val="20"/>
                <w:color w:val="auto"/>
              </w:rPr>
            </w:pPr>
            <w:r>
              <w:rPr>
                <w:rFonts w:ascii="Arial" w:cs="Arial" w:eastAsia="Arial" w:hAnsi="Arial"/>
                <w:sz w:val="16"/>
                <w:szCs w:val="16"/>
                <w:color w:val="575C8E"/>
              </w:rPr>
              <w:t>​ ​</w:t>
            </w:r>
          </w:p>
        </w:tc>
        <w:tc>
          <w:tcPr>
            <w:tcW w:w="1000" w:type="dxa"/>
            <w:vAlign w:val="bottom"/>
          </w:tcPr>
          <w:p>
            <w:pPr>
              <w:ind w:left="960"/>
              <w:spacing w:after="0"/>
              <w:rPr>
                <w:sz w:val="20"/>
                <w:szCs w:val="20"/>
                <w:color w:val="auto"/>
              </w:rPr>
            </w:pPr>
            <w:r>
              <w:rPr>
                <w:rFonts w:ascii="Arial" w:cs="Arial" w:eastAsia="Arial" w:hAnsi="Arial"/>
                <w:sz w:val="16"/>
                <w:szCs w:val="16"/>
                <w:color w:val="575C8E"/>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-135255</wp:posOffset>
            </wp:positionV>
            <wp:extent cx="5760720" cy="23488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760720" cy="2348865"/>
                    </a:xfrm>
                    <a:prstGeom prst="rect">
                      <a:avLst/>
                    </a:prstGeom>
                    <a:noFill/>
                  </pic:spPr>
                </pic:pic>
              </a:graphicData>
            </a:graphic>
          </wp:anchor>
        </w:drawing>
      </w:r>
    </w:p>
    <w:p>
      <w:pPr>
        <w:spacing w:after="0" w:line="111" w:lineRule="exact"/>
        <w:rPr>
          <w:sz w:val="20"/>
          <w:szCs w:val="20"/>
          <w:color w:val="auto"/>
        </w:rPr>
      </w:pPr>
    </w:p>
    <w:tbl>
      <w:tblPr>
        <w:tblLayout w:type="fixed"/>
        <w:tblInd w:w="820" w:type="dxa"/>
        <w:tblCellMar>
          <w:top w:w="0" w:type="dxa"/>
          <w:left w:w="0" w:type="dxa"/>
          <w:bottom w:w="0" w:type="dxa"/>
          <w:right w:w="0" w:type="dxa"/>
        </w:tblCellMar>
      </w:tblPr>
      <w:tr>
        <w:trPr>
          <w:trHeight w:val="283"/>
        </w:trPr>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60" w:type="dxa"/>
            <w:vAlign w:val="bottom"/>
          </w:tcPr>
          <w:p>
            <w:pPr>
              <w:spacing w:after="0"/>
              <w:rPr>
                <w:sz w:val="20"/>
                <w:szCs w:val="20"/>
                <w:color w:val="auto"/>
              </w:rPr>
            </w:pPr>
            <w:r>
              <w:rPr>
                <w:rFonts w:ascii="Arial" w:cs="Arial" w:eastAsia="Arial" w:hAnsi="Arial"/>
                <w:sz w:val="23"/>
                <w:szCs w:val="23"/>
                <w:b w:val="1"/>
                <w:bCs w:val="1"/>
                <w:color w:val="1F2668"/>
              </w:rPr>
              <w:t>Board</w:t>
            </w:r>
          </w:p>
        </w:tc>
        <w:tc>
          <w:tcPr>
            <w:tcW w:w="540" w:type="dxa"/>
            <w:vAlign w:val="bottom"/>
          </w:tcPr>
          <w:p>
            <w:pPr>
              <w:spacing w:after="0"/>
              <w:rPr>
                <w:sz w:val="24"/>
                <w:szCs w:val="24"/>
                <w:color w:val="auto"/>
              </w:rPr>
            </w:pPr>
          </w:p>
        </w:tc>
        <w:tc>
          <w:tcPr>
            <w:tcW w:w="2560" w:type="dxa"/>
            <w:vAlign w:val="bottom"/>
          </w:tcPr>
          <w:p>
            <w:pPr>
              <w:ind w:left="20"/>
              <w:spacing w:after="0"/>
              <w:rPr>
                <w:sz w:val="20"/>
                <w:szCs w:val="20"/>
                <w:color w:val="auto"/>
              </w:rPr>
            </w:pPr>
            <w:r>
              <w:rPr>
                <w:rFonts w:ascii="Arial" w:cs="Arial" w:eastAsia="Arial" w:hAnsi="Arial"/>
                <w:sz w:val="23"/>
                <w:szCs w:val="23"/>
                <w:b w:val="1"/>
                <w:bCs w:val="1"/>
                <w:color w:val="1F2668"/>
              </w:rPr>
              <w:t>Experience</w:t>
            </w:r>
          </w:p>
        </w:tc>
        <w:tc>
          <w:tcPr>
            <w:tcW w:w="540" w:type="dxa"/>
            <w:vAlign w:val="bottom"/>
          </w:tcPr>
          <w:p>
            <w:pPr>
              <w:spacing w:after="0"/>
              <w:rPr>
                <w:sz w:val="24"/>
                <w:szCs w:val="24"/>
                <w:color w:val="auto"/>
              </w:rPr>
            </w:pPr>
          </w:p>
        </w:tc>
        <w:tc>
          <w:tcPr>
            <w:tcW w:w="1940" w:type="dxa"/>
            <w:vAlign w:val="bottom"/>
          </w:tcPr>
          <w:p>
            <w:pPr>
              <w:ind w:left="20"/>
              <w:spacing w:after="0"/>
              <w:rPr>
                <w:sz w:val="20"/>
                <w:szCs w:val="20"/>
                <w:color w:val="auto"/>
              </w:rPr>
            </w:pPr>
            <w:r>
              <w:rPr>
                <w:rFonts w:ascii="Arial" w:cs="Arial" w:eastAsia="Arial" w:hAnsi="Arial"/>
                <w:sz w:val="23"/>
                <w:szCs w:val="23"/>
                <w:b w:val="1"/>
                <w:bCs w:val="1"/>
                <w:color w:val="1F2668"/>
              </w:rPr>
              <w:t>Leadership</w:t>
            </w:r>
          </w:p>
        </w:tc>
        <w:tc>
          <w:tcPr>
            <w:tcW w:w="0" w:type="dxa"/>
            <w:vAlign w:val="bottom"/>
          </w:tcPr>
          <w:p>
            <w:pPr>
              <w:spacing w:after="0"/>
              <w:rPr>
                <w:sz w:val="1"/>
                <w:szCs w:val="1"/>
                <w:color w:val="auto"/>
              </w:rPr>
            </w:pPr>
          </w:p>
        </w:tc>
      </w:tr>
      <w:tr>
        <w:trPr>
          <w:trHeight w:val="262"/>
        </w:trPr>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560" w:type="dxa"/>
            <w:vAlign w:val="bottom"/>
          </w:tcPr>
          <w:p>
            <w:pPr>
              <w:spacing w:after="0" w:line="262" w:lineRule="exact"/>
              <w:rPr>
                <w:sz w:val="20"/>
                <w:szCs w:val="20"/>
                <w:color w:val="auto"/>
              </w:rPr>
            </w:pPr>
            <w:r>
              <w:rPr>
                <w:rFonts w:ascii="Arial" w:cs="Arial" w:eastAsia="Arial" w:hAnsi="Arial"/>
                <w:sz w:val="23"/>
                <w:szCs w:val="23"/>
                <w:b w:val="1"/>
                <w:bCs w:val="1"/>
                <w:color w:val="1F2668"/>
              </w:rPr>
              <w:t>Composition</w:t>
            </w:r>
          </w:p>
        </w:tc>
        <w:tc>
          <w:tcPr>
            <w:tcW w:w="540" w:type="dxa"/>
            <w:vAlign w:val="bottom"/>
          </w:tcPr>
          <w:p>
            <w:pPr>
              <w:spacing w:after="0"/>
              <w:rPr>
                <w:sz w:val="22"/>
                <w:szCs w:val="22"/>
                <w:color w:val="auto"/>
              </w:rPr>
            </w:pPr>
          </w:p>
        </w:tc>
        <w:tc>
          <w:tcPr>
            <w:tcW w:w="2560" w:type="dxa"/>
            <w:vAlign w:val="bottom"/>
          </w:tcPr>
          <w:p>
            <w:pPr>
              <w:ind w:left="20"/>
              <w:spacing w:after="0"/>
              <w:rPr>
                <w:sz w:val="20"/>
                <w:szCs w:val="20"/>
                <w:color w:val="auto"/>
              </w:rPr>
            </w:pPr>
            <w:r>
              <w:rPr>
                <w:rFonts w:ascii="Arial" w:cs="Arial" w:eastAsia="Arial" w:hAnsi="Arial"/>
                <w:sz w:val="16"/>
                <w:szCs w:val="16"/>
                <w:color w:val="575C8E"/>
              </w:rPr>
              <w:t>Our Board nominees have</w:t>
            </w:r>
          </w:p>
        </w:tc>
        <w:tc>
          <w:tcPr>
            <w:tcW w:w="540" w:type="dxa"/>
            <w:vAlign w:val="bottom"/>
          </w:tcPr>
          <w:p>
            <w:pPr>
              <w:spacing w:after="0"/>
              <w:rPr>
                <w:sz w:val="22"/>
                <w:szCs w:val="22"/>
                <w:color w:val="auto"/>
              </w:rPr>
            </w:pPr>
          </w:p>
        </w:tc>
        <w:tc>
          <w:tcPr>
            <w:tcW w:w="1940" w:type="dxa"/>
            <w:vAlign w:val="bottom"/>
          </w:tcPr>
          <w:p>
            <w:pPr>
              <w:ind w:left="20"/>
              <w:spacing w:after="0"/>
              <w:rPr>
                <w:sz w:val="20"/>
                <w:szCs w:val="20"/>
                <w:color w:val="auto"/>
              </w:rPr>
            </w:pPr>
            <w:r>
              <w:rPr>
                <w:rFonts w:ascii="Arial" w:cs="Arial" w:eastAsia="Arial" w:hAnsi="Arial"/>
                <w:sz w:val="16"/>
                <w:szCs w:val="16"/>
                <w:color w:val="575C8E"/>
              </w:rPr>
              <w:t>Our Board nominees have</w:t>
            </w:r>
          </w:p>
        </w:tc>
        <w:tc>
          <w:tcPr>
            <w:tcW w:w="0" w:type="dxa"/>
            <w:vAlign w:val="bottom"/>
          </w:tcPr>
          <w:p>
            <w:pPr>
              <w:spacing w:after="0"/>
              <w:rPr>
                <w:sz w:val="1"/>
                <w:szCs w:val="1"/>
                <w:color w:val="auto"/>
              </w:rPr>
            </w:pPr>
          </w:p>
        </w:tc>
      </w:tr>
      <w:tr>
        <w:trPr>
          <w:trHeight w:val="176"/>
        </w:trPr>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560" w:type="dxa"/>
            <w:vAlign w:val="bottom"/>
            <w:vMerge w:val="restart"/>
          </w:tcPr>
          <w:p>
            <w:pPr>
              <w:spacing w:after="0"/>
              <w:rPr>
                <w:sz w:val="20"/>
                <w:szCs w:val="20"/>
                <w:color w:val="auto"/>
              </w:rPr>
            </w:pPr>
            <w:r>
              <w:rPr>
                <w:rFonts w:ascii="Arial" w:cs="Arial" w:eastAsia="Arial" w:hAnsi="Arial"/>
                <w:sz w:val="16"/>
                <w:szCs w:val="16"/>
                <w:color w:val="575C8E"/>
              </w:rPr>
              <w:t>Our Board nominees have</w:t>
            </w:r>
          </w:p>
        </w:tc>
        <w:tc>
          <w:tcPr>
            <w:tcW w:w="540" w:type="dxa"/>
            <w:vAlign w:val="bottom"/>
          </w:tcPr>
          <w:p>
            <w:pPr>
              <w:spacing w:after="0"/>
              <w:rPr>
                <w:sz w:val="15"/>
                <w:szCs w:val="15"/>
                <w:color w:val="auto"/>
              </w:rPr>
            </w:pPr>
          </w:p>
        </w:tc>
        <w:tc>
          <w:tcPr>
            <w:tcW w:w="2560" w:type="dxa"/>
            <w:vAlign w:val="bottom"/>
          </w:tcPr>
          <w:p>
            <w:pPr>
              <w:ind w:left="20"/>
              <w:spacing w:after="0" w:line="175" w:lineRule="exact"/>
              <w:rPr>
                <w:sz w:val="20"/>
                <w:szCs w:val="20"/>
                <w:color w:val="auto"/>
              </w:rPr>
            </w:pPr>
            <w:r>
              <w:rPr>
                <w:rFonts w:ascii="Arial" w:cs="Arial" w:eastAsia="Arial" w:hAnsi="Arial"/>
                <w:sz w:val="16"/>
                <w:szCs w:val="16"/>
                <w:color w:val="575C8E"/>
              </w:rPr>
              <w:t>broad experience serving</w:t>
            </w:r>
          </w:p>
        </w:tc>
        <w:tc>
          <w:tcPr>
            <w:tcW w:w="540" w:type="dxa"/>
            <w:vAlign w:val="bottom"/>
          </w:tcPr>
          <w:p>
            <w:pPr>
              <w:spacing w:after="0"/>
              <w:rPr>
                <w:sz w:val="15"/>
                <w:szCs w:val="15"/>
                <w:color w:val="auto"/>
              </w:rPr>
            </w:pPr>
          </w:p>
        </w:tc>
        <w:tc>
          <w:tcPr>
            <w:tcW w:w="1940" w:type="dxa"/>
            <w:vAlign w:val="bottom"/>
          </w:tcPr>
          <w:p>
            <w:pPr>
              <w:ind w:left="20"/>
              <w:spacing w:after="0" w:line="175" w:lineRule="exact"/>
              <w:rPr>
                <w:sz w:val="20"/>
                <w:szCs w:val="20"/>
                <w:color w:val="auto"/>
              </w:rPr>
            </w:pPr>
            <w:r>
              <w:rPr>
                <w:rFonts w:ascii="Arial" w:cs="Arial" w:eastAsia="Arial" w:hAnsi="Arial"/>
                <w:sz w:val="16"/>
                <w:szCs w:val="16"/>
                <w:color w:val="575C8E"/>
              </w:rPr>
              <w:t>strong corporate</w:t>
            </w:r>
          </w:p>
        </w:tc>
        <w:tc>
          <w:tcPr>
            <w:tcW w:w="0" w:type="dxa"/>
            <w:vAlign w:val="bottom"/>
          </w:tcPr>
          <w:p>
            <w:pPr>
              <w:spacing w:after="0"/>
              <w:rPr>
                <w:sz w:val="1"/>
                <w:szCs w:val="1"/>
                <w:color w:val="auto"/>
              </w:rPr>
            </w:pPr>
          </w:p>
        </w:tc>
      </w:tr>
      <w:tr>
        <w:trPr>
          <w:trHeight w:val="108"/>
        </w:trPr>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5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560" w:type="dxa"/>
            <w:vAlign w:val="bottom"/>
            <w:vMerge w:val="restart"/>
          </w:tcPr>
          <w:p>
            <w:pPr>
              <w:ind w:left="20"/>
              <w:spacing w:after="0" w:line="175" w:lineRule="exact"/>
              <w:rPr>
                <w:sz w:val="20"/>
                <w:szCs w:val="20"/>
                <w:color w:val="auto"/>
              </w:rPr>
            </w:pPr>
            <w:r>
              <w:rPr>
                <w:rFonts w:ascii="Arial" w:cs="Arial" w:eastAsia="Arial" w:hAnsi="Arial"/>
                <w:sz w:val="16"/>
                <w:szCs w:val="16"/>
                <w:color w:val="575C8E"/>
              </w:rPr>
              <w:t>on public boards in</w:t>
            </w:r>
          </w:p>
        </w:tc>
        <w:tc>
          <w:tcPr>
            <w:tcW w:w="540" w:type="dxa"/>
            <w:vAlign w:val="bottom"/>
          </w:tcPr>
          <w:p>
            <w:pPr>
              <w:spacing w:after="0"/>
              <w:rPr>
                <w:sz w:val="9"/>
                <w:szCs w:val="9"/>
                <w:color w:val="auto"/>
              </w:rPr>
            </w:pPr>
          </w:p>
        </w:tc>
        <w:tc>
          <w:tcPr>
            <w:tcW w:w="1940" w:type="dxa"/>
            <w:vAlign w:val="bottom"/>
            <w:vMerge w:val="restart"/>
          </w:tcPr>
          <w:p>
            <w:pPr>
              <w:ind w:left="20"/>
              <w:spacing w:after="0" w:line="175" w:lineRule="exact"/>
              <w:rPr>
                <w:sz w:val="20"/>
                <w:szCs w:val="20"/>
                <w:color w:val="auto"/>
              </w:rPr>
            </w:pPr>
            <w:r>
              <w:rPr>
                <w:rFonts w:ascii="Arial" w:cs="Arial" w:eastAsia="Arial" w:hAnsi="Arial"/>
                <w:sz w:val="16"/>
                <w:szCs w:val="16"/>
                <w:color w:val="575C8E"/>
              </w:rPr>
              <w:t>leadership backgrounds</w:t>
            </w:r>
          </w:p>
        </w:tc>
        <w:tc>
          <w:tcPr>
            <w:tcW w:w="0" w:type="dxa"/>
            <w:vAlign w:val="bottom"/>
          </w:tcPr>
          <w:p>
            <w:pPr>
              <w:spacing w:after="0"/>
              <w:rPr>
                <w:sz w:val="1"/>
                <w:szCs w:val="1"/>
                <w:color w:val="auto"/>
              </w:rPr>
            </w:pPr>
          </w:p>
        </w:tc>
      </w:tr>
      <w:tr>
        <w:trPr>
          <w:trHeight w:val="68"/>
        </w:trPr>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560" w:type="dxa"/>
            <w:vAlign w:val="bottom"/>
            <w:vMerge w:val="restart"/>
          </w:tcPr>
          <w:p>
            <w:pPr>
              <w:spacing w:after="0" w:line="175" w:lineRule="exact"/>
              <w:rPr>
                <w:sz w:val="20"/>
                <w:szCs w:val="20"/>
                <w:color w:val="auto"/>
              </w:rPr>
            </w:pPr>
            <w:r>
              <w:rPr>
                <w:rFonts w:ascii="Arial" w:cs="Arial" w:eastAsia="Arial" w:hAnsi="Arial"/>
                <w:sz w:val="16"/>
                <w:szCs w:val="16"/>
                <w:color w:val="575C8E"/>
              </w:rPr>
              <w:t>varied knowledge, skills,</w:t>
            </w:r>
          </w:p>
        </w:tc>
        <w:tc>
          <w:tcPr>
            <w:tcW w:w="540" w:type="dxa"/>
            <w:vAlign w:val="bottom"/>
          </w:tcPr>
          <w:p>
            <w:pPr>
              <w:spacing w:after="0"/>
              <w:rPr>
                <w:sz w:val="5"/>
                <w:szCs w:val="5"/>
                <w:color w:val="auto"/>
              </w:rPr>
            </w:pPr>
          </w:p>
        </w:tc>
        <w:tc>
          <w:tcPr>
            <w:tcW w:w="2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5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560" w:type="dxa"/>
            <w:vAlign w:val="bottom"/>
            <w:vMerge w:val="restart"/>
          </w:tcPr>
          <w:p>
            <w:pPr>
              <w:ind w:left="20"/>
              <w:spacing w:after="0"/>
              <w:rPr>
                <w:sz w:val="20"/>
                <w:szCs w:val="20"/>
                <w:color w:val="auto"/>
              </w:rPr>
            </w:pPr>
            <w:r>
              <w:rPr>
                <w:rFonts w:ascii="Arial" w:cs="Arial" w:eastAsia="Arial" w:hAnsi="Arial"/>
                <w:sz w:val="16"/>
                <w:szCs w:val="16"/>
                <w:color w:val="575C8E"/>
              </w:rPr>
              <w:t>industries relevant to the</w:t>
            </w:r>
          </w:p>
        </w:tc>
        <w:tc>
          <w:tcPr>
            <w:tcW w:w="540" w:type="dxa"/>
            <w:vAlign w:val="bottom"/>
          </w:tcPr>
          <w:p>
            <w:pPr>
              <w:spacing w:after="0"/>
              <w:rPr>
                <w:sz w:val="9"/>
                <w:szCs w:val="9"/>
                <w:color w:val="auto"/>
              </w:rPr>
            </w:pPr>
          </w:p>
        </w:tc>
        <w:tc>
          <w:tcPr>
            <w:tcW w:w="1940" w:type="dxa"/>
            <w:vAlign w:val="bottom"/>
            <w:vMerge w:val="restart"/>
          </w:tcPr>
          <w:p>
            <w:pPr>
              <w:ind w:left="20"/>
              <w:spacing w:after="0"/>
              <w:rPr>
                <w:sz w:val="20"/>
                <w:szCs w:val="20"/>
                <w:color w:val="auto"/>
              </w:rPr>
            </w:pPr>
            <w:r>
              <w:rPr>
                <w:rFonts w:ascii="Arial" w:cs="Arial" w:eastAsia="Arial" w:hAnsi="Arial"/>
                <w:sz w:val="16"/>
                <w:szCs w:val="16"/>
                <w:color w:val="575C8E"/>
              </w:rPr>
              <w:t>such as being CEO, CFO</w:t>
            </w:r>
          </w:p>
        </w:tc>
        <w:tc>
          <w:tcPr>
            <w:tcW w:w="0" w:type="dxa"/>
            <w:vAlign w:val="bottom"/>
          </w:tcPr>
          <w:p>
            <w:pPr>
              <w:spacing w:after="0"/>
              <w:rPr>
                <w:sz w:val="1"/>
                <w:szCs w:val="1"/>
                <w:color w:val="auto"/>
              </w:rPr>
            </w:pPr>
          </w:p>
        </w:tc>
      </w:tr>
      <w:tr>
        <w:trPr>
          <w:trHeight w:val="81"/>
        </w:trPr>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560" w:type="dxa"/>
            <w:vAlign w:val="bottom"/>
            <w:vMerge w:val="restart"/>
          </w:tcPr>
          <w:p>
            <w:pPr>
              <w:spacing w:after="0"/>
              <w:rPr>
                <w:sz w:val="20"/>
                <w:szCs w:val="20"/>
                <w:color w:val="auto"/>
              </w:rPr>
            </w:pPr>
            <w:r>
              <w:rPr>
                <w:rFonts w:ascii="Arial" w:cs="Arial" w:eastAsia="Arial" w:hAnsi="Arial"/>
                <w:sz w:val="16"/>
                <w:szCs w:val="16"/>
                <w:color w:val="575C8E"/>
              </w:rPr>
              <w:t>experience, perspectives</w:t>
            </w:r>
          </w:p>
        </w:tc>
        <w:tc>
          <w:tcPr>
            <w:tcW w:w="540" w:type="dxa"/>
            <w:vAlign w:val="bottom"/>
          </w:tcPr>
          <w:p>
            <w:pPr>
              <w:spacing w:after="0"/>
              <w:rPr>
                <w:sz w:val="7"/>
                <w:szCs w:val="7"/>
                <w:color w:val="auto"/>
              </w:rPr>
            </w:pPr>
          </w:p>
        </w:tc>
        <w:tc>
          <w:tcPr>
            <w:tcW w:w="25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5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560" w:type="dxa"/>
            <w:vAlign w:val="bottom"/>
            <w:vMerge w:val="restart"/>
          </w:tcPr>
          <w:p>
            <w:pPr>
              <w:ind w:left="20"/>
              <w:spacing w:after="0" w:line="175" w:lineRule="exact"/>
              <w:rPr>
                <w:sz w:val="20"/>
                <w:szCs w:val="20"/>
                <w:color w:val="auto"/>
              </w:rPr>
            </w:pPr>
            <w:r>
              <w:rPr>
                <w:rFonts w:ascii="Arial" w:cs="Arial" w:eastAsia="Arial" w:hAnsi="Arial"/>
                <w:sz w:val="16"/>
                <w:szCs w:val="16"/>
                <w:color w:val="575C8E"/>
              </w:rPr>
              <w:t>Company</w:t>
            </w:r>
          </w:p>
        </w:tc>
        <w:tc>
          <w:tcPr>
            <w:tcW w:w="540" w:type="dxa"/>
            <w:vAlign w:val="bottom"/>
          </w:tcPr>
          <w:p>
            <w:pPr>
              <w:spacing w:after="0"/>
              <w:rPr>
                <w:sz w:val="9"/>
                <w:szCs w:val="9"/>
                <w:color w:val="auto"/>
              </w:rPr>
            </w:pPr>
          </w:p>
        </w:tc>
        <w:tc>
          <w:tcPr>
            <w:tcW w:w="1940" w:type="dxa"/>
            <w:vAlign w:val="bottom"/>
            <w:vMerge w:val="restart"/>
          </w:tcPr>
          <w:p>
            <w:pPr>
              <w:ind w:left="20"/>
              <w:spacing w:after="0" w:line="175" w:lineRule="exact"/>
              <w:rPr>
                <w:sz w:val="20"/>
                <w:szCs w:val="20"/>
                <w:color w:val="auto"/>
              </w:rPr>
            </w:pPr>
            <w:r>
              <w:rPr>
                <w:rFonts w:ascii="Arial" w:cs="Arial" w:eastAsia="Arial" w:hAnsi="Arial"/>
                <w:sz w:val="16"/>
                <w:szCs w:val="16"/>
                <w:color w:val="575C8E"/>
              </w:rPr>
              <w:t>or holding other Executive</w:t>
            </w:r>
          </w:p>
        </w:tc>
        <w:tc>
          <w:tcPr>
            <w:tcW w:w="0" w:type="dxa"/>
            <w:vAlign w:val="bottom"/>
          </w:tcPr>
          <w:p>
            <w:pPr>
              <w:spacing w:after="0"/>
              <w:rPr>
                <w:sz w:val="1"/>
                <w:szCs w:val="1"/>
                <w:color w:val="auto"/>
              </w:rPr>
            </w:pPr>
          </w:p>
        </w:tc>
      </w:tr>
      <w:tr>
        <w:trPr>
          <w:trHeight w:val="68"/>
        </w:trPr>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560" w:type="dxa"/>
            <w:vAlign w:val="bottom"/>
            <w:vMerge w:val="restart"/>
          </w:tcPr>
          <w:p>
            <w:pPr>
              <w:spacing w:after="0"/>
              <w:rPr>
                <w:sz w:val="20"/>
                <w:szCs w:val="20"/>
                <w:color w:val="auto"/>
              </w:rPr>
            </w:pPr>
            <w:r>
              <w:rPr>
                <w:rFonts w:ascii="Arial" w:cs="Arial" w:eastAsia="Arial" w:hAnsi="Arial"/>
                <w:sz w:val="16"/>
                <w:szCs w:val="16"/>
                <w:color w:val="575C8E"/>
              </w:rPr>
              <w:t>and backgrounds</w:t>
            </w:r>
          </w:p>
        </w:tc>
        <w:tc>
          <w:tcPr>
            <w:tcW w:w="540" w:type="dxa"/>
            <w:vAlign w:val="bottom"/>
          </w:tcPr>
          <w:p>
            <w:pPr>
              <w:spacing w:after="0"/>
              <w:rPr>
                <w:sz w:val="5"/>
                <w:szCs w:val="5"/>
                <w:color w:val="auto"/>
              </w:rPr>
            </w:pPr>
          </w:p>
        </w:tc>
        <w:tc>
          <w:tcPr>
            <w:tcW w:w="2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5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940" w:type="dxa"/>
            <w:vAlign w:val="bottom"/>
            <w:vMerge w:val="restart"/>
          </w:tcPr>
          <w:p>
            <w:pPr>
              <w:ind w:left="20"/>
              <w:spacing w:after="0"/>
              <w:rPr>
                <w:sz w:val="20"/>
                <w:szCs w:val="20"/>
                <w:color w:val="auto"/>
              </w:rPr>
            </w:pPr>
            <w:r>
              <w:rPr>
                <w:rFonts w:ascii="Arial" w:cs="Arial" w:eastAsia="Arial" w:hAnsi="Arial"/>
                <w:sz w:val="16"/>
                <w:szCs w:val="16"/>
                <w:color w:val="575C8E"/>
              </w:rPr>
              <w:t>positions</w:t>
            </w:r>
          </w:p>
        </w:tc>
        <w:tc>
          <w:tcPr>
            <w:tcW w:w="0" w:type="dxa"/>
            <w:vAlign w:val="bottom"/>
          </w:tcPr>
          <w:p>
            <w:pPr>
              <w:spacing w:after="0"/>
              <w:rPr>
                <w:sz w:val="1"/>
                <w:szCs w:val="1"/>
                <w:color w:val="auto"/>
              </w:rPr>
            </w:pPr>
          </w:p>
        </w:tc>
      </w:tr>
      <w:tr>
        <w:trPr>
          <w:trHeight w:val="68"/>
        </w:trPr>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380" w:type="dxa"/>
            <w:vAlign w:val="bottom"/>
          </w:tcPr>
          <w:p>
            <w:pPr>
              <w:spacing w:after="0"/>
              <w:rPr>
                <w:sz w:val="20"/>
                <w:szCs w:val="20"/>
                <w:color w:val="auto"/>
              </w:rPr>
            </w:pPr>
            <w:r>
              <w:rPr>
                <w:rFonts w:ascii="Arial" w:cs="Arial" w:eastAsia="Arial" w:hAnsi="Arial"/>
                <w:sz w:val="16"/>
                <w:szCs w:val="16"/>
                <w:b w:val="1"/>
                <w:bCs w:val="1"/>
                <w:color w:val="1F2668"/>
              </w:rPr>
              <w:t>​</w:t>
            </w:r>
          </w:p>
        </w:tc>
        <w:tc>
          <w:tcPr>
            <w:tcW w:w="460" w:type="dxa"/>
            <w:vAlign w:val="bottom"/>
          </w:tcPr>
          <w:p>
            <w:pPr>
              <w:ind w:left="340"/>
              <w:spacing w:after="0"/>
              <w:rPr>
                <w:sz w:val="20"/>
                <w:szCs w:val="20"/>
                <w:color w:val="auto"/>
              </w:rPr>
            </w:pPr>
            <w:r>
              <w:rPr>
                <w:rFonts w:ascii="Arial" w:cs="Arial" w:eastAsia="Arial" w:hAnsi="Arial"/>
                <w:sz w:val="16"/>
                <w:szCs w:val="16"/>
                <w:b w:val="1"/>
                <w:bCs w:val="1"/>
                <w:color w:val="1F2668"/>
              </w:rPr>
              <w:t>​​</w:t>
            </w:r>
          </w:p>
        </w:tc>
        <w:tc>
          <w:tcPr>
            <w:tcW w:w="2560" w:type="dxa"/>
            <w:vAlign w:val="bottom"/>
          </w:tcPr>
          <w:p>
            <w:pPr>
              <w:ind w:left="1880"/>
              <w:spacing w:after="0"/>
              <w:rPr>
                <w:sz w:val="20"/>
                <w:szCs w:val="20"/>
                <w:color w:val="auto"/>
              </w:rPr>
            </w:pPr>
            <w:r>
              <w:rPr>
                <w:rFonts w:ascii="Arial" w:cs="Arial" w:eastAsia="Arial" w:hAnsi="Arial"/>
                <w:sz w:val="16"/>
                <w:szCs w:val="16"/>
                <w:b w:val="1"/>
                <w:bCs w:val="1"/>
                <w:color w:val="1F2668"/>
              </w:rPr>
              <w:t>​  ​</w:t>
            </w:r>
          </w:p>
        </w:tc>
        <w:tc>
          <w:tcPr>
            <w:tcW w:w="540" w:type="dxa"/>
            <w:vAlign w:val="bottom"/>
          </w:tcPr>
          <w:p>
            <w:pPr>
              <w:ind w:left="420"/>
              <w:spacing w:after="0"/>
              <w:rPr>
                <w:sz w:val="20"/>
                <w:szCs w:val="20"/>
                <w:color w:val="auto"/>
              </w:rPr>
            </w:pPr>
            <w:r>
              <w:rPr>
                <w:rFonts w:ascii="Arial" w:cs="Arial" w:eastAsia="Arial" w:hAnsi="Arial"/>
                <w:sz w:val="16"/>
                <w:szCs w:val="16"/>
                <w:b w:val="1"/>
                <w:bCs w:val="1"/>
                <w:color w:val="1F2668"/>
              </w:rPr>
              <w:t>​​</w:t>
            </w:r>
          </w:p>
        </w:tc>
        <w:tc>
          <w:tcPr>
            <w:tcW w:w="2560" w:type="dxa"/>
            <w:vAlign w:val="bottom"/>
          </w:tcPr>
          <w:p>
            <w:pPr>
              <w:ind w:left="1880"/>
              <w:spacing w:after="0"/>
              <w:rPr>
                <w:sz w:val="20"/>
                <w:szCs w:val="20"/>
                <w:color w:val="auto"/>
              </w:rPr>
            </w:pPr>
            <w:r>
              <w:rPr>
                <w:rFonts w:ascii="Arial" w:cs="Arial" w:eastAsia="Arial" w:hAnsi="Arial"/>
                <w:sz w:val="16"/>
                <w:szCs w:val="16"/>
                <w:b w:val="1"/>
                <w:bCs w:val="1"/>
                <w:color w:val="1F2668"/>
              </w:rPr>
              <w:t>​  ​</w:t>
            </w:r>
          </w:p>
        </w:tc>
        <w:tc>
          <w:tcPr>
            <w:tcW w:w="540" w:type="dxa"/>
            <w:vAlign w:val="bottom"/>
          </w:tcPr>
          <w:p>
            <w:pPr>
              <w:ind w:left="420"/>
              <w:spacing w:after="0"/>
              <w:rPr>
                <w:sz w:val="20"/>
                <w:szCs w:val="20"/>
                <w:color w:val="auto"/>
              </w:rPr>
            </w:pPr>
            <w:r>
              <w:rPr>
                <w:rFonts w:ascii="Arial" w:cs="Arial" w:eastAsia="Arial" w:hAnsi="Arial"/>
                <w:sz w:val="16"/>
                <w:szCs w:val="16"/>
                <w:b w:val="1"/>
                <w:bCs w:val="1"/>
                <w:color w:val="1F2668"/>
              </w:rPr>
              <w:t>​​</w:t>
            </w:r>
          </w:p>
        </w:tc>
        <w:tc>
          <w:tcPr>
            <w:tcW w:w="1940" w:type="dxa"/>
            <w:vAlign w:val="bottom"/>
          </w:tcPr>
          <w:p>
            <w:pPr>
              <w:ind w:left="1900"/>
              <w:spacing w:after="0"/>
              <w:rPr>
                <w:sz w:val="20"/>
                <w:szCs w:val="20"/>
                <w:color w:val="auto"/>
              </w:rPr>
            </w:pPr>
            <w:r>
              <w:rPr>
                <w:rFonts w:ascii="Arial" w:cs="Arial" w:eastAsia="Arial" w:hAnsi="Arial"/>
                <w:sz w:val="16"/>
                <w:szCs w:val="16"/>
                <w:b w:val="1"/>
                <w:bCs w:val="1"/>
                <w:color w:val="1F2668"/>
              </w:rPr>
              <w:t>​</w:t>
            </w:r>
          </w:p>
        </w:tc>
        <w:tc>
          <w:tcPr>
            <w:tcW w:w="0" w:type="dxa"/>
            <w:vAlign w:val="bottom"/>
          </w:tcPr>
          <w:p>
            <w:pPr>
              <w:spacing w:after="0"/>
              <w:rPr>
                <w:sz w:val="1"/>
                <w:szCs w:val="1"/>
                <w:color w:val="auto"/>
              </w:rPr>
            </w:pPr>
          </w:p>
        </w:tc>
      </w:tr>
      <w:tr>
        <w:trPr>
          <w:trHeight w:val="379"/>
        </w:trPr>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60" w:type="dxa"/>
            <w:vAlign w:val="bottom"/>
          </w:tcPr>
          <w:p>
            <w:pPr>
              <w:spacing w:after="0"/>
              <w:rPr>
                <w:sz w:val="20"/>
                <w:szCs w:val="20"/>
                <w:color w:val="auto"/>
              </w:rPr>
            </w:pPr>
            <w:r>
              <w:rPr>
                <w:rFonts w:ascii="Arial" w:cs="Arial" w:eastAsia="Arial" w:hAnsi="Arial"/>
                <w:sz w:val="32"/>
                <w:szCs w:val="32"/>
                <w:color w:val="1F2668"/>
              </w:rPr>
              <w:t>38%</w:t>
            </w:r>
          </w:p>
        </w:tc>
        <w:tc>
          <w:tcPr>
            <w:tcW w:w="540" w:type="dxa"/>
            <w:vAlign w:val="bottom"/>
          </w:tcPr>
          <w:p>
            <w:pPr>
              <w:spacing w:after="0"/>
              <w:rPr>
                <w:sz w:val="24"/>
                <w:szCs w:val="24"/>
                <w:color w:val="auto"/>
              </w:rPr>
            </w:pPr>
          </w:p>
        </w:tc>
        <w:tc>
          <w:tcPr>
            <w:tcW w:w="2560" w:type="dxa"/>
            <w:vAlign w:val="bottom"/>
          </w:tcPr>
          <w:p>
            <w:pPr>
              <w:ind w:left="20"/>
              <w:spacing w:after="0"/>
              <w:rPr>
                <w:sz w:val="20"/>
                <w:szCs w:val="20"/>
                <w:color w:val="auto"/>
              </w:rPr>
            </w:pPr>
            <w:r>
              <w:rPr>
                <w:rFonts w:ascii="Arial" w:cs="Arial" w:eastAsia="Arial" w:hAnsi="Arial"/>
                <w:sz w:val="32"/>
                <w:szCs w:val="32"/>
                <w:color w:val="1F2668"/>
              </w:rPr>
              <w:t>50%</w:t>
            </w:r>
          </w:p>
        </w:tc>
        <w:tc>
          <w:tcPr>
            <w:tcW w:w="540" w:type="dxa"/>
            <w:vAlign w:val="bottom"/>
          </w:tcPr>
          <w:p>
            <w:pPr>
              <w:spacing w:after="0"/>
              <w:rPr>
                <w:sz w:val="24"/>
                <w:szCs w:val="24"/>
                <w:color w:val="auto"/>
              </w:rPr>
            </w:pPr>
          </w:p>
        </w:tc>
        <w:tc>
          <w:tcPr>
            <w:tcW w:w="1940" w:type="dxa"/>
            <w:vAlign w:val="bottom"/>
          </w:tcPr>
          <w:p>
            <w:pPr>
              <w:ind w:left="20"/>
              <w:spacing w:after="0"/>
              <w:rPr>
                <w:sz w:val="20"/>
                <w:szCs w:val="20"/>
                <w:color w:val="auto"/>
              </w:rPr>
            </w:pPr>
            <w:r>
              <w:rPr>
                <w:rFonts w:ascii="Arial" w:cs="Arial" w:eastAsia="Arial" w:hAnsi="Arial"/>
                <w:sz w:val="32"/>
                <w:szCs w:val="32"/>
                <w:color w:val="1F2668"/>
              </w:rPr>
              <w:t>88%</w:t>
            </w:r>
          </w:p>
        </w:tc>
        <w:tc>
          <w:tcPr>
            <w:tcW w:w="0" w:type="dxa"/>
            <w:vAlign w:val="bottom"/>
          </w:tcPr>
          <w:p>
            <w:pPr>
              <w:spacing w:after="0"/>
              <w:rPr>
                <w:sz w:val="1"/>
                <w:szCs w:val="1"/>
                <w:color w:val="auto"/>
              </w:rPr>
            </w:pPr>
          </w:p>
        </w:tc>
      </w:tr>
      <w:tr>
        <w:trPr>
          <w:trHeight w:val="175"/>
        </w:trPr>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560" w:type="dxa"/>
            <w:vAlign w:val="bottom"/>
          </w:tcPr>
          <w:p>
            <w:pPr>
              <w:spacing w:after="0" w:line="175" w:lineRule="exact"/>
              <w:rPr>
                <w:sz w:val="20"/>
                <w:szCs w:val="20"/>
                <w:color w:val="auto"/>
              </w:rPr>
            </w:pPr>
            <w:r>
              <w:rPr>
                <w:rFonts w:ascii="Arial" w:cs="Arial" w:eastAsia="Arial" w:hAnsi="Arial"/>
                <w:sz w:val="16"/>
                <w:szCs w:val="16"/>
                <w:b w:val="1"/>
                <w:bCs w:val="1"/>
                <w:color w:val="1F2668"/>
              </w:rPr>
              <w:t>of our independent</w:t>
            </w:r>
          </w:p>
        </w:tc>
        <w:tc>
          <w:tcPr>
            <w:tcW w:w="540" w:type="dxa"/>
            <w:vAlign w:val="bottom"/>
          </w:tcPr>
          <w:p>
            <w:pPr>
              <w:spacing w:after="0"/>
              <w:rPr>
                <w:sz w:val="15"/>
                <w:szCs w:val="15"/>
                <w:color w:val="auto"/>
              </w:rPr>
            </w:pPr>
          </w:p>
        </w:tc>
        <w:tc>
          <w:tcPr>
            <w:tcW w:w="2560" w:type="dxa"/>
            <w:vAlign w:val="bottom"/>
          </w:tcPr>
          <w:p>
            <w:pPr>
              <w:ind w:left="20"/>
              <w:spacing w:after="0" w:line="175" w:lineRule="exact"/>
              <w:rPr>
                <w:sz w:val="20"/>
                <w:szCs w:val="20"/>
                <w:color w:val="auto"/>
              </w:rPr>
            </w:pPr>
            <w:r>
              <w:rPr>
                <w:rFonts w:ascii="Arial" w:cs="Arial" w:eastAsia="Arial" w:hAnsi="Arial"/>
                <w:sz w:val="16"/>
                <w:szCs w:val="16"/>
                <w:b w:val="1"/>
                <w:bCs w:val="1"/>
                <w:color w:val="1F2668"/>
              </w:rPr>
              <w:t>of our Board nominees</w:t>
            </w:r>
          </w:p>
        </w:tc>
        <w:tc>
          <w:tcPr>
            <w:tcW w:w="540" w:type="dxa"/>
            <w:vAlign w:val="bottom"/>
          </w:tcPr>
          <w:p>
            <w:pPr>
              <w:spacing w:after="0"/>
              <w:rPr>
                <w:sz w:val="15"/>
                <w:szCs w:val="15"/>
                <w:color w:val="auto"/>
              </w:rPr>
            </w:pPr>
          </w:p>
        </w:tc>
        <w:tc>
          <w:tcPr>
            <w:tcW w:w="1940" w:type="dxa"/>
            <w:vAlign w:val="bottom"/>
          </w:tcPr>
          <w:p>
            <w:pPr>
              <w:ind w:left="20"/>
              <w:spacing w:after="0" w:line="175" w:lineRule="exact"/>
              <w:rPr>
                <w:sz w:val="20"/>
                <w:szCs w:val="20"/>
                <w:color w:val="auto"/>
              </w:rPr>
            </w:pPr>
            <w:r>
              <w:rPr>
                <w:rFonts w:ascii="Arial" w:cs="Arial" w:eastAsia="Arial" w:hAnsi="Arial"/>
                <w:sz w:val="16"/>
                <w:szCs w:val="16"/>
                <w:b w:val="1"/>
                <w:bCs w:val="1"/>
                <w:color w:val="1F2668"/>
              </w:rPr>
              <w:t>of our Board nominees</w:t>
            </w:r>
          </w:p>
        </w:tc>
        <w:tc>
          <w:tcPr>
            <w:tcW w:w="0" w:type="dxa"/>
            <w:vAlign w:val="bottom"/>
          </w:tcPr>
          <w:p>
            <w:pPr>
              <w:spacing w:after="0"/>
              <w:rPr>
                <w:sz w:val="1"/>
                <w:szCs w:val="1"/>
                <w:color w:val="auto"/>
              </w:rPr>
            </w:pPr>
          </w:p>
        </w:tc>
      </w:tr>
      <w:tr>
        <w:trPr>
          <w:trHeight w:val="175"/>
        </w:trPr>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560" w:type="dxa"/>
            <w:vAlign w:val="bottom"/>
          </w:tcPr>
          <w:p>
            <w:pPr>
              <w:spacing w:after="0" w:line="175" w:lineRule="exact"/>
              <w:rPr>
                <w:sz w:val="20"/>
                <w:szCs w:val="20"/>
                <w:color w:val="auto"/>
              </w:rPr>
            </w:pPr>
            <w:r>
              <w:rPr>
                <w:rFonts w:ascii="Arial" w:cs="Arial" w:eastAsia="Arial" w:hAnsi="Arial"/>
                <w:sz w:val="16"/>
                <w:szCs w:val="16"/>
                <w:b w:val="1"/>
                <w:bCs w:val="1"/>
                <w:color w:val="1F2668"/>
              </w:rPr>
              <w:t>Board nominees are</w:t>
            </w:r>
          </w:p>
        </w:tc>
        <w:tc>
          <w:tcPr>
            <w:tcW w:w="540" w:type="dxa"/>
            <w:vAlign w:val="bottom"/>
          </w:tcPr>
          <w:p>
            <w:pPr>
              <w:spacing w:after="0"/>
              <w:rPr>
                <w:sz w:val="15"/>
                <w:szCs w:val="15"/>
                <w:color w:val="auto"/>
              </w:rPr>
            </w:pPr>
          </w:p>
        </w:tc>
        <w:tc>
          <w:tcPr>
            <w:tcW w:w="2560" w:type="dxa"/>
            <w:vAlign w:val="bottom"/>
          </w:tcPr>
          <w:p>
            <w:pPr>
              <w:ind w:left="20"/>
              <w:spacing w:after="0" w:line="175" w:lineRule="exact"/>
              <w:rPr>
                <w:sz w:val="20"/>
                <w:szCs w:val="20"/>
                <w:color w:val="auto"/>
              </w:rPr>
            </w:pPr>
            <w:r>
              <w:rPr>
                <w:rFonts w:ascii="Arial" w:cs="Arial" w:eastAsia="Arial" w:hAnsi="Arial"/>
                <w:sz w:val="16"/>
                <w:szCs w:val="16"/>
                <w:b w:val="1"/>
                <w:bCs w:val="1"/>
                <w:color w:val="1F2668"/>
              </w:rPr>
              <w:t>currently serve or have</w:t>
            </w:r>
          </w:p>
        </w:tc>
        <w:tc>
          <w:tcPr>
            <w:tcW w:w="540" w:type="dxa"/>
            <w:vAlign w:val="bottom"/>
          </w:tcPr>
          <w:p>
            <w:pPr>
              <w:spacing w:after="0"/>
              <w:rPr>
                <w:sz w:val="15"/>
                <w:szCs w:val="15"/>
                <w:color w:val="auto"/>
              </w:rPr>
            </w:pPr>
          </w:p>
        </w:tc>
        <w:tc>
          <w:tcPr>
            <w:tcW w:w="1940" w:type="dxa"/>
            <w:vAlign w:val="bottom"/>
          </w:tcPr>
          <w:p>
            <w:pPr>
              <w:ind w:left="20"/>
              <w:spacing w:after="0" w:line="175" w:lineRule="exact"/>
              <w:rPr>
                <w:sz w:val="20"/>
                <w:szCs w:val="20"/>
                <w:color w:val="auto"/>
              </w:rPr>
            </w:pPr>
            <w:r>
              <w:rPr>
                <w:rFonts w:ascii="Arial" w:cs="Arial" w:eastAsia="Arial" w:hAnsi="Arial"/>
                <w:sz w:val="16"/>
                <w:szCs w:val="16"/>
                <w:b w:val="1"/>
                <w:bCs w:val="1"/>
                <w:color w:val="1F2668"/>
              </w:rPr>
              <w:t>currently serve or have</w:t>
            </w: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560" w:type="dxa"/>
            <w:vAlign w:val="bottom"/>
          </w:tcPr>
          <w:p>
            <w:pPr>
              <w:spacing w:after="0"/>
              <w:rPr>
                <w:sz w:val="20"/>
                <w:szCs w:val="20"/>
                <w:color w:val="auto"/>
              </w:rPr>
            </w:pPr>
            <w:r>
              <w:rPr>
                <w:rFonts w:ascii="Arial" w:cs="Arial" w:eastAsia="Arial" w:hAnsi="Arial"/>
                <w:sz w:val="16"/>
                <w:szCs w:val="16"/>
                <w:b w:val="1"/>
                <w:bCs w:val="1"/>
                <w:color w:val="1F2668"/>
              </w:rPr>
              <w:t>diverse, including</w:t>
            </w:r>
          </w:p>
        </w:tc>
        <w:tc>
          <w:tcPr>
            <w:tcW w:w="540" w:type="dxa"/>
            <w:vAlign w:val="bottom"/>
          </w:tcPr>
          <w:p>
            <w:pPr>
              <w:spacing w:after="0"/>
              <w:rPr>
                <w:sz w:val="16"/>
                <w:szCs w:val="16"/>
                <w:color w:val="auto"/>
              </w:rPr>
            </w:pPr>
          </w:p>
        </w:tc>
        <w:tc>
          <w:tcPr>
            <w:tcW w:w="2560" w:type="dxa"/>
            <w:vAlign w:val="bottom"/>
          </w:tcPr>
          <w:p>
            <w:pPr>
              <w:ind w:left="20"/>
              <w:spacing w:after="0"/>
              <w:rPr>
                <w:sz w:val="20"/>
                <w:szCs w:val="20"/>
                <w:color w:val="auto"/>
              </w:rPr>
            </w:pPr>
            <w:r>
              <w:rPr>
                <w:rFonts w:ascii="Arial" w:cs="Arial" w:eastAsia="Arial" w:hAnsi="Arial"/>
                <w:sz w:val="16"/>
                <w:szCs w:val="16"/>
                <w:b w:val="1"/>
                <w:bCs w:val="1"/>
                <w:color w:val="1F2668"/>
              </w:rPr>
              <w:t>served on the Boards of</w:t>
            </w:r>
          </w:p>
        </w:tc>
        <w:tc>
          <w:tcPr>
            <w:tcW w:w="540" w:type="dxa"/>
            <w:vAlign w:val="bottom"/>
          </w:tcPr>
          <w:p>
            <w:pPr>
              <w:spacing w:after="0"/>
              <w:rPr>
                <w:sz w:val="16"/>
                <w:szCs w:val="16"/>
                <w:color w:val="auto"/>
              </w:rPr>
            </w:pPr>
          </w:p>
        </w:tc>
        <w:tc>
          <w:tcPr>
            <w:tcW w:w="1940" w:type="dxa"/>
            <w:vAlign w:val="bottom"/>
          </w:tcPr>
          <w:p>
            <w:pPr>
              <w:ind w:left="20"/>
              <w:spacing w:after="0"/>
              <w:rPr>
                <w:sz w:val="20"/>
                <w:szCs w:val="20"/>
                <w:color w:val="auto"/>
              </w:rPr>
            </w:pPr>
            <w:r>
              <w:rPr>
                <w:rFonts w:ascii="Arial" w:cs="Arial" w:eastAsia="Arial" w:hAnsi="Arial"/>
                <w:sz w:val="16"/>
                <w:szCs w:val="16"/>
                <w:b w:val="1"/>
                <w:bCs w:val="1"/>
                <w:color w:val="1F2668"/>
              </w:rPr>
              <w:t>served as CEO or in</w:t>
            </w:r>
          </w:p>
        </w:tc>
        <w:tc>
          <w:tcPr>
            <w:tcW w:w="0" w:type="dxa"/>
            <w:vAlign w:val="bottom"/>
          </w:tcPr>
          <w:p>
            <w:pPr>
              <w:spacing w:after="0"/>
              <w:rPr>
                <w:sz w:val="1"/>
                <w:szCs w:val="1"/>
                <w:color w:val="auto"/>
              </w:rPr>
            </w:pPr>
          </w:p>
        </w:tc>
      </w:tr>
      <w:tr>
        <w:trPr>
          <w:trHeight w:val="175"/>
        </w:trPr>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560" w:type="dxa"/>
            <w:vAlign w:val="bottom"/>
          </w:tcPr>
          <w:p>
            <w:pPr>
              <w:spacing w:after="0" w:line="175" w:lineRule="exact"/>
              <w:rPr>
                <w:sz w:val="20"/>
                <w:szCs w:val="20"/>
                <w:color w:val="auto"/>
              </w:rPr>
            </w:pPr>
            <w:r>
              <w:rPr>
                <w:rFonts w:ascii="Arial" w:cs="Arial" w:eastAsia="Arial" w:hAnsi="Arial"/>
                <w:sz w:val="16"/>
                <w:szCs w:val="16"/>
                <w:b w:val="1"/>
                <w:bCs w:val="1"/>
                <w:color w:val="1F2668"/>
              </w:rPr>
              <w:t>gender and racial</w:t>
            </w:r>
          </w:p>
        </w:tc>
        <w:tc>
          <w:tcPr>
            <w:tcW w:w="540" w:type="dxa"/>
            <w:vAlign w:val="bottom"/>
          </w:tcPr>
          <w:p>
            <w:pPr>
              <w:spacing w:after="0"/>
              <w:rPr>
                <w:sz w:val="15"/>
                <w:szCs w:val="15"/>
                <w:color w:val="auto"/>
              </w:rPr>
            </w:pPr>
          </w:p>
        </w:tc>
        <w:tc>
          <w:tcPr>
            <w:tcW w:w="2560" w:type="dxa"/>
            <w:vAlign w:val="bottom"/>
          </w:tcPr>
          <w:p>
            <w:pPr>
              <w:ind w:left="20"/>
              <w:spacing w:after="0" w:line="175" w:lineRule="exact"/>
              <w:rPr>
                <w:sz w:val="20"/>
                <w:szCs w:val="20"/>
                <w:color w:val="auto"/>
              </w:rPr>
            </w:pPr>
            <w:r>
              <w:rPr>
                <w:rFonts w:ascii="Arial" w:cs="Arial" w:eastAsia="Arial" w:hAnsi="Arial"/>
                <w:sz w:val="16"/>
                <w:szCs w:val="16"/>
                <w:b w:val="1"/>
                <w:bCs w:val="1"/>
                <w:color w:val="1F2668"/>
              </w:rPr>
              <w:t>other publicly traded</w:t>
            </w:r>
          </w:p>
        </w:tc>
        <w:tc>
          <w:tcPr>
            <w:tcW w:w="540" w:type="dxa"/>
            <w:vAlign w:val="bottom"/>
          </w:tcPr>
          <w:p>
            <w:pPr>
              <w:spacing w:after="0"/>
              <w:rPr>
                <w:sz w:val="15"/>
                <w:szCs w:val="15"/>
                <w:color w:val="auto"/>
              </w:rPr>
            </w:pPr>
          </w:p>
        </w:tc>
        <w:tc>
          <w:tcPr>
            <w:tcW w:w="1940" w:type="dxa"/>
            <w:vAlign w:val="bottom"/>
          </w:tcPr>
          <w:p>
            <w:pPr>
              <w:ind w:left="20"/>
              <w:spacing w:after="0" w:line="175" w:lineRule="exact"/>
              <w:rPr>
                <w:sz w:val="20"/>
                <w:szCs w:val="20"/>
                <w:color w:val="auto"/>
              </w:rPr>
            </w:pPr>
            <w:r>
              <w:rPr>
                <w:rFonts w:ascii="Arial" w:cs="Arial" w:eastAsia="Arial" w:hAnsi="Arial"/>
                <w:sz w:val="16"/>
                <w:szCs w:val="16"/>
                <w:b w:val="1"/>
                <w:bCs w:val="1"/>
                <w:color w:val="1F2668"/>
              </w:rPr>
              <w:t>senior leadership</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560" w:type="dxa"/>
            <w:vAlign w:val="bottom"/>
          </w:tcPr>
          <w:p>
            <w:pPr>
              <w:spacing w:after="0"/>
              <w:rPr>
                <w:sz w:val="20"/>
                <w:szCs w:val="20"/>
                <w:color w:val="auto"/>
              </w:rPr>
            </w:pPr>
            <w:r>
              <w:rPr>
                <w:rFonts w:ascii="Arial" w:cs="Arial" w:eastAsia="Arial" w:hAnsi="Arial"/>
                <w:sz w:val="16"/>
                <w:szCs w:val="16"/>
                <w:b w:val="1"/>
                <w:bCs w:val="1"/>
                <w:color w:val="1F2668"/>
              </w:rPr>
              <w:t>diversity</w:t>
            </w:r>
          </w:p>
        </w:tc>
        <w:tc>
          <w:tcPr>
            <w:tcW w:w="540" w:type="dxa"/>
            <w:vAlign w:val="bottom"/>
          </w:tcPr>
          <w:p>
            <w:pPr>
              <w:spacing w:after="0"/>
              <w:rPr>
                <w:sz w:val="19"/>
                <w:szCs w:val="19"/>
                <w:color w:val="auto"/>
              </w:rPr>
            </w:pPr>
          </w:p>
        </w:tc>
        <w:tc>
          <w:tcPr>
            <w:tcW w:w="2560" w:type="dxa"/>
            <w:vAlign w:val="bottom"/>
          </w:tcPr>
          <w:p>
            <w:pPr>
              <w:ind w:left="20"/>
              <w:spacing w:after="0"/>
              <w:rPr>
                <w:sz w:val="20"/>
                <w:szCs w:val="20"/>
                <w:color w:val="auto"/>
              </w:rPr>
            </w:pPr>
            <w:r>
              <w:rPr>
                <w:rFonts w:ascii="Arial" w:cs="Arial" w:eastAsia="Arial" w:hAnsi="Arial"/>
                <w:sz w:val="16"/>
                <w:szCs w:val="16"/>
                <w:b w:val="1"/>
                <w:bCs w:val="1"/>
                <w:color w:val="1F2668"/>
              </w:rPr>
              <w:t>companies</w:t>
            </w:r>
          </w:p>
        </w:tc>
        <w:tc>
          <w:tcPr>
            <w:tcW w:w="540" w:type="dxa"/>
            <w:vAlign w:val="bottom"/>
          </w:tcPr>
          <w:p>
            <w:pPr>
              <w:spacing w:after="0"/>
              <w:rPr>
                <w:sz w:val="19"/>
                <w:szCs w:val="19"/>
                <w:color w:val="auto"/>
              </w:rPr>
            </w:pPr>
          </w:p>
        </w:tc>
        <w:tc>
          <w:tcPr>
            <w:tcW w:w="1940" w:type="dxa"/>
            <w:vAlign w:val="bottom"/>
          </w:tcPr>
          <w:p>
            <w:pPr>
              <w:ind w:left="20"/>
              <w:spacing w:after="0"/>
              <w:rPr>
                <w:sz w:val="20"/>
                <w:szCs w:val="20"/>
                <w:color w:val="auto"/>
              </w:rPr>
            </w:pPr>
            <w:r>
              <w:rPr>
                <w:rFonts w:ascii="Arial" w:cs="Arial" w:eastAsia="Arial" w:hAnsi="Arial"/>
                <w:sz w:val="16"/>
                <w:szCs w:val="16"/>
                <w:b w:val="1"/>
                <w:bCs w:val="1"/>
                <w:color w:val="1F2668"/>
              </w:rPr>
              <w:t>positions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Identification of Director Candidates</w:t>
      </w:r>
    </w:p>
    <w:p>
      <w:pPr>
        <w:spacing w:after="0" w:line="65"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1F2668"/>
        </w:rPr>
        <w:t>HOW WE IDENTIFY AND CONSIDER DIRECTOR NOMINATIONS</w:t>
      </w:r>
    </w:p>
    <w:p>
      <w:pPr>
        <w:sectPr>
          <w:pgSz w:w="11900" w:h="16838" w:orient="portrait"/>
          <w:cols w:equalWidth="0" w:num="1">
            <w:col w:w="9940"/>
          </w:cols>
          <w:pgMar w:left="580" w:top="97" w:right="1379" w:bottom="1440" w:gutter="0" w:footer="0" w:header="0"/>
        </w:sectPr>
      </w:pPr>
    </w:p>
    <w:p>
      <w:pPr>
        <w:spacing w:after="0" w:line="208" w:lineRule="exact"/>
        <w:rPr>
          <w:sz w:val="20"/>
          <w:szCs w:val="20"/>
          <w:color w:val="auto"/>
        </w:rPr>
      </w:pPr>
    </w:p>
    <w:p>
      <w:pPr>
        <w:ind w:left="820"/>
        <w:spacing w:after="0"/>
        <w:tabs>
          <w:tab w:leader="none" w:pos="12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3810</wp:posOffset>
            </wp:positionV>
            <wp:extent cx="205740" cy="2146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05740" cy="214630"/>
                    </a:xfrm>
                    <a:prstGeom prst="rect">
                      <a:avLst/>
                    </a:prstGeom>
                    <a:noFill/>
                  </pic:spPr>
                </pic:pic>
              </a:graphicData>
            </a:graphic>
          </wp:anchor>
        </w:drawing>
      </w:r>
    </w:p>
    <w:p>
      <w:pPr>
        <w:ind w:left="1460"/>
        <w:spacing w:after="0" w:line="281" w:lineRule="auto"/>
        <w:rPr>
          <w:sz w:val="20"/>
          <w:szCs w:val="20"/>
          <w:color w:val="auto"/>
        </w:rPr>
      </w:pPr>
      <w:r>
        <w:rPr>
          <w:rFonts w:ascii="Arial" w:cs="Arial" w:eastAsia="Arial" w:hAnsi="Arial"/>
          <w:sz w:val="15"/>
          <w:szCs w:val="15"/>
          <w:color w:val="1F2668"/>
        </w:rPr>
        <w:t>Identify Potential Candidates</w:t>
      </w:r>
    </w:p>
    <w:p>
      <w:pPr>
        <w:spacing w:after="0" w:line="391" w:lineRule="exact"/>
        <w:rPr>
          <w:sz w:val="20"/>
          <w:szCs w:val="20"/>
          <w:color w:val="auto"/>
        </w:rPr>
      </w:pPr>
    </w:p>
    <w:p>
      <w:pPr>
        <w:ind w:left="1460" w:right="20" w:hanging="644"/>
        <w:spacing w:after="0" w:line="232" w:lineRule="auto"/>
        <w:tabs>
          <w:tab w:leader="none" w:pos="1244" w:val="left"/>
        </w:tabs>
        <w:numPr>
          <w:ilvl w:val="0"/>
          <w:numId w:val="32"/>
        </w:numPr>
        <w:rPr>
          <w:rFonts w:ascii="Arial" w:cs="Arial" w:eastAsia="Arial" w:hAnsi="Arial"/>
          <w:sz w:val="32"/>
          <w:szCs w:val="32"/>
          <w:color w:val="auto"/>
          <w:vertAlign w:val="superscript"/>
        </w:rPr>
      </w:pPr>
      <w:r>
        <w:rPr>
          <w:rFonts w:ascii="Arial" w:cs="Arial" w:eastAsia="Arial" w:hAnsi="Arial"/>
          <w:sz w:val="32"/>
          <w:szCs w:val="32"/>
          <w:color w:val="000000"/>
          <w:vertAlign w:val="superscript"/>
        </w:rPr>
        <w:t>​ ​</w:t>
      </w:r>
      <w:r>
        <w:rPr>
          <w:rFonts w:ascii="Arial" w:cs="Arial" w:eastAsia="Arial" w:hAnsi="Arial"/>
          <w:sz w:val="16"/>
          <w:szCs w:val="16"/>
          <w:color w:val="1F2668"/>
        </w:rPr>
        <w:t xml:space="preserve"> In-Depth Committee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-365125</wp:posOffset>
            </wp:positionV>
            <wp:extent cx="205740" cy="2146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0574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tabs>
          <w:tab w:leader="none" w:pos="7260" w:val="left"/>
        </w:tabs>
        <w:rPr>
          <w:sz w:val="20"/>
          <w:szCs w:val="20"/>
          <w:color w:val="auto"/>
        </w:rPr>
      </w:pPr>
      <w:r>
        <w:rPr>
          <w:rFonts w:ascii="Arial" w:cs="Arial" w:eastAsia="Arial" w:hAnsi="Arial"/>
          <w:sz w:val="16"/>
          <w:szCs w:val="16"/>
          <w:color w:val="auto"/>
        </w:rPr>
        <w:t>​ ​</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-1133475</wp:posOffset>
            </wp:positionH>
            <wp:positionV relativeFrom="paragraph">
              <wp:posOffset>-115570</wp:posOffset>
            </wp:positionV>
            <wp:extent cx="57607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11" w:lineRule="exact"/>
        <w:rPr>
          <w:sz w:val="20"/>
          <w:szCs w:val="20"/>
          <w:color w:val="auto"/>
        </w:rPr>
      </w:pPr>
    </w:p>
    <w:p>
      <w:pPr>
        <w:ind w:left="220" w:right="120"/>
        <w:spacing w:after="0" w:line="254" w:lineRule="auto"/>
        <w:rPr>
          <w:sz w:val="20"/>
          <w:szCs w:val="20"/>
          <w:color w:val="auto"/>
        </w:rPr>
      </w:pPr>
      <w:r>
        <w:rPr>
          <w:rFonts w:ascii="Arial" w:cs="Arial" w:eastAsia="Arial" w:hAnsi="Arial"/>
          <w:sz w:val="16"/>
          <w:szCs w:val="16"/>
          <w:color w:val="auto"/>
        </w:rPr>
        <w:t>Our Nominating and Corporate Governance Committee solicits and considers suggestions from our directors and management regarding possible nominees. Our Nominating and Corporate Governance Committee also may procure the services of outside sources or third parties to assist in the identification of director candidates. Candidates may also be identified by stockholders.</w:t>
      </w:r>
    </w:p>
    <w:p>
      <w:pPr>
        <w:spacing w:after="0" w:line="180" w:lineRule="exact"/>
        <w:rPr>
          <w:sz w:val="20"/>
          <w:szCs w:val="20"/>
          <w:color w:val="auto"/>
        </w:rPr>
      </w:pPr>
    </w:p>
    <w:p>
      <w:pPr>
        <w:spacing w:after="0"/>
        <w:tabs>
          <w:tab w:leader="none" w:pos="7260" w:val="left"/>
        </w:tabs>
        <w:rPr>
          <w:sz w:val="20"/>
          <w:szCs w:val="20"/>
          <w:color w:val="auto"/>
        </w:rPr>
      </w:pPr>
      <w:r>
        <w:rPr>
          <w:rFonts w:ascii="Arial" w:cs="Arial" w:eastAsia="Arial" w:hAnsi="Arial"/>
          <w:sz w:val="32"/>
          <w:szCs w:val="32"/>
          <w:color w:val="auto"/>
          <w:vertAlign w:val="superscript"/>
        </w:rPr>
        <w:t>​ ​</w:t>
      </w:r>
      <w:r>
        <w:rPr>
          <w:rFonts w:ascii="Arial" w:cs="Arial" w:eastAsia="Arial" w:hAnsi="Arial"/>
          <w:sz w:val="16"/>
          <w:szCs w:val="16"/>
          <w:color w:val="auto"/>
        </w:rPr>
        <w:t xml:space="preserve"> The Nominating and Corporate Governance Committee:</w:t>
      </w:r>
      <w:r>
        <w:rPr>
          <w:sz w:val="20"/>
          <w:szCs w:val="20"/>
          <w:color w:val="auto"/>
        </w:rPr>
        <w:tab/>
      </w:r>
      <w:r>
        <w:rPr>
          <w:rFonts w:ascii="Arial" w:cs="Arial" w:eastAsia="Arial" w:hAnsi="Arial"/>
          <w:sz w:val="32"/>
          <w:szCs w:val="3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-223520</wp:posOffset>
            </wp:positionV>
            <wp:extent cx="449199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491990" cy="8890"/>
                    </a:xfrm>
                    <a:prstGeom prst="rect">
                      <a:avLst/>
                    </a:prstGeom>
                    <a:noFill/>
                  </pic:spPr>
                </pic:pic>
              </a:graphicData>
            </a:graphic>
          </wp:anchor>
        </w:drawing>
      </w:r>
    </w:p>
    <w:p>
      <w:pPr>
        <w:ind w:left="380" w:hanging="166"/>
        <w:spacing w:after="0"/>
        <w:tabs>
          <w:tab w:leader="none" w:pos="3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Considers experience, qualifications, skills, background and perspectives</w:t>
      </w:r>
    </w:p>
    <w:p>
      <w:pPr>
        <w:spacing w:after="0" w:line="43" w:lineRule="exact"/>
        <w:rPr>
          <w:rFonts w:ascii="Arial" w:cs="Arial" w:eastAsia="Arial" w:hAnsi="Arial"/>
          <w:sz w:val="16"/>
          <w:szCs w:val="16"/>
          <w:color w:val="auto"/>
        </w:rPr>
      </w:pPr>
    </w:p>
    <w:p>
      <w:pPr>
        <w:ind w:left="380" w:hanging="166"/>
        <w:spacing w:after="0"/>
        <w:tabs>
          <w:tab w:leader="none" w:pos="3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Meets with candidates and conducts interviews</w:t>
      </w:r>
    </w:p>
    <w:p>
      <w:pPr>
        <w:spacing w:after="0" w:line="72" w:lineRule="exact"/>
        <w:rPr>
          <w:rFonts w:ascii="Arial" w:cs="Arial" w:eastAsia="Arial" w:hAnsi="Arial"/>
          <w:sz w:val="16"/>
          <w:szCs w:val="16"/>
          <w:color w:val="auto"/>
        </w:rPr>
      </w:pPr>
    </w:p>
    <w:p>
      <w:pPr>
        <w:ind w:left="540" w:right="80" w:hanging="162"/>
        <w:spacing w:after="0" w:line="266" w:lineRule="auto"/>
        <w:rPr>
          <w:rFonts w:ascii="Arial" w:cs="Arial" w:eastAsia="Arial" w:hAnsi="Arial"/>
          <w:sz w:val="16"/>
          <w:szCs w:val="16"/>
          <w:color w:val="auto"/>
        </w:rPr>
      </w:pPr>
      <w:r>
        <w:rPr>
          <w:rFonts w:ascii="Arial" w:cs="Arial" w:eastAsia="Arial" w:hAnsi="Arial"/>
          <w:sz w:val="16"/>
          <w:szCs w:val="16"/>
          <w:color w:val="auto"/>
        </w:rPr>
        <w:t>– In considering a potential nominee, each member of the Nominating and Corporate Governance Committee has the opportunity to interview potential nominees in person or by telephone and to submit questions to such potential candidate.</w:t>
      </w:r>
    </w:p>
    <w:p>
      <w:pPr>
        <w:spacing w:after="0" w:line="23" w:lineRule="exact"/>
        <w:rPr>
          <w:sz w:val="20"/>
          <w:szCs w:val="20"/>
          <w:color w:val="auto"/>
        </w:rPr>
      </w:pPr>
    </w:p>
    <w:p>
      <w:pPr>
        <w:sectPr>
          <w:pgSz w:w="11900" w:h="16838" w:orient="portrait"/>
          <w:cols w:equalWidth="0" w:num="2">
            <w:col w:w="2260" w:space="340"/>
            <w:col w:w="7340"/>
          </w:cols>
          <w:pgMar w:left="580" w:top="97" w:right="1379" w:bottom="1440" w:gutter="0" w:footer="0" w:header="0"/>
          <w:type w:val="continuous"/>
        </w:sectPr>
      </w:pPr>
    </w:p>
    <w:p>
      <w:pPr>
        <w:spacing w:after="0" w:line="270" w:lineRule="exact"/>
        <w:rPr>
          <w:sz w:val="20"/>
          <w:szCs w:val="20"/>
          <w:color w:val="auto"/>
        </w:rPr>
      </w:pPr>
    </w:p>
    <w:p>
      <w:pPr>
        <w:ind w:left="1460" w:right="60" w:hanging="644"/>
        <w:spacing w:after="0" w:line="232" w:lineRule="auto"/>
        <w:tabs>
          <w:tab w:leader="none" w:pos="1244" w:val="left"/>
        </w:tabs>
        <w:numPr>
          <w:ilvl w:val="0"/>
          <w:numId w:val="34"/>
        </w:numPr>
        <w:rPr>
          <w:rFonts w:ascii="Arial" w:cs="Arial" w:eastAsia="Arial" w:hAnsi="Arial"/>
          <w:sz w:val="32"/>
          <w:szCs w:val="32"/>
          <w:color w:val="1F2668"/>
          <w:vertAlign w:val="superscript"/>
        </w:rPr>
      </w:pPr>
      <w:r>
        <w:rPr>
          <w:rFonts w:ascii="Arial" w:cs="Arial" w:eastAsia="Arial" w:hAnsi="Arial"/>
          <w:sz w:val="32"/>
          <w:szCs w:val="32"/>
          <w:color w:val="1F2668"/>
          <w:vertAlign w:val="superscript"/>
        </w:rPr>
        <w:t>​ ​</w:t>
      </w:r>
      <w:r>
        <w:rPr>
          <w:rFonts w:ascii="Arial" w:cs="Arial" w:eastAsia="Arial" w:hAnsi="Arial"/>
          <w:sz w:val="16"/>
          <w:szCs w:val="16"/>
          <w:color w:val="1F2668"/>
        </w:rPr>
        <w:t xml:space="preserve"> Recommend Candidates to Full Board</w:t>
      </w:r>
    </w:p>
    <w:p>
      <w:pPr>
        <w:spacing w:after="0" w:line="85" w:lineRule="exact"/>
        <w:rPr>
          <w:rFonts w:ascii="Arial" w:cs="Arial" w:eastAsia="Arial" w:hAnsi="Arial"/>
          <w:sz w:val="32"/>
          <w:szCs w:val="32"/>
          <w:color w:val="1F2668"/>
          <w:vertAlign w:val="superscript"/>
        </w:rPr>
      </w:pPr>
    </w:p>
    <w:p>
      <w:pPr>
        <w:ind w:left="1460" w:hanging="644"/>
        <w:spacing w:after="0" w:line="228" w:lineRule="auto"/>
        <w:tabs>
          <w:tab w:leader="none" w:pos="1244" w:val="left"/>
        </w:tabs>
        <w:numPr>
          <w:ilvl w:val="0"/>
          <w:numId w:val="34"/>
        </w:numPr>
        <w:rPr>
          <w:rFonts w:ascii="Arial" w:cs="Arial" w:eastAsia="Arial" w:hAnsi="Arial"/>
          <w:sz w:val="32"/>
          <w:szCs w:val="32"/>
          <w:color w:val="1F2668"/>
          <w:vertAlign w:val="superscript"/>
        </w:rPr>
      </w:pPr>
      <w:r>
        <w:rPr>
          <w:rFonts w:ascii="Arial" w:cs="Arial" w:eastAsia="Arial" w:hAnsi="Arial"/>
          <w:sz w:val="32"/>
          <w:szCs w:val="32"/>
          <w:color w:val="1F2668"/>
          <w:vertAlign w:val="superscript"/>
        </w:rPr>
        <w:t>​ ​</w:t>
      </w:r>
      <w:r>
        <w:rPr>
          <w:rFonts w:ascii="Arial" w:cs="Arial" w:eastAsia="Arial" w:hAnsi="Arial"/>
          <w:sz w:val="16"/>
          <w:szCs w:val="16"/>
          <w:color w:val="1F2668"/>
        </w:rPr>
        <w:t xml:space="preserve"> Review by Full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-751840</wp:posOffset>
            </wp:positionV>
            <wp:extent cx="205740" cy="2139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05740" cy="213995"/>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-246380</wp:posOffset>
            </wp:positionV>
            <wp:extent cx="205740" cy="2146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0574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Arial" w:cs="Arial" w:eastAsia="Arial" w:hAnsi="Arial"/>
          <w:sz w:val="16"/>
          <w:szCs w:val="16"/>
          <w:color w:val="auto"/>
        </w:rPr>
        <w:t>• Review independence and potential conflicts</w:t>
      </w:r>
    </w:p>
    <w:p>
      <w:pPr>
        <w:spacing w:after="0" w:line="86" w:lineRule="exact"/>
        <w:rPr>
          <w:sz w:val="20"/>
          <w:szCs w:val="20"/>
          <w:color w:val="auto"/>
        </w:rPr>
      </w:pPr>
    </w:p>
    <w:p>
      <w:pPr>
        <w:spacing w:after="0"/>
        <w:tabs>
          <w:tab w:leader="none" w:pos="7260" w:val="left"/>
        </w:tabs>
        <w:rPr>
          <w:sz w:val="20"/>
          <w:szCs w:val="20"/>
          <w:color w:val="auto"/>
        </w:rPr>
      </w:pPr>
      <w:r>
        <w:rPr>
          <w:rFonts w:ascii="Arial" w:cs="Arial" w:eastAsia="Arial" w:hAnsi="Arial"/>
          <w:sz w:val="16"/>
          <w:szCs w:val="16"/>
          <w:color w:val="1F2668"/>
        </w:rPr>
        <w:t>​ ​</w:t>
      </w:r>
      <w:r>
        <w:rPr>
          <w:sz w:val="20"/>
          <w:szCs w:val="20"/>
          <w:color w:val="auto"/>
        </w:rPr>
        <w:tab/>
      </w:r>
      <w:r>
        <w:rPr>
          <w:rFonts w:ascii="Arial" w:cs="Arial" w:eastAsia="Arial" w:hAnsi="Arial"/>
          <w:sz w:val="16"/>
          <w:szCs w:val="16"/>
          <w:color w:val="1F2668"/>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-115570</wp:posOffset>
            </wp:positionV>
            <wp:extent cx="449199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491990" cy="8890"/>
                    </a:xfrm>
                    <a:prstGeom prst="rect">
                      <a:avLst/>
                    </a:prstGeom>
                    <a:noFill/>
                  </pic:spPr>
                </pic:pic>
              </a:graphicData>
            </a:graphic>
          </wp:anchor>
        </w:drawing>
      </w:r>
    </w:p>
    <w:p>
      <w:pPr>
        <w:spacing w:after="0" w:line="11" w:lineRule="exact"/>
        <w:rPr>
          <w:sz w:val="20"/>
          <w:szCs w:val="20"/>
          <w:color w:val="auto"/>
        </w:rPr>
      </w:pPr>
    </w:p>
    <w:p>
      <w:pPr>
        <w:ind w:left="220" w:right="240"/>
        <w:spacing w:after="0" w:line="270" w:lineRule="auto"/>
        <w:rPr>
          <w:sz w:val="20"/>
          <w:szCs w:val="20"/>
          <w:color w:val="auto"/>
        </w:rPr>
      </w:pPr>
      <w:r>
        <w:rPr>
          <w:rFonts w:ascii="Arial" w:cs="Arial" w:eastAsia="Arial" w:hAnsi="Arial"/>
          <w:sz w:val="16"/>
          <w:szCs w:val="16"/>
          <w:color w:val="auto"/>
        </w:rPr>
        <w:t>The Nominating and Corporate Governance Committee presents potential candidates to full Board for open discussion.</w:t>
      </w:r>
    </w:p>
    <w:p>
      <w:pPr>
        <w:spacing w:after="0" w:line="168" w:lineRule="exact"/>
        <w:rPr>
          <w:sz w:val="20"/>
          <w:szCs w:val="20"/>
          <w:color w:val="auto"/>
        </w:rPr>
      </w:pPr>
    </w:p>
    <w:p>
      <w:pPr>
        <w:ind w:left="220" w:hanging="215"/>
        <w:spacing w:after="0" w:line="222" w:lineRule="auto"/>
        <w:rPr>
          <w:sz w:val="20"/>
          <w:szCs w:val="20"/>
          <w:color w:val="auto"/>
        </w:rPr>
      </w:pPr>
      <w:r>
        <w:rPr>
          <w:rFonts w:ascii="Arial" w:cs="Arial" w:eastAsia="Arial" w:hAnsi="Arial"/>
          <w:sz w:val="32"/>
          <w:szCs w:val="32"/>
          <w:color w:val="1F2668"/>
          <w:vertAlign w:val="superscript"/>
        </w:rPr>
        <w:t>​ ​</w:t>
      </w:r>
      <w:r>
        <w:rPr>
          <w:rFonts w:ascii="Arial" w:cs="Arial" w:eastAsia="Arial" w:hAnsi="Arial"/>
          <w:sz w:val="16"/>
          <w:szCs w:val="16"/>
          <w:color w:val="auto"/>
        </w:rPr>
        <w:t xml:space="preserve"> The full Board is responsible for approving potential candidates, following an opportunity to meet the </w:t>
      </w:r>
      <w:r>
        <w:rPr>
          <w:rFonts w:ascii="Arial" w:cs="Arial" w:eastAsia="Arial" w:hAnsi="Arial"/>
          <w:sz w:val="32"/>
          <w:szCs w:val="32"/>
          <w:color w:val="1F2668"/>
          <w:vertAlign w:val="superscript"/>
        </w:rPr>
        <w:t>​</w:t>
      </w:r>
      <w:r>
        <w:rPr>
          <w:rFonts w:ascii="Arial" w:cs="Arial" w:eastAsia="Arial" w:hAnsi="Arial"/>
          <w:sz w:val="16"/>
          <w:szCs w:val="16"/>
          <w:color w:val="auto"/>
        </w:rPr>
        <w:t xml:space="preserve">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-323215</wp:posOffset>
            </wp:positionV>
            <wp:extent cx="449199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491990" cy="8890"/>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135255</wp:posOffset>
            </wp:positionV>
            <wp:extent cx="68319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2500" w:space="100"/>
            <w:col w:w="7340"/>
          </w:cols>
          <w:pgMar w:left="580" w:top="97" w:right="1379"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p>
      <w:pPr>
        <w:ind w:left="820"/>
        <w:spacing w:after="0"/>
        <w:tabs>
          <w:tab w:leader="none" w:pos="1440" w:val="left"/>
          <w:tab w:leader="none" w:pos="9860" w:val="left"/>
        </w:tabs>
        <w:rPr>
          <w:sz w:val="20"/>
          <w:szCs w:val="20"/>
          <w:color w:val="auto"/>
        </w:rPr>
      </w:pPr>
      <w:r>
        <w:rPr>
          <w:rFonts w:ascii="Arial" w:cs="Arial" w:eastAsia="Arial" w:hAnsi="Arial"/>
          <w:sz w:val="22"/>
          <w:szCs w:val="22"/>
          <w:b w:val="1"/>
          <w:bCs w:val="1"/>
          <w:color w:val="1F2668"/>
        </w:rPr>
        <w:t>​22</w:t>
      </w:r>
      <w:r>
        <w:rPr>
          <w:sz w:val="20"/>
          <w:szCs w:val="20"/>
          <w:color w:val="auto"/>
        </w:rPr>
        <w:tab/>
      </w:r>
      <w:r>
        <w:rPr>
          <w:rFonts w:ascii="Arial" w:cs="Arial" w:eastAsia="Arial" w:hAnsi="Arial"/>
          <w:sz w:val="22"/>
          <w:szCs w:val="22"/>
          <w:b w:val="1"/>
          <w:bCs w:val="1"/>
          <w:color w:val="1F2668"/>
        </w:rPr>
        <w:t xml:space="preserve">​ ​ </w:t>
      </w:r>
      <w:r>
        <w:rPr>
          <w:rFonts w:ascii="Arial" w:cs="Arial" w:eastAsia="Arial" w:hAnsi="Arial"/>
          <w:sz w:val="14"/>
          <w:szCs w:val="14"/>
          <w:b w:val="1"/>
          <w:bCs w:val="1"/>
          <w:color w:val="1F2668"/>
        </w:rPr>
        <w:t>SL GREEN REALTY CORP. 2025 PROXY STATEMENT</w:t>
      </w:r>
      <w:r>
        <w:rPr>
          <w:sz w:val="20"/>
          <w:szCs w:val="20"/>
          <w:color w:val="auto"/>
        </w:rPr>
        <w:tab/>
      </w:r>
      <w:r>
        <w:rPr>
          <w:rFonts w:ascii="Arial" w:cs="Arial" w:eastAsia="Arial" w:hAnsi="Arial"/>
          <w:sz w:val="22"/>
          <w:szCs w:val="22"/>
          <w:b w:val="1"/>
          <w:bCs w:val="1"/>
          <w:color w:val="1F2668"/>
        </w:rPr>
        <w:t>​</w:t>
      </w:r>
    </w:p>
    <w:p>
      <w:pPr>
        <w:spacing w:after="0" w:line="200" w:lineRule="exact"/>
        <w:rPr>
          <w:sz w:val="20"/>
          <w:szCs w:val="20"/>
          <w:color w:val="auto"/>
        </w:rPr>
      </w:pPr>
    </w:p>
    <w:p>
      <w:pPr>
        <w:spacing w:after="0" w:line="281"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83AD40"/>
        </w:rPr>
        <w:t>NCGC Director Recruitment Process</w:t>
      </w:r>
    </w:p>
    <w:p>
      <w:pPr>
        <w:spacing w:after="0" w:line="144" w:lineRule="exact"/>
        <w:rPr>
          <w:sz w:val="20"/>
          <w:szCs w:val="20"/>
          <w:color w:val="auto"/>
        </w:rPr>
      </w:pPr>
    </w:p>
    <w:p>
      <w:pPr>
        <w:ind w:left="820" w:right="60"/>
        <w:spacing w:after="0" w:line="295" w:lineRule="auto"/>
        <w:rPr>
          <w:sz w:val="20"/>
          <w:szCs w:val="20"/>
          <w:color w:val="auto"/>
        </w:rPr>
      </w:pPr>
      <w:r>
        <w:rPr>
          <w:rFonts w:ascii="Arial" w:cs="Arial" w:eastAsia="Arial" w:hAnsi="Arial"/>
          <w:sz w:val="16"/>
          <w:szCs w:val="16"/>
          <w:color w:val="auto"/>
        </w:rPr>
        <w:t>Our Nominating and Corporate Governance Committee assists the Board in identifying and reviewing director candidates and recommends director nominees to the Board to be considered for election at our Annual Meeting of stockholders. Our Nominating and Corporate Governance Committee adopted a written policy on the criteria and process of identifying and reviewing director candidates. Each director candidate must have:</w:t>
      </w:r>
    </w:p>
    <w:p>
      <w:pPr>
        <w:spacing w:after="0" w:line="94" w:lineRule="exact"/>
        <w:rPr>
          <w:sz w:val="20"/>
          <w:szCs w:val="20"/>
          <w:color w:val="auto"/>
        </w:rPr>
      </w:pPr>
    </w:p>
    <w:p>
      <w:pPr>
        <w:ind w:left="1180" w:right="140" w:hanging="364"/>
        <w:spacing w:after="0" w:line="316" w:lineRule="auto"/>
        <w:tabs>
          <w:tab w:leader="none" w:pos="11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education and experience that provides knowledge of business, financial, governmental or legal matters that are relevant to the Company’s business or to its status as a publicly owned company;</w:t>
      </w:r>
    </w:p>
    <w:p>
      <w:pPr>
        <w:spacing w:after="0" w:line="1" w:lineRule="exact"/>
        <w:rPr>
          <w:rFonts w:ascii="Arial" w:cs="Arial" w:eastAsia="Arial" w:hAnsi="Arial"/>
          <w:sz w:val="16"/>
          <w:szCs w:val="16"/>
          <w:color w:val="auto"/>
        </w:rPr>
      </w:pPr>
    </w:p>
    <w:p>
      <w:pPr>
        <w:ind w:left="1180" w:hanging="364"/>
        <w:spacing w:after="0"/>
        <w:tabs>
          <w:tab w:leader="none" w:pos="11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 unblemished reputation for integrity;</w:t>
      </w:r>
    </w:p>
    <w:p>
      <w:pPr>
        <w:spacing w:after="0" w:line="86" w:lineRule="exact"/>
        <w:rPr>
          <w:rFonts w:ascii="Arial" w:cs="Arial" w:eastAsia="Arial" w:hAnsi="Arial"/>
          <w:sz w:val="16"/>
          <w:szCs w:val="16"/>
          <w:color w:val="auto"/>
        </w:rPr>
      </w:pPr>
    </w:p>
    <w:p>
      <w:pPr>
        <w:ind w:left="1180" w:hanging="364"/>
        <w:spacing w:after="0"/>
        <w:tabs>
          <w:tab w:leader="none" w:pos="11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reputation for exercising good business judgment; and</w:t>
      </w:r>
    </w:p>
    <w:p>
      <w:pPr>
        <w:spacing w:after="0" w:line="86" w:lineRule="exact"/>
        <w:rPr>
          <w:rFonts w:ascii="Arial" w:cs="Arial" w:eastAsia="Arial" w:hAnsi="Arial"/>
          <w:sz w:val="16"/>
          <w:szCs w:val="16"/>
          <w:color w:val="auto"/>
        </w:rPr>
      </w:pPr>
    </w:p>
    <w:p>
      <w:pPr>
        <w:ind w:left="1180" w:right="380" w:hanging="364"/>
        <w:spacing w:after="0" w:line="321" w:lineRule="auto"/>
        <w:tabs>
          <w:tab w:leader="none" w:pos="11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sufficient available time to be able to fulfill his or her responsibilities as a member of the Board and of any committees to which he or she may be appointed.</w:t>
      </w:r>
    </w:p>
    <w:p>
      <w:pPr>
        <w:spacing w:after="0" w:line="88" w:lineRule="exact"/>
        <w:rPr>
          <w:sz w:val="20"/>
          <w:szCs w:val="20"/>
          <w:color w:val="auto"/>
        </w:rPr>
      </w:pPr>
    </w:p>
    <w:p>
      <w:pPr>
        <w:ind w:left="820" w:right="80"/>
        <w:spacing w:after="0" w:line="301" w:lineRule="auto"/>
        <w:rPr>
          <w:sz w:val="20"/>
          <w:szCs w:val="20"/>
          <w:color w:val="auto"/>
        </w:rPr>
      </w:pPr>
      <w:r>
        <w:rPr>
          <w:rFonts w:ascii="Arial" w:cs="Arial" w:eastAsia="Arial" w:hAnsi="Arial"/>
          <w:sz w:val="16"/>
          <w:szCs w:val="16"/>
          <w:color w:val="auto"/>
        </w:rPr>
        <w:t>The Nominating and Corporate Governance Committee ensures that the potential nominee is not an employee or agent of and does not serve on the board of directors or similar managing body of any of our competitors and determines whether the potential nominee has an interest in any transactions to which we are a party.</w:t>
      </w:r>
    </w:p>
    <w:p>
      <w:pPr>
        <w:spacing w:after="0" w:line="104" w:lineRule="exact"/>
        <w:rPr>
          <w:sz w:val="20"/>
          <w:szCs w:val="20"/>
          <w:color w:val="auto"/>
        </w:rPr>
      </w:pPr>
    </w:p>
    <w:p>
      <w:pPr>
        <w:ind w:left="820" w:right="120"/>
        <w:spacing w:after="0" w:line="295" w:lineRule="auto"/>
        <w:rPr>
          <w:sz w:val="20"/>
          <w:szCs w:val="20"/>
          <w:color w:val="auto"/>
        </w:rPr>
      </w:pPr>
      <w:r>
        <w:rPr>
          <w:rFonts w:ascii="Arial" w:cs="Arial" w:eastAsia="Arial" w:hAnsi="Arial"/>
          <w:sz w:val="16"/>
          <w:szCs w:val="16"/>
          <w:color w:val="auto"/>
        </w:rPr>
        <w:t>In making recommendations to the Board, our Nominating and Corporate Governance Committee also considers such factors as it deems appropriate, in light of the skills, qualifications and background of the Board’s current composition and the opportunities and challenges the Board anticipates in the future. The Nominating and Corporate Governance Committee may consider the following:</w:t>
      </w:r>
    </w:p>
    <w:p>
      <w:pPr>
        <w:spacing w:after="0" w:line="108" w:lineRule="exact"/>
        <w:rPr>
          <w:sz w:val="20"/>
          <w:szCs w:val="20"/>
          <w:color w:val="auto"/>
        </w:rPr>
      </w:pPr>
    </w:p>
    <w:p>
      <w:pPr>
        <w:ind w:left="1000" w:hanging="184"/>
        <w:spacing w:after="0"/>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candidate’s industry knowledge and experience;</w:t>
      </w:r>
    </w:p>
    <w:p>
      <w:pPr>
        <w:spacing w:after="0" w:line="59" w:lineRule="exact"/>
        <w:rPr>
          <w:rFonts w:ascii="Arial" w:cs="Arial" w:eastAsia="Arial" w:hAnsi="Arial"/>
          <w:sz w:val="16"/>
          <w:szCs w:val="16"/>
          <w:color w:val="auto"/>
        </w:rPr>
      </w:pPr>
    </w:p>
    <w:p>
      <w:pPr>
        <w:ind w:left="1000" w:hanging="184"/>
        <w:spacing w:after="0"/>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actual or potential conflicts of interest and whether the candidate meets the NYSE independence criteria;</w:t>
      </w:r>
    </w:p>
    <w:p>
      <w:pPr>
        <w:spacing w:after="0" w:line="72" w:lineRule="exact"/>
        <w:rPr>
          <w:rFonts w:ascii="Arial" w:cs="Arial" w:eastAsia="Arial" w:hAnsi="Arial"/>
          <w:sz w:val="16"/>
          <w:szCs w:val="16"/>
          <w:color w:val="auto"/>
        </w:rPr>
      </w:pPr>
    </w:p>
    <w:p>
      <w:pPr>
        <w:ind w:left="1000" w:hanging="184"/>
        <w:spacing w:after="0"/>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extent to which the candidate generally would be a desirable addition to the Board and any committees of the Board;</w:t>
      </w:r>
    </w:p>
    <w:p>
      <w:pPr>
        <w:spacing w:after="0" w:line="72" w:lineRule="exact"/>
        <w:rPr>
          <w:rFonts w:ascii="Arial" w:cs="Arial" w:eastAsia="Arial" w:hAnsi="Arial"/>
          <w:sz w:val="16"/>
          <w:szCs w:val="16"/>
          <w:color w:val="auto"/>
        </w:rPr>
      </w:pPr>
    </w:p>
    <w:p>
      <w:pPr>
        <w:ind w:left="1000" w:hanging="184"/>
        <w:spacing w:after="0"/>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qualifications to serve on appropriate Board committees (including financial acumen);</w:t>
      </w:r>
    </w:p>
    <w:p>
      <w:pPr>
        <w:spacing w:after="0" w:line="59" w:lineRule="exact"/>
        <w:rPr>
          <w:rFonts w:ascii="Arial" w:cs="Arial" w:eastAsia="Arial" w:hAnsi="Arial"/>
          <w:sz w:val="16"/>
          <w:szCs w:val="16"/>
          <w:color w:val="auto"/>
        </w:rPr>
      </w:pPr>
    </w:p>
    <w:p>
      <w:pPr>
        <w:ind w:left="1000" w:hanging="184"/>
        <w:spacing w:after="0"/>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candidate’s background and perspectives;</w:t>
      </w:r>
    </w:p>
    <w:p>
      <w:pPr>
        <w:spacing w:after="0" w:line="72" w:lineRule="exact"/>
        <w:rPr>
          <w:rFonts w:ascii="Arial" w:cs="Arial" w:eastAsia="Arial" w:hAnsi="Arial"/>
          <w:sz w:val="16"/>
          <w:szCs w:val="16"/>
          <w:color w:val="auto"/>
        </w:rPr>
      </w:pPr>
    </w:p>
    <w:p>
      <w:pPr>
        <w:ind w:left="1000" w:hanging="184"/>
        <w:spacing w:after="0"/>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technological literacy;</w:t>
      </w:r>
    </w:p>
    <w:p>
      <w:pPr>
        <w:spacing w:after="0" w:line="72" w:lineRule="exact"/>
        <w:rPr>
          <w:rFonts w:ascii="Arial" w:cs="Arial" w:eastAsia="Arial" w:hAnsi="Arial"/>
          <w:sz w:val="16"/>
          <w:szCs w:val="16"/>
          <w:color w:val="auto"/>
        </w:rPr>
      </w:pPr>
    </w:p>
    <w:p>
      <w:pPr>
        <w:ind w:left="1000" w:hanging="184"/>
        <w:spacing w:after="0"/>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strategic insight;</w:t>
      </w:r>
    </w:p>
    <w:p>
      <w:pPr>
        <w:spacing w:after="0" w:line="59" w:lineRule="exact"/>
        <w:rPr>
          <w:rFonts w:ascii="Arial" w:cs="Arial" w:eastAsia="Arial" w:hAnsi="Arial"/>
          <w:sz w:val="16"/>
          <w:szCs w:val="16"/>
          <w:color w:val="auto"/>
        </w:rPr>
      </w:pPr>
    </w:p>
    <w:p>
      <w:pPr>
        <w:ind w:left="1000" w:hanging="184"/>
        <w:spacing w:after="0"/>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ability to introduce the Company to business or other opportunities;</w:t>
      </w:r>
    </w:p>
    <w:p>
      <w:pPr>
        <w:spacing w:after="0" w:line="72" w:lineRule="exact"/>
        <w:rPr>
          <w:rFonts w:ascii="Arial" w:cs="Arial" w:eastAsia="Arial" w:hAnsi="Arial"/>
          <w:sz w:val="16"/>
          <w:szCs w:val="16"/>
          <w:color w:val="auto"/>
        </w:rPr>
      </w:pPr>
    </w:p>
    <w:p>
      <w:pPr>
        <w:ind w:left="1000" w:hanging="184"/>
        <w:spacing w:after="0"/>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reputation in the corporate governance community;</w:t>
      </w:r>
    </w:p>
    <w:p>
      <w:pPr>
        <w:spacing w:after="0" w:line="72" w:lineRule="exact"/>
        <w:rPr>
          <w:rFonts w:ascii="Arial" w:cs="Arial" w:eastAsia="Arial" w:hAnsi="Arial"/>
          <w:sz w:val="16"/>
          <w:szCs w:val="16"/>
          <w:color w:val="auto"/>
        </w:rPr>
      </w:pPr>
    </w:p>
    <w:p>
      <w:pPr>
        <w:ind w:left="1000" w:hanging="184"/>
        <w:spacing w:after="0"/>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risk management skills; and</w:t>
      </w:r>
    </w:p>
    <w:p>
      <w:pPr>
        <w:spacing w:after="0" w:line="59" w:lineRule="exact"/>
        <w:rPr>
          <w:rFonts w:ascii="Arial" w:cs="Arial" w:eastAsia="Arial" w:hAnsi="Arial"/>
          <w:sz w:val="16"/>
          <w:szCs w:val="16"/>
          <w:color w:val="auto"/>
        </w:rPr>
      </w:pPr>
    </w:p>
    <w:p>
      <w:pPr>
        <w:ind w:left="1000" w:hanging="184"/>
        <w:spacing w:after="0"/>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candidate’s knowledge in the area of cybersecurity.</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83AD40"/>
        </w:rPr>
        <w:t>Stockholder Recommendations of Director Candidates</w:t>
      </w:r>
    </w:p>
    <w:p>
      <w:pPr>
        <w:spacing w:after="0" w:line="131" w:lineRule="exact"/>
        <w:rPr>
          <w:sz w:val="20"/>
          <w:szCs w:val="20"/>
          <w:color w:val="auto"/>
        </w:rPr>
      </w:pPr>
    </w:p>
    <w:p>
      <w:pPr>
        <w:ind w:left="820" w:right="120"/>
        <w:spacing w:after="0" w:line="289" w:lineRule="auto"/>
        <w:rPr>
          <w:sz w:val="20"/>
          <w:szCs w:val="20"/>
          <w:color w:val="auto"/>
        </w:rPr>
      </w:pPr>
      <w:r>
        <w:rPr>
          <w:rFonts w:ascii="Arial" w:cs="Arial" w:eastAsia="Arial" w:hAnsi="Arial"/>
          <w:sz w:val="16"/>
          <w:szCs w:val="16"/>
          <w:color w:val="auto"/>
        </w:rPr>
        <w:t>Our Nominating and Corporate Governance Committee may consider director candidates recommended by our stockholders. Our Nominating and Corporate Governance Committee will apply the same standards in considering candidates submitted by stockholders as it does in evaluating all other candidates. Any recommendations by stockholders are to follow the procedures outlined under “Other Information—Other Matters—Stockholder Proposals and Nominations” in this proxy statement and should provide the reasons supporting a candidate’s recommendation, the candidate’s qualifications and the candidate’s written consent to being considered as a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1946910</wp:posOffset>
            </wp:positionV>
            <wp:extent cx="68319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6260" w:type="dxa"/>
            <w:vAlign w:val="bottom"/>
          </w:tcPr>
          <w:p>
            <w:pPr>
              <w:spacing w:after="0"/>
              <w:rPr>
                <w:sz w:val="20"/>
                <w:szCs w:val="20"/>
                <w:color w:val="auto"/>
              </w:rPr>
            </w:pPr>
            <w:r>
              <w:rPr>
                <w:rFonts w:ascii="Arial" w:cs="Arial" w:eastAsia="Arial" w:hAnsi="Arial"/>
                <w:sz w:val="14"/>
                <w:szCs w:val="14"/>
                <w:b w:val="1"/>
                <w:bCs w:val="1"/>
                <w:color w:val="auto"/>
              </w:rPr>
              <w:t>​</w:t>
            </w:r>
          </w:p>
        </w:tc>
        <w:tc>
          <w:tcPr>
            <w:tcW w:w="2320" w:type="dxa"/>
            <w:vAlign w:val="bottom"/>
          </w:tcPr>
          <w:p>
            <w:pPr>
              <w:ind w:left="1940"/>
              <w:spacing w:after="0"/>
              <w:rPr>
                <w:sz w:val="20"/>
                <w:szCs w:val="20"/>
                <w:color w:val="auto"/>
              </w:rPr>
            </w:pPr>
            <w:r>
              <w:rPr>
                <w:rFonts w:ascii="Arial" w:cs="Arial" w:eastAsia="Arial" w:hAnsi="Arial"/>
                <w:sz w:val="14"/>
                <w:szCs w:val="14"/>
                <w:b w:val="1"/>
                <w:bCs w:val="1"/>
                <w:color w:val="auto"/>
              </w:rPr>
              <w:t>​ ​</w:t>
            </w:r>
          </w:p>
        </w:tc>
        <w:tc>
          <w:tcPr>
            <w:tcW w:w="480" w:type="dxa"/>
            <w:vAlign w:val="bottom"/>
            <w:vMerge w:val="restart"/>
          </w:tcPr>
          <w:p>
            <w:pPr>
              <w:jc w:val="right"/>
              <w:spacing w:after="0"/>
              <w:rPr>
                <w:sz w:val="20"/>
                <w:szCs w:val="20"/>
                <w:color w:val="auto"/>
              </w:rPr>
            </w:pPr>
            <w:r>
              <w:rPr>
                <w:rFonts w:ascii="Arial" w:cs="Arial" w:eastAsia="Arial" w:hAnsi="Arial"/>
                <w:sz w:val="22"/>
                <w:szCs w:val="22"/>
                <w:b w:val="1"/>
                <w:bCs w:val="1"/>
                <w:color w:val="1F2668"/>
              </w:rPr>
              <w:t>23</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6260" w:type="dxa"/>
            <w:vAlign w:val="bottom"/>
          </w:tcPr>
          <w:p>
            <w:pPr>
              <w:spacing w:after="0"/>
              <w:rPr>
                <w:sz w:val="20"/>
                <w:szCs w:val="20"/>
                <w:color w:val="auto"/>
              </w:rPr>
            </w:pPr>
            <w:r>
              <w:rPr>
                <w:rFonts w:ascii="Arial" w:cs="Arial" w:eastAsia="Arial" w:hAnsi="Arial"/>
                <w:sz w:val="14"/>
                <w:szCs w:val="14"/>
                <w:b w:val="1"/>
                <w:bCs w:val="1"/>
                <w:color w:val="auto"/>
              </w:rPr>
              <w:t>OUR BOARD OF DIRECTORS AND CORPORATE GOVERNANCE</w:t>
            </w:r>
          </w:p>
        </w:tc>
        <w:tc>
          <w:tcPr>
            <w:tcW w:w="232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820"/>
        <w:spacing w:after="0"/>
        <w:rPr>
          <w:sz w:val="20"/>
          <w:szCs w:val="20"/>
          <w:color w:val="auto"/>
        </w:rPr>
      </w:pPr>
      <w:r>
        <w:rPr>
          <w:rFonts w:ascii="Arial" w:cs="Arial" w:eastAsia="Arial" w:hAnsi="Arial"/>
          <w:sz w:val="29"/>
          <w:szCs w:val="29"/>
          <w:b w:val="1"/>
          <w:bCs w:val="1"/>
          <w:color w:val="83AD40"/>
        </w:rPr>
        <w:t>BOARD STRUCTURE AND INDEPENDENCE</w:t>
      </w:r>
    </w:p>
    <w:p>
      <w:pPr>
        <w:spacing w:after="0" w:line="302"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Board Leadership Structure</w:t>
      </w:r>
    </w:p>
    <w:p>
      <w:pPr>
        <w:spacing w:after="0" w:line="133" w:lineRule="exact"/>
        <w:rPr>
          <w:sz w:val="20"/>
          <w:szCs w:val="20"/>
          <w:color w:val="auto"/>
        </w:rPr>
      </w:pPr>
    </w:p>
    <w:p>
      <w:pPr>
        <w:jc w:val="both"/>
        <w:ind w:left="820" w:right="1220"/>
        <w:spacing w:after="0" w:line="300" w:lineRule="auto"/>
        <w:rPr>
          <w:sz w:val="20"/>
          <w:szCs w:val="20"/>
          <w:color w:val="auto"/>
        </w:rPr>
      </w:pPr>
      <w:r>
        <w:rPr>
          <w:rFonts w:ascii="Arial" w:cs="Arial" w:eastAsia="Arial" w:hAnsi="Arial"/>
          <w:sz w:val="15"/>
          <w:szCs w:val="15"/>
          <w:color w:val="auto"/>
        </w:rPr>
        <w:t>The Board currently consists of eight members. Marc Holliday serves as the Chairman of the Board and our Chief Executive Officer and Interim President, John Alschuler serves as our Lead Independent Director, and independent directors serve as Chairs for the Audit Committee, Compensation Committee and Nominating and Corporate Governance Committee. With</w:t>
      </w:r>
    </w:p>
    <w:p>
      <w:pPr>
        <w:spacing w:after="0" w:line="1" w:lineRule="exact"/>
        <w:rPr>
          <w:sz w:val="20"/>
          <w:szCs w:val="20"/>
          <w:color w:val="auto"/>
        </w:rPr>
      </w:pPr>
    </w:p>
    <w:p>
      <w:pPr>
        <w:ind w:left="820" w:right="880"/>
        <w:spacing w:after="0" w:line="295" w:lineRule="auto"/>
        <w:rPr>
          <w:sz w:val="20"/>
          <w:szCs w:val="20"/>
          <w:color w:val="auto"/>
        </w:rPr>
      </w:pPr>
      <w:r>
        <w:rPr>
          <w:rFonts w:ascii="Arial" w:cs="Arial" w:eastAsia="Arial" w:hAnsi="Arial"/>
          <w:sz w:val="16"/>
          <w:szCs w:val="16"/>
          <w:color w:val="auto"/>
        </w:rPr>
        <w:t>20 years of experience leading the Company, Mr. Holliday is uniquely qualified to serve as the Chairman of the Board. The Board believes that Mr. Holliday’s combined role as Chairman of the Board and Chief Executive Officer, together with the independent directors in its leadership structure, helps promote unified leadership and direction for the Company and the Board while also ensuring appropriate independent oversight of management by the Board.</w:t>
      </w:r>
    </w:p>
    <w:p>
      <w:pPr>
        <w:spacing w:after="0" w:line="264"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Lead Independent Director</w:t>
      </w:r>
    </w:p>
    <w:p>
      <w:pPr>
        <w:spacing w:after="0" w:line="133" w:lineRule="exact"/>
        <w:rPr>
          <w:sz w:val="20"/>
          <w:szCs w:val="20"/>
          <w:color w:val="auto"/>
        </w:rPr>
      </w:pPr>
    </w:p>
    <w:p>
      <w:pPr>
        <w:ind w:left="820" w:right="860"/>
        <w:spacing w:after="0" w:line="289" w:lineRule="auto"/>
        <w:rPr>
          <w:sz w:val="20"/>
          <w:szCs w:val="20"/>
          <w:color w:val="auto"/>
        </w:rPr>
      </w:pPr>
      <w:r>
        <w:rPr>
          <w:rFonts w:ascii="Arial" w:cs="Arial" w:eastAsia="Arial" w:hAnsi="Arial"/>
          <w:sz w:val="16"/>
          <w:szCs w:val="16"/>
          <w:color w:val="auto"/>
        </w:rPr>
        <w:t>The Board believes that having a Lead Independent Director improves the overall functioning of the Board and strengthens the ability of the independent directors to effectively exercise independent oversight of management during periods when the Chairman of the Board is not an independent director. The Lead Independent Director is appointed by the independent directors on the Board, and has a number of responsibilities that help facilitate communication among our independent directors and between our independent directors and our Chief Executive Officer and Chairman, and ensure appropriate independent oversight of management by the Board.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58"/>
        </w:trPr>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Borders>
              <w:bottom w:val="single" w:sz="8" w:color="83AD40"/>
            </w:tcBorders>
          </w:tcPr>
          <w:p>
            <w:pPr>
              <w:spacing w:after="0"/>
              <w:rPr>
                <w:sz w:val="5"/>
                <w:szCs w:val="5"/>
                <w:color w:val="auto"/>
              </w:rPr>
            </w:pPr>
          </w:p>
        </w:tc>
        <w:tc>
          <w:tcPr>
            <w:tcW w:w="1880" w:type="dxa"/>
            <w:vAlign w:val="bottom"/>
            <w:tcBorders>
              <w:bottom w:val="single" w:sz="8" w:color="83AD40"/>
            </w:tcBorders>
          </w:tcPr>
          <w:p>
            <w:pPr>
              <w:spacing w:after="0"/>
              <w:rPr>
                <w:sz w:val="5"/>
                <w:szCs w:val="5"/>
                <w:color w:val="auto"/>
              </w:rPr>
            </w:pPr>
          </w:p>
        </w:tc>
        <w:tc>
          <w:tcPr>
            <w:tcW w:w="80" w:type="dxa"/>
            <w:vAlign w:val="bottom"/>
            <w:tcBorders>
              <w:bottom w:val="single" w:sz="8" w:color="83AD40"/>
            </w:tcBorders>
          </w:tcPr>
          <w:p>
            <w:pPr>
              <w:spacing w:after="0"/>
              <w:rPr>
                <w:sz w:val="5"/>
                <w:szCs w:val="5"/>
                <w:color w:val="auto"/>
              </w:rPr>
            </w:pPr>
          </w:p>
        </w:tc>
        <w:tc>
          <w:tcPr>
            <w:tcW w:w="40" w:type="dxa"/>
            <w:vAlign w:val="bottom"/>
            <w:tcBorders>
              <w:bottom w:val="single" w:sz="8" w:color="83AD40"/>
            </w:tcBorders>
          </w:tcPr>
          <w:p>
            <w:pPr>
              <w:spacing w:after="0"/>
              <w:rPr>
                <w:sz w:val="5"/>
                <w:szCs w:val="5"/>
                <w:color w:val="auto"/>
              </w:rPr>
            </w:pPr>
          </w:p>
        </w:tc>
        <w:tc>
          <w:tcPr>
            <w:tcW w:w="20" w:type="dxa"/>
            <w:vAlign w:val="bottom"/>
            <w:tcBorders>
              <w:bottom w:val="single" w:sz="8" w:color="83AD40"/>
            </w:tcBorders>
          </w:tcPr>
          <w:p>
            <w:pPr>
              <w:spacing w:after="0"/>
              <w:rPr>
                <w:sz w:val="5"/>
                <w:szCs w:val="5"/>
                <w:color w:val="auto"/>
              </w:rPr>
            </w:pPr>
          </w:p>
        </w:tc>
        <w:tc>
          <w:tcPr>
            <w:tcW w:w="7680" w:type="dxa"/>
            <w:vAlign w:val="bottom"/>
            <w:gridSpan w:val="2"/>
            <w:vMerge w:val="restart"/>
          </w:tcPr>
          <w:p>
            <w:pPr>
              <w:ind w:left="360"/>
              <w:spacing w:after="0"/>
              <w:rPr>
                <w:sz w:val="20"/>
                <w:szCs w:val="20"/>
                <w:color w:val="auto"/>
              </w:rPr>
            </w:pPr>
            <w:r>
              <w:rPr>
                <w:rFonts w:ascii="Arial" w:cs="Arial" w:eastAsia="Arial" w:hAnsi="Arial"/>
                <w:sz w:val="20"/>
                <w:szCs w:val="20"/>
                <w:b w:val="1"/>
                <w:bCs w:val="1"/>
                <w:color w:val="83AD40"/>
              </w:rPr>
              <w:t>Role of the Lead Independent Director</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shd w:val="clear" w:color="auto" w:fill="83AD40"/>
          </w:tcPr>
          <w:p>
            <w:pPr>
              <w:spacing w:after="0"/>
              <w:rPr>
                <w:sz w:val="21"/>
                <w:szCs w:val="21"/>
                <w:color w:val="auto"/>
              </w:rPr>
            </w:pPr>
          </w:p>
        </w:tc>
        <w:tc>
          <w:tcPr>
            <w:tcW w:w="188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80" w:type="dxa"/>
            <w:vAlign w:val="bottom"/>
            <w:vMerge w:val="restart"/>
          </w:tcPr>
          <w:p>
            <w:pPr>
              <w:spacing w:after="0"/>
              <w:rPr>
                <w:sz w:val="20"/>
                <w:szCs w:val="20"/>
                <w:color w:val="auto"/>
              </w:rPr>
            </w:pPr>
            <w:r>
              <w:rPr>
                <w:rFonts w:ascii="Arial" w:cs="Arial" w:eastAsia="Arial" w:hAnsi="Arial"/>
                <w:sz w:val="22"/>
                <w:szCs w:val="22"/>
                <w:b w:val="1"/>
                <w:bCs w:val="1"/>
                <w:color w:val="FFFFFF"/>
              </w:rPr>
              <w:t>​</w:t>
            </w:r>
          </w:p>
        </w:tc>
        <w:tc>
          <w:tcPr>
            <w:tcW w:w="40" w:type="dxa"/>
            <w:vAlign w:val="bottom"/>
            <w:shd w:val="clear" w:color="auto" w:fill="83AD40"/>
          </w:tcPr>
          <w:p>
            <w:pPr>
              <w:spacing w:after="0" w:line="243" w:lineRule="exact"/>
              <w:rPr>
                <w:sz w:val="20"/>
                <w:szCs w:val="20"/>
                <w:color w:val="auto"/>
              </w:rPr>
            </w:pPr>
            <w:r>
              <w:rPr>
                <w:rFonts w:ascii="Arial" w:cs="Arial" w:eastAsia="Arial" w:hAnsi="Arial"/>
                <w:sz w:val="22"/>
                <w:szCs w:val="22"/>
                <w:color w:val="auto"/>
              </w:rPr>
              <w:t>​</w:t>
            </w:r>
          </w:p>
        </w:tc>
        <w:tc>
          <w:tcPr>
            <w:tcW w:w="20" w:type="dxa"/>
            <w:vAlign w:val="bottom"/>
          </w:tcPr>
          <w:p>
            <w:pPr>
              <w:spacing w:after="0"/>
              <w:rPr>
                <w:sz w:val="21"/>
                <w:szCs w:val="21"/>
                <w:color w:val="auto"/>
              </w:rPr>
            </w:pPr>
          </w:p>
        </w:tc>
        <w:tc>
          <w:tcPr>
            <w:tcW w:w="76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140" w:type="dxa"/>
            <w:vAlign w:val="bottom"/>
            <w:shd w:val="clear" w:color="auto" w:fill="1F2668"/>
          </w:tcPr>
          <w:p>
            <w:pPr>
              <w:spacing w:after="0"/>
              <w:rPr>
                <w:sz w:val="19"/>
                <w:szCs w:val="19"/>
                <w:color w:val="auto"/>
              </w:rPr>
            </w:pPr>
          </w:p>
        </w:tc>
        <w:tc>
          <w:tcPr>
            <w:tcW w:w="60" w:type="dxa"/>
            <w:vAlign w:val="bottom"/>
            <w:shd w:val="clear" w:color="auto" w:fill="1F2668"/>
          </w:tcPr>
          <w:p>
            <w:pPr>
              <w:spacing w:after="0" w:line="229" w:lineRule="exact"/>
              <w:rPr>
                <w:sz w:val="20"/>
                <w:szCs w:val="20"/>
                <w:color w:val="auto"/>
              </w:rPr>
            </w:pPr>
            <w:r>
              <w:rPr>
                <w:rFonts w:ascii="Arial" w:cs="Arial" w:eastAsia="Arial" w:hAnsi="Arial"/>
                <w:sz w:val="22"/>
                <w:szCs w:val="22"/>
                <w:b w:val="1"/>
                <w:bCs w:val="1"/>
                <w:color w:val="FFFFFF"/>
              </w:rPr>
              <w:t>​</w:t>
            </w:r>
          </w:p>
        </w:tc>
        <w:tc>
          <w:tcPr>
            <w:tcW w:w="1880" w:type="dxa"/>
            <w:vAlign w:val="bottom"/>
            <w:shd w:val="clear" w:color="auto" w:fill="1F2668"/>
          </w:tcPr>
          <w:p>
            <w:pPr>
              <w:spacing w:after="0"/>
              <w:rPr>
                <w:sz w:val="19"/>
                <w:szCs w:val="19"/>
                <w:color w:val="auto"/>
              </w:rPr>
            </w:pPr>
          </w:p>
        </w:tc>
        <w:tc>
          <w:tcPr>
            <w:tcW w:w="80" w:type="dxa"/>
            <w:vAlign w:val="bottom"/>
            <w:vMerge w:val="continue"/>
          </w:tcPr>
          <w:p>
            <w:pPr>
              <w:spacing w:after="0"/>
              <w:rPr>
                <w:sz w:val="19"/>
                <w:szCs w:val="19"/>
                <w:color w:val="auto"/>
              </w:rPr>
            </w:pPr>
          </w:p>
        </w:tc>
        <w:tc>
          <w:tcPr>
            <w:tcW w:w="40" w:type="dxa"/>
            <w:vAlign w:val="bottom"/>
            <w:shd w:val="clear" w:color="auto" w:fill="83AD40"/>
          </w:tcPr>
          <w:p>
            <w:pPr>
              <w:spacing w:after="0"/>
              <w:rPr>
                <w:sz w:val="19"/>
                <w:szCs w:val="19"/>
                <w:color w:val="auto"/>
              </w:rPr>
            </w:pPr>
          </w:p>
        </w:tc>
        <w:tc>
          <w:tcPr>
            <w:tcW w:w="20" w:type="dxa"/>
            <w:vAlign w:val="bottom"/>
          </w:tcPr>
          <w:p>
            <w:pPr>
              <w:spacing w:after="0"/>
              <w:rPr>
                <w:sz w:val="19"/>
                <w:szCs w:val="19"/>
                <w:color w:val="auto"/>
              </w:rPr>
            </w:pPr>
          </w:p>
        </w:tc>
        <w:tc>
          <w:tcPr>
            <w:tcW w:w="7680" w:type="dxa"/>
            <w:vAlign w:val="bottom"/>
            <w:gridSpan w:val="2"/>
          </w:tcPr>
          <w:p>
            <w:pPr>
              <w:ind w:left="360"/>
              <w:spacing w:after="0"/>
              <w:rPr>
                <w:sz w:val="20"/>
                <w:szCs w:val="20"/>
                <w:color w:val="auto"/>
              </w:rPr>
            </w:pPr>
            <w:r>
              <w:rPr>
                <w:rFonts w:ascii="Arial" w:cs="Arial" w:eastAsia="Arial" w:hAnsi="Arial"/>
                <w:sz w:val="16"/>
                <w:szCs w:val="16"/>
                <w:color w:val="auto"/>
              </w:rPr>
              <w:t>In addition to presiding at executive sessions of independent directors, the Lead</w:t>
            </w: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140" w:type="dxa"/>
            <w:vAlign w:val="bottom"/>
            <w:shd w:val="clear" w:color="auto" w:fill="1F2668"/>
          </w:tcPr>
          <w:p>
            <w:pPr>
              <w:spacing w:after="0"/>
              <w:rPr>
                <w:sz w:val="18"/>
                <w:szCs w:val="18"/>
                <w:color w:val="auto"/>
              </w:rPr>
            </w:pPr>
          </w:p>
        </w:tc>
        <w:tc>
          <w:tcPr>
            <w:tcW w:w="60" w:type="dxa"/>
            <w:vAlign w:val="bottom"/>
            <w:shd w:val="clear" w:color="auto" w:fill="1F2668"/>
          </w:tcPr>
          <w:p>
            <w:pPr>
              <w:spacing w:after="0"/>
              <w:rPr>
                <w:sz w:val="18"/>
                <w:szCs w:val="18"/>
                <w:color w:val="auto"/>
              </w:rPr>
            </w:pPr>
          </w:p>
        </w:tc>
        <w:tc>
          <w:tcPr>
            <w:tcW w:w="1880" w:type="dxa"/>
            <w:vAlign w:val="bottom"/>
            <w:shd w:val="clear" w:color="auto" w:fill="1F2668"/>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shd w:val="clear" w:color="auto" w:fill="83AD40"/>
          </w:tcPr>
          <w:p>
            <w:pPr>
              <w:spacing w:after="0"/>
              <w:rPr>
                <w:sz w:val="18"/>
                <w:szCs w:val="18"/>
                <w:color w:val="auto"/>
              </w:rPr>
            </w:pPr>
          </w:p>
        </w:tc>
        <w:tc>
          <w:tcPr>
            <w:tcW w:w="20" w:type="dxa"/>
            <w:vAlign w:val="bottom"/>
          </w:tcPr>
          <w:p>
            <w:pPr>
              <w:spacing w:after="0"/>
              <w:rPr>
                <w:sz w:val="18"/>
                <w:szCs w:val="18"/>
                <w:color w:val="auto"/>
              </w:rPr>
            </w:pPr>
          </w:p>
        </w:tc>
        <w:tc>
          <w:tcPr>
            <w:tcW w:w="7680" w:type="dxa"/>
            <w:vAlign w:val="bottom"/>
            <w:gridSpan w:val="2"/>
          </w:tcPr>
          <w:p>
            <w:pPr>
              <w:ind w:left="360"/>
              <w:spacing w:after="0"/>
              <w:rPr>
                <w:sz w:val="20"/>
                <w:szCs w:val="20"/>
                <w:color w:val="auto"/>
              </w:rPr>
            </w:pPr>
            <w:r>
              <w:rPr>
                <w:rFonts w:ascii="Arial" w:cs="Arial" w:eastAsia="Arial" w:hAnsi="Arial"/>
                <w:sz w:val="16"/>
                <w:szCs w:val="16"/>
                <w:color w:val="auto"/>
              </w:rPr>
              <w:t>Independent Director has the responsibility to:</w:t>
            </w:r>
          </w:p>
        </w:tc>
        <w:tc>
          <w:tcPr>
            <w:tcW w:w="0" w:type="dxa"/>
            <w:vAlign w:val="bottom"/>
          </w:tcPr>
          <w:p>
            <w:pPr>
              <w:spacing w:after="0"/>
              <w:rPr>
                <w:sz w:val="1"/>
                <w:szCs w:val="1"/>
                <w:color w:val="auto"/>
              </w:rPr>
            </w:pPr>
          </w:p>
        </w:tc>
      </w:tr>
      <w:tr>
        <w:trPr>
          <w:trHeight w:val="365"/>
        </w:trPr>
        <w:tc>
          <w:tcPr>
            <w:tcW w:w="820" w:type="dxa"/>
            <w:vAlign w:val="bottom"/>
          </w:tcPr>
          <w:p>
            <w:pPr>
              <w:spacing w:after="0"/>
              <w:rPr>
                <w:sz w:val="24"/>
                <w:szCs w:val="24"/>
                <w:color w:val="auto"/>
              </w:rPr>
            </w:pPr>
          </w:p>
        </w:tc>
        <w:tc>
          <w:tcPr>
            <w:tcW w:w="140" w:type="dxa"/>
            <w:vAlign w:val="bottom"/>
            <w:shd w:val="clear" w:color="auto" w:fill="1F2668"/>
          </w:tcPr>
          <w:p>
            <w:pPr>
              <w:spacing w:after="0"/>
              <w:rPr>
                <w:sz w:val="24"/>
                <w:szCs w:val="24"/>
                <w:color w:val="auto"/>
              </w:rPr>
            </w:pPr>
          </w:p>
        </w:tc>
        <w:tc>
          <w:tcPr>
            <w:tcW w:w="60" w:type="dxa"/>
            <w:vAlign w:val="bottom"/>
            <w:shd w:val="clear" w:color="auto" w:fill="1F2668"/>
          </w:tcPr>
          <w:p>
            <w:pPr>
              <w:spacing w:after="0"/>
              <w:rPr>
                <w:sz w:val="24"/>
                <w:szCs w:val="24"/>
                <w:color w:val="auto"/>
              </w:rPr>
            </w:pPr>
          </w:p>
        </w:tc>
        <w:tc>
          <w:tcPr>
            <w:tcW w:w="1880" w:type="dxa"/>
            <w:vAlign w:val="bottom"/>
            <w:shd w:val="clear" w:color="auto" w:fill="1F2668"/>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shd w:val="clear" w:color="auto" w:fill="83AD40"/>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ind w:left="520"/>
              <w:spacing w:after="0"/>
              <w:rPr>
                <w:sz w:val="20"/>
                <w:szCs w:val="20"/>
                <w:color w:val="auto"/>
              </w:rPr>
            </w:pPr>
            <w:r>
              <w:rPr>
                <w:rFonts w:ascii="Arial" w:cs="Arial" w:eastAsia="Arial" w:hAnsi="Arial"/>
                <w:sz w:val="16"/>
                <w:szCs w:val="16"/>
                <w:color w:val="auto"/>
              </w:rPr>
              <w:t>1.</w:t>
            </w:r>
          </w:p>
        </w:tc>
        <w:tc>
          <w:tcPr>
            <w:tcW w:w="6880" w:type="dxa"/>
            <w:vAlign w:val="bottom"/>
          </w:tcPr>
          <w:p>
            <w:pPr>
              <w:ind w:left="80"/>
              <w:spacing w:after="0"/>
              <w:rPr>
                <w:sz w:val="20"/>
                <w:szCs w:val="20"/>
                <w:color w:val="auto"/>
              </w:rPr>
            </w:pPr>
            <w:r>
              <w:rPr>
                <w:rFonts w:ascii="Arial" w:cs="Arial" w:eastAsia="Arial" w:hAnsi="Arial"/>
                <w:sz w:val="16"/>
                <w:szCs w:val="16"/>
                <w:color w:val="auto"/>
              </w:rPr>
              <w:t>consult with the Chairman of the Board and Chief Executive Officer as to an</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40" w:type="dxa"/>
            <w:vAlign w:val="bottom"/>
            <w:shd w:val="clear" w:color="auto" w:fill="1F2668"/>
          </w:tcPr>
          <w:p>
            <w:pPr>
              <w:spacing w:after="0"/>
              <w:rPr>
                <w:sz w:val="18"/>
                <w:szCs w:val="18"/>
                <w:color w:val="auto"/>
              </w:rPr>
            </w:pPr>
          </w:p>
        </w:tc>
        <w:tc>
          <w:tcPr>
            <w:tcW w:w="60" w:type="dxa"/>
            <w:vAlign w:val="bottom"/>
            <w:shd w:val="clear" w:color="auto" w:fill="1F2668"/>
          </w:tcPr>
          <w:p>
            <w:pPr>
              <w:spacing w:after="0"/>
              <w:rPr>
                <w:sz w:val="18"/>
                <w:szCs w:val="18"/>
                <w:color w:val="auto"/>
              </w:rPr>
            </w:pPr>
          </w:p>
        </w:tc>
        <w:tc>
          <w:tcPr>
            <w:tcW w:w="1880" w:type="dxa"/>
            <w:vAlign w:val="bottom"/>
            <w:shd w:val="clear" w:color="auto" w:fill="1F2668"/>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shd w:val="clear" w:color="auto" w:fill="83AD40"/>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80" w:type="dxa"/>
            <w:vAlign w:val="bottom"/>
          </w:tcPr>
          <w:p>
            <w:pPr>
              <w:ind w:left="80"/>
              <w:spacing w:after="0"/>
              <w:rPr>
                <w:sz w:val="20"/>
                <w:szCs w:val="20"/>
                <w:color w:val="auto"/>
              </w:rPr>
            </w:pPr>
            <w:r>
              <w:rPr>
                <w:rFonts w:ascii="Arial" w:cs="Arial" w:eastAsia="Arial" w:hAnsi="Arial"/>
                <w:sz w:val="16"/>
                <w:szCs w:val="16"/>
                <w:color w:val="auto"/>
              </w:rPr>
              <w:t>appropriate schedule and agenda for each Board meeting, seeking to ensure that the</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40" w:type="dxa"/>
            <w:vAlign w:val="bottom"/>
            <w:shd w:val="clear" w:color="auto" w:fill="1F2668"/>
          </w:tcPr>
          <w:p>
            <w:pPr>
              <w:spacing w:after="0"/>
              <w:rPr>
                <w:sz w:val="18"/>
                <w:szCs w:val="18"/>
                <w:color w:val="auto"/>
              </w:rPr>
            </w:pPr>
          </w:p>
        </w:tc>
        <w:tc>
          <w:tcPr>
            <w:tcW w:w="60" w:type="dxa"/>
            <w:vAlign w:val="bottom"/>
            <w:shd w:val="clear" w:color="auto" w:fill="1F2668"/>
          </w:tcPr>
          <w:p>
            <w:pPr>
              <w:spacing w:after="0"/>
              <w:rPr>
                <w:sz w:val="18"/>
                <w:szCs w:val="18"/>
                <w:color w:val="auto"/>
              </w:rPr>
            </w:pPr>
          </w:p>
        </w:tc>
        <w:tc>
          <w:tcPr>
            <w:tcW w:w="1880" w:type="dxa"/>
            <w:vAlign w:val="bottom"/>
            <w:shd w:val="clear" w:color="auto" w:fill="1F2668"/>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shd w:val="clear" w:color="auto" w:fill="83AD40"/>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80" w:type="dxa"/>
            <w:vAlign w:val="bottom"/>
          </w:tcPr>
          <w:p>
            <w:pPr>
              <w:ind w:left="80"/>
              <w:spacing w:after="0"/>
              <w:rPr>
                <w:sz w:val="20"/>
                <w:szCs w:val="20"/>
                <w:color w:val="auto"/>
              </w:rPr>
            </w:pPr>
            <w:r>
              <w:rPr>
                <w:rFonts w:ascii="Arial" w:cs="Arial" w:eastAsia="Arial" w:hAnsi="Arial"/>
                <w:sz w:val="16"/>
                <w:szCs w:val="16"/>
                <w:color w:val="auto"/>
              </w:rPr>
              <w:t>independent directors can perform their duties effectively and responsibly;</w:t>
            </w:r>
          </w:p>
        </w:tc>
        <w:tc>
          <w:tcPr>
            <w:tcW w:w="0" w:type="dxa"/>
            <w:vAlign w:val="bottom"/>
          </w:tcPr>
          <w:p>
            <w:pPr>
              <w:spacing w:after="0"/>
              <w:rPr>
                <w:sz w:val="1"/>
                <w:szCs w:val="1"/>
                <w:color w:val="auto"/>
              </w:rPr>
            </w:pPr>
          </w:p>
        </w:tc>
      </w:tr>
      <w:tr>
        <w:trPr>
          <w:trHeight w:val="256"/>
        </w:trPr>
        <w:tc>
          <w:tcPr>
            <w:tcW w:w="820" w:type="dxa"/>
            <w:vAlign w:val="bottom"/>
          </w:tcPr>
          <w:p>
            <w:pPr>
              <w:spacing w:after="0"/>
              <w:rPr>
                <w:sz w:val="22"/>
                <w:szCs w:val="22"/>
                <w:color w:val="auto"/>
              </w:rPr>
            </w:pPr>
          </w:p>
        </w:tc>
        <w:tc>
          <w:tcPr>
            <w:tcW w:w="140" w:type="dxa"/>
            <w:vAlign w:val="bottom"/>
            <w:shd w:val="clear" w:color="auto" w:fill="1F2668"/>
          </w:tcPr>
          <w:p>
            <w:pPr>
              <w:spacing w:after="0"/>
              <w:rPr>
                <w:sz w:val="22"/>
                <w:szCs w:val="22"/>
                <w:color w:val="auto"/>
              </w:rPr>
            </w:pPr>
          </w:p>
        </w:tc>
        <w:tc>
          <w:tcPr>
            <w:tcW w:w="60" w:type="dxa"/>
            <w:vAlign w:val="bottom"/>
            <w:shd w:val="clear" w:color="auto" w:fill="1F2668"/>
          </w:tcPr>
          <w:p>
            <w:pPr>
              <w:spacing w:after="0"/>
              <w:rPr>
                <w:sz w:val="22"/>
                <w:szCs w:val="22"/>
                <w:color w:val="auto"/>
              </w:rPr>
            </w:pPr>
          </w:p>
        </w:tc>
        <w:tc>
          <w:tcPr>
            <w:tcW w:w="1880" w:type="dxa"/>
            <w:vAlign w:val="bottom"/>
            <w:shd w:val="clear" w:color="auto" w:fill="1F2668"/>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shd w:val="clear" w:color="auto" w:fill="83AD40"/>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ind w:left="520"/>
              <w:spacing w:after="0"/>
              <w:rPr>
                <w:sz w:val="20"/>
                <w:szCs w:val="20"/>
                <w:color w:val="auto"/>
              </w:rPr>
            </w:pPr>
            <w:r>
              <w:rPr>
                <w:rFonts w:ascii="Arial" w:cs="Arial" w:eastAsia="Arial" w:hAnsi="Arial"/>
                <w:sz w:val="16"/>
                <w:szCs w:val="16"/>
                <w:color w:val="auto"/>
              </w:rPr>
              <w:t>2.</w:t>
            </w:r>
          </w:p>
        </w:tc>
        <w:tc>
          <w:tcPr>
            <w:tcW w:w="6880" w:type="dxa"/>
            <w:vAlign w:val="bottom"/>
          </w:tcPr>
          <w:p>
            <w:pPr>
              <w:ind w:left="80"/>
              <w:spacing w:after="0"/>
              <w:rPr>
                <w:sz w:val="20"/>
                <w:szCs w:val="20"/>
                <w:color w:val="auto"/>
              </w:rPr>
            </w:pPr>
            <w:r>
              <w:rPr>
                <w:rFonts w:ascii="Arial" w:cs="Arial" w:eastAsia="Arial" w:hAnsi="Arial"/>
                <w:sz w:val="16"/>
                <w:szCs w:val="16"/>
                <w:color w:val="auto"/>
              </w:rPr>
              <w:t>ensure that the independent directors have adequate resources, especially by way of</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40" w:type="dxa"/>
            <w:vAlign w:val="bottom"/>
            <w:shd w:val="clear" w:color="auto" w:fill="1F2668"/>
          </w:tcPr>
          <w:p>
            <w:pPr>
              <w:spacing w:after="0"/>
              <w:rPr>
                <w:sz w:val="18"/>
                <w:szCs w:val="18"/>
                <w:color w:val="auto"/>
              </w:rPr>
            </w:pPr>
          </w:p>
        </w:tc>
        <w:tc>
          <w:tcPr>
            <w:tcW w:w="60" w:type="dxa"/>
            <w:vAlign w:val="bottom"/>
            <w:shd w:val="clear" w:color="auto" w:fill="1F2668"/>
          </w:tcPr>
          <w:p>
            <w:pPr>
              <w:spacing w:after="0"/>
              <w:rPr>
                <w:sz w:val="18"/>
                <w:szCs w:val="18"/>
                <w:color w:val="auto"/>
              </w:rPr>
            </w:pPr>
          </w:p>
        </w:tc>
        <w:tc>
          <w:tcPr>
            <w:tcW w:w="1880" w:type="dxa"/>
            <w:vAlign w:val="bottom"/>
            <w:shd w:val="clear" w:color="auto" w:fill="1F2668"/>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shd w:val="clear" w:color="auto" w:fill="83AD40"/>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80" w:type="dxa"/>
            <w:vAlign w:val="bottom"/>
          </w:tcPr>
          <w:p>
            <w:pPr>
              <w:ind w:left="80"/>
              <w:spacing w:after="0"/>
              <w:rPr>
                <w:sz w:val="20"/>
                <w:szCs w:val="20"/>
                <w:color w:val="auto"/>
              </w:rPr>
            </w:pPr>
            <w:r>
              <w:rPr>
                <w:rFonts w:ascii="Arial" w:cs="Arial" w:eastAsia="Arial" w:hAnsi="Arial"/>
                <w:sz w:val="16"/>
                <w:szCs w:val="16"/>
                <w:color w:val="auto"/>
              </w:rPr>
              <w:t>full, timely and relevant information to support their decision making;</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3"/>
                <w:szCs w:val="23"/>
                <w:color w:val="auto"/>
              </w:rPr>
            </w:pPr>
          </w:p>
        </w:tc>
        <w:tc>
          <w:tcPr>
            <w:tcW w:w="140" w:type="dxa"/>
            <w:vAlign w:val="bottom"/>
            <w:shd w:val="clear" w:color="auto" w:fill="1F2668"/>
          </w:tcPr>
          <w:p>
            <w:pPr>
              <w:spacing w:after="0"/>
              <w:rPr>
                <w:sz w:val="23"/>
                <w:szCs w:val="23"/>
                <w:color w:val="auto"/>
              </w:rPr>
            </w:pPr>
          </w:p>
        </w:tc>
        <w:tc>
          <w:tcPr>
            <w:tcW w:w="60" w:type="dxa"/>
            <w:vAlign w:val="bottom"/>
            <w:shd w:val="clear" w:color="auto" w:fill="1F2668"/>
          </w:tcPr>
          <w:p>
            <w:pPr>
              <w:spacing w:after="0"/>
              <w:rPr>
                <w:sz w:val="23"/>
                <w:szCs w:val="23"/>
                <w:color w:val="auto"/>
              </w:rPr>
            </w:pPr>
          </w:p>
        </w:tc>
        <w:tc>
          <w:tcPr>
            <w:tcW w:w="1880" w:type="dxa"/>
            <w:vAlign w:val="bottom"/>
            <w:shd w:val="clear" w:color="auto" w:fill="1F2668"/>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shd w:val="clear" w:color="auto" w:fill="83AD40"/>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tcPr>
          <w:p>
            <w:pPr>
              <w:ind w:left="520"/>
              <w:spacing w:after="0"/>
              <w:rPr>
                <w:sz w:val="20"/>
                <w:szCs w:val="20"/>
                <w:color w:val="auto"/>
              </w:rPr>
            </w:pPr>
            <w:r>
              <w:rPr>
                <w:rFonts w:ascii="Arial" w:cs="Arial" w:eastAsia="Arial" w:hAnsi="Arial"/>
                <w:sz w:val="16"/>
                <w:szCs w:val="16"/>
                <w:color w:val="auto"/>
              </w:rPr>
              <w:t>3.</w:t>
            </w:r>
          </w:p>
        </w:tc>
        <w:tc>
          <w:tcPr>
            <w:tcW w:w="6880" w:type="dxa"/>
            <w:vAlign w:val="bottom"/>
          </w:tcPr>
          <w:p>
            <w:pPr>
              <w:ind w:left="80"/>
              <w:spacing w:after="0"/>
              <w:rPr>
                <w:sz w:val="20"/>
                <w:szCs w:val="20"/>
                <w:color w:val="auto"/>
              </w:rPr>
            </w:pPr>
            <w:r>
              <w:rPr>
                <w:rFonts w:ascii="Arial" w:cs="Arial" w:eastAsia="Arial" w:hAnsi="Arial"/>
                <w:sz w:val="16"/>
                <w:szCs w:val="16"/>
                <w:color w:val="auto"/>
              </w:rPr>
              <w:t>advise the Chief Executive Officer and Chairman as to the quality, quantity and</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40" w:type="dxa"/>
            <w:vAlign w:val="bottom"/>
            <w:shd w:val="clear" w:color="auto" w:fill="1F2668"/>
          </w:tcPr>
          <w:p>
            <w:pPr>
              <w:spacing w:after="0"/>
              <w:rPr>
                <w:sz w:val="18"/>
                <w:szCs w:val="18"/>
                <w:color w:val="auto"/>
              </w:rPr>
            </w:pPr>
          </w:p>
        </w:tc>
        <w:tc>
          <w:tcPr>
            <w:tcW w:w="60" w:type="dxa"/>
            <w:vAlign w:val="bottom"/>
            <w:shd w:val="clear" w:color="auto" w:fill="1F2668"/>
          </w:tcPr>
          <w:p>
            <w:pPr>
              <w:spacing w:after="0"/>
              <w:rPr>
                <w:sz w:val="18"/>
                <w:szCs w:val="18"/>
                <w:color w:val="auto"/>
              </w:rPr>
            </w:pPr>
          </w:p>
        </w:tc>
        <w:tc>
          <w:tcPr>
            <w:tcW w:w="1880" w:type="dxa"/>
            <w:vAlign w:val="bottom"/>
            <w:shd w:val="clear" w:color="auto" w:fill="1F2668"/>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shd w:val="clear" w:color="auto" w:fill="83AD40"/>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80" w:type="dxa"/>
            <w:vAlign w:val="bottom"/>
          </w:tcPr>
          <w:p>
            <w:pPr>
              <w:ind w:left="80"/>
              <w:spacing w:after="0"/>
              <w:rPr>
                <w:sz w:val="20"/>
                <w:szCs w:val="20"/>
                <w:color w:val="auto"/>
              </w:rPr>
            </w:pPr>
            <w:r>
              <w:rPr>
                <w:rFonts w:ascii="Arial" w:cs="Arial" w:eastAsia="Arial" w:hAnsi="Arial"/>
                <w:sz w:val="16"/>
                <w:szCs w:val="16"/>
                <w:color w:val="auto"/>
              </w:rPr>
              <w:t>timeliness of the information submitted by the Company’s management that is</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40" w:type="dxa"/>
            <w:vAlign w:val="bottom"/>
            <w:shd w:val="clear" w:color="auto" w:fill="1F2668"/>
          </w:tcPr>
          <w:p>
            <w:pPr>
              <w:spacing w:after="0"/>
              <w:rPr>
                <w:sz w:val="18"/>
                <w:szCs w:val="18"/>
                <w:color w:val="auto"/>
              </w:rPr>
            </w:pPr>
          </w:p>
        </w:tc>
        <w:tc>
          <w:tcPr>
            <w:tcW w:w="60" w:type="dxa"/>
            <w:vAlign w:val="bottom"/>
            <w:shd w:val="clear" w:color="auto" w:fill="1F2668"/>
          </w:tcPr>
          <w:p>
            <w:pPr>
              <w:spacing w:after="0"/>
              <w:rPr>
                <w:sz w:val="18"/>
                <w:szCs w:val="18"/>
                <w:color w:val="auto"/>
              </w:rPr>
            </w:pPr>
          </w:p>
        </w:tc>
        <w:tc>
          <w:tcPr>
            <w:tcW w:w="1880" w:type="dxa"/>
            <w:vAlign w:val="bottom"/>
            <w:shd w:val="clear" w:color="auto" w:fill="1F2668"/>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shd w:val="clear" w:color="auto" w:fill="83AD40"/>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80" w:type="dxa"/>
            <w:vAlign w:val="bottom"/>
          </w:tcPr>
          <w:p>
            <w:pPr>
              <w:ind w:left="80"/>
              <w:spacing w:after="0"/>
              <w:rPr>
                <w:sz w:val="20"/>
                <w:szCs w:val="20"/>
                <w:color w:val="auto"/>
              </w:rPr>
            </w:pPr>
            <w:r>
              <w:rPr>
                <w:rFonts w:ascii="Arial" w:cs="Arial" w:eastAsia="Arial" w:hAnsi="Arial"/>
                <w:sz w:val="16"/>
                <w:szCs w:val="16"/>
                <w:color w:val="auto"/>
              </w:rPr>
              <w:t>necessary or appropriate for the independent directors to effectively and responsibly</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2080" w:type="dxa"/>
            <w:vAlign w:val="bottom"/>
            <w:gridSpan w:val="3"/>
            <w:vMerge w:val="restart"/>
            <w:shd w:val="clear" w:color="auto" w:fill="1F2668"/>
          </w:tcPr>
          <w:p>
            <w:pPr>
              <w:ind w:left="140"/>
              <w:spacing w:after="0"/>
              <w:rPr>
                <w:sz w:val="20"/>
                <w:szCs w:val="20"/>
                <w:color w:val="auto"/>
              </w:rPr>
            </w:pPr>
            <w:r>
              <w:rPr>
                <w:rFonts w:ascii="Arial" w:cs="Arial" w:eastAsia="Arial" w:hAnsi="Arial"/>
                <w:sz w:val="22"/>
                <w:szCs w:val="22"/>
                <w:b w:val="1"/>
                <w:bCs w:val="1"/>
                <w:color w:val="FFFFFF"/>
              </w:rPr>
              <w:t>JOHN H.</w:t>
            </w:r>
          </w:p>
        </w:tc>
        <w:tc>
          <w:tcPr>
            <w:tcW w:w="80" w:type="dxa"/>
            <w:vAlign w:val="bottom"/>
          </w:tcPr>
          <w:p>
            <w:pPr>
              <w:spacing w:after="0"/>
              <w:rPr>
                <w:sz w:val="18"/>
                <w:szCs w:val="18"/>
                <w:color w:val="auto"/>
              </w:rPr>
            </w:pPr>
          </w:p>
        </w:tc>
        <w:tc>
          <w:tcPr>
            <w:tcW w:w="40" w:type="dxa"/>
            <w:vAlign w:val="bottom"/>
            <w:shd w:val="clear" w:color="auto" w:fill="83AD40"/>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80" w:type="dxa"/>
            <w:vAlign w:val="bottom"/>
          </w:tcPr>
          <w:p>
            <w:pPr>
              <w:ind w:left="80"/>
              <w:spacing w:after="0"/>
              <w:rPr>
                <w:sz w:val="20"/>
                <w:szCs w:val="20"/>
                <w:color w:val="auto"/>
              </w:rPr>
            </w:pPr>
            <w:r>
              <w:rPr>
                <w:rFonts w:ascii="Arial" w:cs="Arial" w:eastAsia="Arial" w:hAnsi="Arial"/>
                <w:sz w:val="16"/>
                <w:szCs w:val="16"/>
                <w:color w:val="auto"/>
              </w:rPr>
              <w:t>perform their duties;</w:t>
            </w:r>
          </w:p>
        </w:tc>
        <w:tc>
          <w:tcPr>
            <w:tcW w:w="0" w:type="dxa"/>
            <w:vAlign w:val="bottom"/>
          </w:tcPr>
          <w:p>
            <w:pPr>
              <w:spacing w:after="0"/>
              <w:rPr>
                <w:sz w:val="1"/>
                <w:szCs w:val="1"/>
                <w:color w:val="auto"/>
              </w:rPr>
            </w:pPr>
          </w:p>
        </w:tc>
      </w:tr>
      <w:tr>
        <w:trPr>
          <w:trHeight w:val="109"/>
        </w:trPr>
        <w:tc>
          <w:tcPr>
            <w:tcW w:w="820" w:type="dxa"/>
            <w:vAlign w:val="bottom"/>
          </w:tcPr>
          <w:p>
            <w:pPr>
              <w:spacing w:after="0"/>
              <w:rPr>
                <w:sz w:val="9"/>
                <w:szCs w:val="9"/>
                <w:color w:val="auto"/>
              </w:rPr>
            </w:pPr>
          </w:p>
        </w:tc>
        <w:tc>
          <w:tcPr>
            <w:tcW w:w="2080" w:type="dxa"/>
            <w:vAlign w:val="bottom"/>
            <w:gridSpan w:val="3"/>
            <w:vMerge w:val="continue"/>
            <w:shd w:val="clear" w:color="auto" w:fill="1F2668"/>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shd w:val="clear" w:color="auto" w:fill="83AD40"/>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vMerge w:val="restart"/>
          </w:tcPr>
          <w:p>
            <w:pPr>
              <w:ind w:left="520"/>
              <w:spacing w:after="0"/>
              <w:rPr>
                <w:sz w:val="20"/>
                <w:szCs w:val="20"/>
                <w:color w:val="auto"/>
              </w:rPr>
            </w:pPr>
            <w:r>
              <w:rPr>
                <w:rFonts w:ascii="Arial" w:cs="Arial" w:eastAsia="Arial" w:hAnsi="Arial"/>
                <w:sz w:val="16"/>
                <w:szCs w:val="16"/>
                <w:color w:val="auto"/>
              </w:rPr>
              <w:t>4.</w:t>
            </w:r>
          </w:p>
        </w:tc>
        <w:tc>
          <w:tcPr>
            <w:tcW w:w="6880" w:type="dxa"/>
            <w:vAlign w:val="bottom"/>
            <w:vMerge w:val="restart"/>
          </w:tcPr>
          <w:p>
            <w:pPr>
              <w:ind w:left="80"/>
              <w:spacing w:after="0"/>
              <w:rPr>
                <w:sz w:val="20"/>
                <w:szCs w:val="20"/>
                <w:color w:val="auto"/>
              </w:rPr>
            </w:pPr>
            <w:r>
              <w:rPr>
                <w:rFonts w:ascii="Arial" w:cs="Arial" w:eastAsia="Arial" w:hAnsi="Arial"/>
                <w:sz w:val="16"/>
                <w:szCs w:val="16"/>
                <w:color w:val="auto"/>
              </w:rPr>
              <w:t>recommend to the Board and the Board Committees the retention of advisers and</w:t>
            </w: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2080" w:type="dxa"/>
            <w:vAlign w:val="bottom"/>
            <w:gridSpan w:val="3"/>
            <w:vMerge w:val="restart"/>
            <w:shd w:val="clear" w:color="auto" w:fill="1F2668"/>
          </w:tcPr>
          <w:p>
            <w:pPr>
              <w:ind w:left="140"/>
              <w:spacing w:after="0"/>
              <w:rPr>
                <w:sz w:val="20"/>
                <w:szCs w:val="20"/>
                <w:color w:val="auto"/>
              </w:rPr>
            </w:pPr>
            <w:r>
              <w:rPr>
                <w:rFonts w:ascii="Arial" w:cs="Arial" w:eastAsia="Arial" w:hAnsi="Arial"/>
                <w:sz w:val="22"/>
                <w:szCs w:val="22"/>
                <w:b w:val="1"/>
                <w:bCs w:val="1"/>
                <w:color w:val="FFFFFF"/>
              </w:rPr>
              <w:t>ALSCHULER</w:t>
            </w:r>
          </w:p>
        </w:tc>
        <w:tc>
          <w:tcPr>
            <w:tcW w:w="80" w:type="dxa"/>
            <w:vAlign w:val="bottom"/>
          </w:tcPr>
          <w:p>
            <w:pPr>
              <w:spacing w:after="0"/>
              <w:rPr>
                <w:sz w:val="12"/>
                <w:szCs w:val="12"/>
                <w:color w:val="auto"/>
              </w:rPr>
            </w:pPr>
          </w:p>
        </w:tc>
        <w:tc>
          <w:tcPr>
            <w:tcW w:w="40" w:type="dxa"/>
            <w:vAlign w:val="bottom"/>
            <w:shd w:val="clear" w:color="auto" w:fill="83AD40"/>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6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820" w:type="dxa"/>
            <w:vAlign w:val="bottom"/>
          </w:tcPr>
          <w:p>
            <w:pPr>
              <w:spacing w:after="0"/>
              <w:rPr>
                <w:sz w:val="13"/>
                <w:szCs w:val="13"/>
                <w:color w:val="auto"/>
              </w:rPr>
            </w:pPr>
          </w:p>
        </w:tc>
        <w:tc>
          <w:tcPr>
            <w:tcW w:w="2080" w:type="dxa"/>
            <w:vAlign w:val="bottom"/>
            <w:gridSpan w:val="3"/>
            <w:vMerge w:val="continue"/>
            <w:shd w:val="clear" w:color="auto" w:fill="1F2668"/>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shd w:val="clear" w:color="auto" w:fill="83AD40"/>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880" w:type="dxa"/>
            <w:vAlign w:val="bottom"/>
            <w:vMerge w:val="restart"/>
          </w:tcPr>
          <w:p>
            <w:pPr>
              <w:ind w:left="80"/>
              <w:spacing w:after="0"/>
              <w:rPr>
                <w:sz w:val="20"/>
                <w:szCs w:val="20"/>
                <w:color w:val="auto"/>
              </w:rPr>
            </w:pPr>
            <w:r>
              <w:rPr>
                <w:rFonts w:ascii="Arial" w:cs="Arial" w:eastAsia="Arial" w:hAnsi="Arial"/>
                <w:sz w:val="16"/>
                <w:szCs w:val="16"/>
                <w:color w:val="auto"/>
              </w:rPr>
              <w:t>consultants who report directly to the Board;</w:t>
            </w:r>
          </w:p>
        </w:tc>
        <w:tc>
          <w:tcPr>
            <w:tcW w:w="0" w:type="dxa"/>
            <w:vAlign w:val="bottom"/>
          </w:tcPr>
          <w:p>
            <w:pPr>
              <w:spacing w:after="0"/>
              <w:rPr>
                <w:sz w:val="1"/>
                <w:szCs w:val="1"/>
                <w:color w:val="auto"/>
              </w:rPr>
            </w:pPr>
          </w:p>
        </w:tc>
      </w:tr>
      <w:tr>
        <w:trPr>
          <w:trHeight w:val="67"/>
        </w:trPr>
        <w:tc>
          <w:tcPr>
            <w:tcW w:w="820" w:type="dxa"/>
            <w:vAlign w:val="bottom"/>
          </w:tcPr>
          <w:p>
            <w:pPr>
              <w:spacing w:after="0"/>
              <w:rPr>
                <w:sz w:val="5"/>
                <w:szCs w:val="5"/>
                <w:color w:val="auto"/>
              </w:rPr>
            </w:pPr>
          </w:p>
        </w:tc>
        <w:tc>
          <w:tcPr>
            <w:tcW w:w="140" w:type="dxa"/>
            <w:vAlign w:val="bottom"/>
            <w:shd w:val="clear" w:color="auto" w:fill="1F2668"/>
          </w:tcPr>
          <w:p>
            <w:pPr>
              <w:spacing w:after="0"/>
              <w:rPr>
                <w:sz w:val="5"/>
                <w:szCs w:val="5"/>
                <w:color w:val="auto"/>
              </w:rPr>
            </w:pPr>
          </w:p>
        </w:tc>
        <w:tc>
          <w:tcPr>
            <w:tcW w:w="60" w:type="dxa"/>
            <w:vAlign w:val="bottom"/>
            <w:shd w:val="clear" w:color="auto" w:fill="1F2668"/>
          </w:tcPr>
          <w:p>
            <w:pPr>
              <w:spacing w:after="0"/>
              <w:rPr>
                <w:sz w:val="5"/>
                <w:szCs w:val="5"/>
                <w:color w:val="auto"/>
              </w:rPr>
            </w:pPr>
          </w:p>
        </w:tc>
        <w:tc>
          <w:tcPr>
            <w:tcW w:w="1880" w:type="dxa"/>
            <w:vAlign w:val="bottom"/>
            <w:shd w:val="clear" w:color="auto" w:fill="1F2668"/>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shd w:val="clear" w:color="auto" w:fill="83AD40"/>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820" w:type="dxa"/>
            <w:vAlign w:val="bottom"/>
          </w:tcPr>
          <w:p>
            <w:pPr>
              <w:spacing w:after="0"/>
              <w:rPr>
                <w:sz w:val="23"/>
                <w:szCs w:val="23"/>
                <w:color w:val="auto"/>
              </w:rPr>
            </w:pPr>
          </w:p>
        </w:tc>
        <w:tc>
          <w:tcPr>
            <w:tcW w:w="2080" w:type="dxa"/>
            <w:vAlign w:val="bottom"/>
            <w:gridSpan w:val="3"/>
            <w:vMerge w:val="restart"/>
            <w:shd w:val="clear" w:color="auto" w:fill="1F2668"/>
          </w:tcPr>
          <w:p>
            <w:pPr>
              <w:ind w:left="140"/>
              <w:spacing w:after="0"/>
              <w:rPr>
                <w:sz w:val="20"/>
                <w:szCs w:val="20"/>
                <w:color w:val="auto"/>
              </w:rPr>
            </w:pPr>
            <w:r>
              <w:rPr>
                <w:rFonts w:ascii="Arial" w:cs="Arial" w:eastAsia="Arial" w:hAnsi="Arial"/>
                <w:sz w:val="16"/>
                <w:szCs w:val="16"/>
                <w:b w:val="1"/>
                <w:bCs w:val="1"/>
                <w:color w:val="FFFFFF"/>
              </w:rPr>
              <w:t>Lead Independent</w:t>
            </w:r>
          </w:p>
        </w:tc>
        <w:tc>
          <w:tcPr>
            <w:tcW w:w="80" w:type="dxa"/>
            <w:vAlign w:val="bottom"/>
          </w:tcPr>
          <w:p>
            <w:pPr>
              <w:spacing w:after="0"/>
              <w:rPr>
                <w:sz w:val="23"/>
                <w:szCs w:val="23"/>
                <w:color w:val="auto"/>
              </w:rPr>
            </w:pPr>
          </w:p>
        </w:tc>
        <w:tc>
          <w:tcPr>
            <w:tcW w:w="40" w:type="dxa"/>
            <w:vAlign w:val="bottom"/>
            <w:shd w:val="clear" w:color="auto" w:fill="83AD40"/>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tcPr>
          <w:p>
            <w:pPr>
              <w:ind w:left="520"/>
              <w:spacing w:after="0"/>
              <w:rPr>
                <w:sz w:val="20"/>
                <w:szCs w:val="20"/>
                <w:color w:val="auto"/>
              </w:rPr>
            </w:pPr>
            <w:r>
              <w:rPr>
                <w:rFonts w:ascii="Arial" w:cs="Arial" w:eastAsia="Arial" w:hAnsi="Arial"/>
                <w:sz w:val="16"/>
                <w:szCs w:val="16"/>
                <w:color w:val="auto"/>
              </w:rPr>
              <w:t>5.</w:t>
            </w:r>
          </w:p>
        </w:tc>
        <w:tc>
          <w:tcPr>
            <w:tcW w:w="6880" w:type="dxa"/>
            <w:vAlign w:val="bottom"/>
          </w:tcPr>
          <w:p>
            <w:pPr>
              <w:ind w:left="80"/>
              <w:spacing w:after="0"/>
              <w:rPr>
                <w:sz w:val="20"/>
                <w:szCs w:val="20"/>
                <w:color w:val="auto"/>
              </w:rPr>
            </w:pPr>
            <w:r>
              <w:rPr>
                <w:rFonts w:ascii="Arial" w:cs="Arial" w:eastAsia="Arial" w:hAnsi="Arial"/>
                <w:sz w:val="16"/>
                <w:szCs w:val="16"/>
                <w:color w:val="auto"/>
              </w:rPr>
              <w:t>ensure that independent directors have adequate opportunities to meet and discuss</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2080" w:type="dxa"/>
            <w:vAlign w:val="bottom"/>
            <w:gridSpan w:val="3"/>
            <w:vMerge w:val="continue"/>
            <w:shd w:val="clear" w:color="auto" w:fill="1F2668"/>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shd w:val="clear" w:color="auto" w:fill="83AD40"/>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80" w:type="dxa"/>
            <w:vAlign w:val="bottom"/>
          </w:tcPr>
          <w:p>
            <w:pPr>
              <w:ind w:left="80"/>
              <w:spacing w:after="0"/>
              <w:rPr>
                <w:sz w:val="20"/>
                <w:szCs w:val="20"/>
                <w:color w:val="auto"/>
              </w:rPr>
            </w:pPr>
            <w:r>
              <w:rPr>
                <w:rFonts w:ascii="Arial" w:cs="Arial" w:eastAsia="Arial" w:hAnsi="Arial"/>
                <w:sz w:val="16"/>
                <w:szCs w:val="16"/>
                <w:color w:val="auto"/>
              </w:rPr>
              <w:t>issues in sessions of the independent directors without management present and, as</w:t>
            </w:r>
          </w:p>
        </w:tc>
        <w:tc>
          <w:tcPr>
            <w:tcW w:w="0" w:type="dxa"/>
            <w:vAlign w:val="bottom"/>
          </w:tcPr>
          <w:p>
            <w:pPr>
              <w:spacing w:after="0"/>
              <w:rPr>
                <w:sz w:val="1"/>
                <w:szCs w:val="1"/>
                <w:color w:val="auto"/>
              </w:rPr>
            </w:pPr>
          </w:p>
        </w:tc>
      </w:tr>
      <w:tr>
        <w:trPr>
          <w:trHeight w:val="258"/>
        </w:trPr>
        <w:tc>
          <w:tcPr>
            <w:tcW w:w="820" w:type="dxa"/>
            <w:vAlign w:val="bottom"/>
          </w:tcPr>
          <w:p>
            <w:pPr>
              <w:spacing w:after="0"/>
              <w:rPr>
                <w:sz w:val="22"/>
                <w:szCs w:val="22"/>
                <w:color w:val="auto"/>
              </w:rPr>
            </w:pPr>
          </w:p>
        </w:tc>
        <w:tc>
          <w:tcPr>
            <w:tcW w:w="2080" w:type="dxa"/>
            <w:vAlign w:val="bottom"/>
            <w:gridSpan w:val="3"/>
            <w:shd w:val="clear" w:color="auto" w:fill="1F2668"/>
          </w:tcPr>
          <w:p>
            <w:pPr>
              <w:ind w:left="140"/>
              <w:spacing w:after="0"/>
              <w:rPr>
                <w:sz w:val="20"/>
                <w:szCs w:val="20"/>
                <w:color w:val="auto"/>
              </w:rPr>
            </w:pPr>
            <w:r>
              <w:rPr>
                <w:rFonts w:ascii="Arial" w:cs="Arial" w:eastAsia="Arial" w:hAnsi="Arial"/>
                <w:sz w:val="16"/>
                <w:szCs w:val="16"/>
                <w:b w:val="1"/>
                <w:bCs w:val="1"/>
                <w:color w:val="FFFFFF"/>
              </w:rPr>
              <w:t>Director since 2010</w:t>
            </w:r>
          </w:p>
        </w:tc>
        <w:tc>
          <w:tcPr>
            <w:tcW w:w="80" w:type="dxa"/>
            <w:vAlign w:val="bottom"/>
          </w:tcPr>
          <w:p>
            <w:pPr>
              <w:spacing w:after="0"/>
              <w:rPr>
                <w:sz w:val="22"/>
                <w:szCs w:val="22"/>
                <w:color w:val="auto"/>
              </w:rPr>
            </w:pPr>
          </w:p>
        </w:tc>
        <w:tc>
          <w:tcPr>
            <w:tcW w:w="40" w:type="dxa"/>
            <w:vAlign w:val="bottom"/>
            <w:shd w:val="clear" w:color="auto" w:fill="83AD40"/>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880" w:type="dxa"/>
            <w:vAlign w:val="bottom"/>
          </w:tcPr>
          <w:p>
            <w:pPr>
              <w:ind w:left="80"/>
              <w:spacing w:after="0"/>
              <w:rPr>
                <w:sz w:val="20"/>
                <w:szCs w:val="20"/>
                <w:color w:val="auto"/>
              </w:rPr>
            </w:pPr>
            <w:r>
              <w:rPr>
                <w:rFonts w:ascii="Arial" w:cs="Arial" w:eastAsia="Arial" w:hAnsi="Arial"/>
                <w:sz w:val="16"/>
                <w:szCs w:val="16"/>
                <w:color w:val="auto"/>
              </w:rPr>
              <w:t>appropriate, call meetings of the Independent Directors;</w:t>
            </w: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140" w:type="dxa"/>
            <w:vAlign w:val="bottom"/>
            <w:shd w:val="clear" w:color="auto" w:fill="1F2668"/>
          </w:tcPr>
          <w:p>
            <w:pPr>
              <w:spacing w:after="0"/>
              <w:rPr>
                <w:sz w:val="18"/>
                <w:szCs w:val="18"/>
                <w:color w:val="auto"/>
              </w:rPr>
            </w:pPr>
          </w:p>
        </w:tc>
        <w:tc>
          <w:tcPr>
            <w:tcW w:w="60" w:type="dxa"/>
            <w:vAlign w:val="bottom"/>
            <w:shd w:val="clear" w:color="auto" w:fill="1F2668"/>
          </w:tcPr>
          <w:p>
            <w:pPr>
              <w:spacing w:after="0"/>
              <w:rPr>
                <w:sz w:val="18"/>
                <w:szCs w:val="18"/>
                <w:color w:val="auto"/>
              </w:rPr>
            </w:pPr>
          </w:p>
        </w:tc>
        <w:tc>
          <w:tcPr>
            <w:tcW w:w="1880" w:type="dxa"/>
            <w:vAlign w:val="bottom"/>
            <w:shd w:val="clear" w:color="auto" w:fill="1F2668"/>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shd w:val="clear" w:color="auto" w:fill="83AD40"/>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Arial" w:cs="Arial" w:eastAsia="Arial" w:hAnsi="Arial"/>
                <w:sz w:val="16"/>
                <w:szCs w:val="16"/>
                <w:color w:val="auto"/>
              </w:rPr>
              <w:t>6.</w:t>
            </w:r>
          </w:p>
        </w:tc>
        <w:tc>
          <w:tcPr>
            <w:tcW w:w="6880" w:type="dxa"/>
            <w:vAlign w:val="bottom"/>
          </w:tcPr>
          <w:p>
            <w:pPr>
              <w:ind w:left="80"/>
              <w:spacing w:after="0"/>
              <w:rPr>
                <w:sz w:val="20"/>
                <w:szCs w:val="20"/>
                <w:color w:val="auto"/>
              </w:rPr>
            </w:pPr>
            <w:r>
              <w:rPr>
                <w:rFonts w:ascii="Arial" w:cs="Arial" w:eastAsia="Arial" w:hAnsi="Arial"/>
                <w:sz w:val="16"/>
                <w:szCs w:val="16"/>
                <w:color w:val="auto"/>
              </w:rPr>
              <w:t>serve as Chairman of the sessions of the independent directors;</w:t>
            </w:r>
          </w:p>
        </w:tc>
        <w:tc>
          <w:tcPr>
            <w:tcW w:w="0" w:type="dxa"/>
            <w:vAlign w:val="bottom"/>
          </w:tcPr>
          <w:p>
            <w:pPr>
              <w:spacing w:after="0"/>
              <w:rPr>
                <w:sz w:val="1"/>
                <w:szCs w:val="1"/>
                <w:color w:val="auto"/>
              </w:rPr>
            </w:pPr>
          </w:p>
        </w:tc>
      </w:tr>
      <w:tr>
        <w:trPr>
          <w:trHeight w:val="83"/>
        </w:trPr>
        <w:tc>
          <w:tcPr>
            <w:tcW w:w="820" w:type="dxa"/>
            <w:vAlign w:val="bottom"/>
          </w:tcPr>
          <w:p>
            <w:pPr>
              <w:spacing w:after="0"/>
              <w:rPr>
                <w:sz w:val="7"/>
                <w:szCs w:val="7"/>
                <w:color w:val="auto"/>
              </w:rPr>
            </w:pPr>
          </w:p>
        </w:tc>
        <w:tc>
          <w:tcPr>
            <w:tcW w:w="140" w:type="dxa"/>
            <w:vAlign w:val="bottom"/>
            <w:shd w:val="clear" w:color="auto" w:fill="1F2668"/>
          </w:tcPr>
          <w:p>
            <w:pPr>
              <w:spacing w:after="0"/>
              <w:rPr>
                <w:sz w:val="7"/>
                <w:szCs w:val="7"/>
                <w:color w:val="auto"/>
              </w:rPr>
            </w:pPr>
          </w:p>
        </w:tc>
        <w:tc>
          <w:tcPr>
            <w:tcW w:w="1940" w:type="dxa"/>
            <w:vAlign w:val="bottom"/>
            <w:gridSpan w:val="2"/>
            <w:shd w:val="clear" w:color="auto" w:fill="1F2668"/>
          </w:tcPr>
          <w:p>
            <w:pPr>
              <w:spacing w:after="0"/>
              <w:rPr>
                <w:sz w:val="7"/>
                <w:szCs w:val="7"/>
                <w:color w:val="auto"/>
              </w:rPr>
            </w:pPr>
          </w:p>
        </w:tc>
        <w:tc>
          <w:tcPr>
            <w:tcW w:w="80" w:type="dxa"/>
            <w:vAlign w:val="bottom"/>
            <w:vMerge w:val="restart"/>
          </w:tcPr>
          <w:p>
            <w:pPr>
              <w:spacing w:after="0"/>
              <w:rPr>
                <w:sz w:val="7"/>
                <w:szCs w:val="7"/>
                <w:color w:val="auto"/>
              </w:rPr>
            </w:pPr>
          </w:p>
        </w:tc>
        <w:tc>
          <w:tcPr>
            <w:tcW w:w="40" w:type="dxa"/>
            <w:vAlign w:val="bottom"/>
            <w:vMerge w:val="restart"/>
            <w:shd w:val="clear" w:color="auto" w:fill="83AD40"/>
          </w:tcPr>
          <w:p>
            <w:pPr>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7"/>
                <w:szCs w:val="7"/>
                <w:color w:val="auto"/>
              </w:rPr>
            </w:pPr>
          </w:p>
        </w:tc>
        <w:tc>
          <w:tcPr>
            <w:tcW w:w="800" w:type="dxa"/>
            <w:vAlign w:val="bottom"/>
            <w:vMerge w:val="restart"/>
          </w:tcPr>
          <w:p>
            <w:pPr>
              <w:ind w:left="520"/>
              <w:spacing w:after="0"/>
              <w:rPr>
                <w:sz w:val="20"/>
                <w:szCs w:val="20"/>
                <w:color w:val="auto"/>
              </w:rPr>
            </w:pPr>
            <w:r>
              <w:rPr>
                <w:rFonts w:ascii="Arial" w:cs="Arial" w:eastAsia="Arial" w:hAnsi="Arial"/>
                <w:sz w:val="16"/>
                <w:szCs w:val="16"/>
                <w:color w:val="auto"/>
              </w:rPr>
              <w:t>7.</w:t>
            </w:r>
          </w:p>
        </w:tc>
        <w:tc>
          <w:tcPr>
            <w:tcW w:w="6880" w:type="dxa"/>
            <w:vAlign w:val="bottom"/>
            <w:vMerge w:val="restart"/>
          </w:tcPr>
          <w:p>
            <w:pPr>
              <w:ind w:left="80"/>
              <w:spacing w:after="0"/>
              <w:rPr>
                <w:sz w:val="20"/>
                <w:szCs w:val="20"/>
                <w:color w:val="auto"/>
              </w:rPr>
            </w:pPr>
            <w:r>
              <w:rPr>
                <w:rFonts w:ascii="Arial" w:cs="Arial" w:eastAsia="Arial" w:hAnsi="Arial"/>
                <w:sz w:val="16"/>
                <w:szCs w:val="16"/>
                <w:color w:val="auto"/>
              </w:rPr>
              <w:t>serve as principal liaison between the independent directors and the Chief Executive</w:t>
            </w:r>
          </w:p>
        </w:tc>
        <w:tc>
          <w:tcPr>
            <w:tcW w:w="0" w:type="dxa"/>
            <w:vAlign w:val="bottom"/>
          </w:tcPr>
          <w:p>
            <w:pPr>
              <w:spacing w:after="0"/>
              <w:rPr>
                <w:sz w:val="1"/>
                <w:szCs w:val="1"/>
                <w:color w:val="auto"/>
              </w:rPr>
            </w:pPr>
          </w:p>
        </w:tc>
      </w:tr>
      <w:tr>
        <w:trPr>
          <w:trHeight w:val="189"/>
        </w:trPr>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shd w:val="clear" w:color="auto" w:fill="83AD40"/>
          </w:tcPr>
          <w:p>
            <w:pPr>
              <w:spacing w:after="0"/>
              <w:rPr>
                <w:sz w:val="16"/>
                <w:szCs w:val="16"/>
                <w:color w:val="auto"/>
              </w:rPr>
            </w:pPr>
          </w:p>
        </w:tc>
        <w:tc>
          <w:tcPr>
            <w:tcW w:w="1880" w:type="dxa"/>
            <w:vAlign w:val="bottom"/>
          </w:tcPr>
          <w:p>
            <w:pPr>
              <w:spacing w:after="0" w:line="189" w:lineRule="exact"/>
              <w:rPr>
                <w:sz w:val="20"/>
                <w:szCs w:val="20"/>
                <w:color w:val="auto"/>
              </w:rPr>
            </w:pPr>
            <w:r>
              <w:rPr>
                <w:rFonts w:ascii="Arial" w:cs="Arial" w:eastAsia="Arial" w:hAnsi="Arial"/>
                <w:sz w:val="21"/>
                <w:szCs w:val="21"/>
                <w:color w:val="auto"/>
              </w:rPr>
              <w:t>​</w:t>
            </w:r>
          </w:p>
        </w:tc>
        <w:tc>
          <w:tcPr>
            <w:tcW w:w="80" w:type="dxa"/>
            <w:vAlign w:val="bottom"/>
            <w:vMerge w:val="continue"/>
          </w:tcPr>
          <w:p>
            <w:pPr>
              <w:spacing w:after="0"/>
              <w:rPr>
                <w:sz w:val="16"/>
                <w:szCs w:val="16"/>
                <w:color w:val="auto"/>
              </w:rPr>
            </w:pPr>
          </w:p>
        </w:tc>
        <w:tc>
          <w:tcPr>
            <w:tcW w:w="40" w:type="dxa"/>
            <w:vAlign w:val="bottom"/>
            <w:vMerge w:val="continue"/>
            <w:shd w:val="clear" w:color="auto" w:fill="83AD40"/>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6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Borders>
              <w:bottom w:val="single" w:sz="8" w:color="83AD40"/>
            </w:tcBorders>
            <w:shd w:val="clear" w:color="auto" w:fill="83AD40"/>
          </w:tcPr>
          <w:p>
            <w:pPr>
              <w:spacing w:after="0"/>
              <w:rPr>
                <w:sz w:val="7"/>
                <w:szCs w:val="7"/>
                <w:color w:val="auto"/>
              </w:rPr>
            </w:pPr>
          </w:p>
        </w:tc>
        <w:tc>
          <w:tcPr>
            <w:tcW w:w="1880" w:type="dxa"/>
            <w:vAlign w:val="bottom"/>
            <w:tcBorders>
              <w:bottom w:val="single" w:sz="8" w:color="83AD40"/>
            </w:tcBorders>
          </w:tcPr>
          <w:p>
            <w:pPr>
              <w:spacing w:after="0"/>
              <w:rPr>
                <w:sz w:val="7"/>
                <w:szCs w:val="7"/>
                <w:color w:val="auto"/>
              </w:rPr>
            </w:pPr>
          </w:p>
        </w:tc>
        <w:tc>
          <w:tcPr>
            <w:tcW w:w="80" w:type="dxa"/>
            <w:vAlign w:val="bottom"/>
            <w:tcBorders>
              <w:bottom w:val="single" w:sz="8" w:color="83AD40"/>
            </w:tcBorders>
          </w:tcPr>
          <w:p>
            <w:pPr>
              <w:spacing w:after="0"/>
              <w:rPr>
                <w:sz w:val="7"/>
                <w:szCs w:val="7"/>
                <w:color w:val="auto"/>
              </w:rPr>
            </w:pPr>
          </w:p>
        </w:tc>
        <w:tc>
          <w:tcPr>
            <w:tcW w:w="40" w:type="dxa"/>
            <w:vAlign w:val="bottom"/>
            <w:tcBorders>
              <w:bottom w:val="single" w:sz="8" w:color="83AD40"/>
            </w:tcBorders>
            <w:shd w:val="clear" w:color="auto" w:fill="83AD40"/>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880" w:type="dxa"/>
            <w:vAlign w:val="bottom"/>
            <w:vMerge w:val="restart"/>
          </w:tcPr>
          <w:p>
            <w:pPr>
              <w:ind w:left="80"/>
              <w:spacing w:after="0"/>
              <w:rPr>
                <w:sz w:val="20"/>
                <w:szCs w:val="20"/>
                <w:color w:val="auto"/>
              </w:rPr>
            </w:pPr>
            <w:r>
              <w:rPr>
                <w:rFonts w:ascii="Arial" w:cs="Arial" w:eastAsia="Arial" w:hAnsi="Arial"/>
                <w:sz w:val="16"/>
                <w:szCs w:val="16"/>
                <w:color w:val="auto"/>
              </w:rPr>
              <w:t>Officer and Chairman of the Company and between the independent directors and</w:t>
            </w:r>
          </w:p>
        </w:tc>
        <w:tc>
          <w:tcPr>
            <w:tcW w:w="0" w:type="dxa"/>
            <w:vAlign w:val="bottom"/>
          </w:tcPr>
          <w:p>
            <w:pPr>
              <w:spacing w:after="0"/>
              <w:rPr>
                <w:sz w:val="1"/>
                <w:szCs w:val="1"/>
                <w:color w:val="auto"/>
              </w:rPr>
            </w:pPr>
          </w:p>
        </w:tc>
      </w:tr>
      <w:tr>
        <w:trPr>
          <w:trHeight w:val="107"/>
        </w:trPr>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80" w:type="dxa"/>
            <w:vAlign w:val="bottom"/>
          </w:tcPr>
          <w:p>
            <w:pPr>
              <w:ind w:left="80"/>
              <w:spacing w:after="0"/>
              <w:rPr>
                <w:sz w:val="20"/>
                <w:szCs w:val="20"/>
                <w:color w:val="auto"/>
              </w:rPr>
            </w:pPr>
            <w:r>
              <w:rPr>
                <w:rFonts w:ascii="Arial" w:cs="Arial" w:eastAsia="Arial" w:hAnsi="Arial"/>
                <w:sz w:val="16"/>
                <w:szCs w:val="16"/>
                <w:color w:val="auto"/>
              </w:rPr>
              <w:t>senior management;</w:t>
            </w:r>
          </w:p>
        </w:tc>
        <w:tc>
          <w:tcPr>
            <w:tcW w:w="0" w:type="dxa"/>
            <w:vAlign w:val="bottom"/>
          </w:tcPr>
          <w:p>
            <w:pPr>
              <w:spacing w:after="0"/>
              <w:rPr>
                <w:sz w:val="1"/>
                <w:szCs w:val="1"/>
                <w:color w:val="auto"/>
              </w:rPr>
            </w:pPr>
          </w:p>
        </w:tc>
      </w:tr>
      <w:tr>
        <w:trPr>
          <w:trHeight w:val="257"/>
        </w:trPr>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ind w:left="520"/>
              <w:spacing w:after="0"/>
              <w:rPr>
                <w:sz w:val="20"/>
                <w:szCs w:val="20"/>
                <w:color w:val="auto"/>
              </w:rPr>
            </w:pPr>
            <w:r>
              <w:rPr>
                <w:rFonts w:ascii="Arial" w:cs="Arial" w:eastAsia="Arial" w:hAnsi="Arial"/>
                <w:sz w:val="16"/>
                <w:szCs w:val="16"/>
                <w:color w:val="auto"/>
              </w:rPr>
              <w:t>8.</w:t>
            </w:r>
          </w:p>
        </w:tc>
        <w:tc>
          <w:tcPr>
            <w:tcW w:w="6880" w:type="dxa"/>
            <w:vAlign w:val="bottom"/>
          </w:tcPr>
          <w:p>
            <w:pPr>
              <w:ind w:left="80"/>
              <w:spacing w:after="0"/>
              <w:rPr>
                <w:sz w:val="20"/>
                <w:szCs w:val="20"/>
                <w:color w:val="auto"/>
              </w:rPr>
            </w:pPr>
            <w:r>
              <w:rPr>
                <w:rFonts w:ascii="Arial" w:cs="Arial" w:eastAsia="Arial" w:hAnsi="Arial"/>
                <w:sz w:val="16"/>
                <w:szCs w:val="16"/>
                <w:color w:val="auto"/>
              </w:rPr>
              <w:t>communicate to management, as appropriate, the results of private discussions</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80" w:type="dxa"/>
            <w:vAlign w:val="bottom"/>
          </w:tcPr>
          <w:p>
            <w:pPr>
              <w:ind w:left="80"/>
              <w:spacing w:after="0"/>
              <w:rPr>
                <w:sz w:val="20"/>
                <w:szCs w:val="20"/>
                <w:color w:val="auto"/>
              </w:rPr>
            </w:pPr>
            <w:r>
              <w:rPr>
                <w:rFonts w:ascii="Arial" w:cs="Arial" w:eastAsia="Arial" w:hAnsi="Arial"/>
                <w:sz w:val="16"/>
                <w:szCs w:val="16"/>
                <w:color w:val="auto"/>
              </w:rPr>
              <w:t>among independent directors;</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tcPr>
          <w:p>
            <w:pPr>
              <w:ind w:left="520"/>
              <w:spacing w:after="0"/>
              <w:rPr>
                <w:sz w:val="20"/>
                <w:szCs w:val="20"/>
                <w:color w:val="auto"/>
              </w:rPr>
            </w:pPr>
            <w:r>
              <w:rPr>
                <w:rFonts w:ascii="Arial" w:cs="Arial" w:eastAsia="Arial" w:hAnsi="Arial"/>
                <w:sz w:val="16"/>
                <w:szCs w:val="16"/>
                <w:color w:val="auto"/>
              </w:rPr>
              <w:t>9.</w:t>
            </w:r>
          </w:p>
        </w:tc>
        <w:tc>
          <w:tcPr>
            <w:tcW w:w="6880" w:type="dxa"/>
            <w:vAlign w:val="bottom"/>
          </w:tcPr>
          <w:p>
            <w:pPr>
              <w:ind w:left="80"/>
              <w:spacing w:after="0"/>
              <w:rPr>
                <w:sz w:val="20"/>
                <w:szCs w:val="20"/>
                <w:color w:val="auto"/>
              </w:rPr>
            </w:pPr>
            <w:r>
              <w:rPr>
                <w:rFonts w:ascii="Arial" w:cs="Arial" w:eastAsia="Arial" w:hAnsi="Arial"/>
                <w:sz w:val="16"/>
                <w:szCs w:val="16"/>
                <w:color w:val="auto"/>
              </w:rPr>
              <w:t>chair the meetings of the Board when the Chairman is not present;</w:t>
            </w:r>
          </w:p>
        </w:tc>
        <w:tc>
          <w:tcPr>
            <w:tcW w:w="0" w:type="dxa"/>
            <w:vAlign w:val="bottom"/>
          </w:tcPr>
          <w:p>
            <w:pPr>
              <w:spacing w:after="0"/>
              <w:rPr>
                <w:sz w:val="1"/>
                <w:szCs w:val="1"/>
                <w:color w:val="auto"/>
              </w:rPr>
            </w:pPr>
          </w:p>
        </w:tc>
      </w:tr>
      <w:tr>
        <w:trPr>
          <w:trHeight w:val="256"/>
        </w:trPr>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ind w:left="520"/>
              <w:spacing w:after="0"/>
              <w:rPr>
                <w:sz w:val="20"/>
                <w:szCs w:val="20"/>
                <w:color w:val="auto"/>
              </w:rPr>
            </w:pPr>
            <w:r>
              <w:rPr>
                <w:rFonts w:ascii="Arial" w:cs="Arial" w:eastAsia="Arial" w:hAnsi="Arial"/>
                <w:sz w:val="16"/>
                <w:szCs w:val="16"/>
                <w:color w:val="auto"/>
              </w:rPr>
              <w:t>10.</w:t>
            </w:r>
          </w:p>
        </w:tc>
        <w:tc>
          <w:tcPr>
            <w:tcW w:w="6880" w:type="dxa"/>
            <w:vAlign w:val="bottom"/>
          </w:tcPr>
          <w:p>
            <w:pPr>
              <w:ind w:left="80"/>
              <w:spacing w:after="0"/>
              <w:rPr>
                <w:sz w:val="20"/>
                <w:szCs w:val="20"/>
                <w:color w:val="auto"/>
              </w:rPr>
            </w:pPr>
            <w:r>
              <w:rPr>
                <w:rFonts w:ascii="Arial" w:cs="Arial" w:eastAsia="Arial" w:hAnsi="Arial"/>
                <w:sz w:val="16"/>
                <w:szCs w:val="16"/>
                <w:color w:val="auto"/>
              </w:rPr>
              <w:t>with respect to questions and comments directed to the Lead Independent Director</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80" w:type="dxa"/>
            <w:vAlign w:val="bottom"/>
          </w:tcPr>
          <w:p>
            <w:pPr>
              <w:ind w:left="80"/>
              <w:spacing w:after="0"/>
              <w:rPr>
                <w:sz w:val="20"/>
                <w:szCs w:val="20"/>
                <w:color w:val="auto"/>
              </w:rPr>
            </w:pPr>
            <w:r>
              <w:rPr>
                <w:rFonts w:ascii="Arial" w:cs="Arial" w:eastAsia="Arial" w:hAnsi="Arial"/>
                <w:sz w:val="16"/>
                <w:szCs w:val="16"/>
                <w:color w:val="auto"/>
              </w:rPr>
              <w:t>or to the independent directors as a group, determine the appropriate means of</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80" w:type="dxa"/>
            <w:vAlign w:val="bottom"/>
          </w:tcPr>
          <w:p>
            <w:pPr>
              <w:ind w:left="80"/>
              <w:spacing w:after="0"/>
              <w:rPr>
                <w:sz w:val="20"/>
                <w:szCs w:val="20"/>
                <w:color w:val="auto"/>
              </w:rPr>
            </w:pPr>
            <w:r>
              <w:rPr>
                <w:rFonts w:ascii="Arial" w:cs="Arial" w:eastAsia="Arial" w:hAnsi="Arial"/>
                <w:sz w:val="16"/>
                <w:szCs w:val="16"/>
                <w:color w:val="auto"/>
              </w:rPr>
              <w:t>response, with such consultation with the Chief Executive Officer and Chairman and</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80" w:type="dxa"/>
            <w:vAlign w:val="bottom"/>
          </w:tcPr>
          <w:p>
            <w:pPr>
              <w:ind w:left="80"/>
              <w:spacing w:after="0"/>
              <w:rPr>
                <w:sz w:val="20"/>
                <w:szCs w:val="20"/>
                <w:color w:val="auto"/>
              </w:rPr>
            </w:pPr>
            <w:r>
              <w:rPr>
                <w:rFonts w:ascii="Arial" w:cs="Arial" w:eastAsia="Arial" w:hAnsi="Arial"/>
                <w:sz w:val="16"/>
                <w:szCs w:val="16"/>
                <w:color w:val="auto"/>
              </w:rPr>
              <w:t>other directors as the Lead Independent Director may deem appropriate; and</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tcPr>
          <w:p>
            <w:pPr>
              <w:ind w:left="520"/>
              <w:spacing w:after="0"/>
              <w:rPr>
                <w:sz w:val="20"/>
                <w:szCs w:val="20"/>
                <w:color w:val="auto"/>
              </w:rPr>
            </w:pPr>
            <w:r>
              <w:rPr>
                <w:rFonts w:ascii="Arial" w:cs="Arial" w:eastAsia="Arial" w:hAnsi="Arial"/>
                <w:sz w:val="16"/>
                <w:szCs w:val="16"/>
                <w:color w:val="auto"/>
              </w:rPr>
              <w:t>11.</w:t>
            </w:r>
          </w:p>
        </w:tc>
        <w:tc>
          <w:tcPr>
            <w:tcW w:w="6880" w:type="dxa"/>
            <w:vAlign w:val="bottom"/>
          </w:tcPr>
          <w:p>
            <w:pPr>
              <w:ind w:left="80"/>
              <w:spacing w:after="0"/>
              <w:rPr>
                <w:sz w:val="20"/>
                <w:szCs w:val="20"/>
                <w:color w:val="auto"/>
              </w:rPr>
            </w:pPr>
            <w:r>
              <w:rPr>
                <w:rFonts w:ascii="Arial" w:cs="Arial" w:eastAsia="Arial" w:hAnsi="Arial"/>
                <w:sz w:val="16"/>
                <w:szCs w:val="16"/>
                <w:color w:val="auto"/>
              </w:rPr>
              <w:t>perform such other duties as the Board from time to time may delegate.</w:t>
            </w:r>
          </w:p>
        </w:tc>
        <w:tc>
          <w:tcPr>
            <w:tcW w:w="0" w:type="dxa"/>
            <w:vAlign w:val="bottom"/>
          </w:tcPr>
          <w:p>
            <w:pPr>
              <w:spacing w:after="0"/>
              <w:rPr>
                <w:sz w:val="1"/>
                <w:szCs w:val="1"/>
                <w:color w:val="auto"/>
              </w:rPr>
            </w:pPr>
          </w:p>
        </w:tc>
      </w:tr>
      <w:tr>
        <w:trPr>
          <w:trHeight w:val="1008"/>
        </w:trPr>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602615</wp:posOffset>
            </wp:positionH>
            <wp:positionV relativeFrom="paragraph">
              <wp:posOffset>-4705985</wp:posOffset>
            </wp:positionV>
            <wp:extent cx="1071880" cy="13030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071880" cy="1303020"/>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p>
      <w:pPr>
        <w:ind w:left="820"/>
        <w:spacing w:after="0"/>
        <w:tabs>
          <w:tab w:leader="none" w:pos="1440" w:val="left"/>
          <w:tab w:leader="none" w:pos="9860" w:val="left"/>
        </w:tabs>
        <w:rPr>
          <w:sz w:val="20"/>
          <w:szCs w:val="20"/>
          <w:color w:val="auto"/>
        </w:rPr>
      </w:pPr>
      <w:r>
        <w:rPr>
          <w:rFonts w:ascii="Arial" w:cs="Arial" w:eastAsia="Arial" w:hAnsi="Arial"/>
          <w:sz w:val="22"/>
          <w:szCs w:val="22"/>
          <w:b w:val="1"/>
          <w:bCs w:val="1"/>
          <w:color w:val="1F2668"/>
        </w:rPr>
        <w:t>​24</w:t>
      </w:r>
      <w:r>
        <w:rPr>
          <w:sz w:val="20"/>
          <w:szCs w:val="20"/>
          <w:color w:val="auto"/>
        </w:rPr>
        <w:tab/>
      </w:r>
      <w:r>
        <w:rPr>
          <w:rFonts w:ascii="Arial" w:cs="Arial" w:eastAsia="Arial" w:hAnsi="Arial"/>
          <w:sz w:val="22"/>
          <w:szCs w:val="22"/>
          <w:b w:val="1"/>
          <w:bCs w:val="1"/>
          <w:color w:val="1F2668"/>
        </w:rPr>
        <w:t xml:space="preserve">​ ​ </w:t>
      </w:r>
      <w:r>
        <w:rPr>
          <w:rFonts w:ascii="Arial" w:cs="Arial" w:eastAsia="Arial" w:hAnsi="Arial"/>
          <w:sz w:val="14"/>
          <w:szCs w:val="14"/>
          <w:b w:val="1"/>
          <w:bCs w:val="1"/>
          <w:color w:val="1F2668"/>
        </w:rPr>
        <w:t>SL GREEN REALTY CORP. 2025 PROXY STATEMENT</w:t>
      </w:r>
      <w:r>
        <w:rPr>
          <w:sz w:val="20"/>
          <w:szCs w:val="20"/>
          <w:color w:val="auto"/>
        </w:rPr>
        <w:tab/>
      </w:r>
      <w:r>
        <w:rPr>
          <w:rFonts w:ascii="Arial" w:cs="Arial" w:eastAsia="Arial" w:hAnsi="Arial"/>
          <w:sz w:val="22"/>
          <w:szCs w:val="22"/>
          <w:b w:val="1"/>
          <w:bCs w:val="1"/>
          <w:color w:val="1F2668"/>
        </w:rPr>
        <w:t>​</w:t>
      </w:r>
    </w:p>
    <w:p>
      <w:pPr>
        <w:spacing w:after="0" w:line="200" w:lineRule="exact"/>
        <w:rPr>
          <w:sz w:val="20"/>
          <w:szCs w:val="20"/>
          <w:color w:val="auto"/>
        </w:rPr>
      </w:pPr>
    </w:p>
    <w:p>
      <w:pPr>
        <w:spacing w:after="0" w:line="285"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Board and Committee Self-Evaluations</w:t>
      </w:r>
    </w:p>
    <w:p>
      <w:pPr>
        <w:spacing w:after="0" w:line="133" w:lineRule="exact"/>
        <w:rPr>
          <w:sz w:val="20"/>
          <w:szCs w:val="20"/>
          <w:color w:val="auto"/>
        </w:rPr>
      </w:pPr>
    </w:p>
    <w:p>
      <w:pPr>
        <w:ind w:left="820" w:right="120"/>
        <w:spacing w:after="0" w:line="289" w:lineRule="auto"/>
        <w:rPr>
          <w:sz w:val="20"/>
          <w:szCs w:val="20"/>
          <w:color w:val="auto"/>
        </w:rPr>
      </w:pPr>
      <w:r>
        <w:rPr>
          <w:rFonts w:ascii="Arial" w:cs="Arial" w:eastAsia="Arial" w:hAnsi="Arial"/>
          <w:sz w:val="16"/>
          <w:szCs w:val="16"/>
          <w:color w:val="auto"/>
        </w:rPr>
        <w:t>The Board believes that good governance can only be achieved through rigorous self-evaluation. Each year, our Nominating and Corporate Governance Committee establishes formal self-assessment procedures that are consistent with our Governance Principles, NYSE listing requirements and best practices identified during prior self-evaluations. The Board also engages with stockholders and third party advisers throughout the year to discuss corporate governance practices, and to ensure that the Board and its committees follow practices that are optimal for the Company and its stockholders while also delivering superior total return.</w:t>
      </w:r>
    </w:p>
    <w:p>
      <w:pPr>
        <w:spacing w:after="0" w:line="160"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83AD40"/>
        </w:rPr>
        <w:t>Board Evaluation Process</w:t>
      </w:r>
    </w:p>
    <w:p>
      <w:pPr>
        <w:spacing w:after="0" w:line="152" w:lineRule="exact"/>
        <w:rPr>
          <w:sz w:val="20"/>
          <w:szCs w:val="20"/>
          <w:color w:val="auto"/>
        </w:rPr>
      </w:pPr>
    </w:p>
    <w:tbl>
      <w:tblPr>
        <w:tblLayout w:type="fixed"/>
        <w:tblInd w:w="820" w:type="dxa"/>
        <w:tblCellMar>
          <w:top w:w="0" w:type="dxa"/>
          <w:left w:w="0" w:type="dxa"/>
          <w:bottom w:w="0" w:type="dxa"/>
          <w:right w:w="0" w:type="dxa"/>
        </w:tblCellMar>
      </w:tblPr>
      <w:tr>
        <w:trPr>
          <w:trHeight w:val="236"/>
        </w:trPr>
        <w:tc>
          <w:tcPr>
            <w:tcW w:w="2700" w:type="dxa"/>
            <w:vAlign w:val="bottom"/>
            <w:tcBorders>
              <w:top w:val="single" w:sz="8" w:color="83AD40"/>
            </w:tcBorders>
          </w:tcPr>
          <w:p>
            <w:pPr>
              <w:spacing w:after="0"/>
              <w:rPr>
                <w:sz w:val="20"/>
                <w:szCs w:val="20"/>
                <w:color w:val="auto"/>
              </w:rPr>
            </w:pPr>
            <w:r>
              <w:rPr>
                <w:rFonts w:ascii="Arial" w:cs="Arial" w:eastAsia="Arial" w:hAnsi="Arial"/>
                <w:sz w:val="16"/>
                <w:szCs w:val="16"/>
                <w:b w:val="1"/>
                <w:bCs w:val="1"/>
                <w:color w:val="1F2668"/>
              </w:rPr>
              <w:t>​</w:t>
            </w:r>
          </w:p>
        </w:tc>
        <w:tc>
          <w:tcPr>
            <w:tcW w:w="280" w:type="dxa"/>
            <w:vAlign w:val="bottom"/>
            <w:tcBorders>
              <w:top w:val="single" w:sz="8" w:color="83AD40"/>
              <w:right w:val="single" w:sz="8" w:color="83AD40"/>
            </w:tcBorders>
          </w:tcPr>
          <w:p>
            <w:pPr>
              <w:ind w:left="160"/>
              <w:spacing w:after="0"/>
              <w:rPr>
                <w:sz w:val="20"/>
                <w:szCs w:val="20"/>
                <w:color w:val="auto"/>
              </w:rPr>
            </w:pPr>
            <w:r>
              <w:rPr>
                <w:rFonts w:ascii="Arial" w:cs="Arial" w:eastAsia="Arial" w:hAnsi="Arial"/>
                <w:sz w:val="16"/>
                <w:szCs w:val="16"/>
                <w:b w:val="1"/>
                <w:bCs w:val="1"/>
                <w:color w:val="1F2668"/>
              </w:rPr>
              <w:t>​</w:t>
            </w:r>
          </w:p>
        </w:tc>
        <w:tc>
          <w:tcPr>
            <w:tcW w:w="60" w:type="dxa"/>
            <w:vAlign w:val="bottom"/>
            <w:tcBorders>
              <w:top w:val="single" w:sz="8" w:color="83AD40"/>
            </w:tcBorders>
          </w:tcPr>
          <w:p>
            <w:pPr>
              <w:spacing w:after="0"/>
              <w:rPr>
                <w:sz w:val="20"/>
                <w:szCs w:val="20"/>
                <w:color w:val="auto"/>
              </w:rPr>
            </w:pPr>
            <w:r>
              <w:rPr>
                <w:rFonts w:ascii="Arial" w:cs="Arial" w:eastAsia="Arial" w:hAnsi="Arial"/>
                <w:sz w:val="16"/>
                <w:szCs w:val="16"/>
                <w:b w:val="1"/>
                <w:bCs w:val="1"/>
                <w:color w:val="1F2668"/>
              </w:rPr>
              <w:t>​</w:t>
            </w:r>
          </w:p>
        </w:tc>
        <w:tc>
          <w:tcPr>
            <w:tcW w:w="2960" w:type="dxa"/>
            <w:vAlign w:val="bottom"/>
            <w:tcBorders>
              <w:top w:val="single" w:sz="8" w:color="83AD40"/>
              <w:right w:val="single" w:sz="8" w:color="83AD40"/>
            </w:tcBorders>
          </w:tcPr>
          <w:p>
            <w:pPr>
              <w:ind w:left="2860"/>
              <w:spacing w:after="0"/>
              <w:rPr>
                <w:sz w:val="20"/>
                <w:szCs w:val="20"/>
                <w:color w:val="auto"/>
              </w:rPr>
            </w:pPr>
            <w:r>
              <w:rPr>
                <w:rFonts w:ascii="Arial" w:cs="Arial" w:eastAsia="Arial" w:hAnsi="Arial"/>
                <w:sz w:val="16"/>
                <w:szCs w:val="16"/>
                <w:b w:val="1"/>
                <w:bCs w:val="1"/>
                <w:color w:val="1F2668"/>
              </w:rPr>
              <w:t>​</w:t>
            </w:r>
          </w:p>
        </w:tc>
        <w:tc>
          <w:tcPr>
            <w:tcW w:w="80" w:type="dxa"/>
            <w:vAlign w:val="bottom"/>
            <w:tcBorders>
              <w:top w:val="single" w:sz="8" w:color="83AD40"/>
            </w:tcBorders>
          </w:tcPr>
          <w:p>
            <w:pPr>
              <w:spacing w:after="0"/>
              <w:rPr>
                <w:sz w:val="20"/>
                <w:szCs w:val="20"/>
                <w:color w:val="auto"/>
              </w:rPr>
            </w:pPr>
            <w:r>
              <w:rPr>
                <w:rFonts w:ascii="Arial" w:cs="Arial" w:eastAsia="Arial" w:hAnsi="Arial"/>
                <w:sz w:val="16"/>
                <w:szCs w:val="16"/>
                <w:b w:val="1"/>
                <w:bCs w:val="1"/>
                <w:color w:val="1F2668"/>
              </w:rPr>
              <w:t>​</w:t>
            </w:r>
          </w:p>
        </w:tc>
        <w:tc>
          <w:tcPr>
            <w:tcW w:w="2980" w:type="dxa"/>
            <w:vAlign w:val="bottom"/>
            <w:tcBorders>
              <w:top w:val="single" w:sz="8" w:color="83AD40"/>
            </w:tcBorders>
          </w:tcPr>
          <w:p>
            <w:pPr>
              <w:ind w:left="2860"/>
              <w:spacing w:after="0"/>
              <w:rPr>
                <w:sz w:val="20"/>
                <w:szCs w:val="20"/>
                <w:color w:val="auto"/>
              </w:rPr>
            </w:pPr>
            <w:r>
              <w:rPr>
                <w:rFonts w:ascii="Arial" w:cs="Arial" w:eastAsia="Arial" w:hAnsi="Arial"/>
                <w:sz w:val="16"/>
                <w:szCs w:val="16"/>
                <w:b w:val="1"/>
                <w:bCs w:val="1"/>
                <w:color w:val="1F2668"/>
              </w:rPr>
              <w:t>​</w:t>
            </w:r>
          </w:p>
        </w:tc>
      </w:tr>
      <w:tr>
        <w:trPr>
          <w:trHeight w:val="587"/>
        </w:trPr>
        <w:tc>
          <w:tcPr>
            <w:tcW w:w="2700" w:type="dxa"/>
            <w:vAlign w:val="bottom"/>
          </w:tcPr>
          <w:p>
            <w:pPr>
              <w:spacing w:after="0"/>
              <w:rPr>
                <w:sz w:val="20"/>
                <w:szCs w:val="20"/>
                <w:color w:val="auto"/>
              </w:rPr>
            </w:pPr>
            <w:r>
              <w:rPr>
                <w:rFonts w:ascii="Arial" w:cs="Arial" w:eastAsia="Arial" w:hAnsi="Arial"/>
                <w:sz w:val="16"/>
                <w:szCs w:val="16"/>
                <w:b w:val="1"/>
                <w:bCs w:val="1"/>
                <w:color w:val="1F2668"/>
              </w:rPr>
              <w:t>​</w:t>
            </w:r>
          </w:p>
        </w:tc>
        <w:tc>
          <w:tcPr>
            <w:tcW w:w="280" w:type="dxa"/>
            <w:vAlign w:val="bottom"/>
            <w:tcBorders>
              <w:right w:val="single" w:sz="8" w:color="83AD40"/>
            </w:tcBorders>
          </w:tcPr>
          <w:p>
            <w:pPr>
              <w:ind w:left="160"/>
              <w:spacing w:after="0"/>
              <w:rPr>
                <w:sz w:val="20"/>
                <w:szCs w:val="20"/>
                <w:color w:val="auto"/>
              </w:rPr>
            </w:pPr>
            <w:r>
              <w:rPr>
                <w:rFonts w:ascii="Arial" w:cs="Arial" w:eastAsia="Arial" w:hAnsi="Arial"/>
                <w:sz w:val="16"/>
                <w:szCs w:val="16"/>
                <w:b w:val="1"/>
                <w:bCs w:val="1"/>
                <w:color w:val="1F2668"/>
              </w:rPr>
              <w:t>​</w:t>
            </w:r>
          </w:p>
        </w:tc>
        <w:tc>
          <w:tcPr>
            <w:tcW w:w="60" w:type="dxa"/>
            <w:vAlign w:val="bottom"/>
          </w:tcPr>
          <w:p>
            <w:pPr>
              <w:spacing w:after="0"/>
              <w:rPr>
                <w:sz w:val="20"/>
                <w:szCs w:val="20"/>
                <w:color w:val="auto"/>
              </w:rPr>
            </w:pPr>
            <w:r>
              <w:rPr>
                <w:rFonts w:ascii="Arial" w:cs="Arial" w:eastAsia="Arial" w:hAnsi="Arial"/>
                <w:sz w:val="16"/>
                <w:szCs w:val="16"/>
                <w:b w:val="1"/>
                <w:bCs w:val="1"/>
                <w:color w:val="1F2668"/>
              </w:rPr>
              <w:t>​</w:t>
            </w:r>
          </w:p>
        </w:tc>
        <w:tc>
          <w:tcPr>
            <w:tcW w:w="2960" w:type="dxa"/>
            <w:vAlign w:val="bottom"/>
            <w:tcBorders>
              <w:right w:val="single" w:sz="8" w:color="83AD40"/>
            </w:tcBorders>
          </w:tcPr>
          <w:p>
            <w:pPr>
              <w:ind w:left="2860"/>
              <w:spacing w:after="0"/>
              <w:rPr>
                <w:sz w:val="20"/>
                <w:szCs w:val="20"/>
                <w:color w:val="auto"/>
              </w:rPr>
            </w:pPr>
            <w:r>
              <w:rPr>
                <w:rFonts w:ascii="Arial" w:cs="Arial" w:eastAsia="Arial" w:hAnsi="Arial"/>
                <w:sz w:val="16"/>
                <w:szCs w:val="16"/>
                <w:b w:val="1"/>
                <w:bCs w:val="1"/>
                <w:color w:val="1F2668"/>
              </w:rPr>
              <w:t>​</w:t>
            </w:r>
          </w:p>
        </w:tc>
        <w:tc>
          <w:tcPr>
            <w:tcW w:w="80" w:type="dxa"/>
            <w:vAlign w:val="bottom"/>
          </w:tcPr>
          <w:p>
            <w:pPr>
              <w:spacing w:after="0"/>
              <w:rPr>
                <w:sz w:val="20"/>
                <w:szCs w:val="20"/>
                <w:color w:val="auto"/>
              </w:rPr>
            </w:pPr>
            <w:r>
              <w:rPr>
                <w:rFonts w:ascii="Arial" w:cs="Arial" w:eastAsia="Arial" w:hAnsi="Arial"/>
                <w:sz w:val="16"/>
                <w:szCs w:val="16"/>
                <w:b w:val="1"/>
                <w:bCs w:val="1"/>
                <w:color w:val="1F2668"/>
              </w:rPr>
              <w:t>​</w:t>
            </w:r>
          </w:p>
        </w:tc>
        <w:tc>
          <w:tcPr>
            <w:tcW w:w="2980" w:type="dxa"/>
            <w:vAlign w:val="bottom"/>
          </w:tcPr>
          <w:p>
            <w:pPr>
              <w:ind w:left="2860"/>
              <w:spacing w:after="0"/>
              <w:rPr>
                <w:sz w:val="20"/>
                <w:szCs w:val="20"/>
                <w:color w:val="auto"/>
              </w:rPr>
            </w:pPr>
            <w:r>
              <w:rPr>
                <w:rFonts w:ascii="Arial" w:cs="Arial" w:eastAsia="Arial" w:hAnsi="Arial"/>
                <w:sz w:val="16"/>
                <w:szCs w:val="16"/>
                <w:b w:val="1"/>
                <w:bCs w:val="1"/>
                <w:color w:val="1F2668"/>
              </w:rPr>
              <w:t>​</w:t>
            </w:r>
          </w:p>
        </w:tc>
      </w:tr>
      <w:tr>
        <w:trPr>
          <w:trHeight w:val="202"/>
        </w:trPr>
        <w:tc>
          <w:tcPr>
            <w:tcW w:w="2700" w:type="dxa"/>
            <w:vAlign w:val="bottom"/>
          </w:tcPr>
          <w:p>
            <w:pPr>
              <w:ind w:left="20"/>
              <w:spacing w:after="0"/>
              <w:rPr>
                <w:sz w:val="20"/>
                <w:szCs w:val="20"/>
                <w:color w:val="auto"/>
              </w:rPr>
            </w:pPr>
            <w:r>
              <w:rPr>
                <w:rFonts w:ascii="Arial" w:cs="Arial" w:eastAsia="Arial" w:hAnsi="Arial"/>
                <w:sz w:val="16"/>
                <w:szCs w:val="16"/>
                <w:b w:val="1"/>
                <w:bCs w:val="1"/>
                <w:color w:val="1F2668"/>
              </w:rPr>
              <w:t>Initiate Process</w:t>
            </w:r>
          </w:p>
        </w:tc>
        <w:tc>
          <w:tcPr>
            <w:tcW w:w="280" w:type="dxa"/>
            <w:vAlign w:val="bottom"/>
            <w:tcBorders>
              <w:right w:val="single" w:sz="8" w:color="83AD40"/>
            </w:tcBorders>
          </w:tcPr>
          <w:p>
            <w:pPr>
              <w:spacing w:after="0"/>
              <w:rPr>
                <w:sz w:val="17"/>
                <w:szCs w:val="17"/>
                <w:color w:val="auto"/>
              </w:rPr>
            </w:pPr>
          </w:p>
        </w:tc>
        <w:tc>
          <w:tcPr>
            <w:tcW w:w="60" w:type="dxa"/>
            <w:vAlign w:val="bottom"/>
          </w:tcPr>
          <w:p>
            <w:pPr>
              <w:spacing w:after="0"/>
              <w:rPr>
                <w:sz w:val="17"/>
                <w:szCs w:val="17"/>
                <w:color w:val="auto"/>
              </w:rPr>
            </w:pPr>
          </w:p>
        </w:tc>
        <w:tc>
          <w:tcPr>
            <w:tcW w:w="2960" w:type="dxa"/>
            <w:vAlign w:val="bottom"/>
            <w:tcBorders>
              <w:right w:val="single" w:sz="8" w:color="83AD40"/>
            </w:tcBorders>
          </w:tcPr>
          <w:p>
            <w:pPr>
              <w:ind w:left="20"/>
              <w:spacing w:after="0"/>
              <w:rPr>
                <w:sz w:val="20"/>
                <w:szCs w:val="20"/>
                <w:color w:val="auto"/>
              </w:rPr>
            </w:pPr>
            <w:r>
              <w:rPr>
                <w:rFonts w:ascii="Arial" w:cs="Arial" w:eastAsia="Arial" w:hAnsi="Arial"/>
                <w:sz w:val="16"/>
                <w:szCs w:val="16"/>
                <w:b w:val="1"/>
                <w:bCs w:val="1"/>
                <w:color w:val="1F2668"/>
              </w:rPr>
              <w:t>Conduct Evaluation</w:t>
            </w:r>
          </w:p>
        </w:tc>
        <w:tc>
          <w:tcPr>
            <w:tcW w:w="80" w:type="dxa"/>
            <w:vAlign w:val="bottom"/>
          </w:tcPr>
          <w:p>
            <w:pPr>
              <w:spacing w:after="0"/>
              <w:rPr>
                <w:sz w:val="17"/>
                <w:szCs w:val="17"/>
                <w:color w:val="auto"/>
              </w:rPr>
            </w:pPr>
          </w:p>
        </w:tc>
        <w:tc>
          <w:tcPr>
            <w:tcW w:w="2980" w:type="dxa"/>
            <w:vAlign w:val="bottom"/>
          </w:tcPr>
          <w:p>
            <w:pPr>
              <w:ind w:left="20"/>
              <w:spacing w:after="0"/>
              <w:rPr>
                <w:sz w:val="20"/>
                <w:szCs w:val="20"/>
                <w:color w:val="auto"/>
              </w:rPr>
            </w:pPr>
            <w:r>
              <w:rPr>
                <w:rFonts w:ascii="Arial" w:cs="Arial" w:eastAsia="Arial" w:hAnsi="Arial"/>
                <w:sz w:val="16"/>
                <w:szCs w:val="16"/>
                <w:b w:val="1"/>
                <w:bCs w:val="1"/>
                <w:color w:val="1F2668"/>
              </w:rPr>
              <w:t>Implement Conclusions</w:t>
            </w:r>
          </w:p>
        </w:tc>
      </w:tr>
      <w:tr>
        <w:trPr>
          <w:trHeight w:val="163"/>
        </w:trPr>
        <w:tc>
          <w:tcPr>
            <w:tcW w:w="2700" w:type="dxa"/>
            <w:vAlign w:val="bottom"/>
          </w:tcPr>
          <w:p>
            <w:pPr>
              <w:spacing w:after="0" w:line="163" w:lineRule="exact"/>
              <w:rPr>
                <w:sz w:val="20"/>
                <w:szCs w:val="20"/>
                <w:color w:val="auto"/>
              </w:rPr>
            </w:pPr>
            <w:r>
              <w:rPr>
                <w:rFonts w:ascii="Arial" w:cs="Arial" w:eastAsia="Arial" w:hAnsi="Arial"/>
                <w:sz w:val="16"/>
                <w:szCs w:val="16"/>
                <w:color w:val="auto"/>
              </w:rPr>
              <w:t>​</w:t>
            </w:r>
          </w:p>
        </w:tc>
        <w:tc>
          <w:tcPr>
            <w:tcW w:w="280" w:type="dxa"/>
            <w:vAlign w:val="bottom"/>
            <w:tcBorders>
              <w:right w:val="single" w:sz="8" w:color="83AD40"/>
            </w:tcBorders>
          </w:tcPr>
          <w:p>
            <w:pPr>
              <w:ind w:left="160"/>
              <w:spacing w:after="0" w:line="163" w:lineRule="exact"/>
              <w:rPr>
                <w:sz w:val="20"/>
                <w:szCs w:val="20"/>
                <w:color w:val="auto"/>
              </w:rPr>
            </w:pPr>
            <w:r>
              <w:rPr>
                <w:rFonts w:ascii="Arial" w:cs="Arial" w:eastAsia="Arial" w:hAnsi="Arial"/>
                <w:sz w:val="16"/>
                <w:szCs w:val="16"/>
                <w:color w:val="auto"/>
              </w:rPr>
              <w:t>​</w:t>
            </w:r>
          </w:p>
        </w:tc>
        <w:tc>
          <w:tcPr>
            <w:tcW w:w="60" w:type="dxa"/>
            <w:vAlign w:val="bottom"/>
          </w:tcPr>
          <w:p>
            <w:pPr>
              <w:spacing w:after="0" w:line="163" w:lineRule="exact"/>
              <w:rPr>
                <w:sz w:val="20"/>
                <w:szCs w:val="20"/>
                <w:color w:val="auto"/>
              </w:rPr>
            </w:pPr>
            <w:r>
              <w:rPr>
                <w:rFonts w:ascii="Arial" w:cs="Arial" w:eastAsia="Arial" w:hAnsi="Arial"/>
                <w:sz w:val="16"/>
                <w:szCs w:val="16"/>
                <w:color w:val="auto"/>
              </w:rPr>
              <w:t>​</w:t>
            </w:r>
          </w:p>
        </w:tc>
        <w:tc>
          <w:tcPr>
            <w:tcW w:w="2960" w:type="dxa"/>
            <w:vAlign w:val="bottom"/>
            <w:tcBorders>
              <w:right w:val="single" w:sz="8" w:color="83AD40"/>
            </w:tcBorders>
          </w:tcPr>
          <w:p>
            <w:pPr>
              <w:ind w:left="2860"/>
              <w:spacing w:after="0" w:line="163" w:lineRule="exact"/>
              <w:rPr>
                <w:sz w:val="20"/>
                <w:szCs w:val="20"/>
                <w:color w:val="auto"/>
              </w:rPr>
            </w:pPr>
            <w:r>
              <w:rPr>
                <w:rFonts w:ascii="Arial" w:cs="Arial" w:eastAsia="Arial" w:hAnsi="Arial"/>
                <w:sz w:val="16"/>
                <w:szCs w:val="16"/>
                <w:color w:val="auto"/>
              </w:rPr>
              <w:t>​</w:t>
            </w:r>
          </w:p>
        </w:tc>
        <w:tc>
          <w:tcPr>
            <w:tcW w:w="80" w:type="dxa"/>
            <w:vAlign w:val="bottom"/>
          </w:tcPr>
          <w:p>
            <w:pPr>
              <w:spacing w:after="0" w:line="163" w:lineRule="exact"/>
              <w:rPr>
                <w:sz w:val="20"/>
                <w:szCs w:val="20"/>
                <w:color w:val="auto"/>
              </w:rPr>
            </w:pPr>
            <w:r>
              <w:rPr>
                <w:rFonts w:ascii="Arial" w:cs="Arial" w:eastAsia="Arial" w:hAnsi="Arial"/>
                <w:sz w:val="16"/>
                <w:szCs w:val="16"/>
                <w:color w:val="auto"/>
              </w:rPr>
              <w:t>​</w:t>
            </w:r>
          </w:p>
        </w:tc>
        <w:tc>
          <w:tcPr>
            <w:tcW w:w="2980" w:type="dxa"/>
            <w:vAlign w:val="bottom"/>
          </w:tcPr>
          <w:p>
            <w:pPr>
              <w:ind w:left="2860"/>
              <w:spacing w:after="0" w:line="163" w:lineRule="exact"/>
              <w:rPr>
                <w:sz w:val="20"/>
                <w:szCs w:val="20"/>
                <w:color w:val="auto"/>
              </w:rPr>
            </w:pPr>
            <w:r>
              <w:rPr>
                <w:rFonts w:ascii="Arial" w:cs="Arial" w:eastAsia="Arial" w:hAnsi="Arial"/>
                <w:sz w:val="16"/>
                <w:szCs w:val="16"/>
                <w:color w:val="auto"/>
              </w:rPr>
              <w:t>​</w:t>
            </w:r>
          </w:p>
        </w:tc>
      </w:tr>
      <w:tr>
        <w:trPr>
          <w:trHeight w:val="202"/>
        </w:trPr>
        <w:tc>
          <w:tcPr>
            <w:tcW w:w="2700" w:type="dxa"/>
            <w:vAlign w:val="bottom"/>
          </w:tcPr>
          <w:p>
            <w:pPr>
              <w:ind w:left="20"/>
              <w:spacing w:after="0"/>
              <w:rPr>
                <w:sz w:val="20"/>
                <w:szCs w:val="20"/>
                <w:color w:val="auto"/>
              </w:rPr>
            </w:pPr>
            <w:r>
              <w:rPr>
                <w:rFonts w:ascii="Arial" w:cs="Arial" w:eastAsia="Arial" w:hAnsi="Arial"/>
                <w:sz w:val="16"/>
                <w:szCs w:val="16"/>
                <w:color w:val="auto"/>
              </w:rPr>
              <w:t>NCGC establishes Board and</w:t>
            </w:r>
          </w:p>
        </w:tc>
        <w:tc>
          <w:tcPr>
            <w:tcW w:w="280" w:type="dxa"/>
            <w:vAlign w:val="bottom"/>
            <w:tcBorders>
              <w:right w:val="single" w:sz="8" w:color="83AD40"/>
            </w:tcBorders>
          </w:tcPr>
          <w:p>
            <w:pPr>
              <w:spacing w:after="0"/>
              <w:rPr>
                <w:sz w:val="17"/>
                <w:szCs w:val="17"/>
                <w:color w:val="auto"/>
              </w:rPr>
            </w:pPr>
          </w:p>
        </w:tc>
        <w:tc>
          <w:tcPr>
            <w:tcW w:w="60" w:type="dxa"/>
            <w:vAlign w:val="bottom"/>
          </w:tcPr>
          <w:p>
            <w:pPr>
              <w:spacing w:after="0"/>
              <w:rPr>
                <w:sz w:val="17"/>
                <w:szCs w:val="17"/>
                <w:color w:val="auto"/>
              </w:rPr>
            </w:pPr>
          </w:p>
        </w:tc>
        <w:tc>
          <w:tcPr>
            <w:tcW w:w="2960" w:type="dxa"/>
            <w:vAlign w:val="bottom"/>
            <w:tcBorders>
              <w:right w:val="single" w:sz="8" w:color="83AD40"/>
            </w:tcBorders>
          </w:tcPr>
          <w:p>
            <w:pPr>
              <w:ind w:left="20"/>
              <w:spacing w:after="0"/>
              <w:rPr>
                <w:sz w:val="20"/>
                <w:szCs w:val="20"/>
                <w:color w:val="auto"/>
              </w:rPr>
            </w:pPr>
            <w:r>
              <w:rPr>
                <w:rFonts w:ascii="Arial" w:cs="Arial" w:eastAsia="Arial" w:hAnsi="Arial"/>
                <w:sz w:val="16"/>
                <w:szCs w:val="16"/>
                <w:color w:val="auto"/>
              </w:rPr>
              <w:t>Directors meet to formally discuss the</w:t>
            </w:r>
          </w:p>
        </w:tc>
        <w:tc>
          <w:tcPr>
            <w:tcW w:w="80" w:type="dxa"/>
            <w:vAlign w:val="bottom"/>
          </w:tcPr>
          <w:p>
            <w:pPr>
              <w:spacing w:after="0"/>
              <w:rPr>
                <w:sz w:val="17"/>
                <w:szCs w:val="17"/>
                <w:color w:val="auto"/>
              </w:rPr>
            </w:pPr>
          </w:p>
        </w:tc>
        <w:tc>
          <w:tcPr>
            <w:tcW w:w="2980" w:type="dxa"/>
            <w:vAlign w:val="bottom"/>
          </w:tcPr>
          <w:p>
            <w:pPr>
              <w:ind w:left="20"/>
              <w:spacing w:after="0"/>
              <w:rPr>
                <w:sz w:val="20"/>
                <w:szCs w:val="20"/>
                <w:color w:val="auto"/>
              </w:rPr>
            </w:pPr>
            <w:r>
              <w:rPr>
                <w:rFonts w:ascii="Arial" w:cs="Arial" w:eastAsia="Arial" w:hAnsi="Arial"/>
                <w:sz w:val="16"/>
                <w:szCs w:val="16"/>
                <w:color w:val="auto"/>
              </w:rPr>
              <w:t>The Board and each committee</w:t>
            </w:r>
          </w:p>
        </w:tc>
      </w:tr>
      <w:tr>
        <w:trPr>
          <w:trHeight w:val="203"/>
        </w:trPr>
        <w:tc>
          <w:tcPr>
            <w:tcW w:w="2700" w:type="dxa"/>
            <w:vAlign w:val="bottom"/>
          </w:tcPr>
          <w:p>
            <w:pPr>
              <w:ind w:left="20"/>
              <w:spacing w:after="0"/>
              <w:rPr>
                <w:sz w:val="20"/>
                <w:szCs w:val="20"/>
                <w:color w:val="auto"/>
              </w:rPr>
            </w:pPr>
            <w:r>
              <w:rPr>
                <w:rFonts w:ascii="Arial" w:cs="Arial" w:eastAsia="Arial" w:hAnsi="Arial"/>
                <w:sz w:val="16"/>
                <w:szCs w:val="16"/>
                <w:color w:val="auto"/>
              </w:rPr>
              <w:t>committee self-evaluation process,</w:t>
            </w:r>
          </w:p>
        </w:tc>
        <w:tc>
          <w:tcPr>
            <w:tcW w:w="280" w:type="dxa"/>
            <w:vAlign w:val="bottom"/>
            <w:tcBorders>
              <w:right w:val="single" w:sz="8" w:color="83AD40"/>
            </w:tcBorders>
          </w:tcPr>
          <w:p>
            <w:pPr>
              <w:spacing w:after="0"/>
              <w:rPr>
                <w:sz w:val="17"/>
                <w:szCs w:val="17"/>
                <w:color w:val="auto"/>
              </w:rPr>
            </w:pPr>
          </w:p>
        </w:tc>
        <w:tc>
          <w:tcPr>
            <w:tcW w:w="60" w:type="dxa"/>
            <w:vAlign w:val="bottom"/>
          </w:tcPr>
          <w:p>
            <w:pPr>
              <w:spacing w:after="0"/>
              <w:rPr>
                <w:sz w:val="17"/>
                <w:szCs w:val="17"/>
                <w:color w:val="auto"/>
              </w:rPr>
            </w:pPr>
          </w:p>
        </w:tc>
        <w:tc>
          <w:tcPr>
            <w:tcW w:w="2960" w:type="dxa"/>
            <w:vAlign w:val="bottom"/>
            <w:tcBorders>
              <w:right w:val="single" w:sz="8" w:color="83AD40"/>
            </w:tcBorders>
          </w:tcPr>
          <w:p>
            <w:pPr>
              <w:ind w:left="20"/>
              <w:spacing w:after="0"/>
              <w:rPr>
                <w:sz w:val="20"/>
                <w:szCs w:val="20"/>
                <w:color w:val="auto"/>
              </w:rPr>
            </w:pPr>
            <w:r>
              <w:rPr>
                <w:rFonts w:ascii="Arial" w:cs="Arial" w:eastAsia="Arial" w:hAnsi="Arial"/>
                <w:sz w:val="16"/>
                <w:szCs w:val="16"/>
                <w:color w:val="auto"/>
              </w:rPr>
              <w:t>functioning of the Board and any</w:t>
            </w:r>
          </w:p>
        </w:tc>
        <w:tc>
          <w:tcPr>
            <w:tcW w:w="80" w:type="dxa"/>
            <w:vAlign w:val="bottom"/>
          </w:tcPr>
          <w:p>
            <w:pPr>
              <w:spacing w:after="0"/>
              <w:rPr>
                <w:sz w:val="17"/>
                <w:szCs w:val="17"/>
                <w:color w:val="auto"/>
              </w:rPr>
            </w:pPr>
          </w:p>
        </w:tc>
        <w:tc>
          <w:tcPr>
            <w:tcW w:w="2980" w:type="dxa"/>
            <w:vAlign w:val="bottom"/>
          </w:tcPr>
          <w:p>
            <w:pPr>
              <w:ind w:left="20"/>
              <w:spacing w:after="0"/>
              <w:rPr>
                <w:sz w:val="20"/>
                <w:szCs w:val="20"/>
                <w:color w:val="auto"/>
              </w:rPr>
            </w:pPr>
            <w:r>
              <w:rPr>
                <w:rFonts w:ascii="Arial" w:cs="Arial" w:eastAsia="Arial" w:hAnsi="Arial"/>
                <w:sz w:val="16"/>
                <w:szCs w:val="16"/>
                <w:color w:val="auto"/>
              </w:rPr>
              <w:t>implement proposed governance</w:t>
            </w:r>
          </w:p>
        </w:tc>
      </w:tr>
      <w:tr>
        <w:trPr>
          <w:trHeight w:val="189"/>
        </w:trPr>
        <w:tc>
          <w:tcPr>
            <w:tcW w:w="2700" w:type="dxa"/>
            <w:vAlign w:val="bottom"/>
          </w:tcPr>
          <w:p>
            <w:pPr>
              <w:ind w:left="20"/>
              <w:spacing w:after="0"/>
              <w:rPr>
                <w:sz w:val="20"/>
                <w:szCs w:val="20"/>
                <w:color w:val="auto"/>
              </w:rPr>
            </w:pPr>
            <w:r>
              <w:rPr>
                <w:rFonts w:ascii="Arial" w:cs="Arial" w:eastAsia="Arial" w:hAnsi="Arial"/>
                <w:sz w:val="16"/>
                <w:szCs w:val="16"/>
                <w:color w:val="auto"/>
              </w:rPr>
              <w:t>including incorporation of process</w:t>
            </w:r>
          </w:p>
        </w:tc>
        <w:tc>
          <w:tcPr>
            <w:tcW w:w="280" w:type="dxa"/>
            <w:vAlign w:val="bottom"/>
            <w:tcBorders>
              <w:right w:val="single" w:sz="8" w:color="83AD40"/>
            </w:tcBorders>
          </w:tcPr>
          <w:p>
            <w:pPr>
              <w:spacing w:after="0"/>
              <w:rPr>
                <w:sz w:val="16"/>
                <w:szCs w:val="16"/>
                <w:color w:val="auto"/>
              </w:rPr>
            </w:pPr>
          </w:p>
        </w:tc>
        <w:tc>
          <w:tcPr>
            <w:tcW w:w="60" w:type="dxa"/>
            <w:vAlign w:val="bottom"/>
          </w:tcPr>
          <w:p>
            <w:pPr>
              <w:spacing w:after="0"/>
              <w:rPr>
                <w:sz w:val="16"/>
                <w:szCs w:val="16"/>
                <w:color w:val="auto"/>
              </w:rPr>
            </w:pPr>
          </w:p>
        </w:tc>
        <w:tc>
          <w:tcPr>
            <w:tcW w:w="2960" w:type="dxa"/>
            <w:vAlign w:val="bottom"/>
            <w:tcBorders>
              <w:right w:val="single" w:sz="8" w:color="83AD40"/>
            </w:tcBorders>
          </w:tcPr>
          <w:p>
            <w:pPr>
              <w:ind w:left="20"/>
              <w:spacing w:after="0"/>
              <w:rPr>
                <w:sz w:val="20"/>
                <w:szCs w:val="20"/>
                <w:color w:val="auto"/>
              </w:rPr>
            </w:pPr>
            <w:r>
              <w:rPr>
                <w:rFonts w:ascii="Arial" w:cs="Arial" w:eastAsia="Arial" w:hAnsi="Arial"/>
                <w:sz w:val="16"/>
                <w:szCs w:val="16"/>
                <w:color w:val="auto"/>
              </w:rPr>
              <w:t>committees on which they serve to</w:t>
            </w:r>
          </w:p>
        </w:tc>
        <w:tc>
          <w:tcPr>
            <w:tcW w:w="80" w:type="dxa"/>
            <w:vAlign w:val="bottom"/>
          </w:tcPr>
          <w:p>
            <w:pPr>
              <w:spacing w:after="0"/>
              <w:rPr>
                <w:sz w:val="16"/>
                <w:szCs w:val="16"/>
                <w:color w:val="auto"/>
              </w:rPr>
            </w:pPr>
          </w:p>
        </w:tc>
        <w:tc>
          <w:tcPr>
            <w:tcW w:w="2980" w:type="dxa"/>
            <w:vAlign w:val="bottom"/>
          </w:tcPr>
          <w:p>
            <w:pPr>
              <w:ind w:left="20"/>
              <w:spacing w:after="0"/>
              <w:rPr>
                <w:sz w:val="20"/>
                <w:szCs w:val="20"/>
                <w:color w:val="auto"/>
              </w:rPr>
            </w:pPr>
            <w:r>
              <w:rPr>
                <w:rFonts w:ascii="Arial" w:cs="Arial" w:eastAsia="Arial" w:hAnsi="Arial"/>
                <w:sz w:val="16"/>
                <w:szCs w:val="16"/>
                <w:color w:val="auto"/>
              </w:rPr>
              <w:t>improvements with assistance of</w:t>
            </w:r>
          </w:p>
        </w:tc>
      </w:tr>
      <w:tr>
        <w:trPr>
          <w:trHeight w:val="203"/>
        </w:trPr>
        <w:tc>
          <w:tcPr>
            <w:tcW w:w="2700" w:type="dxa"/>
            <w:vAlign w:val="bottom"/>
          </w:tcPr>
          <w:p>
            <w:pPr>
              <w:ind w:left="20"/>
              <w:spacing w:after="0"/>
              <w:rPr>
                <w:sz w:val="20"/>
                <w:szCs w:val="20"/>
                <w:color w:val="auto"/>
              </w:rPr>
            </w:pPr>
            <w:r>
              <w:rPr>
                <w:rFonts w:ascii="Arial" w:cs="Arial" w:eastAsia="Arial" w:hAnsi="Arial"/>
                <w:sz w:val="16"/>
                <w:szCs w:val="16"/>
                <w:color w:val="auto"/>
              </w:rPr>
              <w:t>improvements from previous review</w:t>
            </w:r>
          </w:p>
        </w:tc>
        <w:tc>
          <w:tcPr>
            <w:tcW w:w="280" w:type="dxa"/>
            <w:vAlign w:val="bottom"/>
            <w:tcBorders>
              <w:right w:val="single" w:sz="8" w:color="83AD40"/>
            </w:tcBorders>
          </w:tcPr>
          <w:p>
            <w:pPr>
              <w:spacing w:after="0"/>
              <w:rPr>
                <w:sz w:val="17"/>
                <w:szCs w:val="17"/>
                <w:color w:val="auto"/>
              </w:rPr>
            </w:pPr>
          </w:p>
        </w:tc>
        <w:tc>
          <w:tcPr>
            <w:tcW w:w="60" w:type="dxa"/>
            <w:vAlign w:val="bottom"/>
          </w:tcPr>
          <w:p>
            <w:pPr>
              <w:spacing w:after="0"/>
              <w:rPr>
                <w:sz w:val="17"/>
                <w:szCs w:val="17"/>
                <w:color w:val="auto"/>
              </w:rPr>
            </w:pPr>
          </w:p>
        </w:tc>
        <w:tc>
          <w:tcPr>
            <w:tcW w:w="2960" w:type="dxa"/>
            <w:vAlign w:val="bottom"/>
            <w:tcBorders>
              <w:right w:val="single" w:sz="8" w:color="83AD40"/>
            </w:tcBorders>
          </w:tcPr>
          <w:p>
            <w:pPr>
              <w:ind w:left="20"/>
              <w:spacing w:after="0"/>
              <w:rPr>
                <w:sz w:val="20"/>
                <w:szCs w:val="20"/>
                <w:color w:val="auto"/>
              </w:rPr>
            </w:pPr>
            <w:r>
              <w:rPr>
                <w:rFonts w:ascii="Arial" w:cs="Arial" w:eastAsia="Arial" w:hAnsi="Arial"/>
                <w:sz w:val="16"/>
                <w:szCs w:val="16"/>
                <w:color w:val="auto"/>
              </w:rPr>
              <w:t>identify areas for improvement.</w:t>
            </w:r>
          </w:p>
        </w:tc>
        <w:tc>
          <w:tcPr>
            <w:tcW w:w="80" w:type="dxa"/>
            <w:vAlign w:val="bottom"/>
          </w:tcPr>
          <w:p>
            <w:pPr>
              <w:spacing w:after="0"/>
              <w:rPr>
                <w:sz w:val="17"/>
                <w:szCs w:val="17"/>
                <w:color w:val="auto"/>
              </w:rPr>
            </w:pPr>
          </w:p>
        </w:tc>
        <w:tc>
          <w:tcPr>
            <w:tcW w:w="2980" w:type="dxa"/>
            <w:vAlign w:val="bottom"/>
          </w:tcPr>
          <w:p>
            <w:pPr>
              <w:ind w:left="20"/>
              <w:spacing w:after="0"/>
              <w:rPr>
                <w:sz w:val="20"/>
                <w:szCs w:val="20"/>
                <w:color w:val="auto"/>
              </w:rPr>
            </w:pPr>
            <w:r>
              <w:rPr>
                <w:rFonts w:ascii="Arial" w:cs="Arial" w:eastAsia="Arial" w:hAnsi="Arial"/>
                <w:sz w:val="16"/>
                <w:szCs w:val="16"/>
                <w:color w:val="auto"/>
              </w:rPr>
              <w:t>management and third party advisors,</w:t>
            </w:r>
          </w:p>
        </w:tc>
      </w:tr>
      <w:tr>
        <w:trPr>
          <w:trHeight w:val="203"/>
        </w:trPr>
        <w:tc>
          <w:tcPr>
            <w:tcW w:w="2700" w:type="dxa"/>
            <w:vAlign w:val="bottom"/>
          </w:tcPr>
          <w:p>
            <w:pPr>
              <w:ind w:left="20"/>
              <w:spacing w:after="0"/>
              <w:rPr>
                <w:sz w:val="20"/>
                <w:szCs w:val="20"/>
                <w:color w:val="auto"/>
              </w:rPr>
            </w:pPr>
            <w:r>
              <w:rPr>
                <w:rFonts w:ascii="Arial" w:cs="Arial" w:eastAsia="Arial" w:hAnsi="Arial"/>
                <w:sz w:val="16"/>
                <w:szCs w:val="16"/>
                <w:color w:val="auto"/>
              </w:rPr>
              <w:t>cycles</w:t>
            </w:r>
          </w:p>
        </w:tc>
        <w:tc>
          <w:tcPr>
            <w:tcW w:w="280" w:type="dxa"/>
            <w:vAlign w:val="bottom"/>
            <w:tcBorders>
              <w:right w:val="single" w:sz="8" w:color="83AD40"/>
            </w:tcBorders>
          </w:tcPr>
          <w:p>
            <w:pPr>
              <w:spacing w:after="0"/>
              <w:rPr>
                <w:sz w:val="17"/>
                <w:szCs w:val="17"/>
                <w:color w:val="auto"/>
              </w:rPr>
            </w:pPr>
          </w:p>
        </w:tc>
        <w:tc>
          <w:tcPr>
            <w:tcW w:w="60" w:type="dxa"/>
            <w:vAlign w:val="bottom"/>
          </w:tcPr>
          <w:p>
            <w:pPr>
              <w:spacing w:after="0"/>
              <w:rPr>
                <w:sz w:val="17"/>
                <w:szCs w:val="17"/>
                <w:color w:val="auto"/>
              </w:rPr>
            </w:pPr>
          </w:p>
        </w:tc>
        <w:tc>
          <w:tcPr>
            <w:tcW w:w="2960" w:type="dxa"/>
            <w:vAlign w:val="bottom"/>
            <w:tcBorders>
              <w:right w:val="single" w:sz="8" w:color="83AD40"/>
            </w:tcBorders>
          </w:tcPr>
          <w:p>
            <w:pPr>
              <w:ind w:left="20"/>
              <w:spacing w:after="0"/>
              <w:rPr>
                <w:sz w:val="20"/>
                <w:szCs w:val="20"/>
                <w:color w:val="auto"/>
              </w:rPr>
            </w:pPr>
            <w:r>
              <w:rPr>
                <w:rFonts w:ascii="Arial" w:cs="Arial" w:eastAsia="Arial" w:hAnsi="Arial"/>
                <w:sz w:val="16"/>
                <w:szCs w:val="16"/>
                <w:color w:val="auto"/>
              </w:rPr>
              <w:t>Independent directors meet separately</w:t>
            </w:r>
          </w:p>
        </w:tc>
        <w:tc>
          <w:tcPr>
            <w:tcW w:w="80" w:type="dxa"/>
            <w:vAlign w:val="bottom"/>
          </w:tcPr>
          <w:p>
            <w:pPr>
              <w:spacing w:after="0"/>
              <w:rPr>
                <w:sz w:val="17"/>
                <w:szCs w:val="17"/>
                <w:color w:val="auto"/>
              </w:rPr>
            </w:pPr>
          </w:p>
        </w:tc>
        <w:tc>
          <w:tcPr>
            <w:tcW w:w="2980" w:type="dxa"/>
            <w:vAlign w:val="bottom"/>
          </w:tcPr>
          <w:p>
            <w:pPr>
              <w:ind w:left="20"/>
              <w:spacing w:after="0"/>
              <w:rPr>
                <w:sz w:val="20"/>
                <w:szCs w:val="20"/>
                <w:color w:val="auto"/>
              </w:rPr>
            </w:pPr>
            <w:r>
              <w:rPr>
                <w:rFonts w:ascii="Arial" w:cs="Arial" w:eastAsia="Arial" w:hAnsi="Arial"/>
                <w:sz w:val="16"/>
                <w:szCs w:val="16"/>
                <w:color w:val="auto"/>
              </w:rPr>
              <w:t>as needed</w:t>
            </w:r>
          </w:p>
        </w:tc>
      </w:tr>
      <w:tr>
        <w:trPr>
          <w:trHeight w:val="215"/>
        </w:trPr>
        <w:tc>
          <w:tcPr>
            <w:tcW w:w="2700" w:type="dxa"/>
            <w:vAlign w:val="bottom"/>
          </w:tcPr>
          <w:p>
            <w:pPr>
              <w:spacing w:after="0"/>
              <w:rPr>
                <w:sz w:val="18"/>
                <w:szCs w:val="18"/>
                <w:color w:val="auto"/>
              </w:rPr>
            </w:pPr>
          </w:p>
        </w:tc>
        <w:tc>
          <w:tcPr>
            <w:tcW w:w="280" w:type="dxa"/>
            <w:vAlign w:val="bottom"/>
            <w:tcBorders>
              <w:right w:val="single" w:sz="8" w:color="83AD40"/>
            </w:tcBorders>
          </w:tcPr>
          <w:p>
            <w:pPr>
              <w:spacing w:after="0"/>
              <w:rPr>
                <w:sz w:val="18"/>
                <w:szCs w:val="18"/>
                <w:color w:val="auto"/>
              </w:rPr>
            </w:pPr>
          </w:p>
        </w:tc>
        <w:tc>
          <w:tcPr>
            <w:tcW w:w="60" w:type="dxa"/>
            <w:vAlign w:val="bottom"/>
          </w:tcPr>
          <w:p>
            <w:pPr>
              <w:spacing w:after="0"/>
              <w:rPr>
                <w:sz w:val="18"/>
                <w:szCs w:val="18"/>
                <w:color w:val="auto"/>
              </w:rPr>
            </w:pPr>
          </w:p>
        </w:tc>
        <w:tc>
          <w:tcPr>
            <w:tcW w:w="2960" w:type="dxa"/>
            <w:vAlign w:val="bottom"/>
            <w:tcBorders>
              <w:right w:val="single" w:sz="8" w:color="83AD40"/>
            </w:tcBorders>
          </w:tcPr>
          <w:p>
            <w:pPr>
              <w:ind w:left="20"/>
              <w:spacing w:after="0"/>
              <w:rPr>
                <w:sz w:val="20"/>
                <w:szCs w:val="20"/>
                <w:color w:val="auto"/>
              </w:rPr>
            </w:pPr>
            <w:r>
              <w:rPr>
                <w:rFonts w:ascii="Arial" w:cs="Arial" w:eastAsia="Arial" w:hAnsi="Arial"/>
                <w:sz w:val="16"/>
                <w:szCs w:val="16"/>
                <w:color w:val="auto"/>
              </w:rPr>
              <w:t>with outside counsel</w:t>
            </w:r>
          </w:p>
        </w:tc>
        <w:tc>
          <w:tcPr>
            <w:tcW w:w="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59"/>
        </w:trPr>
        <w:tc>
          <w:tcPr>
            <w:tcW w:w="2700" w:type="dxa"/>
            <w:vAlign w:val="bottom"/>
            <w:tcBorders>
              <w:bottom w:val="single" w:sz="8" w:color="83AD40"/>
            </w:tcBorders>
          </w:tcPr>
          <w:p>
            <w:pPr>
              <w:spacing w:after="0"/>
              <w:rPr>
                <w:sz w:val="22"/>
                <w:szCs w:val="22"/>
                <w:color w:val="auto"/>
              </w:rPr>
            </w:pPr>
          </w:p>
        </w:tc>
        <w:tc>
          <w:tcPr>
            <w:tcW w:w="280" w:type="dxa"/>
            <w:vAlign w:val="bottom"/>
            <w:tcBorders>
              <w:bottom w:val="single" w:sz="8" w:color="83AD40"/>
              <w:right w:val="single" w:sz="8" w:color="83AD40"/>
            </w:tcBorders>
          </w:tcPr>
          <w:p>
            <w:pPr>
              <w:spacing w:after="0"/>
              <w:rPr>
                <w:sz w:val="22"/>
                <w:szCs w:val="22"/>
                <w:color w:val="auto"/>
              </w:rPr>
            </w:pPr>
          </w:p>
        </w:tc>
        <w:tc>
          <w:tcPr>
            <w:tcW w:w="60" w:type="dxa"/>
            <w:vAlign w:val="bottom"/>
            <w:tcBorders>
              <w:bottom w:val="single" w:sz="8" w:color="83AD40"/>
            </w:tcBorders>
          </w:tcPr>
          <w:p>
            <w:pPr>
              <w:spacing w:after="0"/>
              <w:rPr>
                <w:sz w:val="22"/>
                <w:szCs w:val="22"/>
                <w:color w:val="auto"/>
              </w:rPr>
            </w:pPr>
          </w:p>
        </w:tc>
        <w:tc>
          <w:tcPr>
            <w:tcW w:w="2960" w:type="dxa"/>
            <w:vAlign w:val="bottom"/>
            <w:tcBorders>
              <w:bottom w:val="single" w:sz="8" w:color="83AD40"/>
              <w:right w:val="single" w:sz="8" w:color="83AD40"/>
            </w:tcBorders>
          </w:tcPr>
          <w:p>
            <w:pPr>
              <w:spacing w:after="0"/>
              <w:rPr>
                <w:sz w:val="22"/>
                <w:szCs w:val="22"/>
                <w:color w:val="auto"/>
              </w:rPr>
            </w:pPr>
          </w:p>
        </w:tc>
        <w:tc>
          <w:tcPr>
            <w:tcW w:w="80" w:type="dxa"/>
            <w:vAlign w:val="bottom"/>
            <w:tcBorders>
              <w:bottom w:val="single" w:sz="8" w:color="83AD40"/>
            </w:tcBorders>
          </w:tcPr>
          <w:p>
            <w:pPr>
              <w:spacing w:after="0"/>
              <w:rPr>
                <w:sz w:val="22"/>
                <w:szCs w:val="22"/>
                <w:color w:val="auto"/>
              </w:rPr>
            </w:pPr>
          </w:p>
        </w:tc>
        <w:tc>
          <w:tcPr>
            <w:tcW w:w="2980" w:type="dxa"/>
            <w:vAlign w:val="bottom"/>
            <w:tcBorders>
              <w:bottom w:val="single" w:sz="8" w:color="83AD4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-1517015</wp:posOffset>
            </wp:positionV>
            <wp:extent cx="205740" cy="2146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05740" cy="214630"/>
                    </a:xfrm>
                    <a:prstGeom prst="rect">
                      <a:avLst/>
                    </a:prstGeom>
                    <a:noFill/>
                  </pic:spPr>
                </pic:pic>
              </a:graphicData>
            </a:graphic>
          </wp:anchor>
        </w:drawing>
        <w:drawing>
          <wp:anchor simplePos="0" relativeHeight="251657728" behindDoc="1" locked="0" layoutInCell="0" allowOverlap="1">
            <wp:simplePos x="0" y="0"/>
            <wp:positionH relativeFrom="column">
              <wp:posOffset>2463165</wp:posOffset>
            </wp:positionH>
            <wp:positionV relativeFrom="paragraph">
              <wp:posOffset>-1517015</wp:posOffset>
            </wp:positionV>
            <wp:extent cx="205740" cy="2146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05740" cy="214630"/>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-1517015</wp:posOffset>
            </wp:positionV>
            <wp:extent cx="205740" cy="2146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05740" cy="214630"/>
                    </a:xfrm>
                    <a:prstGeom prst="rect">
                      <a:avLst/>
                    </a:prstGeom>
                    <a:noFill/>
                  </pic:spPr>
                </pic:pic>
              </a:graphicData>
            </a:graphic>
          </wp:anchor>
        </w:drawing>
      </w:r>
    </w:p>
    <w:p>
      <w:pPr>
        <w:spacing w:after="0" w:line="284"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Director Independence</w:t>
      </w:r>
    </w:p>
    <w:p>
      <w:pPr>
        <w:spacing w:after="0" w:line="133" w:lineRule="exact"/>
        <w:rPr>
          <w:sz w:val="20"/>
          <w:szCs w:val="20"/>
          <w:color w:val="auto"/>
        </w:rPr>
      </w:pPr>
    </w:p>
    <w:p>
      <w:pPr>
        <w:ind w:left="820" w:right="80"/>
        <w:spacing w:after="0" w:line="285" w:lineRule="auto"/>
        <w:rPr>
          <w:sz w:val="20"/>
          <w:szCs w:val="20"/>
          <w:color w:val="auto"/>
        </w:rPr>
      </w:pPr>
      <w:r>
        <w:rPr>
          <w:rFonts w:ascii="Arial" w:cs="Arial" w:eastAsia="Arial" w:hAnsi="Arial"/>
          <w:sz w:val="16"/>
          <w:szCs w:val="16"/>
          <w:color w:val="auto"/>
        </w:rPr>
        <w:t>Our Governance Principles provide that a majority of our directors serving on the Board must be independent as required by the listing standards of the NYSE. In addition, the Board adopted director independence standards that assist the Board in making its determinations with respect to the independence of directors. The Board has reviewed all relevant facts and circumstances and considered all applicable relationships of which the Board had knowledge, between or among the directors and the Company or our management (some of such relationships are described in the section of this proxy statement entitled “Certain Relationships and Related Party Transactions”). Based upon this review, the Board has determined that each of the following director nominees has no direct or indirect material relationship with us and is independent under the listing standards of the NYSE and our director independence standards: Mses. Carol N. Brown, Lauren B. Dillard and Peggy Lamb and Messrs. John H. Alschuler and Craig M. Hatkoff. In addition, the Board previously determined that Ms. Betsy S. Atkins and Mr. Edwin T. Burton, who retired following our 2024 Annual Meeting of stockholders, were independent under the listing standards of the NYSE and our director independence standards. The Board has determined that Messrs. Stephen L. Green, Marc Holliday and Andrew W. Mathias, our three other directors, are not independent.</w:t>
      </w:r>
    </w:p>
    <w:p>
      <w:pPr>
        <w:spacing w:after="0" w:line="275"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Executive Sessions of Non-Management Directors</w:t>
      </w:r>
    </w:p>
    <w:p>
      <w:pPr>
        <w:spacing w:after="0" w:line="133" w:lineRule="exact"/>
        <w:rPr>
          <w:sz w:val="20"/>
          <w:szCs w:val="20"/>
          <w:color w:val="auto"/>
        </w:rPr>
      </w:pPr>
    </w:p>
    <w:p>
      <w:pPr>
        <w:ind w:left="820" w:right="80"/>
        <w:spacing w:after="0" w:line="295" w:lineRule="auto"/>
        <w:rPr>
          <w:sz w:val="20"/>
          <w:szCs w:val="20"/>
          <w:color w:val="auto"/>
        </w:rPr>
      </w:pPr>
      <w:r>
        <w:rPr>
          <w:rFonts w:ascii="Arial" w:cs="Arial" w:eastAsia="Arial" w:hAnsi="Arial"/>
          <w:sz w:val="16"/>
          <w:szCs w:val="16"/>
          <w:color w:val="auto"/>
        </w:rPr>
        <w:t>Our Governance Principles require the non-management directors serving on the Board to meet in an executive session at least annually without the presence of any directors or other persons who are part of our management. In accordance with such requirement, the independent directors meet in executive sessions from time to time on such a basis. The executive sessions are regularly chaired by our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1651000</wp:posOffset>
            </wp:positionV>
            <wp:extent cx="683196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6260" w:type="dxa"/>
            <w:vAlign w:val="bottom"/>
          </w:tcPr>
          <w:p>
            <w:pPr>
              <w:spacing w:after="0"/>
              <w:rPr>
                <w:sz w:val="20"/>
                <w:szCs w:val="20"/>
                <w:color w:val="auto"/>
              </w:rPr>
            </w:pPr>
            <w:r>
              <w:rPr>
                <w:rFonts w:ascii="Arial" w:cs="Arial" w:eastAsia="Arial" w:hAnsi="Arial"/>
                <w:sz w:val="14"/>
                <w:szCs w:val="14"/>
                <w:b w:val="1"/>
                <w:bCs w:val="1"/>
                <w:color w:val="auto"/>
              </w:rPr>
              <w:t>​</w:t>
            </w:r>
          </w:p>
        </w:tc>
        <w:tc>
          <w:tcPr>
            <w:tcW w:w="2320" w:type="dxa"/>
            <w:vAlign w:val="bottom"/>
          </w:tcPr>
          <w:p>
            <w:pPr>
              <w:ind w:left="1940"/>
              <w:spacing w:after="0"/>
              <w:rPr>
                <w:sz w:val="20"/>
                <w:szCs w:val="20"/>
                <w:color w:val="auto"/>
              </w:rPr>
            </w:pPr>
            <w:r>
              <w:rPr>
                <w:rFonts w:ascii="Arial" w:cs="Arial" w:eastAsia="Arial" w:hAnsi="Arial"/>
                <w:sz w:val="14"/>
                <w:szCs w:val="14"/>
                <w:b w:val="1"/>
                <w:bCs w:val="1"/>
                <w:color w:val="auto"/>
              </w:rPr>
              <w:t>​ ​</w:t>
            </w:r>
          </w:p>
        </w:tc>
        <w:tc>
          <w:tcPr>
            <w:tcW w:w="480" w:type="dxa"/>
            <w:vAlign w:val="bottom"/>
            <w:vMerge w:val="restart"/>
          </w:tcPr>
          <w:p>
            <w:pPr>
              <w:jc w:val="right"/>
              <w:spacing w:after="0"/>
              <w:rPr>
                <w:sz w:val="20"/>
                <w:szCs w:val="20"/>
                <w:color w:val="auto"/>
              </w:rPr>
            </w:pPr>
            <w:r>
              <w:rPr>
                <w:rFonts w:ascii="Arial" w:cs="Arial" w:eastAsia="Arial" w:hAnsi="Arial"/>
                <w:sz w:val="22"/>
                <w:szCs w:val="22"/>
                <w:b w:val="1"/>
                <w:bCs w:val="1"/>
                <w:color w:val="1F2668"/>
              </w:rPr>
              <w:t>25</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6260" w:type="dxa"/>
            <w:vAlign w:val="bottom"/>
          </w:tcPr>
          <w:p>
            <w:pPr>
              <w:spacing w:after="0"/>
              <w:rPr>
                <w:sz w:val="20"/>
                <w:szCs w:val="20"/>
                <w:color w:val="auto"/>
              </w:rPr>
            </w:pPr>
            <w:r>
              <w:rPr>
                <w:rFonts w:ascii="Arial" w:cs="Arial" w:eastAsia="Arial" w:hAnsi="Arial"/>
                <w:sz w:val="14"/>
                <w:szCs w:val="14"/>
                <w:b w:val="1"/>
                <w:bCs w:val="1"/>
                <w:color w:val="auto"/>
              </w:rPr>
              <w:t>OUR BOARD OF DIRECTORS AND CORPORATE GOVERNANCE</w:t>
            </w:r>
          </w:p>
        </w:tc>
        <w:tc>
          <w:tcPr>
            <w:tcW w:w="232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38"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Communications with the Board</w:t>
      </w:r>
    </w:p>
    <w:p>
      <w:pPr>
        <w:spacing w:after="0" w:line="133" w:lineRule="exact"/>
        <w:rPr>
          <w:sz w:val="20"/>
          <w:szCs w:val="20"/>
          <w:color w:val="auto"/>
        </w:rPr>
      </w:pPr>
    </w:p>
    <w:p>
      <w:pPr>
        <w:ind w:left="820" w:right="40"/>
        <w:spacing w:after="0" w:line="315" w:lineRule="auto"/>
        <w:rPr>
          <w:sz w:val="20"/>
          <w:szCs w:val="20"/>
          <w:color w:val="auto"/>
        </w:rPr>
      </w:pPr>
      <w:r>
        <w:rPr>
          <w:rFonts w:ascii="Arial" w:cs="Arial" w:eastAsia="Arial" w:hAnsi="Arial"/>
          <w:sz w:val="15"/>
          <w:szCs w:val="15"/>
          <w:color w:val="auto"/>
        </w:rPr>
        <w:t>We have a process by which stockholders and/or other parties may communicate with the Board, individual directors (including the independent directors) or independent directors as a group. Any such communications may be sent to the Board or any named individual director (including the independent directors), by U.S. mail or overnight delivery and should be directed to Andrew S. Levine, Secretary, at SL Green Realty Corp., One Vanderbilt Avenue, New York, New York 10017-3852. Mr. Levine will direct all such communications to the intended recipient or recipients. Any such communications may be made anonymously.</w:t>
      </w:r>
    </w:p>
    <w:p>
      <w:pPr>
        <w:spacing w:after="0" w:line="253"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Director Attendance</w:t>
      </w:r>
    </w:p>
    <w:p>
      <w:pPr>
        <w:spacing w:after="0" w:line="133" w:lineRule="exact"/>
        <w:rPr>
          <w:sz w:val="20"/>
          <w:szCs w:val="20"/>
          <w:color w:val="auto"/>
        </w:rPr>
      </w:pPr>
    </w:p>
    <w:p>
      <w:pPr>
        <w:ind w:left="820" w:right="460"/>
        <w:spacing w:after="0" w:line="295" w:lineRule="auto"/>
        <w:rPr>
          <w:sz w:val="20"/>
          <w:szCs w:val="20"/>
          <w:color w:val="auto"/>
        </w:rPr>
      </w:pPr>
      <w:r>
        <w:rPr>
          <w:rFonts w:ascii="Arial" w:cs="Arial" w:eastAsia="Arial" w:hAnsi="Arial"/>
          <w:sz w:val="16"/>
          <w:szCs w:val="16"/>
          <w:color w:val="auto"/>
        </w:rPr>
        <w:t>The Board held five meetings during fiscal year 2024, and all directors attended 75% or more of the Board meetings and meetings of the committees on which they served during the periods they served during fiscal year 2024. In addition to participating in formal meetings, our Board members regularly communicate with each other, members of management and advisors and take action by written consent.</w:t>
      </w:r>
    </w:p>
    <w:p>
      <w:pPr>
        <w:spacing w:after="0" w:line="108" w:lineRule="exact"/>
        <w:rPr>
          <w:sz w:val="20"/>
          <w:szCs w:val="20"/>
          <w:color w:val="auto"/>
        </w:rPr>
      </w:pPr>
    </w:p>
    <w:p>
      <w:pPr>
        <w:ind w:left="820" w:right="440"/>
        <w:spacing w:after="0" w:line="321" w:lineRule="auto"/>
        <w:rPr>
          <w:sz w:val="20"/>
          <w:szCs w:val="20"/>
          <w:color w:val="auto"/>
        </w:rPr>
      </w:pPr>
      <w:r>
        <w:rPr>
          <w:rFonts w:ascii="Arial" w:cs="Arial" w:eastAsia="Arial" w:hAnsi="Arial"/>
          <w:sz w:val="16"/>
          <w:szCs w:val="16"/>
          <w:color w:val="auto"/>
        </w:rPr>
        <w:t>We encourage each member of the Board to attend each Annual Meeting of stockholders. One of our directors attended the Annual Meeting of stockholders held on June 3, 2024.</w:t>
      </w:r>
    </w:p>
    <w:p>
      <w:pPr>
        <w:spacing w:after="0" w:line="271" w:lineRule="exact"/>
        <w:rPr>
          <w:sz w:val="20"/>
          <w:szCs w:val="20"/>
          <w:color w:val="auto"/>
        </w:rPr>
      </w:pPr>
    </w:p>
    <w:p>
      <w:pPr>
        <w:ind w:left="820"/>
        <w:spacing w:after="0"/>
        <w:rPr>
          <w:sz w:val="20"/>
          <w:szCs w:val="20"/>
          <w:color w:val="auto"/>
        </w:rPr>
      </w:pPr>
      <w:r>
        <w:rPr>
          <w:rFonts w:ascii="Arial" w:cs="Arial" w:eastAsia="Arial" w:hAnsi="Arial"/>
          <w:sz w:val="29"/>
          <w:szCs w:val="29"/>
          <w:b w:val="1"/>
          <w:bCs w:val="1"/>
          <w:color w:val="83AD40"/>
        </w:rPr>
        <w:t>BOARD COMMITTEES</w:t>
      </w:r>
    </w:p>
    <w:p>
      <w:pPr>
        <w:spacing w:after="0" w:line="159" w:lineRule="exact"/>
        <w:rPr>
          <w:sz w:val="20"/>
          <w:szCs w:val="20"/>
          <w:color w:val="auto"/>
        </w:rPr>
      </w:pPr>
    </w:p>
    <w:p>
      <w:pPr>
        <w:ind w:left="820" w:right="160"/>
        <w:spacing w:after="0" w:line="308" w:lineRule="auto"/>
        <w:rPr>
          <w:sz w:val="20"/>
          <w:szCs w:val="20"/>
          <w:color w:val="auto"/>
        </w:rPr>
      </w:pPr>
      <w:r>
        <w:rPr>
          <w:rFonts w:ascii="Arial" w:cs="Arial" w:eastAsia="Arial" w:hAnsi="Arial"/>
          <w:sz w:val="15"/>
          <w:szCs w:val="15"/>
          <w:color w:val="auto"/>
        </w:rPr>
        <w:t>The Board has four standing committees: an Audit Committee, a Compensation Committee, a Nominating and Corporate Governance Committee and an Executive Committee. The current charters for each of the Audit Committee, Compensation Committee and Nominating and Corporate Governance Committee are available on our corporate website at www.slgreen.com under the “Investors—Corporate Governance” section. Further, we will provide a copy of these charters without charge to each stockholder upon written request. Requests for copies should be addressed to Andrew S. Levine, Secretary, at SL Green Realty Corp., One Vanderbilt Avenue, New York, New York 10017-3852. From time to time, the Board also may create additional committees for such purposes as the Board may determine. The information found on our website is not incorporated into, and does not form a part of, this proxy statement or any other report or document we file with, or furnish to,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3963670</wp:posOffset>
            </wp:positionV>
            <wp:extent cx="683196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71"/>
        </w:trPr>
        <w:tc>
          <w:tcPr>
            <w:tcW w:w="1340" w:type="dxa"/>
            <w:vAlign w:val="bottom"/>
            <w:gridSpan w:val="3"/>
          </w:tcPr>
          <w:p>
            <w:pPr>
              <w:jc w:val="right"/>
              <w:ind w:right="17"/>
              <w:spacing w:after="0"/>
              <w:rPr>
                <w:sz w:val="20"/>
                <w:szCs w:val="20"/>
                <w:color w:val="auto"/>
              </w:rPr>
            </w:pPr>
            <w:r>
              <w:rPr>
                <w:rFonts w:ascii="Calibri" w:cs="Calibri" w:eastAsia="Calibri" w:hAnsi="Calibri"/>
                <w:sz w:val="14"/>
                <w:szCs w:val="14"/>
                <w:color w:val="003366"/>
              </w:rPr>
              <w:t>TABLE OF CONTENTS</w:t>
            </w: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5"/>
        </w:trPr>
        <w:tc>
          <w:tcPr>
            <w:tcW w:w="820" w:type="dxa"/>
            <w:vAlign w:val="bottom"/>
          </w:tcPr>
          <w:p>
            <w:pPr>
              <w:spacing w:after="0"/>
              <w:rPr>
                <w:sz w:val="24"/>
                <w:szCs w:val="24"/>
                <w:color w:val="auto"/>
              </w:rPr>
            </w:pPr>
          </w:p>
        </w:tc>
        <w:tc>
          <w:tcPr>
            <w:tcW w:w="520" w:type="dxa"/>
            <w:vAlign w:val="bottom"/>
            <w:gridSpan w:val="2"/>
          </w:tcPr>
          <w:p>
            <w:pPr>
              <w:jc w:val="right"/>
              <w:ind w:right="177"/>
              <w:spacing w:after="0"/>
              <w:rPr>
                <w:sz w:val="20"/>
                <w:szCs w:val="20"/>
                <w:color w:val="auto"/>
              </w:rPr>
            </w:pPr>
            <w:r>
              <w:rPr>
                <w:rFonts w:ascii="Arial" w:cs="Arial" w:eastAsia="Arial" w:hAnsi="Arial"/>
                <w:sz w:val="22"/>
                <w:szCs w:val="22"/>
                <w:b w:val="1"/>
                <w:bCs w:val="1"/>
                <w:color w:val="1F2668"/>
                <w:w w:val="89"/>
              </w:rPr>
              <w:t>26​</w:t>
            </w:r>
          </w:p>
        </w:tc>
        <w:tc>
          <w:tcPr>
            <w:tcW w:w="8540" w:type="dxa"/>
            <w:vAlign w:val="bottom"/>
            <w:gridSpan w:val="6"/>
          </w:tcPr>
          <w:p>
            <w:pPr>
              <w:ind w:left="120"/>
              <w:spacing w:after="0"/>
              <w:rPr>
                <w:sz w:val="20"/>
                <w:szCs w:val="20"/>
                <w:color w:val="auto"/>
              </w:rPr>
            </w:pPr>
            <w:r>
              <w:rPr>
                <w:rFonts w:ascii="Arial" w:cs="Arial" w:eastAsia="Arial" w:hAnsi="Arial"/>
                <w:sz w:val="22"/>
                <w:szCs w:val="22"/>
                <w:b w:val="1"/>
                <w:bCs w:val="1"/>
                <w:color w:val="1F2668"/>
              </w:rPr>
              <w:t xml:space="preserve">​ ​ </w:t>
            </w:r>
            <w:r>
              <w:rPr>
                <w:rFonts w:ascii="Arial" w:cs="Arial" w:eastAsia="Arial" w:hAnsi="Arial"/>
                <w:sz w:val="14"/>
                <w:szCs w:val="14"/>
                <w:b w:val="1"/>
                <w:bCs w:val="1"/>
                <w:color w:val="1F2668"/>
              </w:rPr>
              <w:t>SL GREEN REALTY CORP. 2025 PROXY STATEMENT</w:t>
            </w:r>
          </w:p>
        </w:tc>
        <w:tc>
          <w:tcPr>
            <w:tcW w:w="60" w:type="dxa"/>
            <w:vAlign w:val="bottom"/>
          </w:tcPr>
          <w:p>
            <w:pPr>
              <w:spacing w:after="0"/>
              <w:rPr>
                <w:sz w:val="20"/>
                <w:szCs w:val="20"/>
                <w:color w:val="auto"/>
              </w:rPr>
            </w:pPr>
            <w:r>
              <w:rPr>
                <w:rFonts w:ascii="Arial" w:cs="Arial" w:eastAsia="Arial" w:hAnsi="Arial"/>
                <w:sz w:val="22"/>
                <w:szCs w:val="22"/>
                <w:b w:val="1"/>
                <w:bCs w:val="1"/>
                <w:color w:val="1F2668"/>
              </w:rPr>
              <w:t>​</w:t>
            </w:r>
          </w:p>
        </w:tc>
        <w:tc>
          <w:tcPr>
            <w:tcW w:w="0" w:type="dxa"/>
            <w:vAlign w:val="bottom"/>
          </w:tcPr>
          <w:p>
            <w:pPr>
              <w:spacing w:after="0"/>
              <w:rPr>
                <w:sz w:val="1"/>
                <w:szCs w:val="1"/>
                <w:color w:val="auto"/>
              </w:rPr>
            </w:pPr>
          </w:p>
        </w:tc>
      </w:tr>
      <w:tr>
        <w:trPr>
          <w:trHeight w:val="427"/>
        </w:trPr>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Borders>
              <w:bottom w:val="single" w:sz="8" w:color="83AD40"/>
            </w:tcBorders>
          </w:tcPr>
          <w:p>
            <w:pPr>
              <w:spacing w:after="0"/>
              <w:rPr>
                <w:sz w:val="24"/>
                <w:szCs w:val="24"/>
                <w:color w:val="auto"/>
              </w:rPr>
            </w:pPr>
          </w:p>
        </w:tc>
        <w:tc>
          <w:tcPr>
            <w:tcW w:w="2060" w:type="dxa"/>
            <w:vAlign w:val="bottom"/>
            <w:tcBorders>
              <w:bottom w:val="single" w:sz="8" w:color="83AD40"/>
            </w:tcBorders>
          </w:tcPr>
          <w:p>
            <w:pPr>
              <w:spacing w:after="0"/>
              <w:rPr>
                <w:sz w:val="24"/>
                <w:szCs w:val="24"/>
                <w:color w:val="auto"/>
              </w:rPr>
            </w:pPr>
          </w:p>
        </w:tc>
        <w:tc>
          <w:tcPr>
            <w:tcW w:w="120" w:type="dxa"/>
            <w:vAlign w:val="bottom"/>
            <w:tcBorders>
              <w:bottom w:val="single" w:sz="8" w:color="83AD40"/>
            </w:tcBorders>
          </w:tcPr>
          <w:p>
            <w:pPr>
              <w:spacing w:after="0"/>
              <w:rPr>
                <w:sz w:val="24"/>
                <w:szCs w:val="24"/>
                <w:color w:val="auto"/>
              </w:rPr>
            </w:pPr>
          </w:p>
        </w:tc>
        <w:tc>
          <w:tcPr>
            <w:tcW w:w="40" w:type="dxa"/>
            <w:vAlign w:val="bottom"/>
            <w:tcBorders>
              <w:bottom w:val="single" w:sz="8" w:color="83AD40"/>
            </w:tcBorders>
          </w:tcPr>
          <w:p>
            <w:pPr>
              <w:spacing w:after="0"/>
              <w:rPr>
                <w:sz w:val="24"/>
                <w:szCs w:val="24"/>
                <w:color w:val="auto"/>
              </w:rPr>
            </w:pPr>
          </w:p>
        </w:tc>
        <w:tc>
          <w:tcPr>
            <w:tcW w:w="20" w:type="dxa"/>
            <w:vAlign w:val="bottom"/>
            <w:tcBorders>
              <w:bottom w:val="single" w:sz="8" w:color="83AD40"/>
            </w:tcBorders>
          </w:tcPr>
          <w:p>
            <w:pPr>
              <w:spacing w:after="0"/>
              <w:rPr>
                <w:sz w:val="24"/>
                <w:szCs w:val="24"/>
                <w:color w:val="auto"/>
              </w:rPr>
            </w:pPr>
          </w:p>
        </w:tc>
        <w:tc>
          <w:tcPr>
            <w:tcW w:w="360" w:type="dxa"/>
            <w:vAlign w:val="bottom"/>
            <w:vMerge w:val="restart"/>
          </w:tcPr>
          <w:p>
            <w:pPr>
              <w:spacing w:after="0"/>
              <w:rPr>
                <w:sz w:val="24"/>
                <w:szCs w:val="24"/>
                <w:color w:val="auto"/>
              </w:rPr>
            </w:pPr>
          </w:p>
        </w:tc>
        <w:tc>
          <w:tcPr>
            <w:tcW w:w="5940" w:type="dxa"/>
            <w:vAlign w:val="bottom"/>
            <w:vMerge w:val="restart"/>
          </w:tcPr>
          <w:p>
            <w:pPr>
              <w:spacing w:after="0"/>
              <w:rPr>
                <w:sz w:val="20"/>
                <w:szCs w:val="20"/>
                <w:color w:val="auto"/>
              </w:rPr>
            </w:pPr>
            <w:r>
              <w:rPr>
                <w:rFonts w:ascii="Arial" w:cs="Arial" w:eastAsia="Arial" w:hAnsi="Arial"/>
                <w:sz w:val="20"/>
                <w:szCs w:val="20"/>
                <w:b w:val="1"/>
                <w:bCs w:val="1"/>
                <w:color w:val="83AD40"/>
              </w:rPr>
              <w:t>Principal Responsibilities:</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200" w:type="dxa"/>
            <w:vAlign w:val="bottom"/>
            <w:tcBorders>
              <w:right w:val="single" w:sz="8" w:color="83AD40"/>
            </w:tcBorders>
          </w:tcPr>
          <w:p>
            <w:pPr>
              <w:spacing w:after="0"/>
              <w:rPr>
                <w:sz w:val="21"/>
                <w:szCs w:val="21"/>
                <w:color w:val="auto"/>
              </w:rPr>
            </w:pPr>
          </w:p>
        </w:tc>
        <w:tc>
          <w:tcPr>
            <w:tcW w:w="320" w:type="dxa"/>
            <w:vAlign w:val="bottom"/>
          </w:tcPr>
          <w:p>
            <w:pPr>
              <w:jc w:val="right"/>
              <w:ind w:right="157"/>
              <w:spacing w:after="0" w:line="243" w:lineRule="exact"/>
              <w:rPr>
                <w:sz w:val="20"/>
                <w:szCs w:val="20"/>
                <w:color w:val="auto"/>
              </w:rPr>
            </w:pPr>
            <w:r>
              <w:rPr>
                <w:rFonts w:ascii="Arial" w:cs="Arial" w:eastAsia="Arial" w:hAnsi="Arial"/>
                <w:sz w:val="22"/>
                <w:szCs w:val="22"/>
                <w:color w:val="auto"/>
              </w:rPr>
              <w:t>​</w:t>
            </w:r>
          </w:p>
        </w:tc>
        <w:tc>
          <w:tcPr>
            <w:tcW w:w="2060" w:type="dxa"/>
            <w:vAlign w:val="bottom"/>
          </w:tcPr>
          <w:p>
            <w:pPr>
              <w:spacing w:after="0"/>
              <w:rPr>
                <w:sz w:val="21"/>
                <w:szCs w:val="21"/>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FFFFFF"/>
              </w:rPr>
              <w:t>​</w:t>
            </w:r>
          </w:p>
        </w:tc>
        <w:tc>
          <w:tcPr>
            <w:tcW w:w="40" w:type="dxa"/>
            <w:vAlign w:val="bottom"/>
            <w:shd w:val="clear" w:color="auto" w:fill="83AD40"/>
          </w:tcPr>
          <w:p>
            <w:pPr>
              <w:spacing w:after="0" w:line="243" w:lineRule="exact"/>
              <w:rPr>
                <w:sz w:val="20"/>
                <w:szCs w:val="20"/>
                <w:color w:val="auto"/>
              </w:rPr>
            </w:pPr>
            <w:r>
              <w:rPr>
                <w:rFonts w:ascii="Arial" w:cs="Arial" w:eastAsia="Arial" w:hAnsi="Arial"/>
                <w:sz w:val="22"/>
                <w:szCs w:val="22"/>
                <w:color w:val="auto"/>
              </w:rPr>
              <w:t>​</w:t>
            </w:r>
          </w:p>
        </w:tc>
        <w:tc>
          <w:tcPr>
            <w:tcW w:w="20" w:type="dxa"/>
            <w:vAlign w:val="bottom"/>
          </w:tcPr>
          <w:p>
            <w:pPr>
              <w:spacing w:after="0"/>
              <w:rPr>
                <w:sz w:val="21"/>
                <w:szCs w:val="21"/>
                <w:color w:val="auto"/>
              </w:rPr>
            </w:pPr>
          </w:p>
        </w:tc>
        <w:tc>
          <w:tcPr>
            <w:tcW w:w="360" w:type="dxa"/>
            <w:vAlign w:val="bottom"/>
            <w:vMerge w:val="continue"/>
          </w:tcPr>
          <w:p>
            <w:pPr>
              <w:spacing w:after="0"/>
              <w:rPr>
                <w:sz w:val="21"/>
                <w:szCs w:val="21"/>
                <w:color w:val="auto"/>
              </w:rPr>
            </w:pPr>
          </w:p>
        </w:tc>
        <w:tc>
          <w:tcPr>
            <w:tcW w:w="59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200" w:type="dxa"/>
            <w:vAlign w:val="bottom"/>
            <w:tcBorders>
              <w:right w:val="single" w:sz="8" w:color="1F2668"/>
            </w:tcBorders>
            <w:shd w:val="clear" w:color="auto" w:fill="1F2668"/>
          </w:tcPr>
          <w:p>
            <w:pPr>
              <w:ind w:left="140"/>
              <w:spacing w:after="0"/>
              <w:rPr>
                <w:sz w:val="20"/>
                <w:szCs w:val="20"/>
                <w:color w:val="auto"/>
              </w:rPr>
            </w:pPr>
            <w:r>
              <w:rPr>
                <w:rFonts w:ascii="Arial" w:cs="Arial" w:eastAsia="Arial" w:hAnsi="Arial"/>
                <w:sz w:val="16"/>
                <w:szCs w:val="16"/>
                <w:color w:val="FFFFFF"/>
              </w:rPr>
              <w:t>​</w:t>
            </w:r>
          </w:p>
        </w:tc>
        <w:tc>
          <w:tcPr>
            <w:tcW w:w="320" w:type="dxa"/>
            <w:vAlign w:val="bottom"/>
            <w:shd w:val="clear" w:color="auto" w:fill="1F2668"/>
          </w:tcPr>
          <w:p>
            <w:pPr>
              <w:spacing w:after="0"/>
              <w:rPr>
                <w:sz w:val="17"/>
                <w:szCs w:val="17"/>
                <w:color w:val="auto"/>
              </w:rPr>
            </w:pPr>
          </w:p>
        </w:tc>
        <w:tc>
          <w:tcPr>
            <w:tcW w:w="2060" w:type="dxa"/>
            <w:vAlign w:val="bottom"/>
            <w:shd w:val="clear" w:color="auto" w:fill="1F2668"/>
          </w:tcPr>
          <w:p>
            <w:pPr>
              <w:spacing w:after="0"/>
              <w:rPr>
                <w:sz w:val="17"/>
                <w:szCs w:val="17"/>
                <w:color w:val="auto"/>
              </w:rPr>
            </w:pPr>
          </w:p>
        </w:tc>
        <w:tc>
          <w:tcPr>
            <w:tcW w:w="120" w:type="dxa"/>
            <w:vAlign w:val="bottom"/>
            <w:vMerge w:val="continue"/>
          </w:tcPr>
          <w:p>
            <w:pPr>
              <w:spacing w:after="0"/>
              <w:rPr>
                <w:sz w:val="17"/>
                <w:szCs w:val="17"/>
                <w:color w:val="auto"/>
              </w:rPr>
            </w:pPr>
          </w:p>
        </w:tc>
        <w:tc>
          <w:tcPr>
            <w:tcW w:w="40" w:type="dxa"/>
            <w:vAlign w:val="bottom"/>
            <w:shd w:val="clear" w:color="auto" w:fill="83AD40"/>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940" w:type="dxa"/>
            <w:vAlign w:val="bottom"/>
            <w:vMerge w:val="restart"/>
          </w:tcPr>
          <w:p>
            <w:pPr>
              <w:spacing w:after="0"/>
              <w:rPr>
                <w:sz w:val="20"/>
                <w:szCs w:val="20"/>
                <w:color w:val="auto"/>
              </w:rPr>
            </w:pPr>
            <w:r>
              <w:rPr>
                <w:rFonts w:ascii="Arial" w:cs="Arial" w:eastAsia="Arial" w:hAnsi="Arial"/>
                <w:sz w:val="16"/>
                <w:szCs w:val="16"/>
                <w:color w:val="auto"/>
              </w:rPr>
              <w:t>Our Audit Committee’s primary purposes are to:</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820" w:type="dxa"/>
            <w:vAlign w:val="bottom"/>
          </w:tcPr>
          <w:p>
            <w:pPr>
              <w:spacing w:after="0"/>
              <w:rPr>
                <w:sz w:val="4"/>
                <w:szCs w:val="4"/>
                <w:color w:val="auto"/>
              </w:rPr>
            </w:pPr>
          </w:p>
        </w:tc>
        <w:tc>
          <w:tcPr>
            <w:tcW w:w="2580" w:type="dxa"/>
            <w:vAlign w:val="bottom"/>
            <w:gridSpan w:val="3"/>
            <w:vMerge w:val="restart"/>
            <w:shd w:val="clear" w:color="auto" w:fill="1F2668"/>
          </w:tcPr>
          <w:p>
            <w:pPr>
              <w:ind w:left="140"/>
              <w:spacing w:after="0"/>
              <w:rPr>
                <w:sz w:val="20"/>
                <w:szCs w:val="20"/>
                <w:color w:val="auto"/>
              </w:rPr>
            </w:pPr>
            <w:r>
              <w:rPr>
                <w:rFonts w:ascii="Arial" w:cs="Arial" w:eastAsia="Arial" w:hAnsi="Arial"/>
                <w:sz w:val="23"/>
                <w:szCs w:val="23"/>
                <w:b w:val="1"/>
                <w:bCs w:val="1"/>
                <w:color w:val="FFFFFF"/>
              </w:rPr>
              <w:t>AUDIT</w:t>
            </w:r>
          </w:p>
        </w:tc>
        <w:tc>
          <w:tcPr>
            <w:tcW w:w="120" w:type="dxa"/>
            <w:vAlign w:val="bottom"/>
          </w:tcPr>
          <w:p>
            <w:pPr>
              <w:spacing w:after="0"/>
              <w:rPr>
                <w:sz w:val="4"/>
                <w:szCs w:val="4"/>
                <w:color w:val="auto"/>
              </w:rPr>
            </w:pPr>
          </w:p>
        </w:tc>
        <w:tc>
          <w:tcPr>
            <w:tcW w:w="40" w:type="dxa"/>
            <w:vAlign w:val="bottom"/>
            <w:shd w:val="clear" w:color="auto" w:fill="83AD40"/>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9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3"/>
        </w:trPr>
        <w:tc>
          <w:tcPr>
            <w:tcW w:w="820" w:type="dxa"/>
            <w:vAlign w:val="bottom"/>
          </w:tcPr>
          <w:p>
            <w:pPr>
              <w:spacing w:after="0"/>
              <w:rPr>
                <w:sz w:val="24"/>
                <w:szCs w:val="24"/>
                <w:color w:val="auto"/>
              </w:rPr>
            </w:pPr>
          </w:p>
        </w:tc>
        <w:tc>
          <w:tcPr>
            <w:tcW w:w="2580" w:type="dxa"/>
            <w:vAlign w:val="bottom"/>
            <w:gridSpan w:val="3"/>
            <w:vMerge w:val="continue"/>
            <w:shd w:val="clear" w:color="auto" w:fill="1F2668"/>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shd w:val="clear" w:color="auto" w:fill="83AD40"/>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940" w:type="dxa"/>
            <w:vAlign w:val="bottom"/>
          </w:tcPr>
          <w:p>
            <w:pPr>
              <w:spacing w:after="0"/>
              <w:rPr>
                <w:sz w:val="20"/>
                <w:szCs w:val="20"/>
                <w:color w:val="auto"/>
              </w:rPr>
            </w:pPr>
            <w:r>
              <w:rPr>
                <w:rFonts w:ascii="Arial" w:cs="Arial" w:eastAsia="Arial" w:hAnsi="Arial"/>
                <w:sz w:val="16"/>
                <w:szCs w:val="16"/>
                <w:color w:val="auto"/>
              </w:rPr>
              <w:t>•  Select and appoint our independent registered public accounting firm</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820" w:type="dxa"/>
            <w:vAlign w:val="bottom"/>
          </w:tcPr>
          <w:p>
            <w:pPr>
              <w:spacing w:after="0"/>
              <w:rPr>
                <w:sz w:val="23"/>
                <w:szCs w:val="23"/>
                <w:color w:val="auto"/>
              </w:rPr>
            </w:pPr>
          </w:p>
        </w:tc>
        <w:tc>
          <w:tcPr>
            <w:tcW w:w="2580" w:type="dxa"/>
            <w:vAlign w:val="bottom"/>
            <w:gridSpan w:val="3"/>
            <w:shd w:val="clear" w:color="auto" w:fill="1F2668"/>
          </w:tcPr>
          <w:p>
            <w:pPr>
              <w:ind w:left="140"/>
              <w:spacing w:after="0"/>
              <w:rPr>
                <w:sz w:val="20"/>
                <w:szCs w:val="20"/>
                <w:color w:val="auto"/>
              </w:rPr>
            </w:pPr>
            <w:r>
              <w:rPr>
                <w:rFonts w:ascii="Arial" w:cs="Arial" w:eastAsia="Arial" w:hAnsi="Arial"/>
                <w:sz w:val="23"/>
                <w:szCs w:val="23"/>
                <w:b w:val="1"/>
                <w:bCs w:val="1"/>
                <w:color w:val="FFFFFF"/>
              </w:rPr>
              <w:t>COMMITTEE</w:t>
            </w:r>
          </w:p>
        </w:tc>
        <w:tc>
          <w:tcPr>
            <w:tcW w:w="120" w:type="dxa"/>
            <w:vAlign w:val="bottom"/>
          </w:tcPr>
          <w:p>
            <w:pPr>
              <w:spacing w:after="0"/>
              <w:rPr>
                <w:sz w:val="23"/>
                <w:szCs w:val="23"/>
                <w:color w:val="auto"/>
              </w:rPr>
            </w:pPr>
          </w:p>
        </w:tc>
        <w:tc>
          <w:tcPr>
            <w:tcW w:w="40" w:type="dxa"/>
            <w:vAlign w:val="bottom"/>
            <w:shd w:val="clear" w:color="auto" w:fill="83AD40"/>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940" w:type="dxa"/>
            <w:vAlign w:val="bottom"/>
          </w:tcPr>
          <w:p>
            <w:pPr>
              <w:spacing w:after="0"/>
              <w:rPr>
                <w:sz w:val="20"/>
                <w:szCs w:val="20"/>
                <w:color w:val="auto"/>
              </w:rPr>
            </w:pPr>
            <w:r>
              <w:rPr>
                <w:rFonts w:ascii="Arial" w:cs="Arial" w:eastAsia="Arial" w:hAnsi="Arial"/>
                <w:sz w:val="16"/>
                <w:szCs w:val="16"/>
                <w:color w:val="auto"/>
              </w:rPr>
              <w:t>•  Assist the Board in its oversight of the integrity of the Company’s financial</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2580" w:type="dxa"/>
            <w:vAlign w:val="bottom"/>
            <w:gridSpan w:val="3"/>
            <w:vMerge w:val="restart"/>
            <w:shd w:val="clear" w:color="auto" w:fill="1F2668"/>
          </w:tcPr>
          <w:p>
            <w:pPr>
              <w:ind w:left="140"/>
              <w:spacing w:after="0"/>
              <w:rPr>
                <w:sz w:val="20"/>
                <w:szCs w:val="20"/>
                <w:color w:val="auto"/>
              </w:rPr>
            </w:pPr>
            <w:r>
              <w:rPr>
                <w:rFonts w:ascii="Arial" w:cs="Arial" w:eastAsia="Arial" w:hAnsi="Arial"/>
                <w:sz w:val="16"/>
                <w:szCs w:val="16"/>
                <w:b w:val="1"/>
                <w:bCs w:val="1"/>
                <w:color w:val="FFFFFF"/>
              </w:rPr>
              <w:t>Members</w:t>
            </w:r>
          </w:p>
        </w:tc>
        <w:tc>
          <w:tcPr>
            <w:tcW w:w="120" w:type="dxa"/>
            <w:vAlign w:val="bottom"/>
          </w:tcPr>
          <w:p>
            <w:pPr>
              <w:spacing w:after="0"/>
              <w:rPr>
                <w:sz w:val="17"/>
                <w:szCs w:val="17"/>
                <w:color w:val="auto"/>
              </w:rPr>
            </w:pPr>
          </w:p>
        </w:tc>
        <w:tc>
          <w:tcPr>
            <w:tcW w:w="40" w:type="dxa"/>
            <w:vAlign w:val="bottom"/>
            <w:shd w:val="clear" w:color="auto" w:fill="83AD40"/>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940" w:type="dxa"/>
            <w:vAlign w:val="bottom"/>
          </w:tcPr>
          <w:p>
            <w:pPr>
              <w:ind w:left="180"/>
              <w:spacing w:after="0"/>
              <w:rPr>
                <w:sz w:val="20"/>
                <w:szCs w:val="20"/>
                <w:color w:val="auto"/>
              </w:rPr>
            </w:pPr>
            <w:r>
              <w:rPr>
                <w:rFonts w:ascii="Arial" w:cs="Arial" w:eastAsia="Arial" w:hAnsi="Arial"/>
                <w:sz w:val="16"/>
                <w:szCs w:val="16"/>
                <w:color w:val="auto"/>
              </w:rPr>
              <w:t>statements; the Company’s compliance with legal and regulatory requirements;</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2580" w:type="dxa"/>
            <w:vAlign w:val="bottom"/>
            <w:gridSpan w:val="3"/>
            <w:vMerge w:val="continue"/>
            <w:shd w:val="clear" w:color="auto" w:fill="1F2668"/>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shd w:val="clear" w:color="auto" w:fill="83AD40"/>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940" w:type="dxa"/>
            <w:vAlign w:val="bottom"/>
          </w:tcPr>
          <w:p>
            <w:pPr>
              <w:ind w:left="180"/>
              <w:spacing w:after="0"/>
              <w:rPr>
                <w:sz w:val="20"/>
                <w:szCs w:val="20"/>
                <w:color w:val="auto"/>
              </w:rPr>
            </w:pPr>
            <w:r>
              <w:rPr>
                <w:rFonts w:ascii="Arial" w:cs="Arial" w:eastAsia="Arial" w:hAnsi="Arial"/>
                <w:sz w:val="16"/>
                <w:szCs w:val="16"/>
                <w:color w:val="auto"/>
              </w:rPr>
              <w:t>the qualifications and independence of the registered public accounting firm</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20" w:type="dxa"/>
            <w:vAlign w:val="bottom"/>
          </w:tcPr>
          <w:p>
            <w:pPr>
              <w:spacing w:after="0"/>
              <w:rPr>
                <w:sz w:val="16"/>
                <w:szCs w:val="16"/>
                <w:color w:val="auto"/>
              </w:rPr>
            </w:pPr>
          </w:p>
        </w:tc>
        <w:tc>
          <w:tcPr>
            <w:tcW w:w="2580" w:type="dxa"/>
            <w:vAlign w:val="bottom"/>
            <w:gridSpan w:val="3"/>
            <w:vMerge w:val="restart"/>
            <w:shd w:val="clear" w:color="auto" w:fill="1F2668"/>
          </w:tcPr>
          <w:p>
            <w:pPr>
              <w:ind w:left="140"/>
              <w:spacing w:after="0"/>
              <w:rPr>
                <w:sz w:val="20"/>
                <w:szCs w:val="20"/>
                <w:color w:val="auto"/>
              </w:rPr>
            </w:pPr>
            <w:r>
              <w:rPr>
                <w:rFonts w:ascii="Arial" w:cs="Arial" w:eastAsia="Arial" w:hAnsi="Arial"/>
                <w:sz w:val="16"/>
                <w:szCs w:val="16"/>
                <w:color w:val="FFFFFF"/>
              </w:rPr>
              <w:t>Lauren B. Dillard (Chair)</w:t>
            </w:r>
          </w:p>
        </w:tc>
        <w:tc>
          <w:tcPr>
            <w:tcW w:w="120" w:type="dxa"/>
            <w:vAlign w:val="bottom"/>
          </w:tcPr>
          <w:p>
            <w:pPr>
              <w:spacing w:after="0"/>
              <w:rPr>
                <w:sz w:val="16"/>
                <w:szCs w:val="16"/>
                <w:color w:val="auto"/>
              </w:rPr>
            </w:pPr>
          </w:p>
        </w:tc>
        <w:tc>
          <w:tcPr>
            <w:tcW w:w="40" w:type="dxa"/>
            <w:vAlign w:val="bottom"/>
            <w:shd w:val="clear" w:color="auto" w:fill="83AD40"/>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940" w:type="dxa"/>
            <w:vAlign w:val="bottom"/>
          </w:tcPr>
          <w:p>
            <w:pPr>
              <w:ind w:left="180"/>
              <w:spacing w:after="0"/>
              <w:rPr>
                <w:sz w:val="20"/>
                <w:szCs w:val="20"/>
                <w:color w:val="auto"/>
              </w:rPr>
            </w:pPr>
            <w:r>
              <w:rPr>
                <w:rFonts w:ascii="Arial" w:cs="Arial" w:eastAsia="Arial" w:hAnsi="Arial"/>
                <w:sz w:val="16"/>
                <w:szCs w:val="16"/>
                <w:color w:val="auto"/>
              </w:rPr>
              <w:t>employed by the Company for the audit of the Company’s financial statements;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820" w:type="dxa"/>
            <w:vAlign w:val="bottom"/>
          </w:tcPr>
          <w:p>
            <w:pPr>
              <w:spacing w:after="0"/>
              <w:rPr>
                <w:sz w:val="7"/>
                <w:szCs w:val="7"/>
                <w:color w:val="auto"/>
              </w:rPr>
            </w:pPr>
          </w:p>
        </w:tc>
        <w:tc>
          <w:tcPr>
            <w:tcW w:w="2580" w:type="dxa"/>
            <w:vAlign w:val="bottom"/>
            <w:gridSpan w:val="3"/>
            <w:vMerge w:val="continue"/>
            <w:shd w:val="clear" w:color="auto" w:fill="1F2668"/>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shd w:val="clear" w:color="auto" w:fill="83AD40"/>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940" w:type="dxa"/>
            <w:vAlign w:val="bottom"/>
            <w:vMerge w:val="restart"/>
          </w:tcPr>
          <w:p>
            <w:pPr>
              <w:ind w:left="180"/>
              <w:spacing w:after="0"/>
              <w:rPr>
                <w:sz w:val="20"/>
                <w:szCs w:val="20"/>
                <w:color w:val="auto"/>
              </w:rPr>
            </w:pPr>
            <w:r>
              <w:rPr>
                <w:rFonts w:ascii="Arial" w:cs="Arial" w:eastAsia="Arial" w:hAnsi="Arial"/>
                <w:sz w:val="16"/>
                <w:szCs w:val="16"/>
                <w:color w:val="auto"/>
              </w:rPr>
              <w:t>the performance of the people responsible for the Company’s internal audit</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2580" w:type="dxa"/>
            <w:vAlign w:val="bottom"/>
            <w:gridSpan w:val="3"/>
            <w:vMerge w:val="restart"/>
            <w:shd w:val="clear" w:color="auto" w:fill="1F2668"/>
          </w:tcPr>
          <w:p>
            <w:pPr>
              <w:ind w:left="140"/>
              <w:spacing w:after="0"/>
              <w:rPr>
                <w:sz w:val="20"/>
                <w:szCs w:val="20"/>
                <w:color w:val="auto"/>
              </w:rPr>
            </w:pPr>
            <w:r>
              <w:rPr>
                <w:rFonts w:ascii="Arial" w:cs="Arial" w:eastAsia="Arial" w:hAnsi="Arial"/>
                <w:sz w:val="16"/>
                <w:szCs w:val="16"/>
                <w:color w:val="FFFFFF"/>
              </w:rPr>
              <w:t>Carol N. Brown</w:t>
            </w:r>
          </w:p>
        </w:tc>
        <w:tc>
          <w:tcPr>
            <w:tcW w:w="120" w:type="dxa"/>
            <w:vAlign w:val="bottom"/>
          </w:tcPr>
          <w:p>
            <w:pPr>
              <w:spacing w:after="0"/>
              <w:rPr>
                <w:sz w:val="10"/>
                <w:szCs w:val="10"/>
                <w:color w:val="auto"/>
              </w:rPr>
            </w:pPr>
          </w:p>
        </w:tc>
        <w:tc>
          <w:tcPr>
            <w:tcW w:w="40" w:type="dxa"/>
            <w:vAlign w:val="bottom"/>
            <w:shd w:val="clear" w:color="auto" w:fill="83AD40"/>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9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820" w:type="dxa"/>
            <w:vAlign w:val="bottom"/>
          </w:tcPr>
          <w:p>
            <w:pPr>
              <w:spacing w:after="0"/>
              <w:rPr>
                <w:sz w:val="7"/>
                <w:szCs w:val="7"/>
                <w:color w:val="auto"/>
              </w:rPr>
            </w:pPr>
          </w:p>
        </w:tc>
        <w:tc>
          <w:tcPr>
            <w:tcW w:w="2580" w:type="dxa"/>
            <w:vAlign w:val="bottom"/>
            <w:gridSpan w:val="3"/>
            <w:vMerge w:val="continue"/>
            <w:shd w:val="clear" w:color="auto" w:fill="1F2668"/>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shd w:val="clear" w:color="auto" w:fill="83AD40"/>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940" w:type="dxa"/>
            <w:vAlign w:val="bottom"/>
            <w:vMerge w:val="restart"/>
          </w:tcPr>
          <w:p>
            <w:pPr>
              <w:ind w:left="180"/>
              <w:spacing w:after="0"/>
              <w:rPr>
                <w:sz w:val="20"/>
                <w:szCs w:val="20"/>
                <w:color w:val="auto"/>
              </w:rPr>
            </w:pPr>
            <w:r>
              <w:rPr>
                <w:rFonts w:ascii="Arial" w:cs="Arial" w:eastAsia="Arial" w:hAnsi="Arial"/>
                <w:sz w:val="16"/>
                <w:szCs w:val="16"/>
                <w:color w:val="auto"/>
              </w:rPr>
              <w:t>function; and the performance of the Company’s independent registered public</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2580" w:type="dxa"/>
            <w:vAlign w:val="bottom"/>
            <w:gridSpan w:val="3"/>
            <w:vMerge w:val="restart"/>
            <w:shd w:val="clear" w:color="auto" w:fill="1F2668"/>
          </w:tcPr>
          <w:p>
            <w:pPr>
              <w:ind w:left="140"/>
              <w:spacing w:after="0"/>
              <w:rPr>
                <w:sz w:val="20"/>
                <w:szCs w:val="20"/>
                <w:color w:val="auto"/>
              </w:rPr>
            </w:pPr>
            <w:r>
              <w:rPr>
                <w:rFonts w:ascii="Arial" w:cs="Arial" w:eastAsia="Arial" w:hAnsi="Arial"/>
                <w:sz w:val="16"/>
                <w:szCs w:val="16"/>
                <w:color w:val="FFFFFF"/>
              </w:rPr>
              <w:t>Craig M. Hatkoff</w:t>
            </w:r>
          </w:p>
        </w:tc>
        <w:tc>
          <w:tcPr>
            <w:tcW w:w="120" w:type="dxa"/>
            <w:vAlign w:val="bottom"/>
          </w:tcPr>
          <w:p>
            <w:pPr>
              <w:spacing w:after="0"/>
              <w:rPr>
                <w:sz w:val="10"/>
                <w:szCs w:val="10"/>
                <w:color w:val="auto"/>
              </w:rPr>
            </w:pPr>
          </w:p>
        </w:tc>
        <w:tc>
          <w:tcPr>
            <w:tcW w:w="40" w:type="dxa"/>
            <w:vAlign w:val="bottom"/>
            <w:shd w:val="clear" w:color="auto" w:fill="83AD40"/>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9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820" w:type="dxa"/>
            <w:vAlign w:val="bottom"/>
          </w:tcPr>
          <w:p>
            <w:pPr>
              <w:spacing w:after="0"/>
              <w:rPr>
                <w:sz w:val="8"/>
                <w:szCs w:val="8"/>
                <w:color w:val="auto"/>
              </w:rPr>
            </w:pPr>
          </w:p>
        </w:tc>
        <w:tc>
          <w:tcPr>
            <w:tcW w:w="2580" w:type="dxa"/>
            <w:vAlign w:val="bottom"/>
            <w:gridSpan w:val="3"/>
            <w:vMerge w:val="continue"/>
            <w:shd w:val="clear" w:color="auto" w:fill="1F2668"/>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shd w:val="clear" w:color="auto" w:fill="83AD40"/>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940" w:type="dxa"/>
            <w:vAlign w:val="bottom"/>
            <w:vMerge w:val="restart"/>
          </w:tcPr>
          <w:p>
            <w:pPr>
              <w:ind w:left="180"/>
              <w:spacing w:after="0"/>
              <w:rPr>
                <w:sz w:val="20"/>
                <w:szCs w:val="20"/>
                <w:color w:val="auto"/>
              </w:rPr>
            </w:pPr>
            <w:r>
              <w:rPr>
                <w:rFonts w:ascii="Arial" w:cs="Arial" w:eastAsia="Arial" w:hAnsi="Arial"/>
                <w:sz w:val="16"/>
                <w:szCs w:val="16"/>
                <w:color w:val="auto"/>
              </w:rPr>
              <w:t>accounting firm</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200" w:type="dxa"/>
            <w:vAlign w:val="bottom"/>
            <w:tcBorders>
              <w:right w:val="single" w:sz="8" w:color="1F2668"/>
            </w:tcBorders>
            <w:shd w:val="clear" w:color="auto" w:fill="1F2668"/>
          </w:tcPr>
          <w:p>
            <w:pPr>
              <w:spacing w:after="0"/>
              <w:rPr>
                <w:sz w:val="10"/>
                <w:szCs w:val="10"/>
                <w:color w:val="auto"/>
              </w:rPr>
            </w:pPr>
          </w:p>
        </w:tc>
        <w:tc>
          <w:tcPr>
            <w:tcW w:w="320" w:type="dxa"/>
            <w:vAlign w:val="bottom"/>
            <w:shd w:val="clear" w:color="auto" w:fill="1F2668"/>
          </w:tcPr>
          <w:p>
            <w:pPr>
              <w:spacing w:after="0"/>
              <w:rPr>
                <w:sz w:val="10"/>
                <w:szCs w:val="10"/>
                <w:color w:val="auto"/>
              </w:rPr>
            </w:pPr>
          </w:p>
        </w:tc>
        <w:tc>
          <w:tcPr>
            <w:tcW w:w="2060" w:type="dxa"/>
            <w:vAlign w:val="bottom"/>
            <w:shd w:val="clear" w:color="auto" w:fill="1F2668"/>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shd w:val="clear" w:color="auto" w:fill="83AD40"/>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9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820" w:type="dxa"/>
            <w:vAlign w:val="bottom"/>
          </w:tcPr>
          <w:p>
            <w:pPr>
              <w:spacing w:after="0"/>
              <w:rPr>
                <w:sz w:val="17"/>
                <w:szCs w:val="17"/>
                <w:color w:val="auto"/>
              </w:rPr>
            </w:pPr>
          </w:p>
        </w:tc>
        <w:tc>
          <w:tcPr>
            <w:tcW w:w="2580" w:type="dxa"/>
            <w:vAlign w:val="bottom"/>
            <w:gridSpan w:val="3"/>
            <w:vMerge w:val="restart"/>
            <w:shd w:val="clear" w:color="auto" w:fill="1F2668"/>
          </w:tcPr>
          <w:p>
            <w:pPr>
              <w:ind w:left="140"/>
              <w:spacing w:after="0"/>
              <w:rPr>
                <w:sz w:val="20"/>
                <w:szCs w:val="20"/>
                <w:color w:val="auto"/>
              </w:rPr>
            </w:pPr>
            <w:r>
              <w:rPr>
                <w:rFonts w:ascii="Arial" w:cs="Arial" w:eastAsia="Arial" w:hAnsi="Arial"/>
                <w:sz w:val="16"/>
                <w:szCs w:val="16"/>
                <w:color w:val="FFFFFF"/>
              </w:rPr>
              <w:t>Meetings in 2024: 13</w:t>
            </w:r>
          </w:p>
        </w:tc>
        <w:tc>
          <w:tcPr>
            <w:tcW w:w="120" w:type="dxa"/>
            <w:vAlign w:val="bottom"/>
          </w:tcPr>
          <w:p>
            <w:pPr>
              <w:spacing w:after="0"/>
              <w:rPr>
                <w:sz w:val="17"/>
                <w:szCs w:val="17"/>
                <w:color w:val="auto"/>
              </w:rPr>
            </w:pPr>
          </w:p>
        </w:tc>
        <w:tc>
          <w:tcPr>
            <w:tcW w:w="40" w:type="dxa"/>
            <w:vAlign w:val="bottom"/>
            <w:shd w:val="clear" w:color="auto" w:fill="83AD40"/>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6"/>
                <w:szCs w:val="16"/>
                <w:color w:val="auto"/>
              </w:rPr>
              <w:t>•  Prepare the report that is required to be included in this proxy statement by the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2580" w:type="dxa"/>
            <w:vAlign w:val="bottom"/>
            <w:gridSpan w:val="3"/>
            <w:vMerge w:val="continue"/>
            <w:shd w:val="clear" w:color="auto" w:fill="1F2668"/>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shd w:val="clear" w:color="auto" w:fill="83AD40"/>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940" w:type="dxa"/>
            <w:vAlign w:val="bottom"/>
          </w:tcPr>
          <w:p>
            <w:pPr>
              <w:ind w:left="180"/>
              <w:spacing w:after="0"/>
              <w:rPr>
                <w:sz w:val="20"/>
                <w:szCs w:val="20"/>
                <w:color w:val="auto"/>
              </w:rPr>
            </w:pPr>
            <w:r>
              <w:rPr>
                <w:rFonts w:ascii="Arial" w:cs="Arial" w:eastAsia="Arial" w:hAnsi="Arial"/>
                <w:sz w:val="16"/>
                <w:szCs w:val="16"/>
                <w:color w:val="auto"/>
              </w:rPr>
              <w:t>rules of the SEC</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820" w:type="dxa"/>
            <w:vAlign w:val="bottom"/>
          </w:tcPr>
          <w:p>
            <w:pPr>
              <w:spacing w:after="0"/>
              <w:rPr>
                <w:sz w:val="21"/>
                <w:szCs w:val="21"/>
                <w:color w:val="auto"/>
              </w:rPr>
            </w:pPr>
          </w:p>
        </w:tc>
        <w:tc>
          <w:tcPr>
            <w:tcW w:w="200" w:type="dxa"/>
            <w:vAlign w:val="bottom"/>
            <w:tcBorders>
              <w:bottom w:val="single" w:sz="8" w:color="1F2668"/>
              <w:right w:val="single" w:sz="8" w:color="1F2668"/>
            </w:tcBorders>
            <w:shd w:val="clear" w:color="auto" w:fill="1F2668"/>
          </w:tcPr>
          <w:p>
            <w:pPr>
              <w:spacing w:after="0"/>
              <w:rPr>
                <w:sz w:val="21"/>
                <w:szCs w:val="21"/>
                <w:color w:val="auto"/>
              </w:rPr>
            </w:pPr>
          </w:p>
        </w:tc>
        <w:tc>
          <w:tcPr>
            <w:tcW w:w="320" w:type="dxa"/>
            <w:vAlign w:val="bottom"/>
            <w:tcBorders>
              <w:bottom w:val="single" w:sz="8" w:color="1F2668"/>
            </w:tcBorders>
            <w:shd w:val="clear" w:color="auto" w:fill="1F2668"/>
          </w:tcPr>
          <w:p>
            <w:pPr>
              <w:spacing w:after="0"/>
              <w:rPr>
                <w:sz w:val="21"/>
                <w:szCs w:val="21"/>
                <w:color w:val="auto"/>
              </w:rPr>
            </w:pPr>
          </w:p>
        </w:tc>
        <w:tc>
          <w:tcPr>
            <w:tcW w:w="2060" w:type="dxa"/>
            <w:vAlign w:val="bottom"/>
            <w:tcBorders>
              <w:bottom w:val="single" w:sz="8" w:color="1F2668"/>
            </w:tcBorders>
            <w:shd w:val="clear" w:color="auto" w:fill="1F2668"/>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Borders>
              <w:bottom w:val="single" w:sz="8" w:color="83AD40"/>
            </w:tcBorders>
            <w:shd w:val="clear" w:color="auto" w:fill="83AD40"/>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940" w:type="dxa"/>
            <w:vAlign w:val="bottom"/>
          </w:tcPr>
          <w:p>
            <w:pPr>
              <w:spacing w:after="0"/>
              <w:rPr>
                <w:sz w:val="20"/>
                <w:szCs w:val="20"/>
                <w:color w:val="auto"/>
              </w:rPr>
            </w:pPr>
            <w:r>
              <w:rPr>
                <w:rFonts w:ascii="Arial" w:cs="Arial" w:eastAsia="Arial" w:hAnsi="Arial"/>
                <w:sz w:val="16"/>
                <w:szCs w:val="16"/>
                <w:color w:val="auto"/>
              </w:rPr>
              <w:t>•  Provide an open avenue of communication among the Company’s independent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820" w:type="dxa"/>
            <w:vAlign w:val="bottom"/>
          </w:tcPr>
          <w:p>
            <w:pPr>
              <w:spacing w:after="0"/>
              <w:rPr>
                <w:sz w:val="14"/>
                <w:szCs w:val="14"/>
                <w:color w:val="auto"/>
              </w:rPr>
            </w:pPr>
          </w:p>
        </w:tc>
        <w:tc>
          <w:tcPr>
            <w:tcW w:w="200" w:type="dxa"/>
            <w:vAlign w:val="bottom"/>
            <w:tcBorders>
              <w:right w:val="single" w:sz="8" w:color="83AD40"/>
            </w:tcBorders>
          </w:tcPr>
          <w:p>
            <w:pPr>
              <w:spacing w:after="0"/>
              <w:rPr>
                <w:sz w:val="14"/>
                <w:szCs w:val="14"/>
                <w:color w:val="auto"/>
              </w:rPr>
            </w:pPr>
          </w:p>
        </w:tc>
        <w:tc>
          <w:tcPr>
            <w:tcW w:w="320" w:type="dxa"/>
            <w:vAlign w:val="bottom"/>
          </w:tcPr>
          <w:p>
            <w:pPr>
              <w:jc w:val="right"/>
              <w:ind w:right="157"/>
              <w:spacing w:after="0" w:line="164" w:lineRule="exact"/>
              <w:rPr>
                <w:sz w:val="20"/>
                <w:szCs w:val="20"/>
                <w:color w:val="auto"/>
              </w:rPr>
            </w:pPr>
            <w:r>
              <w:rPr>
                <w:rFonts w:ascii="Arial" w:cs="Arial" w:eastAsia="Arial" w:hAnsi="Arial"/>
                <w:sz w:val="19"/>
                <w:szCs w:val="19"/>
                <w:color w:val="auto"/>
              </w:rPr>
              <w:t>​</w:t>
            </w: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shd w:val="clear" w:color="auto" w:fill="83AD40"/>
          </w:tcPr>
          <w:p>
            <w:pPr>
              <w:spacing w:after="0" w:line="164" w:lineRule="exact"/>
              <w:rPr>
                <w:sz w:val="20"/>
                <w:szCs w:val="20"/>
                <w:color w:val="auto"/>
              </w:rPr>
            </w:pPr>
            <w:r>
              <w:rPr>
                <w:rFonts w:ascii="Arial" w:cs="Arial" w:eastAsia="Arial" w:hAnsi="Arial"/>
                <w:sz w:val="19"/>
                <w:szCs w:val="19"/>
                <w:color w:val="auto"/>
              </w:rPr>
              <w:t>​</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940" w:type="dxa"/>
            <w:vAlign w:val="bottom"/>
          </w:tcPr>
          <w:p>
            <w:pPr>
              <w:ind w:left="180"/>
              <w:spacing w:after="0" w:line="160" w:lineRule="exact"/>
              <w:rPr>
                <w:sz w:val="20"/>
                <w:szCs w:val="20"/>
                <w:color w:val="auto"/>
              </w:rPr>
            </w:pPr>
            <w:r>
              <w:rPr>
                <w:rFonts w:ascii="Arial" w:cs="Arial" w:eastAsia="Arial" w:hAnsi="Arial"/>
                <w:sz w:val="16"/>
                <w:szCs w:val="16"/>
                <w:color w:val="auto"/>
              </w:rPr>
              <w:t>registered public accounting firm, its internal auditors, its management and the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820" w:type="dxa"/>
            <w:vAlign w:val="bottom"/>
          </w:tcPr>
          <w:p>
            <w:pPr>
              <w:spacing w:after="0"/>
              <w:rPr>
                <w:sz w:val="9"/>
                <w:szCs w:val="9"/>
                <w:color w:val="auto"/>
              </w:rPr>
            </w:pPr>
          </w:p>
        </w:tc>
        <w:tc>
          <w:tcPr>
            <w:tcW w:w="200" w:type="dxa"/>
            <w:vAlign w:val="bottom"/>
            <w:tcBorders>
              <w:right w:val="single" w:sz="8" w:color="83AD40"/>
            </w:tcBorders>
          </w:tcPr>
          <w:p>
            <w:pPr>
              <w:spacing w:after="0"/>
              <w:rPr>
                <w:sz w:val="9"/>
                <w:szCs w:val="9"/>
                <w:color w:val="auto"/>
              </w:rPr>
            </w:pPr>
          </w:p>
        </w:tc>
        <w:tc>
          <w:tcPr>
            <w:tcW w:w="320" w:type="dxa"/>
            <w:vAlign w:val="bottom"/>
            <w:tcBorders>
              <w:bottom w:val="single" w:sz="8" w:color="83AD40"/>
            </w:tcBorders>
          </w:tcPr>
          <w:p>
            <w:pPr>
              <w:spacing w:after="0"/>
              <w:rPr>
                <w:sz w:val="9"/>
                <w:szCs w:val="9"/>
                <w:color w:val="auto"/>
              </w:rPr>
            </w:pPr>
          </w:p>
        </w:tc>
        <w:tc>
          <w:tcPr>
            <w:tcW w:w="2060" w:type="dxa"/>
            <w:vAlign w:val="bottom"/>
            <w:tcBorders>
              <w:bottom w:val="single" w:sz="8" w:color="83AD40"/>
            </w:tcBorders>
          </w:tcPr>
          <w:p>
            <w:pPr>
              <w:spacing w:after="0"/>
              <w:rPr>
                <w:sz w:val="9"/>
                <w:szCs w:val="9"/>
                <w:color w:val="auto"/>
              </w:rPr>
            </w:pPr>
          </w:p>
        </w:tc>
        <w:tc>
          <w:tcPr>
            <w:tcW w:w="120" w:type="dxa"/>
            <w:vAlign w:val="bottom"/>
            <w:tcBorders>
              <w:bottom w:val="single" w:sz="8" w:color="83AD40"/>
            </w:tcBorders>
          </w:tcPr>
          <w:p>
            <w:pPr>
              <w:spacing w:after="0"/>
              <w:rPr>
                <w:sz w:val="9"/>
                <w:szCs w:val="9"/>
                <w:color w:val="auto"/>
              </w:rPr>
            </w:pPr>
          </w:p>
        </w:tc>
        <w:tc>
          <w:tcPr>
            <w:tcW w:w="40" w:type="dxa"/>
            <w:vAlign w:val="bottom"/>
            <w:tcBorders>
              <w:bottom w:val="single" w:sz="8" w:color="83AD40"/>
            </w:tcBorders>
            <w:shd w:val="clear" w:color="auto" w:fill="83AD40"/>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vMerge w:val="restart"/>
          </w:tcPr>
          <w:p>
            <w:pPr>
              <w:spacing w:after="0"/>
              <w:rPr>
                <w:sz w:val="9"/>
                <w:szCs w:val="9"/>
                <w:color w:val="auto"/>
              </w:rPr>
            </w:pPr>
          </w:p>
        </w:tc>
        <w:tc>
          <w:tcPr>
            <w:tcW w:w="5940" w:type="dxa"/>
            <w:vAlign w:val="bottom"/>
            <w:vMerge w:val="restart"/>
          </w:tcPr>
          <w:p>
            <w:pPr>
              <w:ind w:left="180"/>
              <w:spacing w:after="0"/>
              <w:rPr>
                <w:sz w:val="20"/>
                <w:szCs w:val="20"/>
                <w:color w:val="auto"/>
              </w:rPr>
            </w:pPr>
            <w:r>
              <w:rPr>
                <w:rFonts w:ascii="Arial" w:cs="Arial" w:eastAsia="Arial" w:hAnsi="Arial"/>
                <w:sz w:val="16"/>
                <w:szCs w:val="16"/>
                <w:color w:val="auto"/>
              </w:rPr>
              <w:t>Board</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59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9"/>
        </w:trPr>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940" w:type="dxa"/>
            <w:vAlign w:val="bottom"/>
          </w:tcPr>
          <w:p>
            <w:pPr>
              <w:spacing w:after="0"/>
              <w:rPr>
                <w:sz w:val="20"/>
                <w:szCs w:val="20"/>
                <w:color w:val="auto"/>
              </w:rPr>
            </w:pPr>
            <w:r>
              <w:rPr>
                <w:rFonts w:ascii="Arial" w:cs="Arial" w:eastAsia="Arial" w:hAnsi="Arial"/>
                <w:sz w:val="16"/>
                <w:szCs w:val="16"/>
                <w:color w:val="auto"/>
                <w:w w:val="99"/>
              </w:rPr>
              <w:t>Each member of the Audit Committee is independent within the meaning of the rules</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6"/>
                <w:szCs w:val="16"/>
                <w:color w:val="auto"/>
              </w:rPr>
              <w:t>of the NYSE and the SEC and each of them meets the financial literacy standard</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6"/>
                <w:szCs w:val="16"/>
                <w:color w:val="auto"/>
              </w:rPr>
              <w:t>required by the rules of the NYSE.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940" w:type="dxa"/>
            <w:vAlign w:val="bottom"/>
          </w:tcPr>
          <w:p>
            <w:pPr>
              <w:spacing w:after="0"/>
              <w:rPr>
                <w:sz w:val="20"/>
                <w:szCs w:val="20"/>
                <w:color w:val="auto"/>
              </w:rPr>
            </w:pPr>
            <w:r>
              <w:rPr>
                <w:rFonts w:ascii="Arial" w:cs="Arial" w:eastAsia="Arial" w:hAnsi="Arial"/>
                <w:sz w:val="16"/>
                <w:szCs w:val="16"/>
                <w:color w:val="auto"/>
              </w:rPr>
              <w:t>Additional information regarding the functions performed by our Audit Committee is</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6"/>
                <w:szCs w:val="16"/>
                <w:color w:val="auto"/>
              </w:rPr>
              <w:t>set forth in the “Audit Committee Report” included in this annual proxy statement.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5"/>
        </w:trPr>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940" w:type="dxa"/>
            <w:vAlign w:val="bottom"/>
          </w:tcPr>
          <w:p>
            <w:pPr>
              <w:spacing w:after="0"/>
              <w:rPr>
                <w:sz w:val="20"/>
                <w:szCs w:val="20"/>
                <w:color w:val="auto"/>
              </w:rPr>
            </w:pPr>
            <w:r>
              <w:rPr>
                <w:rFonts w:ascii="Arial" w:cs="Arial" w:eastAsia="Arial" w:hAnsi="Arial"/>
                <w:sz w:val="20"/>
                <w:szCs w:val="20"/>
                <w:b w:val="1"/>
                <w:bCs w:val="1"/>
                <w:color w:val="83AD40"/>
              </w:rPr>
              <w:t>Audit Committee Financial Expert: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940" w:type="dxa"/>
            <w:vAlign w:val="bottom"/>
          </w:tcPr>
          <w:p>
            <w:pPr>
              <w:spacing w:after="0"/>
              <w:rPr>
                <w:sz w:val="20"/>
                <w:szCs w:val="20"/>
                <w:color w:val="auto"/>
              </w:rPr>
            </w:pPr>
            <w:r>
              <w:rPr>
                <w:rFonts w:ascii="Arial" w:cs="Arial" w:eastAsia="Arial" w:hAnsi="Arial"/>
                <w:sz w:val="16"/>
                <w:szCs w:val="16"/>
                <w:color w:val="auto"/>
              </w:rPr>
              <w:t>The Board determined that Lauren B. Dillard qualifies as an “audit committee</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6"/>
                <w:szCs w:val="16"/>
                <w:color w:val="auto"/>
              </w:rPr>
              <w:t>financial expert,” as defined in Item 407(d) of SEC Regulation S-K.</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940" w:type="dxa"/>
            <w:vAlign w:val="bottom"/>
            <w:tcBorders>
              <w:bottom w:val="single" w:sz="8" w:color="83AD4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5"/>
        </w:trPr>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940" w:type="dxa"/>
            <w:vAlign w:val="bottom"/>
          </w:tcPr>
          <w:p>
            <w:pPr>
              <w:spacing w:after="0"/>
              <w:rPr>
                <w:sz w:val="20"/>
                <w:szCs w:val="20"/>
                <w:color w:val="auto"/>
              </w:rPr>
            </w:pPr>
            <w:r>
              <w:rPr>
                <w:rFonts w:ascii="Arial" w:cs="Arial" w:eastAsia="Arial" w:hAnsi="Arial"/>
                <w:sz w:val="16"/>
                <w:szCs w:val="16"/>
                <w:color w:val="auto"/>
                <w:w w:val="99"/>
              </w:rPr>
              <w:t>Our management is responsible for the preparation, presentation and integrity of our</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6"/>
                <w:szCs w:val="16"/>
                <w:color w:val="auto"/>
              </w:rPr>
              <w:t>financial statements and for the effectiveness of internal control over financial</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6"/>
                <w:szCs w:val="16"/>
                <w:color w:val="auto"/>
              </w:rPr>
              <w:t>reporting. Management is responsible for maintaining appropriate accounting and</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6"/>
                <w:szCs w:val="16"/>
                <w:color w:val="auto"/>
              </w:rPr>
              <w:t>financial reporting principles and policies and internal controls and procedures that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6"/>
                <w:szCs w:val="16"/>
                <w:color w:val="auto"/>
              </w:rPr>
              <w:t>provide for compliance with accounting standards and applicable laws and</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6"/>
                <w:szCs w:val="16"/>
                <w:color w:val="auto"/>
              </w:rPr>
              <w:t>regulations.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940" w:type="dxa"/>
            <w:vAlign w:val="bottom"/>
          </w:tcPr>
          <w:p>
            <w:pPr>
              <w:spacing w:after="0"/>
              <w:rPr>
                <w:sz w:val="20"/>
                <w:szCs w:val="20"/>
                <w:color w:val="auto"/>
              </w:rPr>
            </w:pPr>
            <w:r>
              <w:rPr>
                <w:rFonts w:ascii="Arial" w:cs="Arial" w:eastAsia="Arial" w:hAnsi="Arial"/>
                <w:sz w:val="16"/>
                <w:szCs w:val="16"/>
                <w:color w:val="auto"/>
              </w:rPr>
              <w:t>Our independent registered public accounting firm is responsible for planning and</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6"/>
                <w:szCs w:val="16"/>
                <w:color w:val="auto"/>
                <w:w w:val="99"/>
              </w:rPr>
              <w:t>carrying out a proper audit of our annual financial statements prior to the filing of our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6"/>
                <w:szCs w:val="16"/>
                <w:color w:val="auto"/>
                <w:w w:val="98"/>
              </w:rPr>
              <w:t>Annual Report on Form 10-K, reviewing our quarterly financial statements prior to the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6"/>
                <w:szCs w:val="16"/>
                <w:color w:val="auto"/>
                <w:w w:val="99"/>
              </w:rPr>
              <w:t>filing of each Quarterly Report on Form 10-Q and annually auditing the effectiveness</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6"/>
                <w:szCs w:val="16"/>
                <w:color w:val="auto"/>
              </w:rPr>
              <w:t>of our internal control over financial reporting and other procedures.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2423160</wp:posOffset>
            </wp:positionV>
            <wp:extent cx="683196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71"/>
        </w:trPr>
        <w:tc>
          <w:tcPr>
            <w:tcW w:w="3400" w:type="dxa"/>
            <w:vAlign w:val="bottom"/>
            <w:gridSpan w:val="3"/>
          </w:tcPr>
          <w:p>
            <w:pPr>
              <w:spacing w:after="0"/>
              <w:rPr>
                <w:sz w:val="20"/>
                <w:szCs w:val="20"/>
                <w:color w:val="auto"/>
              </w:rPr>
            </w:pPr>
            <w:r>
              <w:rPr>
                <w:rFonts w:ascii="Calibri" w:cs="Calibri" w:eastAsia="Calibri" w:hAnsi="Calibri"/>
                <w:sz w:val="14"/>
                <w:szCs w:val="14"/>
                <w:color w:val="003366"/>
              </w:rPr>
              <w:t>TABLE OF CONTENTS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2"/>
        </w:trPr>
        <w:tc>
          <w:tcPr>
            <w:tcW w:w="82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4"/>
                <w:szCs w:val="14"/>
                <w:b w:val="1"/>
                <w:bCs w:val="1"/>
                <w:color w:val="auto"/>
              </w:rPr>
              <w:t>​ ​</w:t>
            </w:r>
          </w:p>
        </w:tc>
        <w:tc>
          <w:tcPr>
            <w:tcW w:w="260" w:type="dxa"/>
            <w:vAlign w:val="bottom"/>
            <w:vMerge w:val="restart"/>
          </w:tcPr>
          <w:p>
            <w:pPr>
              <w:jc w:val="right"/>
              <w:spacing w:after="0"/>
              <w:rPr>
                <w:sz w:val="20"/>
                <w:szCs w:val="20"/>
                <w:color w:val="auto"/>
              </w:rPr>
            </w:pPr>
            <w:r>
              <w:rPr>
                <w:rFonts w:ascii="Arial" w:cs="Arial" w:eastAsia="Arial" w:hAnsi="Arial"/>
                <w:sz w:val="22"/>
                <w:szCs w:val="22"/>
                <w:b w:val="1"/>
                <w:bCs w:val="1"/>
                <w:color w:val="1F2668"/>
                <w:w w:val="97"/>
              </w:rPr>
              <w:t>27</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8180" w:type="dxa"/>
            <w:vAlign w:val="bottom"/>
            <w:gridSpan w:val="7"/>
          </w:tcPr>
          <w:p>
            <w:pPr>
              <w:spacing w:after="0"/>
              <w:rPr>
                <w:sz w:val="20"/>
                <w:szCs w:val="20"/>
                <w:color w:val="auto"/>
              </w:rPr>
            </w:pPr>
            <w:r>
              <w:rPr>
                <w:rFonts w:ascii="Arial" w:cs="Arial" w:eastAsia="Arial" w:hAnsi="Arial"/>
                <w:sz w:val="14"/>
                <w:szCs w:val="14"/>
                <w:b w:val="1"/>
                <w:bCs w:val="1"/>
                <w:color w:val="auto"/>
              </w:rPr>
              <w:t>OUR BOARD OF DIRECTORS AND CORPORATE GOVERNANCE</w:t>
            </w:r>
          </w:p>
        </w:tc>
        <w:tc>
          <w:tcPr>
            <w:tcW w:w="62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tcBorders>
              <w:bottom w:val="single" w:sz="8" w:color="83AD40"/>
            </w:tcBorders>
          </w:tcPr>
          <w:p>
            <w:pPr>
              <w:spacing w:after="0"/>
              <w:rPr>
                <w:sz w:val="24"/>
                <w:szCs w:val="24"/>
                <w:color w:val="auto"/>
              </w:rPr>
            </w:pPr>
          </w:p>
        </w:tc>
        <w:tc>
          <w:tcPr>
            <w:tcW w:w="120" w:type="dxa"/>
            <w:vAlign w:val="bottom"/>
            <w:tcBorders>
              <w:bottom w:val="single" w:sz="8" w:color="83AD40"/>
            </w:tcBorders>
          </w:tcPr>
          <w:p>
            <w:pPr>
              <w:spacing w:after="0"/>
              <w:rPr>
                <w:sz w:val="24"/>
                <w:szCs w:val="24"/>
                <w:color w:val="auto"/>
              </w:rPr>
            </w:pPr>
          </w:p>
        </w:tc>
        <w:tc>
          <w:tcPr>
            <w:tcW w:w="40" w:type="dxa"/>
            <w:vAlign w:val="bottom"/>
            <w:tcBorders>
              <w:bottom w:val="single" w:sz="8" w:color="83AD40"/>
            </w:tcBorders>
          </w:tcPr>
          <w:p>
            <w:pPr>
              <w:spacing w:after="0"/>
              <w:rPr>
                <w:sz w:val="24"/>
                <w:szCs w:val="24"/>
                <w:color w:val="auto"/>
              </w:rPr>
            </w:pPr>
          </w:p>
        </w:tc>
        <w:tc>
          <w:tcPr>
            <w:tcW w:w="20" w:type="dxa"/>
            <w:vAlign w:val="bottom"/>
            <w:tcBorders>
              <w:bottom w:val="single" w:sz="8" w:color="83AD40"/>
            </w:tcBorders>
          </w:tcPr>
          <w:p>
            <w:pPr>
              <w:spacing w:after="0"/>
              <w:rPr>
                <w:sz w:val="24"/>
                <w:szCs w:val="24"/>
                <w:color w:val="auto"/>
              </w:rPr>
            </w:pPr>
          </w:p>
        </w:tc>
        <w:tc>
          <w:tcPr>
            <w:tcW w:w="5420" w:type="dxa"/>
            <w:vAlign w:val="bottom"/>
            <w:gridSpan w:val="2"/>
            <w:vMerge w:val="restart"/>
          </w:tcPr>
          <w:p>
            <w:pPr>
              <w:ind w:left="360"/>
              <w:spacing w:after="0"/>
              <w:rPr>
                <w:sz w:val="20"/>
                <w:szCs w:val="20"/>
                <w:color w:val="auto"/>
              </w:rPr>
            </w:pPr>
            <w:r>
              <w:rPr>
                <w:rFonts w:ascii="Arial" w:cs="Arial" w:eastAsia="Arial" w:hAnsi="Arial"/>
                <w:sz w:val="20"/>
                <w:szCs w:val="20"/>
                <w:b w:val="1"/>
                <w:bCs w:val="1"/>
                <w:color w:val="83AD40"/>
              </w:rPr>
              <w:t>Principal Responsibilities:</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200" w:type="dxa"/>
            <w:vAlign w:val="bottom"/>
            <w:tcBorders>
              <w:right w:val="single" w:sz="8" w:color="83AD40"/>
            </w:tcBorders>
          </w:tcPr>
          <w:p>
            <w:pPr>
              <w:spacing w:after="0"/>
              <w:rPr>
                <w:sz w:val="21"/>
                <w:szCs w:val="21"/>
                <w:color w:val="auto"/>
              </w:rPr>
            </w:pPr>
          </w:p>
        </w:tc>
        <w:tc>
          <w:tcPr>
            <w:tcW w:w="238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120" w:type="dxa"/>
            <w:vAlign w:val="bottom"/>
            <w:vMerge w:val="restart"/>
          </w:tcPr>
          <w:p>
            <w:pPr>
              <w:spacing w:after="0"/>
              <w:rPr>
                <w:sz w:val="20"/>
                <w:szCs w:val="20"/>
                <w:color w:val="auto"/>
              </w:rPr>
            </w:pPr>
            <w:r>
              <w:rPr>
                <w:rFonts w:ascii="Arial" w:cs="Arial" w:eastAsia="Arial" w:hAnsi="Arial"/>
                <w:sz w:val="16"/>
                <w:szCs w:val="16"/>
                <w:color w:val="FFFFFF"/>
              </w:rPr>
              <w:t>​</w:t>
            </w:r>
          </w:p>
        </w:tc>
        <w:tc>
          <w:tcPr>
            <w:tcW w:w="40" w:type="dxa"/>
            <w:vAlign w:val="bottom"/>
            <w:shd w:val="clear" w:color="auto" w:fill="83AD40"/>
          </w:tcPr>
          <w:p>
            <w:pPr>
              <w:spacing w:after="0" w:line="243" w:lineRule="exact"/>
              <w:rPr>
                <w:sz w:val="20"/>
                <w:szCs w:val="20"/>
                <w:color w:val="auto"/>
              </w:rPr>
            </w:pPr>
            <w:r>
              <w:rPr>
                <w:rFonts w:ascii="Arial" w:cs="Arial" w:eastAsia="Arial" w:hAnsi="Arial"/>
                <w:sz w:val="22"/>
                <w:szCs w:val="22"/>
                <w:color w:val="auto"/>
              </w:rPr>
              <w:t>​</w:t>
            </w:r>
          </w:p>
        </w:tc>
        <w:tc>
          <w:tcPr>
            <w:tcW w:w="20" w:type="dxa"/>
            <w:vAlign w:val="bottom"/>
          </w:tcPr>
          <w:p>
            <w:pPr>
              <w:spacing w:after="0"/>
              <w:rPr>
                <w:sz w:val="21"/>
                <w:szCs w:val="21"/>
                <w:color w:val="auto"/>
              </w:rPr>
            </w:pPr>
          </w:p>
        </w:tc>
        <w:tc>
          <w:tcPr>
            <w:tcW w:w="5420" w:type="dxa"/>
            <w:vAlign w:val="bottom"/>
            <w:gridSpan w:val="2"/>
            <w:vMerge w:val="continue"/>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200" w:type="dxa"/>
            <w:vAlign w:val="bottom"/>
            <w:tcBorders>
              <w:right w:val="single" w:sz="8" w:color="1F2668"/>
            </w:tcBorders>
            <w:shd w:val="clear" w:color="auto" w:fill="1F2668"/>
          </w:tcPr>
          <w:p>
            <w:pPr>
              <w:ind w:left="140"/>
              <w:spacing w:after="0"/>
              <w:rPr>
                <w:sz w:val="20"/>
                <w:szCs w:val="20"/>
                <w:color w:val="auto"/>
              </w:rPr>
            </w:pPr>
            <w:r>
              <w:rPr>
                <w:rFonts w:ascii="Arial" w:cs="Arial" w:eastAsia="Arial" w:hAnsi="Arial"/>
                <w:sz w:val="16"/>
                <w:szCs w:val="16"/>
                <w:color w:val="FFFFFF"/>
              </w:rPr>
              <w:t>​</w:t>
            </w:r>
          </w:p>
        </w:tc>
        <w:tc>
          <w:tcPr>
            <w:tcW w:w="2380" w:type="dxa"/>
            <w:vAlign w:val="bottom"/>
            <w:shd w:val="clear" w:color="auto" w:fill="1F2668"/>
          </w:tcPr>
          <w:p>
            <w:pPr>
              <w:spacing w:after="0"/>
              <w:rPr>
                <w:sz w:val="17"/>
                <w:szCs w:val="17"/>
                <w:color w:val="auto"/>
              </w:rPr>
            </w:pPr>
          </w:p>
        </w:tc>
        <w:tc>
          <w:tcPr>
            <w:tcW w:w="120" w:type="dxa"/>
            <w:vAlign w:val="bottom"/>
            <w:vMerge w:val="continue"/>
          </w:tcPr>
          <w:p>
            <w:pPr>
              <w:spacing w:after="0"/>
              <w:rPr>
                <w:sz w:val="17"/>
                <w:szCs w:val="17"/>
                <w:color w:val="auto"/>
              </w:rPr>
            </w:pPr>
          </w:p>
        </w:tc>
        <w:tc>
          <w:tcPr>
            <w:tcW w:w="40" w:type="dxa"/>
            <w:vAlign w:val="bottom"/>
            <w:shd w:val="clear" w:color="auto" w:fill="83AD40"/>
          </w:tcPr>
          <w:p>
            <w:pPr>
              <w:spacing w:after="0"/>
              <w:rPr>
                <w:sz w:val="17"/>
                <w:szCs w:val="17"/>
                <w:color w:val="auto"/>
              </w:rPr>
            </w:pPr>
          </w:p>
        </w:tc>
        <w:tc>
          <w:tcPr>
            <w:tcW w:w="20" w:type="dxa"/>
            <w:vAlign w:val="bottom"/>
          </w:tcPr>
          <w:p>
            <w:pPr>
              <w:spacing w:after="0"/>
              <w:rPr>
                <w:sz w:val="17"/>
                <w:szCs w:val="17"/>
                <w:color w:val="auto"/>
              </w:rPr>
            </w:pPr>
          </w:p>
        </w:tc>
        <w:tc>
          <w:tcPr>
            <w:tcW w:w="5420" w:type="dxa"/>
            <w:vAlign w:val="bottom"/>
            <w:gridSpan w:val="2"/>
            <w:vMerge w:val="restart"/>
          </w:tcPr>
          <w:p>
            <w:pPr>
              <w:ind w:left="360"/>
              <w:spacing w:after="0"/>
              <w:rPr>
                <w:sz w:val="20"/>
                <w:szCs w:val="20"/>
                <w:color w:val="auto"/>
              </w:rPr>
            </w:pPr>
            <w:r>
              <w:rPr>
                <w:rFonts w:ascii="Arial" w:cs="Arial" w:eastAsia="Arial" w:hAnsi="Arial"/>
                <w:sz w:val="16"/>
                <w:szCs w:val="16"/>
                <w:color w:val="auto"/>
              </w:rPr>
              <w:t>Our Compensation Committee’s primary purposes are to:</w:t>
            </w: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820" w:type="dxa"/>
            <w:vAlign w:val="bottom"/>
          </w:tcPr>
          <w:p>
            <w:pPr>
              <w:spacing w:after="0"/>
              <w:rPr>
                <w:sz w:val="4"/>
                <w:szCs w:val="4"/>
                <w:color w:val="auto"/>
              </w:rPr>
            </w:pPr>
          </w:p>
        </w:tc>
        <w:tc>
          <w:tcPr>
            <w:tcW w:w="2580" w:type="dxa"/>
            <w:vAlign w:val="bottom"/>
            <w:gridSpan w:val="2"/>
            <w:vMerge w:val="restart"/>
            <w:shd w:val="clear" w:color="auto" w:fill="1F2668"/>
          </w:tcPr>
          <w:p>
            <w:pPr>
              <w:ind w:left="140"/>
              <w:spacing w:after="0"/>
              <w:rPr>
                <w:sz w:val="20"/>
                <w:szCs w:val="20"/>
                <w:color w:val="auto"/>
              </w:rPr>
            </w:pPr>
            <w:r>
              <w:rPr>
                <w:rFonts w:ascii="Arial" w:cs="Arial" w:eastAsia="Arial" w:hAnsi="Arial"/>
                <w:sz w:val="23"/>
                <w:szCs w:val="23"/>
                <w:b w:val="1"/>
                <w:bCs w:val="1"/>
                <w:color w:val="FFFFFF"/>
              </w:rPr>
              <w:t>COMPENSATION</w:t>
            </w:r>
          </w:p>
        </w:tc>
        <w:tc>
          <w:tcPr>
            <w:tcW w:w="120" w:type="dxa"/>
            <w:vAlign w:val="bottom"/>
          </w:tcPr>
          <w:p>
            <w:pPr>
              <w:spacing w:after="0"/>
              <w:rPr>
                <w:sz w:val="4"/>
                <w:szCs w:val="4"/>
                <w:color w:val="auto"/>
              </w:rPr>
            </w:pPr>
          </w:p>
        </w:tc>
        <w:tc>
          <w:tcPr>
            <w:tcW w:w="40" w:type="dxa"/>
            <w:vAlign w:val="bottom"/>
            <w:shd w:val="clear" w:color="auto" w:fill="83AD40"/>
          </w:tcPr>
          <w:p>
            <w:pPr>
              <w:spacing w:after="0"/>
              <w:rPr>
                <w:sz w:val="4"/>
                <w:szCs w:val="4"/>
                <w:color w:val="auto"/>
              </w:rPr>
            </w:pPr>
          </w:p>
        </w:tc>
        <w:tc>
          <w:tcPr>
            <w:tcW w:w="20" w:type="dxa"/>
            <w:vAlign w:val="bottom"/>
          </w:tcPr>
          <w:p>
            <w:pPr>
              <w:spacing w:after="0"/>
              <w:rPr>
                <w:sz w:val="4"/>
                <w:szCs w:val="4"/>
                <w:color w:val="auto"/>
              </w:rPr>
            </w:pPr>
          </w:p>
        </w:tc>
        <w:tc>
          <w:tcPr>
            <w:tcW w:w="542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820" w:type="dxa"/>
            <w:vAlign w:val="bottom"/>
          </w:tcPr>
          <w:p>
            <w:pPr>
              <w:spacing w:after="0"/>
              <w:rPr>
                <w:sz w:val="23"/>
                <w:szCs w:val="23"/>
                <w:color w:val="auto"/>
              </w:rPr>
            </w:pPr>
          </w:p>
        </w:tc>
        <w:tc>
          <w:tcPr>
            <w:tcW w:w="2580" w:type="dxa"/>
            <w:vAlign w:val="bottom"/>
            <w:gridSpan w:val="2"/>
            <w:vMerge w:val="continue"/>
            <w:shd w:val="clear" w:color="auto" w:fill="1F2668"/>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shd w:val="clear" w:color="auto" w:fill="83AD40"/>
          </w:tcPr>
          <w:p>
            <w:pPr>
              <w:spacing w:after="0"/>
              <w:rPr>
                <w:sz w:val="23"/>
                <w:szCs w:val="23"/>
                <w:color w:val="auto"/>
              </w:rPr>
            </w:pPr>
          </w:p>
        </w:tc>
        <w:tc>
          <w:tcPr>
            <w:tcW w:w="20" w:type="dxa"/>
            <w:vAlign w:val="bottom"/>
          </w:tcPr>
          <w:p>
            <w:pPr>
              <w:spacing w:after="0"/>
              <w:rPr>
                <w:sz w:val="23"/>
                <w:szCs w:val="23"/>
                <w:color w:val="auto"/>
              </w:rPr>
            </w:pPr>
          </w:p>
        </w:tc>
        <w:tc>
          <w:tcPr>
            <w:tcW w:w="6300" w:type="dxa"/>
            <w:vAlign w:val="bottom"/>
            <w:gridSpan w:val="4"/>
            <w:vMerge w:val="restart"/>
          </w:tcPr>
          <w:p>
            <w:pPr>
              <w:ind w:left="360"/>
              <w:spacing w:after="0"/>
              <w:rPr>
                <w:sz w:val="20"/>
                <w:szCs w:val="20"/>
                <w:color w:val="auto"/>
              </w:rPr>
            </w:pPr>
            <w:r>
              <w:rPr>
                <w:rFonts w:ascii="Arial" w:cs="Arial" w:eastAsia="Arial" w:hAnsi="Arial"/>
                <w:sz w:val="16"/>
                <w:szCs w:val="16"/>
                <w:color w:val="auto"/>
              </w:rPr>
              <w:t>•  Determine how the Company’s Chief Executive Officer should be compensated</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2"/>
        </w:trPr>
        <w:tc>
          <w:tcPr>
            <w:tcW w:w="820" w:type="dxa"/>
            <w:vAlign w:val="bottom"/>
          </w:tcPr>
          <w:p>
            <w:pPr>
              <w:spacing w:after="0"/>
              <w:rPr>
                <w:sz w:val="9"/>
                <w:szCs w:val="9"/>
                <w:color w:val="auto"/>
              </w:rPr>
            </w:pPr>
          </w:p>
        </w:tc>
        <w:tc>
          <w:tcPr>
            <w:tcW w:w="2580" w:type="dxa"/>
            <w:vAlign w:val="bottom"/>
            <w:gridSpan w:val="2"/>
            <w:vMerge w:val="restart"/>
            <w:shd w:val="clear" w:color="auto" w:fill="1F2668"/>
          </w:tcPr>
          <w:p>
            <w:pPr>
              <w:ind w:left="140"/>
              <w:spacing w:after="0"/>
              <w:rPr>
                <w:sz w:val="20"/>
                <w:szCs w:val="20"/>
                <w:color w:val="auto"/>
              </w:rPr>
            </w:pPr>
            <w:r>
              <w:rPr>
                <w:rFonts w:ascii="Arial" w:cs="Arial" w:eastAsia="Arial" w:hAnsi="Arial"/>
                <w:sz w:val="23"/>
                <w:szCs w:val="23"/>
                <w:b w:val="1"/>
                <w:bCs w:val="1"/>
                <w:color w:val="FFFFFF"/>
              </w:rPr>
              <w:t>COMMITTEE</w:t>
            </w:r>
          </w:p>
        </w:tc>
        <w:tc>
          <w:tcPr>
            <w:tcW w:w="120" w:type="dxa"/>
            <w:vAlign w:val="bottom"/>
          </w:tcPr>
          <w:p>
            <w:pPr>
              <w:spacing w:after="0"/>
              <w:rPr>
                <w:sz w:val="9"/>
                <w:szCs w:val="9"/>
                <w:color w:val="auto"/>
              </w:rPr>
            </w:pPr>
          </w:p>
        </w:tc>
        <w:tc>
          <w:tcPr>
            <w:tcW w:w="40" w:type="dxa"/>
            <w:vAlign w:val="bottom"/>
            <w:shd w:val="clear" w:color="auto" w:fill="83AD40"/>
          </w:tcPr>
          <w:p>
            <w:pPr>
              <w:spacing w:after="0"/>
              <w:rPr>
                <w:sz w:val="9"/>
                <w:szCs w:val="9"/>
                <w:color w:val="auto"/>
              </w:rPr>
            </w:pPr>
          </w:p>
        </w:tc>
        <w:tc>
          <w:tcPr>
            <w:tcW w:w="20" w:type="dxa"/>
            <w:vAlign w:val="bottom"/>
          </w:tcPr>
          <w:p>
            <w:pPr>
              <w:spacing w:after="0"/>
              <w:rPr>
                <w:sz w:val="9"/>
                <w:szCs w:val="9"/>
                <w:color w:val="auto"/>
              </w:rPr>
            </w:pPr>
          </w:p>
        </w:tc>
        <w:tc>
          <w:tcPr>
            <w:tcW w:w="6300" w:type="dxa"/>
            <w:vAlign w:val="bottom"/>
            <w:gridSpan w:val="4"/>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2580" w:type="dxa"/>
            <w:vAlign w:val="bottom"/>
            <w:gridSpan w:val="2"/>
            <w:vMerge w:val="continue"/>
            <w:shd w:val="clear" w:color="auto" w:fill="1F2668"/>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shd w:val="clear" w:color="auto" w:fill="83AD40"/>
          </w:tcPr>
          <w:p>
            <w:pPr>
              <w:spacing w:after="0"/>
              <w:rPr>
                <w:sz w:val="18"/>
                <w:szCs w:val="18"/>
                <w:color w:val="auto"/>
              </w:rPr>
            </w:pPr>
          </w:p>
        </w:tc>
        <w:tc>
          <w:tcPr>
            <w:tcW w:w="20" w:type="dxa"/>
            <w:vAlign w:val="bottom"/>
          </w:tcPr>
          <w:p>
            <w:pPr>
              <w:spacing w:after="0"/>
              <w:rPr>
                <w:sz w:val="18"/>
                <w:szCs w:val="18"/>
                <w:color w:val="auto"/>
              </w:rPr>
            </w:pPr>
          </w:p>
        </w:tc>
        <w:tc>
          <w:tcPr>
            <w:tcW w:w="6300" w:type="dxa"/>
            <w:vAlign w:val="bottom"/>
            <w:gridSpan w:val="4"/>
          </w:tcPr>
          <w:p>
            <w:pPr>
              <w:ind w:left="360"/>
              <w:spacing w:after="0"/>
              <w:rPr>
                <w:sz w:val="20"/>
                <w:szCs w:val="20"/>
                <w:color w:val="auto"/>
              </w:rPr>
            </w:pPr>
            <w:r>
              <w:rPr>
                <w:rFonts w:ascii="Arial" w:cs="Arial" w:eastAsia="Arial" w:hAnsi="Arial"/>
                <w:sz w:val="16"/>
                <w:szCs w:val="16"/>
                <w:color w:val="auto"/>
              </w:rPr>
              <w:t>•  Administer the Company’s employee benefit plans and executive compensation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2580" w:type="dxa"/>
            <w:vAlign w:val="bottom"/>
            <w:gridSpan w:val="2"/>
            <w:vMerge w:val="restart"/>
            <w:shd w:val="clear" w:color="auto" w:fill="1F2668"/>
          </w:tcPr>
          <w:p>
            <w:pPr>
              <w:ind w:left="140"/>
              <w:spacing w:after="0"/>
              <w:rPr>
                <w:sz w:val="20"/>
                <w:szCs w:val="20"/>
                <w:color w:val="auto"/>
              </w:rPr>
            </w:pPr>
            <w:r>
              <w:rPr>
                <w:rFonts w:ascii="Arial" w:cs="Arial" w:eastAsia="Arial" w:hAnsi="Arial"/>
                <w:sz w:val="16"/>
                <w:szCs w:val="16"/>
                <w:b w:val="1"/>
                <w:bCs w:val="1"/>
                <w:color w:val="FFFFFF"/>
              </w:rPr>
              <w:t>Members</w:t>
            </w:r>
          </w:p>
        </w:tc>
        <w:tc>
          <w:tcPr>
            <w:tcW w:w="120" w:type="dxa"/>
            <w:vAlign w:val="bottom"/>
          </w:tcPr>
          <w:p>
            <w:pPr>
              <w:spacing w:after="0"/>
              <w:rPr>
                <w:sz w:val="18"/>
                <w:szCs w:val="18"/>
                <w:color w:val="auto"/>
              </w:rPr>
            </w:pPr>
          </w:p>
        </w:tc>
        <w:tc>
          <w:tcPr>
            <w:tcW w:w="40" w:type="dxa"/>
            <w:vAlign w:val="bottom"/>
            <w:shd w:val="clear" w:color="auto" w:fill="83AD40"/>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60" w:type="dxa"/>
            <w:vAlign w:val="bottom"/>
          </w:tcPr>
          <w:p>
            <w:pPr>
              <w:ind w:left="180"/>
              <w:spacing w:after="0"/>
              <w:rPr>
                <w:sz w:val="20"/>
                <w:szCs w:val="20"/>
                <w:color w:val="auto"/>
              </w:rPr>
            </w:pPr>
            <w:r>
              <w:rPr>
                <w:rFonts w:ascii="Arial" w:cs="Arial" w:eastAsia="Arial" w:hAnsi="Arial"/>
                <w:sz w:val="16"/>
                <w:szCs w:val="16"/>
                <w:color w:val="auto"/>
              </w:rPr>
              <w:t>programs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820" w:type="dxa"/>
            <w:vAlign w:val="bottom"/>
          </w:tcPr>
          <w:p>
            <w:pPr>
              <w:spacing w:after="0"/>
              <w:rPr>
                <w:sz w:val="14"/>
                <w:szCs w:val="14"/>
                <w:color w:val="auto"/>
              </w:rPr>
            </w:pPr>
          </w:p>
        </w:tc>
        <w:tc>
          <w:tcPr>
            <w:tcW w:w="2580" w:type="dxa"/>
            <w:vAlign w:val="bottom"/>
            <w:gridSpan w:val="2"/>
            <w:vMerge w:val="continue"/>
            <w:shd w:val="clear" w:color="auto" w:fill="1F2668"/>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shd w:val="clear" w:color="auto" w:fill="83AD40"/>
          </w:tcPr>
          <w:p>
            <w:pPr>
              <w:spacing w:after="0"/>
              <w:rPr>
                <w:sz w:val="14"/>
                <w:szCs w:val="14"/>
                <w:color w:val="auto"/>
              </w:rPr>
            </w:pPr>
          </w:p>
        </w:tc>
        <w:tc>
          <w:tcPr>
            <w:tcW w:w="20" w:type="dxa"/>
            <w:vAlign w:val="bottom"/>
          </w:tcPr>
          <w:p>
            <w:pPr>
              <w:spacing w:after="0"/>
              <w:rPr>
                <w:sz w:val="14"/>
                <w:szCs w:val="14"/>
                <w:color w:val="auto"/>
              </w:rPr>
            </w:pPr>
          </w:p>
        </w:tc>
        <w:tc>
          <w:tcPr>
            <w:tcW w:w="6300" w:type="dxa"/>
            <w:vAlign w:val="bottom"/>
            <w:gridSpan w:val="4"/>
            <w:vMerge w:val="restart"/>
          </w:tcPr>
          <w:p>
            <w:pPr>
              <w:ind w:left="360"/>
              <w:spacing w:after="0"/>
              <w:rPr>
                <w:sz w:val="20"/>
                <w:szCs w:val="20"/>
                <w:color w:val="auto"/>
              </w:rPr>
            </w:pPr>
            <w:r>
              <w:rPr>
                <w:rFonts w:ascii="Arial" w:cs="Arial" w:eastAsia="Arial" w:hAnsi="Arial"/>
                <w:sz w:val="16"/>
                <w:szCs w:val="16"/>
                <w:color w:val="auto"/>
              </w:rPr>
              <w:t>•  Determine compensation of our executive officers other than our Chief Executive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820" w:type="dxa"/>
            <w:vAlign w:val="bottom"/>
          </w:tcPr>
          <w:p>
            <w:pPr>
              <w:spacing w:after="0"/>
              <w:rPr>
                <w:sz w:val="4"/>
                <w:szCs w:val="4"/>
                <w:color w:val="auto"/>
              </w:rPr>
            </w:pPr>
          </w:p>
        </w:tc>
        <w:tc>
          <w:tcPr>
            <w:tcW w:w="200" w:type="dxa"/>
            <w:vAlign w:val="bottom"/>
            <w:tcBorders>
              <w:right w:val="single" w:sz="8" w:color="1F2668"/>
            </w:tcBorders>
            <w:shd w:val="clear" w:color="auto" w:fill="1F2668"/>
          </w:tcPr>
          <w:p>
            <w:pPr>
              <w:spacing w:after="0"/>
              <w:rPr>
                <w:sz w:val="4"/>
                <w:szCs w:val="4"/>
                <w:color w:val="auto"/>
              </w:rPr>
            </w:pPr>
          </w:p>
        </w:tc>
        <w:tc>
          <w:tcPr>
            <w:tcW w:w="2380" w:type="dxa"/>
            <w:vAlign w:val="bottom"/>
            <w:shd w:val="clear" w:color="auto" w:fill="1F2668"/>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shd w:val="clear" w:color="auto" w:fill="83AD40"/>
          </w:tcPr>
          <w:p>
            <w:pPr>
              <w:spacing w:after="0"/>
              <w:rPr>
                <w:sz w:val="4"/>
                <w:szCs w:val="4"/>
                <w:color w:val="auto"/>
              </w:rPr>
            </w:pPr>
          </w:p>
        </w:tc>
        <w:tc>
          <w:tcPr>
            <w:tcW w:w="20" w:type="dxa"/>
            <w:vAlign w:val="bottom"/>
          </w:tcPr>
          <w:p>
            <w:pPr>
              <w:spacing w:after="0"/>
              <w:rPr>
                <w:sz w:val="4"/>
                <w:szCs w:val="4"/>
                <w:color w:val="auto"/>
              </w:rPr>
            </w:pPr>
          </w:p>
        </w:tc>
        <w:tc>
          <w:tcPr>
            <w:tcW w:w="6300" w:type="dxa"/>
            <w:vAlign w:val="bottom"/>
            <w:gridSpan w:val="4"/>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2580" w:type="dxa"/>
            <w:vAlign w:val="bottom"/>
            <w:gridSpan w:val="2"/>
            <w:shd w:val="clear" w:color="auto" w:fill="1F2668"/>
          </w:tcPr>
          <w:p>
            <w:pPr>
              <w:ind w:left="140"/>
              <w:spacing w:after="0"/>
              <w:rPr>
                <w:sz w:val="20"/>
                <w:szCs w:val="20"/>
                <w:color w:val="auto"/>
              </w:rPr>
            </w:pPr>
            <w:r>
              <w:rPr>
                <w:rFonts w:ascii="Arial" w:cs="Arial" w:eastAsia="Arial" w:hAnsi="Arial"/>
                <w:sz w:val="16"/>
                <w:szCs w:val="16"/>
                <w:color w:val="FFFFFF"/>
              </w:rPr>
              <w:t>Lauren B. Dillard (Interim Chair)</w:t>
            </w:r>
          </w:p>
        </w:tc>
        <w:tc>
          <w:tcPr>
            <w:tcW w:w="120" w:type="dxa"/>
            <w:vAlign w:val="bottom"/>
          </w:tcPr>
          <w:p>
            <w:pPr>
              <w:spacing w:after="0"/>
              <w:rPr>
                <w:sz w:val="19"/>
                <w:szCs w:val="19"/>
                <w:color w:val="auto"/>
              </w:rPr>
            </w:pPr>
          </w:p>
        </w:tc>
        <w:tc>
          <w:tcPr>
            <w:tcW w:w="40" w:type="dxa"/>
            <w:vAlign w:val="bottom"/>
            <w:shd w:val="clear" w:color="auto" w:fill="83AD40"/>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60" w:type="dxa"/>
            <w:vAlign w:val="bottom"/>
          </w:tcPr>
          <w:p>
            <w:pPr>
              <w:ind w:left="180"/>
              <w:spacing w:after="0"/>
              <w:rPr>
                <w:sz w:val="20"/>
                <w:szCs w:val="20"/>
                <w:color w:val="auto"/>
              </w:rPr>
            </w:pPr>
            <w:r>
              <w:rPr>
                <w:rFonts w:ascii="Arial" w:cs="Arial" w:eastAsia="Arial" w:hAnsi="Arial"/>
                <w:sz w:val="16"/>
                <w:szCs w:val="16"/>
                <w:color w:val="auto"/>
              </w:rPr>
              <w:t>Officer</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2580" w:type="dxa"/>
            <w:vAlign w:val="bottom"/>
            <w:gridSpan w:val="2"/>
            <w:shd w:val="clear" w:color="auto" w:fill="1F2668"/>
          </w:tcPr>
          <w:p>
            <w:pPr>
              <w:ind w:left="140"/>
              <w:spacing w:after="0"/>
              <w:rPr>
                <w:sz w:val="20"/>
                <w:szCs w:val="20"/>
                <w:color w:val="auto"/>
              </w:rPr>
            </w:pPr>
            <w:r>
              <w:rPr>
                <w:rFonts w:ascii="Arial" w:cs="Arial" w:eastAsia="Arial" w:hAnsi="Arial"/>
                <w:sz w:val="16"/>
                <w:szCs w:val="16"/>
                <w:color w:val="FFFFFF"/>
              </w:rPr>
              <w:t>John H. Alschuler</w:t>
            </w:r>
          </w:p>
        </w:tc>
        <w:tc>
          <w:tcPr>
            <w:tcW w:w="120" w:type="dxa"/>
            <w:vAlign w:val="bottom"/>
          </w:tcPr>
          <w:p>
            <w:pPr>
              <w:spacing w:after="0"/>
              <w:rPr>
                <w:sz w:val="17"/>
                <w:szCs w:val="17"/>
                <w:color w:val="auto"/>
              </w:rPr>
            </w:pPr>
          </w:p>
        </w:tc>
        <w:tc>
          <w:tcPr>
            <w:tcW w:w="40" w:type="dxa"/>
            <w:vAlign w:val="bottom"/>
            <w:shd w:val="clear" w:color="auto" w:fill="83AD40"/>
          </w:tcPr>
          <w:p>
            <w:pPr>
              <w:spacing w:after="0"/>
              <w:rPr>
                <w:sz w:val="17"/>
                <w:szCs w:val="17"/>
                <w:color w:val="auto"/>
              </w:rPr>
            </w:pPr>
          </w:p>
        </w:tc>
        <w:tc>
          <w:tcPr>
            <w:tcW w:w="20" w:type="dxa"/>
            <w:vAlign w:val="bottom"/>
          </w:tcPr>
          <w:p>
            <w:pPr>
              <w:spacing w:after="0"/>
              <w:rPr>
                <w:sz w:val="17"/>
                <w:szCs w:val="17"/>
                <w:color w:val="auto"/>
              </w:rPr>
            </w:pPr>
          </w:p>
        </w:tc>
        <w:tc>
          <w:tcPr>
            <w:tcW w:w="6300" w:type="dxa"/>
            <w:vAlign w:val="bottom"/>
            <w:gridSpan w:val="4"/>
          </w:tcPr>
          <w:p>
            <w:pPr>
              <w:ind w:left="360"/>
              <w:spacing w:after="0"/>
              <w:rPr>
                <w:sz w:val="20"/>
                <w:szCs w:val="20"/>
                <w:color w:val="auto"/>
              </w:rPr>
            </w:pPr>
            <w:r>
              <w:rPr>
                <w:rFonts w:ascii="Arial" w:cs="Arial" w:eastAsia="Arial" w:hAnsi="Arial"/>
                <w:sz w:val="16"/>
                <w:szCs w:val="16"/>
                <w:color w:val="auto"/>
              </w:rPr>
              <w:t>•  Produce the report on executive compensation that is required to be included in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2580" w:type="dxa"/>
            <w:vAlign w:val="bottom"/>
            <w:gridSpan w:val="2"/>
            <w:shd w:val="clear" w:color="auto" w:fill="1F2668"/>
          </w:tcPr>
          <w:p>
            <w:pPr>
              <w:ind w:left="140"/>
              <w:spacing w:after="0"/>
              <w:rPr>
                <w:sz w:val="20"/>
                <w:szCs w:val="20"/>
                <w:color w:val="auto"/>
              </w:rPr>
            </w:pPr>
            <w:r>
              <w:rPr>
                <w:rFonts w:ascii="Arial" w:cs="Arial" w:eastAsia="Arial" w:hAnsi="Arial"/>
                <w:sz w:val="16"/>
                <w:szCs w:val="16"/>
                <w:color w:val="FFFFFF"/>
              </w:rPr>
              <w:t>Carol N. Brown</w:t>
            </w:r>
          </w:p>
        </w:tc>
        <w:tc>
          <w:tcPr>
            <w:tcW w:w="120" w:type="dxa"/>
            <w:vAlign w:val="bottom"/>
          </w:tcPr>
          <w:p>
            <w:pPr>
              <w:spacing w:after="0"/>
              <w:rPr>
                <w:sz w:val="17"/>
                <w:szCs w:val="17"/>
                <w:color w:val="auto"/>
              </w:rPr>
            </w:pPr>
          </w:p>
        </w:tc>
        <w:tc>
          <w:tcPr>
            <w:tcW w:w="40" w:type="dxa"/>
            <w:vAlign w:val="bottom"/>
            <w:shd w:val="clear" w:color="auto" w:fill="83AD40"/>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60" w:type="dxa"/>
            <w:vAlign w:val="bottom"/>
          </w:tcPr>
          <w:p>
            <w:pPr>
              <w:ind w:left="180"/>
              <w:spacing w:after="0"/>
              <w:rPr>
                <w:sz w:val="20"/>
                <w:szCs w:val="20"/>
                <w:color w:val="auto"/>
              </w:rPr>
            </w:pPr>
            <w:r>
              <w:rPr>
                <w:rFonts w:ascii="Arial" w:cs="Arial" w:eastAsia="Arial" w:hAnsi="Arial"/>
                <w:sz w:val="16"/>
                <w:szCs w:val="16"/>
                <w:color w:val="auto"/>
              </w:rPr>
              <w:t>this proxy statement</w:t>
            </w: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2580" w:type="dxa"/>
            <w:vAlign w:val="bottom"/>
            <w:gridSpan w:val="2"/>
            <w:shd w:val="clear" w:color="auto" w:fill="1F2668"/>
          </w:tcPr>
          <w:p>
            <w:pPr>
              <w:ind w:left="140"/>
              <w:spacing w:after="0"/>
              <w:rPr>
                <w:sz w:val="20"/>
                <w:szCs w:val="20"/>
                <w:color w:val="auto"/>
              </w:rPr>
            </w:pPr>
            <w:r>
              <w:rPr>
                <w:rFonts w:ascii="Arial" w:cs="Arial" w:eastAsia="Arial" w:hAnsi="Arial"/>
                <w:sz w:val="16"/>
                <w:szCs w:val="16"/>
                <w:color w:val="FFFFFF"/>
              </w:rPr>
              <w:t>Peggy Lamb</w:t>
            </w:r>
          </w:p>
        </w:tc>
        <w:tc>
          <w:tcPr>
            <w:tcW w:w="120" w:type="dxa"/>
            <w:vAlign w:val="bottom"/>
          </w:tcPr>
          <w:p>
            <w:pPr>
              <w:spacing w:after="0"/>
              <w:rPr>
                <w:sz w:val="18"/>
                <w:szCs w:val="18"/>
                <w:color w:val="auto"/>
              </w:rPr>
            </w:pPr>
          </w:p>
        </w:tc>
        <w:tc>
          <w:tcPr>
            <w:tcW w:w="40" w:type="dxa"/>
            <w:vAlign w:val="bottom"/>
            <w:shd w:val="clear" w:color="auto" w:fill="83AD40"/>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gridSpan w:val="3"/>
          </w:tcPr>
          <w:p>
            <w:pPr>
              <w:ind w:left="360"/>
              <w:spacing w:after="0"/>
              <w:rPr>
                <w:sz w:val="20"/>
                <w:szCs w:val="20"/>
                <w:color w:val="auto"/>
              </w:rPr>
            </w:pPr>
            <w:r>
              <w:rPr>
                <w:rFonts w:ascii="Arial" w:cs="Arial" w:eastAsia="Arial" w:hAnsi="Arial"/>
                <w:sz w:val="16"/>
                <w:szCs w:val="16"/>
                <w:color w:val="auto"/>
              </w:rPr>
              <w:t>•  Solicit recommendations, with respect to the compensation of our executive</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200" w:type="dxa"/>
            <w:vAlign w:val="bottom"/>
            <w:tcBorders>
              <w:right w:val="single" w:sz="8" w:color="1F2668"/>
            </w:tcBorders>
            <w:shd w:val="clear" w:color="auto" w:fill="1F2668"/>
          </w:tcPr>
          <w:p>
            <w:pPr>
              <w:spacing w:after="0"/>
              <w:rPr>
                <w:sz w:val="17"/>
                <w:szCs w:val="17"/>
                <w:color w:val="auto"/>
              </w:rPr>
            </w:pPr>
          </w:p>
        </w:tc>
        <w:tc>
          <w:tcPr>
            <w:tcW w:w="2380" w:type="dxa"/>
            <w:vAlign w:val="bottom"/>
            <w:shd w:val="clear" w:color="auto" w:fill="1F2668"/>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shd w:val="clear" w:color="auto" w:fill="83AD40"/>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80" w:type="dxa"/>
            <w:vAlign w:val="bottom"/>
            <w:gridSpan w:val="2"/>
          </w:tcPr>
          <w:p>
            <w:pPr>
              <w:ind w:left="180"/>
              <w:spacing w:after="0"/>
              <w:rPr>
                <w:sz w:val="20"/>
                <w:szCs w:val="20"/>
                <w:color w:val="auto"/>
              </w:rPr>
            </w:pPr>
            <w:r>
              <w:rPr>
                <w:rFonts w:ascii="Arial" w:cs="Arial" w:eastAsia="Arial" w:hAnsi="Arial"/>
                <w:sz w:val="16"/>
                <w:szCs w:val="16"/>
                <w:color w:val="auto"/>
              </w:rPr>
              <w:t>officers, from our Chief Executive Officer regarding total compensation for all</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2580" w:type="dxa"/>
            <w:vAlign w:val="bottom"/>
            <w:gridSpan w:val="2"/>
            <w:vMerge w:val="restart"/>
            <w:shd w:val="clear" w:color="auto" w:fill="1F2668"/>
          </w:tcPr>
          <w:p>
            <w:pPr>
              <w:ind w:left="140"/>
              <w:spacing w:after="0"/>
              <w:rPr>
                <w:sz w:val="20"/>
                <w:szCs w:val="20"/>
                <w:color w:val="auto"/>
              </w:rPr>
            </w:pPr>
            <w:r>
              <w:rPr>
                <w:rFonts w:ascii="Arial" w:cs="Arial" w:eastAsia="Arial" w:hAnsi="Arial"/>
                <w:sz w:val="16"/>
                <w:szCs w:val="16"/>
                <w:color w:val="FFFFFF"/>
              </w:rPr>
              <w:t>Meetings in 2024: 3</w:t>
            </w:r>
          </w:p>
        </w:tc>
        <w:tc>
          <w:tcPr>
            <w:tcW w:w="120" w:type="dxa"/>
            <w:vAlign w:val="bottom"/>
          </w:tcPr>
          <w:p>
            <w:pPr>
              <w:spacing w:after="0"/>
              <w:rPr>
                <w:sz w:val="17"/>
                <w:szCs w:val="17"/>
                <w:color w:val="auto"/>
              </w:rPr>
            </w:pPr>
          </w:p>
        </w:tc>
        <w:tc>
          <w:tcPr>
            <w:tcW w:w="40" w:type="dxa"/>
            <w:vAlign w:val="bottom"/>
            <w:shd w:val="clear" w:color="auto" w:fill="83AD40"/>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80" w:type="dxa"/>
            <w:vAlign w:val="bottom"/>
            <w:gridSpan w:val="2"/>
          </w:tcPr>
          <w:p>
            <w:pPr>
              <w:ind w:left="180"/>
              <w:spacing w:after="0"/>
              <w:rPr>
                <w:sz w:val="20"/>
                <w:szCs w:val="20"/>
                <w:color w:val="auto"/>
              </w:rPr>
            </w:pPr>
            <w:r>
              <w:rPr>
                <w:rFonts w:ascii="Arial" w:cs="Arial" w:eastAsia="Arial" w:hAnsi="Arial"/>
                <w:sz w:val="16"/>
                <w:szCs w:val="16"/>
                <w:color w:val="auto"/>
              </w:rPr>
              <w:t>executive officers other than the Chief Executive Officer and review his</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820" w:type="dxa"/>
            <w:vAlign w:val="bottom"/>
          </w:tcPr>
          <w:p>
            <w:pPr>
              <w:spacing w:after="0"/>
              <w:rPr>
                <w:sz w:val="9"/>
                <w:szCs w:val="9"/>
                <w:color w:val="auto"/>
              </w:rPr>
            </w:pPr>
          </w:p>
        </w:tc>
        <w:tc>
          <w:tcPr>
            <w:tcW w:w="2580" w:type="dxa"/>
            <w:vAlign w:val="bottom"/>
            <w:gridSpan w:val="2"/>
            <w:vMerge w:val="continue"/>
            <w:shd w:val="clear" w:color="auto" w:fill="1F2668"/>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shd w:val="clear" w:color="auto" w:fill="83AD40"/>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80" w:type="dxa"/>
            <w:vAlign w:val="bottom"/>
            <w:gridSpan w:val="2"/>
            <w:vMerge w:val="restart"/>
          </w:tcPr>
          <w:p>
            <w:pPr>
              <w:ind w:left="180"/>
              <w:spacing w:after="0"/>
              <w:rPr>
                <w:sz w:val="20"/>
                <w:szCs w:val="20"/>
                <w:color w:val="auto"/>
              </w:rPr>
            </w:pPr>
            <w:r>
              <w:rPr>
                <w:rFonts w:ascii="Arial" w:cs="Arial" w:eastAsia="Arial" w:hAnsi="Arial"/>
                <w:sz w:val="16"/>
                <w:szCs w:val="16"/>
                <w:color w:val="auto"/>
              </w:rPr>
              <w:t>recommendations in terms of total compensation and the allocation of such</w:t>
            </w: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820" w:type="dxa"/>
            <w:vAlign w:val="bottom"/>
          </w:tcPr>
          <w:p>
            <w:pPr>
              <w:spacing w:after="0"/>
              <w:rPr>
                <w:sz w:val="7"/>
                <w:szCs w:val="7"/>
                <w:color w:val="auto"/>
              </w:rPr>
            </w:pPr>
          </w:p>
        </w:tc>
        <w:tc>
          <w:tcPr>
            <w:tcW w:w="200" w:type="dxa"/>
            <w:vAlign w:val="bottom"/>
            <w:tcBorders>
              <w:right w:val="single" w:sz="8" w:color="1F2668"/>
            </w:tcBorders>
            <w:shd w:val="clear" w:color="auto" w:fill="1F2668"/>
          </w:tcPr>
          <w:p>
            <w:pPr>
              <w:spacing w:after="0"/>
              <w:rPr>
                <w:sz w:val="7"/>
                <w:szCs w:val="7"/>
                <w:color w:val="auto"/>
              </w:rPr>
            </w:pPr>
          </w:p>
        </w:tc>
        <w:tc>
          <w:tcPr>
            <w:tcW w:w="2380" w:type="dxa"/>
            <w:vAlign w:val="bottom"/>
            <w:shd w:val="clear" w:color="auto" w:fill="1F2668"/>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shd w:val="clear" w:color="auto" w:fill="83AD40"/>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8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200" w:type="dxa"/>
            <w:vAlign w:val="bottom"/>
            <w:tcBorders>
              <w:right w:val="single" w:sz="8" w:color="1F2668"/>
            </w:tcBorders>
            <w:shd w:val="clear" w:color="auto" w:fill="1F2668"/>
          </w:tcPr>
          <w:p>
            <w:pPr>
              <w:spacing w:after="0"/>
              <w:rPr>
                <w:sz w:val="17"/>
                <w:szCs w:val="17"/>
                <w:color w:val="auto"/>
              </w:rPr>
            </w:pPr>
          </w:p>
        </w:tc>
        <w:tc>
          <w:tcPr>
            <w:tcW w:w="2380" w:type="dxa"/>
            <w:vAlign w:val="bottom"/>
            <w:shd w:val="clear" w:color="auto" w:fill="1F2668"/>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shd w:val="clear" w:color="auto" w:fill="83AD40"/>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80" w:type="dxa"/>
            <w:vAlign w:val="bottom"/>
            <w:gridSpan w:val="2"/>
          </w:tcPr>
          <w:p>
            <w:pPr>
              <w:ind w:left="180"/>
              <w:spacing w:after="0"/>
              <w:rPr>
                <w:sz w:val="20"/>
                <w:szCs w:val="20"/>
                <w:color w:val="auto"/>
              </w:rPr>
            </w:pPr>
            <w:r>
              <w:rPr>
                <w:rFonts w:ascii="Arial" w:cs="Arial" w:eastAsia="Arial" w:hAnsi="Arial"/>
                <w:sz w:val="16"/>
                <w:szCs w:val="16"/>
                <w:color w:val="auto"/>
                <w:w w:val="98"/>
              </w:rPr>
              <w:t>compensation among base salary, annual bonus amounts and other long-term</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2580" w:type="dxa"/>
            <w:vAlign w:val="bottom"/>
            <w:gridSpan w:val="2"/>
            <w:shd w:val="clear" w:color="auto" w:fill="1F2668"/>
          </w:tcPr>
          <w:p>
            <w:pPr>
              <w:ind w:left="140"/>
              <w:spacing w:after="0"/>
              <w:rPr>
                <w:sz w:val="20"/>
                <w:szCs w:val="20"/>
                <w:color w:val="auto"/>
              </w:rPr>
            </w:pPr>
            <w:r>
              <w:rPr>
                <w:rFonts w:ascii="Arial" w:cs="Arial" w:eastAsia="Arial" w:hAnsi="Arial"/>
                <w:sz w:val="16"/>
                <w:szCs w:val="16"/>
                <w:color w:val="FFFFFF"/>
              </w:rPr>
              <w:t>In addition to participating in</w:t>
            </w:r>
          </w:p>
        </w:tc>
        <w:tc>
          <w:tcPr>
            <w:tcW w:w="120" w:type="dxa"/>
            <w:vAlign w:val="bottom"/>
          </w:tcPr>
          <w:p>
            <w:pPr>
              <w:spacing w:after="0"/>
              <w:rPr>
                <w:sz w:val="17"/>
                <w:szCs w:val="17"/>
                <w:color w:val="auto"/>
              </w:rPr>
            </w:pPr>
          </w:p>
        </w:tc>
        <w:tc>
          <w:tcPr>
            <w:tcW w:w="40" w:type="dxa"/>
            <w:vAlign w:val="bottom"/>
            <w:shd w:val="clear" w:color="auto" w:fill="83AD40"/>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940" w:type="dxa"/>
            <w:vAlign w:val="bottom"/>
            <w:gridSpan w:val="3"/>
          </w:tcPr>
          <w:p>
            <w:pPr>
              <w:ind w:left="180"/>
              <w:spacing w:after="0"/>
              <w:rPr>
                <w:sz w:val="20"/>
                <w:szCs w:val="20"/>
                <w:color w:val="auto"/>
              </w:rPr>
            </w:pPr>
            <w:r>
              <w:rPr>
                <w:rFonts w:ascii="Arial" w:cs="Arial" w:eastAsia="Arial" w:hAnsi="Arial"/>
                <w:sz w:val="16"/>
                <w:szCs w:val="16"/>
                <w:color w:val="auto"/>
              </w:rPr>
              <w:t>incentive compensation as well as the allocation of such items between cash and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2580" w:type="dxa"/>
            <w:vAlign w:val="bottom"/>
            <w:gridSpan w:val="2"/>
            <w:shd w:val="clear" w:color="auto" w:fill="1F2668"/>
          </w:tcPr>
          <w:p>
            <w:pPr>
              <w:ind w:left="140"/>
              <w:spacing w:after="0"/>
              <w:rPr>
                <w:sz w:val="20"/>
                <w:szCs w:val="20"/>
                <w:color w:val="auto"/>
              </w:rPr>
            </w:pPr>
            <w:r>
              <w:rPr>
                <w:rFonts w:ascii="Arial" w:cs="Arial" w:eastAsia="Arial" w:hAnsi="Arial"/>
                <w:sz w:val="16"/>
                <w:szCs w:val="16"/>
                <w:color w:val="FFFFFF"/>
              </w:rPr>
              <w:t>formal meetings, our</w:t>
            </w:r>
          </w:p>
        </w:tc>
        <w:tc>
          <w:tcPr>
            <w:tcW w:w="120" w:type="dxa"/>
            <w:vAlign w:val="bottom"/>
          </w:tcPr>
          <w:p>
            <w:pPr>
              <w:spacing w:after="0"/>
              <w:rPr>
                <w:sz w:val="18"/>
                <w:szCs w:val="18"/>
                <w:color w:val="auto"/>
              </w:rPr>
            </w:pPr>
          </w:p>
        </w:tc>
        <w:tc>
          <w:tcPr>
            <w:tcW w:w="40" w:type="dxa"/>
            <w:vAlign w:val="bottom"/>
            <w:shd w:val="clear" w:color="auto" w:fill="83AD40"/>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60" w:type="dxa"/>
            <w:vAlign w:val="bottom"/>
          </w:tcPr>
          <w:p>
            <w:pPr>
              <w:ind w:left="180"/>
              <w:spacing w:after="0"/>
              <w:rPr>
                <w:sz w:val="20"/>
                <w:szCs w:val="20"/>
                <w:color w:val="auto"/>
              </w:rPr>
            </w:pPr>
            <w:r>
              <w:rPr>
                <w:rFonts w:ascii="Arial" w:cs="Arial" w:eastAsia="Arial" w:hAnsi="Arial"/>
                <w:sz w:val="16"/>
                <w:szCs w:val="16"/>
                <w:color w:val="auto"/>
              </w:rPr>
              <w:t>equity compensation</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2580" w:type="dxa"/>
            <w:vAlign w:val="bottom"/>
            <w:gridSpan w:val="2"/>
            <w:shd w:val="clear" w:color="auto" w:fill="1F2668"/>
          </w:tcPr>
          <w:p>
            <w:pPr>
              <w:ind w:left="140"/>
              <w:spacing w:after="0"/>
              <w:rPr>
                <w:sz w:val="20"/>
                <w:szCs w:val="20"/>
                <w:color w:val="auto"/>
              </w:rPr>
            </w:pPr>
            <w:r>
              <w:rPr>
                <w:rFonts w:ascii="Arial" w:cs="Arial" w:eastAsia="Arial" w:hAnsi="Arial"/>
                <w:sz w:val="16"/>
                <w:szCs w:val="16"/>
                <w:color w:val="FFFFFF"/>
              </w:rPr>
              <w:t>Compensation Committee</w:t>
            </w:r>
          </w:p>
        </w:tc>
        <w:tc>
          <w:tcPr>
            <w:tcW w:w="120" w:type="dxa"/>
            <w:vAlign w:val="bottom"/>
          </w:tcPr>
          <w:p>
            <w:pPr>
              <w:spacing w:after="0"/>
              <w:rPr>
                <w:sz w:val="17"/>
                <w:szCs w:val="17"/>
                <w:color w:val="auto"/>
              </w:rPr>
            </w:pPr>
          </w:p>
        </w:tc>
        <w:tc>
          <w:tcPr>
            <w:tcW w:w="40" w:type="dxa"/>
            <w:vAlign w:val="bottom"/>
            <w:shd w:val="clear" w:color="auto" w:fill="83AD40"/>
          </w:tcPr>
          <w:p>
            <w:pPr>
              <w:spacing w:after="0"/>
              <w:rPr>
                <w:sz w:val="17"/>
                <w:szCs w:val="17"/>
                <w:color w:val="auto"/>
              </w:rPr>
            </w:pPr>
          </w:p>
        </w:tc>
        <w:tc>
          <w:tcPr>
            <w:tcW w:w="20" w:type="dxa"/>
            <w:vAlign w:val="bottom"/>
          </w:tcPr>
          <w:p>
            <w:pPr>
              <w:spacing w:after="0"/>
              <w:rPr>
                <w:sz w:val="17"/>
                <w:szCs w:val="17"/>
                <w:color w:val="auto"/>
              </w:rPr>
            </w:pPr>
          </w:p>
        </w:tc>
        <w:tc>
          <w:tcPr>
            <w:tcW w:w="6300" w:type="dxa"/>
            <w:vAlign w:val="bottom"/>
            <w:gridSpan w:val="4"/>
            <w:vMerge w:val="restart"/>
          </w:tcPr>
          <w:p>
            <w:pPr>
              <w:ind w:left="360"/>
              <w:spacing w:after="0"/>
              <w:rPr>
                <w:sz w:val="20"/>
                <w:szCs w:val="20"/>
                <w:color w:val="auto"/>
              </w:rPr>
            </w:pPr>
            <w:r>
              <w:rPr>
                <w:rFonts w:ascii="Arial" w:cs="Arial" w:eastAsia="Arial" w:hAnsi="Arial"/>
                <w:sz w:val="16"/>
                <w:szCs w:val="16"/>
                <w:color w:val="auto"/>
                <w:w w:val="99"/>
              </w:rPr>
              <w:t>Each member of the Audit Committee is independent within the meaning of the rules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820" w:type="dxa"/>
            <w:vAlign w:val="bottom"/>
          </w:tcPr>
          <w:p>
            <w:pPr>
              <w:spacing w:after="0"/>
              <w:rPr>
                <w:sz w:val="13"/>
                <w:szCs w:val="13"/>
                <w:color w:val="auto"/>
              </w:rPr>
            </w:pPr>
          </w:p>
        </w:tc>
        <w:tc>
          <w:tcPr>
            <w:tcW w:w="2580" w:type="dxa"/>
            <w:vAlign w:val="bottom"/>
            <w:gridSpan w:val="2"/>
            <w:vMerge w:val="restart"/>
            <w:shd w:val="clear" w:color="auto" w:fill="1F2668"/>
          </w:tcPr>
          <w:p>
            <w:pPr>
              <w:ind w:left="140"/>
              <w:spacing w:after="0"/>
              <w:rPr>
                <w:sz w:val="20"/>
                <w:szCs w:val="20"/>
                <w:color w:val="auto"/>
              </w:rPr>
            </w:pPr>
            <w:r>
              <w:rPr>
                <w:rFonts w:ascii="Arial" w:cs="Arial" w:eastAsia="Arial" w:hAnsi="Arial"/>
                <w:sz w:val="16"/>
                <w:szCs w:val="16"/>
                <w:color w:val="FFFFFF"/>
              </w:rPr>
              <w:t>members regularly communicate</w:t>
            </w:r>
          </w:p>
        </w:tc>
        <w:tc>
          <w:tcPr>
            <w:tcW w:w="120" w:type="dxa"/>
            <w:vAlign w:val="bottom"/>
          </w:tcPr>
          <w:p>
            <w:pPr>
              <w:spacing w:after="0"/>
              <w:rPr>
                <w:sz w:val="13"/>
                <w:szCs w:val="13"/>
                <w:color w:val="auto"/>
              </w:rPr>
            </w:pPr>
          </w:p>
        </w:tc>
        <w:tc>
          <w:tcPr>
            <w:tcW w:w="40" w:type="dxa"/>
            <w:vAlign w:val="bottom"/>
            <w:shd w:val="clear" w:color="auto" w:fill="83AD40"/>
          </w:tcPr>
          <w:p>
            <w:pPr>
              <w:spacing w:after="0"/>
              <w:rPr>
                <w:sz w:val="13"/>
                <w:szCs w:val="13"/>
                <w:color w:val="auto"/>
              </w:rPr>
            </w:pPr>
          </w:p>
        </w:tc>
        <w:tc>
          <w:tcPr>
            <w:tcW w:w="20" w:type="dxa"/>
            <w:vAlign w:val="bottom"/>
          </w:tcPr>
          <w:p>
            <w:pPr>
              <w:spacing w:after="0"/>
              <w:rPr>
                <w:sz w:val="13"/>
                <w:szCs w:val="13"/>
                <w:color w:val="auto"/>
              </w:rPr>
            </w:pPr>
          </w:p>
        </w:tc>
        <w:tc>
          <w:tcPr>
            <w:tcW w:w="6300" w:type="dxa"/>
            <w:vAlign w:val="bottom"/>
            <w:gridSpan w:val="4"/>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820" w:type="dxa"/>
            <w:vAlign w:val="bottom"/>
          </w:tcPr>
          <w:p>
            <w:pPr>
              <w:spacing w:after="0"/>
              <w:rPr>
                <w:sz w:val="3"/>
                <w:szCs w:val="3"/>
                <w:color w:val="auto"/>
              </w:rPr>
            </w:pPr>
          </w:p>
        </w:tc>
        <w:tc>
          <w:tcPr>
            <w:tcW w:w="2580" w:type="dxa"/>
            <w:vAlign w:val="bottom"/>
            <w:gridSpan w:val="2"/>
            <w:vMerge w:val="continue"/>
            <w:shd w:val="clear" w:color="auto" w:fill="1F2668"/>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shd w:val="clear" w:color="auto" w:fill="83AD40"/>
          </w:tcPr>
          <w:p>
            <w:pPr>
              <w:spacing w:after="0"/>
              <w:rPr>
                <w:sz w:val="3"/>
                <w:szCs w:val="3"/>
                <w:color w:val="auto"/>
              </w:rPr>
            </w:pPr>
          </w:p>
        </w:tc>
        <w:tc>
          <w:tcPr>
            <w:tcW w:w="20" w:type="dxa"/>
            <w:vAlign w:val="bottom"/>
          </w:tcPr>
          <w:p>
            <w:pPr>
              <w:spacing w:after="0"/>
              <w:rPr>
                <w:sz w:val="3"/>
                <w:szCs w:val="3"/>
                <w:color w:val="auto"/>
              </w:rPr>
            </w:pPr>
          </w:p>
        </w:tc>
        <w:tc>
          <w:tcPr>
            <w:tcW w:w="6040" w:type="dxa"/>
            <w:vAlign w:val="bottom"/>
            <w:gridSpan w:val="3"/>
            <w:vMerge w:val="restart"/>
          </w:tcPr>
          <w:p>
            <w:pPr>
              <w:ind w:left="360"/>
              <w:spacing w:after="0"/>
              <w:rPr>
                <w:sz w:val="20"/>
                <w:szCs w:val="20"/>
                <w:color w:val="auto"/>
              </w:rPr>
            </w:pPr>
            <w:r>
              <w:rPr>
                <w:rFonts w:ascii="Arial" w:cs="Arial" w:eastAsia="Arial" w:hAnsi="Arial"/>
                <w:sz w:val="16"/>
                <w:szCs w:val="16"/>
                <w:color w:val="auto"/>
                <w:w w:val="99"/>
              </w:rPr>
              <w:t>of the NYSE and the SEC and each of them meets the financial literacy standard</w:t>
            </w: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820" w:type="dxa"/>
            <w:vAlign w:val="bottom"/>
          </w:tcPr>
          <w:p>
            <w:pPr>
              <w:spacing w:after="0"/>
              <w:rPr>
                <w:sz w:val="14"/>
                <w:szCs w:val="14"/>
                <w:color w:val="auto"/>
              </w:rPr>
            </w:pPr>
          </w:p>
        </w:tc>
        <w:tc>
          <w:tcPr>
            <w:tcW w:w="2580" w:type="dxa"/>
            <w:vAlign w:val="bottom"/>
            <w:gridSpan w:val="2"/>
            <w:vMerge w:val="restart"/>
            <w:shd w:val="clear" w:color="auto" w:fill="1F2668"/>
          </w:tcPr>
          <w:p>
            <w:pPr>
              <w:ind w:left="140"/>
              <w:spacing w:after="0"/>
              <w:rPr>
                <w:sz w:val="20"/>
                <w:szCs w:val="20"/>
                <w:color w:val="auto"/>
              </w:rPr>
            </w:pPr>
            <w:r>
              <w:rPr>
                <w:rFonts w:ascii="Arial" w:cs="Arial" w:eastAsia="Arial" w:hAnsi="Arial"/>
                <w:sz w:val="16"/>
                <w:szCs w:val="16"/>
                <w:color w:val="FFFFFF"/>
              </w:rPr>
              <w:t>with each other, members of</w:t>
            </w:r>
          </w:p>
        </w:tc>
        <w:tc>
          <w:tcPr>
            <w:tcW w:w="120" w:type="dxa"/>
            <w:vAlign w:val="bottom"/>
          </w:tcPr>
          <w:p>
            <w:pPr>
              <w:spacing w:after="0"/>
              <w:rPr>
                <w:sz w:val="14"/>
                <w:szCs w:val="14"/>
                <w:color w:val="auto"/>
              </w:rPr>
            </w:pPr>
          </w:p>
        </w:tc>
        <w:tc>
          <w:tcPr>
            <w:tcW w:w="40" w:type="dxa"/>
            <w:vAlign w:val="bottom"/>
            <w:shd w:val="clear" w:color="auto" w:fill="83AD40"/>
          </w:tcPr>
          <w:p>
            <w:pPr>
              <w:spacing w:after="0"/>
              <w:rPr>
                <w:sz w:val="14"/>
                <w:szCs w:val="14"/>
                <w:color w:val="auto"/>
              </w:rPr>
            </w:pPr>
          </w:p>
        </w:tc>
        <w:tc>
          <w:tcPr>
            <w:tcW w:w="20" w:type="dxa"/>
            <w:vAlign w:val="bottom"/>
          </w:tcPr>
          <w:p>
            <w:pPr>
              <w:spacing w:after="0"/>
              <w:rPr>
                <w:sz w:val="14"/>
                <w:szCs w:val="14"/>
                <w:color w:val="auto"/>
              </w:rPr>
            </w:pPr>
          </w:p>
        </w:tc>
        <w:tc>
          <w:tcPr>
            <w:tcW w:w="60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820" w:type="dxa"/>
            <w:vAlign w:val="bottom"/>
          </w:tcPr>
          <w:p>
            <w:pPr>
              <w:spacing w:after="0"/>
              <w:rPr>
                <w:sz w:val="2"/>
                <w:szCs w:val="2"/>
                <w:color w:val="auto"/>
              </w:rPr>
            </w:pPr>
          </w:p>
        </w:tc>
        <w:tc>
          <w:tcPr>
            <w:tcW w:w="2580" w:type="dxa"/>
            <w:vAlign w:val="bottom"/>
            <w:gridSpan w:val="2"/>
            <w:vMerge w:val="continue"/>
            <w:shd w:val="clear" w:color="auto" w:fill="1F2668"/>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shd w:val="clear" w:color="auto" w:fill="83AD40"/>
          </w:tcPr>
          <w:p>
            <w:pPr>
              <w:spacing w:after="0"/>
              <w:rPr>
                <w:sz w:val="2"/>
                <w:szCs w:val="2"/>
                <w:color w:val="auto"/>
              </w:rPr>
            </w:pPr>
          </w:p>
        </w:tc>
        <w:tc>
          <w:tcPr>
            <w:tcW w:w="20" w:type="dxa"/>
            <w:vAlign w:val="bottom"/>
          </w:tcPr>
          <w:p>
            <w:pPr>
              <w:spacing w:after="0"/>
              <w:rPr>
                <w:sz w:val="2"/>
                <w:szCs w:val="2"/>
                <w:color w:val="auto"/>
              </w:rPr>
            </w:pPr>
          </w:p>
        </w:tc>
        <w:tc>
          <w:tcPr>
            <w:tcW w:w="5420" w:type="dxa"/>
            <w:vAlign w:val="bottom"/>
            <w:gridSpan w:val="2"/>
            <w:vMerge w:val="restart"/>
          </w:tcPr>
          <w:p>
            <w:pPr>
              <w:ind w:left="360"/>
              <w:spacing w:after="0"/>
              <w:rPr>
                <w:sz w:val="20"/>
                <w:szCs w:val="20"/>
                <w:color w:val="auto"/>
              </w:rPr>
            </w:pPr>
            <w:r>
              <w:rPr>
                <w:rFonts w:ascii="Arial" w:cs="Arial" w:eastAsia="Arial" w:hAnsi="Arial"/>
                <w:sz w:val="16"/>
                <w:szCs w:val="16"/>
                <w:color w:val="auto"/>
              </w:rPr>
              <w:t>required by the rules of the NYSE.</w:t>
            </w: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20" w:type="dxa"/>
            <w:vAlign w:val="bottom"/>
          </w:tcPr>
          <w:p>
            <w:pPr>
              <w:spacing w:after="0"/>
              <w:rPr>
                <w:sz w:val="17"/>
                <w:szCs w:val="17"/>
                <w:color w:val="auto"/>
              </w:rPr>
            </w:pPr>
          </w:p>
        </w:tc>
        <w:tc>
          <w:tcPr>
            <w:tcW w:w="2580" w:type="dxa"/>
            <w:vAlign w:val="bottom"/>
            <w:gridSpan w:val="2"/>
            <w:shd w:val="clear" w:color="auto" w:fill="1F2668"/>
          </w:tcPr>
          <w:p>
            <w:pPr>
              <w:ind w:left="140"/>
              <w:spacing w:after="0"/>
              <w:rPr>
                <w:sz w:val="20"/>
                <w:szCs w:val="20"/>
                <w:color w:val="auto"/>
              </w:rPr>
            </w:pPr>
            <w:r>
              <w:rPr>
                <w:rFonts w:ascii="Arial" w:cs="Arial" w:eastAsia="Arial" w:hAnsi="Arial"/>
                <w:sz w:val="16"/>
                <w:szCs w:val="16"/>
                <w:color w:val="FFFFFF"/>
              </w:rPr>
              <w:t>management and advisors and</w:t>
            </w:r>
          </w:p>
        </w:tc>
        <w:tc>
          <w:tcPr>
            <w:tcW w:w="120" w:type="dxa"/>
            <w:vAlign w:val="bottom"/>
          </w:tcPr>
          <w:p>
            <w:pPr>
              <w:spacing w:after="0"/>
              <w:rPr>
                <w:sz w:val="17"/>
                <w:szCs w:val="17"/>
                <w:color w:val="auto"/>
              </w:rPr>
            </w:pPr>
          </w:p>
        </w:tc>
        <w:tc>
          <w:tcPr>
            <w:tcW w:w="40" w:type="dxa"/>
            <w:vAlign w:val="bottom"/>
            <w:shd w:val="clear" w:color="auto" w:fill="83AD40"/>
          </w:tcPr>
          <w:p>
            <w:pPr>
              <w:spacing w:after="0"/>
              <w:rPr>
                <w:sz w:val="17"/>
                <w:szCs w:val="17"/>
                <w:color w:val="auto"/>
              </w:rPr>
            </w:pPr>
          </w:p>
        </w:tc>
        <w:tc>
          <w:tcPr>
            <w:tcW w:w="20" w:type="dxa"/>
            <w:vAlign w:val="bottom"/>
          </w:tcPr>
          <w:p>
            <w:pPr>
              <w:spacing w:after="0"/>
              <w:rPr>
                <w:sz w:val="17"/>
                <w:szCs w:val="17"/>
                <w:color w:val="auto"/>
              </w:rPr>
            </w:pPr>
          </w:p>
        </w:tc>
        <w:tc>
          <w:tcPr>
            <w:tcW w:w="5420" w:type="dxa"/>
            <w:vAlign w:val="bottom"/>
            <w:gridSpan w:val="2"/>
            <w:vMerge w:val="continue"/>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2580" w:type="dxa"/>
            <w:vAlign w:val="bottom"/>
            <w:gridSpan w:val="2"/>
            <w:shd w:val="clear" w:color="auto" w:fill="1F2668"/>
          </w:tcPr>
          <w:p>
            <w:pPr>
              <w:ind w:left="140"/>
              <w:spacing w:after="0"/>
              <w:rPr>
                <w:sz w:val="20"/>
                <w:szCs w:val="20"/>
                <w:color w:val="auto"/>
              </w:rPr>
            </w:pPr>
            <w:r>
              <w:rPr>
                <w:rFonts w:ascii="Arial" w:cs="Arial" w:eastAsia="Arial" w:hAnsi="Arial"/>
                <w:sz w:val="16"/>
                <w:szCs w:val="16"/>
                <w:color w:val="FFFFFF"/>
              </w:rPr>
              <w:t>take action by written consent.</w:t>
            </w:r>
          </w:p>
        </w:tc>
        <w:tc>
          <w:tcPr>
            <w:tcW w:w="120" w:type="dxa"/>
            <w:vAlign w:val="bottom"/>
          </w:tcPr>
          <w:p>
            <w:pPr>
              <w:spacing w:after="0"/>
              <w:rPr>
                <w:sz w:val="18"/>
                <w:szCs w:val="18"/>
                <w:color w:val="auto"/>
              </w:rPr>
            </w:pPr>
          </w:p>
        </w:tc>
        <w:tc>
          <w:tcPr>
            <w:tcW w:w="40" w:type="dxa"/>
            <w:vAlign w:val="bottom"/>
            <w:shd w:val="clear" w:color="auto" w:fill="83AD40"/>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820" w:type="dxa"/>
            <w:vAlign w:val="bottom"/>
          </w:tcPr>
          <w:p>
            <w:pPr>
              <w:spacing w:after="0"/>
              <w:rPr>
                <w:sz w:val="13"/>
                <w:szCs w:val="13"/>
                <w:color w:val="auto"/>
              </w:rPr>
            </w:pPr>
          </w:p>
        </w:tc>
        <w:tc>
          <w:tcPr>
            <w:tcW w:w="200" w:type="dxa"/>
            <w:vAlign w:val="bottom"/>
            <w:tcBorders>
              <w:bottom w:val="single" w:sz="8" w:color="1F2668"/>
              <w:right w:val="single" w:sz="8" w:color="1F2668"/>
            </w:tcBorders>
            <w:shd w:val="clear" w:color="auto" w:fill="1F2668"/>
          </w:tcPr>
          <w:p>
            <w:pPr>
              <w:spacing w:after="0"/>
              <w:rPr>
                <w:sz w:val="13"/>
                <w:szCs w:val="13"/>
                <w:color w:val="auto"/>
              </w:rPr>
            </w:pPr>
          </w:p>
        </w:tc>
        <w:tc>
          <w:tcPr>
            <w:tcW w:w="2380" w:type="dxa"/>
            <w:vAlign w:val="bottom"/>
            <w:tcBorders>
              <w:bottom w:val="single" w:sz="8" w:color="1F2668"/>
            </w:tcBorders>
            <w:shd w:val="clear" w:color="auto" w:fill="1F2668"/>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Borders>
              <w:bottom w:val="single" w:sz="8" w:color="83AD40"/>
            </w:tcBorders>
            <w:shd w:val="clear" w:color="auto" w:fill="83AD40"/>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940" w:type="dxa"/>
            <w:vAlign w:val="bottom"/>
            <w:tcBorders>
              <w:bottom w:val="single" w:sz="8" w:color="83AD40"/>
            </w:tcBorders>
            <w:gridSpan w:val="3"/>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6"/>
        </w:trPr>
        <w:tc>
          <w:tcPr>
            <w:tcW w:w="820" w:type="dxa"/>
            <w:vAlign w:val="bottom"/>
          </w:tcPr>
          <w:p>
            <w:pPr>
              <w:spacing w:after="0"/>
              <w:rPr>
                <w:sz w:val="24"/>
                <w:szCs w:val="24"/>
                <w:color w:val="auto"/>
              </w:rPr>
            </w:pPr>
          </w:p>
        </w:tc>
        <w:tc>
          <w:tcPr>
            <w:tcW w:w="200" w:type="dxa"/>
            <w:vAlign w:val="bottom"/>
            <w:tcBorders>
              <w:right w:val="single" w:sz="8" w:color="1F2668"/>
            </w:tcBorders>
            <w:shd w:val="clear" w:color="auto" w:fill="1F2668"/>
          </w:tcPr>
          <w:p>
            <w:pPr>
              <w:spacing w:after="0"/>
              <w:rPr>
                <w:sz w:val="24"/>
                <w:szCs w:val="24"/>
                <w:color w:val="auto"/>
              </w:rPr>
            </w:pPr>
          </w:p>
        </w:tc>
        <w:tc>
          <w:tcPr>
            <w:tcW w:w="2380" w:type="dxa"/>
            <w:vAlign w:val="bottom"/>
            <w:shd w:val="clear" w:color="auto" w:fill="1F2668"/>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vMerge w:val="restart"/>
            <w:shd w:val="clear" w:color="auto" w:fill="83AD40"/>
          </w:tcPr>
          <w:p>
            <w:pPr>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4"/>
                <w:szCs w:val="24"/>
                <w:color w:val="auto"/>
              </w:rPr>
            </w:pPr>
          </w:p>
        </w:tc>
        <w:tc>
          <w:tcPr>
            <w:tcW w:w="6300" w:type="dxa"/>
            <w:vAlign w:val="bottom"/>
            <w:gridSpan w:val="4"/>
          </w:tcPr>
          <w:p>
            <w:pPr>
              <w:ind w:left="360"/>
              <w:spacing w:after="0"/>
              <w:rPr>
                <w:sz w:val="20"/>
                <w:szCs w:val="20"/>
                <w:color w:val="auto"/>
              </w:rPr>
            </w:pPr>
            <w:r>
              <w:rPr>
                <w:rFonts w:ascii="Arial" w:cs="Arial" w:eastAsia="Arial" w:hAnsi="Arial"/>
                <w:sz w:val="16"/>
                <w:szCs w:val="16"/>
                <w:color w:val="auto"/>
              </w:rPr>
              <w:t>During 2024, our Compensation Committee retained both Gressle &amp; McGinley LLC</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20" w:type="dxa"/>
            <w:vAlign w:val="bottom"/>
          </w:tcPr>
          <w:p>
            <w:pPr>
              <w:spacing w:after="0"/>
              <w:rPr>
                <w:sz w:val="24"/>
                <w:szCs w:val="24"/>
                <w:color w:val="auto"/>
              </w:rPr>
            </w:pPr>
          </w:p>
        </w:tc>
        <w:tc>
          <w:tcPr>
            <w:tcW w:w="200" w:type="dxa"/>
            <w:vAlign w:val="bottom"/>
            <w:tcBorders>
              <w:right w:val="single" w:sz="8" w:color="83AD40"/>
            </w:tcBorders>
          </w:tcPr>
          <w:p>
            <w:pPr>
              <w:spacing w:after="0"/>
              <w:rPr>
                <w:sz w:val="24"/>
                <w:szCs w:val="24"/>
                <w:color w:val="auto"/>
              </w:rPr>
            </w:pPr>
          </w:p>
        </w:tc>
        <w:tc>
          <w:tcPr>
            <w:tcW w:w="2380" w:type="dxa"/>
            <w:vAlign w:val="bottom"/>
            <w:tcBorders>
              <w:bottom w:val="single" w:sz="8" w:color="83AD40"/>
            </w:tcBorders>
          </w:tcPr>
          <w:p>
            <w:pPr>
              <w:spacing w:after="0" w:line="243" w:lineRule="exact"/>
              <w:rPr>
                <w:sz w:val="20"/>
                <w:szCs w:val="20"/>
                <w:color w:val="auto"/>
              </w:rPr>
            </w:pPr>
            <w:r>
              <w:rPr>
                <w:rFonts w:ascii="Arial" w:cs="Arial" w:eastAsia="Arial" w:hAnsi="Arial"/>
                <w:sz w:val="22"/>
                <w:szCs w:val="22"/>
                <w:color w:val="auto"/>
              </w:rPr>
              <w:t>​</w:t>
            </w:r>
          </w:p>
        </w:tc>
        <w:tc>
          <w:tcPr>
            <w:tcW w:w="120" w:type="dxa"/>
            <w:vAlign w:val="bottom"/>
            <w:tcBorders>
              <w:bottom w:val="single" w:sz="8" w:color="83AD40"/>
            </w:tcBorders>
          </w:tcPr>
          <w:p>
            <w:pPr>
              <w:spacing w:after="0"/>
              <w:rPr>
                <w:sz w:val="24"/>
                <w:szCs w:val="24"/>
                <w:color w:val="auto"/>
              </w:rPr>
            </w:pPr>
          </w:p>
        </w:tc>
        <w:tc>
          <w:tcPr>
            <w:tcW w:w="40" w:type="dxa"/>
            <w:vAlign w:val="bottom"/>
            <w:tcBorders>
              <w:bottom w:val="single" w:sz="8" w:color="83AD40"/>
            </w:tcBorders>
            <w:vMerge w:val="continue"/>
            <w:shd w:val="clear" w:color="auto" w:fill="83AD40"/>
          </w:tcPr>
          <w:p>
            <w:pPr>
              <w:spacing w:after="0"/>
              <w:rPr>
                <w:sz w:val="24"/>
                <w:szCs w:val="24"/>
                <w:color w:val="auto"/>
              </w:rPr>
            </w:pPr>
          </w:p>
        </w:tc>
        <w:tc>
          <w:tcPr>
            <w:tcW w:w="20" w:type="dxa"/>
            <w:vAlign w:val="bottom"/>
          </w:tcPr>
          <w:p>
            <w:pPr>
              <w:spacing w:after="0"/>
              <w:rPr>
                <w:sz w:val="24"/>
                <w:szCs w:val="24"/>
                <w:color w:val="auto"/>
              </w:rPr>
            </w:pPr>
          </w:p>
        </w:tc>
        <w:tc>
          <w:tcPr>
            <w:tcW w:w="6040" w:type="dxa"/>
            <w:vAlign w:val="bottom"/>
            <w:gridSpan w:val="3"/>
          </w:tcPr>
          <w:p>
            <w:pPr>
              <w:ind w:left="360"/>
              <w:spacing w:after="0"/>
              <w:rPr>
                <w:sz w:val="20"/>
                <w:szCs w:val="20"/>
                <w:color w:val="auto"/>
              </w:rPr>
            </w:pPr>
            <w:r>
              <w:rPr>
                <w:rFonts w:ascii="Arial" w:cs="Arial" w:eastAsia="Arial" w:hAnsi="Arial"/>
                <w:sz w:val="16"/>
                <w:szCs w:val="16"/>
                <w:color w:val="auto"/>
              </w:rPr>
              <w:t>(through June 2024) and Ferguson Partners (beginning in September 2024) as</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40" w:type="dxa"/>
            <w:vAlign w:val="bottom"/>
            <w:gridSpan w:val="3"/>
          </w:tcPr>
          <w:p>
            <w:pPr>
              <w:ind w:left="360"/>
              <w:spacing w:after="0" w:line="161" w:lineRule="exact"/>
              <w:rPr>
                <w:sz w:val="20"/>
                <w:szCs w:val="20"/>
                <w:color w:val="auto"/>
              </w:rPr>
            </w:pPr>
            <w:r>
              <w:rPr>
                <w:rFonts w:ascii="Arial" w:cs="Arial" w:eastAsia="Arial" w:hAnsi="Arial"/>
                <w:sz w:val="16"/>
                <w:szCs w:val="16"/>
                <w:color w:val="auto"/>
              </w:rPr>
              <w:t>independent outside compensation consulting firms and engaged such firms to</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20" w:type="dxa"/>
            <w:vAlign w:val="bottom"/>
            <w:gridSpan w:val="2"/>
          </w:tcPr>
          <w:p>
            <w:pPr>
              <w:ind w:left="360"/>
              <w:spacing w:after="0"/>
              <w:rPr>
                <w:sz w:val="20"/>
                <w:szCs w:val="20"/>
                <w:color w:val="auto"/>
              </w:rPr>
            </w:pPr>
            <w:r>
              <w:rPr>
                <w:rFonts w:ascii="Arial" w:cs="Arial" w:eastAsia="Arial" w:hAnsi="Arial"/>
                <w:sz w:val="16"/>
                <w:szCs w:val="16"/>
                <w:color w:val="auto"/>
                <w:w w:val="99"/>
              </w:rPr>
              <w:t>provide our Compensation Committee with relevant data concerning the</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20" w:type="dxa"/>
            <w:vAlign w:val="bottom"/>
            <w:gridSpan w:val="2"/>
          </w:tcPr>
          <w:p>
            <w:pPr>
              <w:ind w:left="360"/>
              <w:spacing w:after="0"/>
              <w:rPr>
                <w:sz w:val="20"/>
                <w:szCs w:val="20"/>
                <w:color w:val="auto"/>
              </w:rPr>
            </w:pPr>
            <w:r>
              <w:rPr>
                <w:rFonts w:ascii="Arial" w:cs="Arial" w:eastAsia="Arial" w:hAnsi="Arial"/>
                <w:sz w:val="16"/>
                <w:szCs w:val="16"/>
                <w:color w:val="auto"/>
              </w:rPr>
              <w:t>marketplace, our peer group and its own independent analysis and</w:t>
            </w: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40" w:type="dxa"/>
            <w:vAlign w:val="bottom"/>
            <w:gridSpan w:val="3"/>
          </w:tcPr>
          <w:p>
            <w:pPr>
              <w:ind w:left="360"/>
              <w:spacing w:after="0"/>
              <w:rPr>
                <w:sz w:val="20"/>
                <w:szCs w:val="20"/>
                <w:color w:val="auto"/>
              </w:rPr>
            </w:pPr>
            <w:r>
              <w:rPr>
                <w:rFonts w:ascii="Arial" w:cs="Arial" w:eastAsia="Arial" w:hAnsi="Arial"/>
                <w:sz w:val="16"/>
                <w:szCs w:val="16"/>
                <w:color w:val="auto"/>
              </w:rPr>
              <w:t>recommendations concerning executive compensation. These firms regularly</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00" w:type="dxa"/>
            <w:vAlign w:val="bottom"/>
            <w:gridSpan w:val="4"/>
          </w:tcPr>
          <w:p>
            <w:pPr>
              <w:ind w:left="360"/>
              <w:spacing w:after="0"/>
              <w:rPr>
                <w:sz w:val="20"/>
                <w:szCs w:val="20"/>
                <w:color w:val="auto"/>
              </w:rPr>
            </w:pPr>
            <w:r>
              <w:rPr>
                <w:rFonts w:ascii="Arial" w:cs="Arial" w:eastAsia="Arial" w:hAnsi="Arial"/>
                <w:sz w:val="16"/>
                <w:szCs w:val="16"/>
                <w:color w:val="auto"/>
              </w:rPr>
              <w:t>participate in Compensation Committee meetings. Ferguson Partners also provided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40" w:type="dxa"/>
            <w:vAlign w:val="bottom"/>
            <w:gridSpan w:val="3"/>
          </w:tcPr>
          <w:p>
            <w:pPr>
              <w:ind w:left="360"/>
              <w:spacing w:after="0"/>
              <w:rPr>
                <w:sz w:val="20"/>
                <w:szCs w:val="20"/>
                <w:color w:val="auto"/>
              </w:rPr>
            </w:pPr>
            <w:r>
              <w:rPr>
                <w:rFonts w:ascii="Arial" w:cs="Arial" w:eastAsia="Arial" w:hAnsi="Arial"/>
                <w:sz w:val="16"/>
                <w:szCs w:val="16"/>
                <w:color w:val="auto"/>
              </w:rPr>
              <w:t>services and analysis during 2024 in connection with the negotiation of our new</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20" w:type="dxa"/>
            <w:vAlign w:val="bottom"/>
            <w:gridSpan w:val="2"/>
          </w:tcPr>
          <w:p>
            <w:pPr>
              <w:ind w:left="360"/>
              <w:spacing w:after="0"/>
              <w:rPr>
                <w:sz w:val="20"/>
                <w:szCs w:val="20"/>
                <w:color w:val="auto"/>
              </w:rPr>
            </w:pPr>
            <w:r>
              <w:rPr>
                <w:rFonts w:ascii="Arial" w:cs="Arial" w:eastAsia="Arial" w:hAnsi="Arial"/>
                <w:sz w:val="16"/>
                <w:szCs w:val="16"/>
                <w:color w:val="auto"/>
                <w:w w:val="98"/>
              </w:rPr>
              <w:t>employment agreement with our Chief Executive Officer. See “Executive</w:t>
            </w: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20" w:type="dxa"/>
            <w:vAlign w:val="bottom"/>
            <w:gridSpan w:val="2"/>
          </w:tcPr>
          <w:p>
            <w:pPr>
              <w:ind w:left="360"/>
              <w:spacing w:after="0"/>
              <w:rPr>
                <w:sz w:val="20"/>
                <w:szCs w:val="20"/>
                <w:color w:val="auto"/>
              </w:rPr>
            </w:pPr>
            <w:r>
              <w:rPr>
                <w:rFonts w:ascii="Arial" w:cs="Arial" w:eastAsia="Arial" w:hAnsi="Arial"/>
                <w:sz w:val="16"/>
                <w:szCs w:val="16"/>
                <w:color w:val="auto"/>
              </w:rPr>
              <w:t>Compensation—Compensation Discussion and Analysis.”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3589020</wp:posOffset>
            </wp:positionV>
            <wp:extent cx="683196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71"/>
        </w:trPr>
        <w:tc>
          <w:tcPr>
            <w:tcW w:w="1460" w:type="dxa"/>
            <w:vAlign w:val="bottom"/>
            <w:gridSpan w:val="2"/>
          </w:tcPr>
          <w:p>
            <w:pPr>
              <w:spacing w:after="0"/>
              <w:rPr>
                <w:sz w:val="20"/>
                <w:szCs w:val="20"/>
                <w:color w:val="auto"/>
              </w:rPr>
            </w:pPr>
            <w:r>
              <w:rPr>
                <w:rFonts w:ascii="Calibri" w:cs="Calibri" w:eastAsia="Calibri" w:hAnsi="Calibri"/>
                <w:sz w:val="14"/>
                <w:szCs w:val="14"/>
                <w:color w:val="003366"/>
              </w:rPr>
              <w:t>TABLE OF CONTENTS</w:t>
            </w:r>
          </w:p>
        </w:tc>
        <w:tc>
          <w:tcPr>
            <w:tcW w:w="1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5"/>
        </w:trPr>
        <w:tc>
          <w:tcPr>
            <w:tcW w:w="1460" w:type="dxa"/>
            <w:vAlign w:val="bottom"/>
            <w:gridSpan w:val="2"/>
          </w:tcPr>
          <w:p>
            <w:pPr>
              <w:ind w:left="820"/>
              <w:spacing w:after="0"/>
              <w:rPr>
                <w:sz w:val="20"/>
                <w:szCs w:val="20"/>
                <w:color w:val="auto"/>
              </w:rPr>
            </w:pPr>
            <w:r>
              <w:rPr>
                <w:rFonts w:ascii="Arial" w:cs="Arial" w:eastAsia="Arial" w:hAnsi="Arial"/>
                <w:sz w:val="22"/>
                <w:szCs w:val="22"/>
                <w:b w:val="1"/>
                <w:bCs w:val="1"/>
                <w:color w:val="1F2668"/>
              </w:rPr>
              <w:t>28​</w:t>
            </w:r>
          </w:p>
        </w:tc>
        <w:tc>
          <w:tcPr>
            <w:tcW w:w="8380" w:type="dxa"/>
            <w:vAlign w:val="bottom"/>
            <w:gridSpan w:val="3"/>
          </w:tcPr>
          <w:p>
            <w:pPr>
              <w:spacing w:after="0"/>
              <w:rPr>
                <w:sz w:val="20"/>
                <w:szCs w:val="20"/>
                <w:color w:val="auto"/>
              </w:rPr>
            </w:pPr>
            <w:r>
              <w:rPr>
                <w:rFonts w:ascii="Arial" w:cs="Arial" w:eastAsia="Arial" w:hAnsi="Arial"/>
                <w:sz w:val="22"/>
                <w:szCs w:val="22"/>
                <w:b w:val="1"/>
                <w:bCs w:val="1"/>
                <w:color w:val="1F2668"/>
              </w:rPr>
              <w:t xml:space="preserve">​ ​ </w:t>
            </w:r>
            <w:r>
              <w:rPr>
                <w:rFonts w:ascii="Arial" w:cs="Arial" w:eastAsia="Arial" w:hAnsi="Arial"/>
                <w:sz w:val="14"/>
                <w:szCs w:val="14"/>
                <w:b w:val="1"/>
                <w:bCs w:val="1"/>
                <w:color w:val="1F2668"/>
              </w:rPr>
              <w:t>SL GREEN REALTY CORP. 2025 PROXY STATEMENT</w:t>
            </w:r>
          </w:p>
        </w:tc>
        <w:tc>
          <w:tcPr>
            <w:tcW w:w="100" w:type="dxa"/>
            <w:vAlign w:val="bottom"/>
          </w:tcPr>
          <w:p>
            <w:pPr>
              <w:ind w:left="40"/>
              <w:spacing w:after="0"/>
              <w:rPr>
                <w:sz w:val="20"/>
                <w:szCs w:val="20"/>
                <w:color w:val="auto"/>
              </w:rPr>
            </w:pPr>
            <w:r>
              <w:rPr>
                <w:rFonts w:ascii="Arial" w:cs="Arial" w:eastAsia="Arial" w:hAnsi="Arial"/>
                <w:sz w:val="22"/>
                <w:szCs w:val="22"/>
                <w:b w:val="1"/>
                <w:bCs w:val="1"/>
                <w:color w:val="1F2668"/>
              </w:rPr>
              <w:t>​</w:t>
            </w:r>
          </w:p>
        </w:tc>
        <w:tc>
          <w:tcPr>
            <w:tcW w:w="0" w:type="dxa"/>
            <w:vAlign w:val="bottom"/>
          </w:tcPr>
          <w:p>
            <w:pPr>
              <w:spacing w:after="0"/>
              <w:rPr>
                <w:sz w:val="1"/>
                <w:szCs w:val="1"/>
                <w:color w:val="auto"/>
              </w:rPr>
            </w:pPr>
          </w:p>
        </w:tc>
      </w:tr>
      <w:tr>
        <w:trPr>
          <w:trHeight w:val="427"/>
        </w:trPr>
        <w:tc>
          <w:tcPr>
            <w:tcW w:w="1020" w:type="dxa"/>
            <w:vAlign w:val="bottom"/>
          </w:tcPr>
          <w:p>
            <w:pPr>
              <w:spacing w:after="0"/>
              <w:rPr>
                <w:sz w:val="24"/>
                <w:szCs w:val="24"/>
                <w:color w:val="auto"/>
              </w:rPr>
            </w:pPr>
          </w:p>
        </w:tc>
        <w:tc>
          <w:tcPr>
            <w:tcW w:w="440" w:type="dxa"/>
            <w:vAlign w:val="bottom"/>
            <w:tcBorders>
              <w:bottom w:val="single" w:sz="8" w:color="83AD40"/>
            </w:tcBorders>
          </w:tcPr>
          <w:p>
            <w:pPr>
              <w:spacing w:after="0"/>
              <w:rPr>
                <w:sz w:val="24"/>
                <w:szCs w:val="24"/>
                <w:color w:val="auto"/>
              </w:rPr>
            </w:pPr>
          </w:p>
        </w:tc>
        <w:tc>
          <w:tcPr>
            <w:tcW w:w="1540" w:type="dxa"/>
            <w:vAlign w:val="bottom"/>
            <w:tcBorders>
              <w:bottom w:val="single" w:sz="8" w:color="83AD40"/>
            </w:tcBorders>
          </w:tcPr>
          <w:p>
            <w:pPr>
              <w:spacing w:after="0"/>
              <w:rPr>
                <w:sz w:val="24"/>
                <w:szCs w:val="24"/>
                <w:color w:val="auto"/>
              </w:rPr>
            </w:pPr>
          </w:p>
        </w:tc>
        <w:tc>
          <w:tcPr>
            <w:tcW w:w="580" w:type="dxa"/>
            <w:vAlign w:val="bottom"/>
            <w:tcBorders>
              <w:bottom w:val="single" w:sz="8" w:color="83AD40"/>
            </w:tcBorders>
          </w:tcPr>
          <w:p>
            <w:pPr>
              <w:spacing w:after="0"/>
              <w:rPr>
                <w:sz w:val="24"/>
                <w:szCs w:val="24"/>
                <w:color w:val="auto"/>
              </w:rPr>
            </w:pPr>
          </w:p>
        </w:tc>
        <w:tc>
          <w:tcPr>
            <w:tcW w:w="6260" w:type="dxa"/>
            <w:vAlign w:val="bottom"/>
            <w:vMerge w:val="restart"/>
          </w:tcPr>
          <w:p>
            <w:pPr>
              <w:ind w:left="360"/>
              <w:spacing w:after="0"/>
              <w:rPr>
                <w:sz w:val="20"/>
                <w:szCs w:val="20"/>
                <w:color w:val="auto"/>
              </w:rPr>
            </w:pPr>
            <w:r>
              <w:rPr>
                <w:rFonts w:ascii="Arial" w:cs="Arial" w:eastAsia="Arial" w:hAnsi="Arial"/>
                <w:sz w:val="20"/>
                <w:szCs w:val="20"/>
                <w:b w:val="1"/>
                <w:bCs w:val="1"/>
                <w:color w:val="83AD40"/>
              </w:rPr>
              <w:t>Principal Responsibilities: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20" w:type="dxa"/>
            <w:vAlign w:val="bottom"/>
            <w:tcBorders>
              <w:right w:val="single" w:sz="8" w:color="83AD40"/>
            </w:tcBorders>
          </w:tcPr>
          <w:p>
            <w:pPr>
              <w:spacing w:after="0"/>
              <w:rPr>
                <w:sz w:val="21"/>
                <w:szCs w:val="21"/>
                <w:color w:val="auto"/>
              </w:rPr>
            </w:pPr>
          </w:p>
        </w:tc>
        <w:tc>
          <w:tcPr>
            <w:tcW w:w="44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1540" w:type="dxa"/>
            <w:vAlign w:val="bottom"/>
          </w:tcPr>
          <w:p>
            <w:pPr>
              <w:spacing w:after="0"/>
              <w:rPr>
                <w:sz w:val="21"/>
                <w:szCs w:val="21"/>
                <w:color w:val="auto"/>
              </w:rPr>
            </w:pPr>
          </w:p>
        </w:tc>
        <w:tc>
          <w:tcPr>
            <w:tcW w:w="580" w:type="dxa"/>
            <w:vAlign w:val="bottom"/>
          </w:tcPr>
          <w:p>
            <w:pPr>
              <w:ind w:left="520"/>
              <w:spacing w:after="0" w:line="243" w:lineRule="exact"/>
              <w:rPr>
                <w:sz w:val="20"/>
                <w:szCs w:val="20"/>
                <w:color w:val="auto"/>
              </w:rPr>
            </w:pPr>
            <w:r>
              <w:rPr>
                <w:rFonts w:ascii="Arial" w:cs="Arial" w:eastAsia="Arial" w:hAnsi="Arial"/>
                <w:sz w:val="22"/>
                <w:szCs w:val="22"/>
                <w:color w:val="auto"/>
              </w:rPr>
              <w:t>​</w:t>
            </w:r>
          </w:p>
        </w:tc>
        <w:tc>
          <w:tcPr>
            <w:tcW w:w="62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20" w:type="dxa"/>
            <w:vAlign w:val="bottom"/>
          </w:tcPr>
          <w:p>
            <w:pPr>
              <w:ind w:left="960"/>
              <w:spacing w:after="0"/>
              <w:rPr>
                <w:sz w:val="20"/>
                <w:szCs w:val="20"/>
                <w:color w:val="auto"/>
              </w:rPr>
            </w:pPr>
            <w:r>
              <w:rPr>
                <w:rFonts w:ascii="Arial" w:cs="Arial" w:eastAsia="Arial" w:hAnsi="Arial"/>
                <w:sz w:val="16"/>
                <w:szCs w:val="16"/>
                <w:color w:val="FFFFFF"/>
              </w:rPr>
              <w:t>​</w:t>
            </w:r>
          </w:p>
        </w:tc>
        <w:tc>
          <w:tcPr>
            <w:tcW w:w="4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80" w:type="dxa"/>
            <w:vAlign w:val="bottom"/>
          </w:tcPr>
          <w:p>
            <w:pPr>
              <w:ind w:left="400"/>
              <w:spacing w:after="0"/>
              <w:rPr>
                <w:sz w:val="20"/>
                <w:szCs w:val="20"/>
                <w:color w:val="auto"/>
              </w:rPr>
            </w:pPr>
            <w:r>
              <w:rPr>
                <w:rFonts w:ascii="Arial" w:cs="Arial" w:eastAsia="Arial" w:hAnsi="Arial"/>
                <w:sz w:val="16"/>
                <w:szCs w:val="16"/>
                <w:color w:val="FFFFFF"/>
              </w:rPr>
              <w:t>​</w:t>
            </w:r>
          </w:p>
        </w:tc>
        <w:tc>
          <w:tcPr>
            <w:tcW w:w="6260" w:type="dxa"/>
            <w:vAlign w:val="bottom"/>
            <w:vMerge w:val="restart"/>
          </w:tcPr>
          <w:p>
            <w:pPr>
              <w:ind w:left="360"/>
              <w:spacing w:after="0"/>
              <w:rPr>
                <w:sz w:val="20"/>
                <w:szCs w:val="20"/>
                <w:color w:val="auto"/>
              </w:rPr>
            </w:pPr>
            <w:r>
              <w:rPr>
                <w:rFonts w:ascii="Arial" w:cs="Arial" w:eastAsia="Arial" w:hAnsi="Arial"/>
                <w:sz w:val="16"/>
                <w:szCs w:val="16"/>
                <w:color w:val="auto"/>
              </w:rPr>
              <w:t>Our Nominating and Corporate Governance Committee’s primary purposes are to:</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3000" w:type="dxa"/>
            <w:vAlign w:val="bottom"/>
            <w:gridSpan w:val="3"/>
            <w:vMerge w:val="restart"/>
          </w:tcPr>
          <w:p>
            <w:pPr>
              <w:ind w:left="960"/>
              <w:spacing w:after="0"/>
              <w:rPr>
                <w:sz w:val="20"/>
                <w:szCs w:val="20"/>
                <w:color w:val="auto"/>
              </w:rPr>
            </w:pPr>
            <w:r>
              <w:rPr>
                <w:rFonts w:ascii="Arial" w:cs="Arial" w:eastAsia="Arial" w:hAnsi="Arial"/>
                <w:sz w:val="23"/>
                <w:szCs w:val="23"/>
                <w:b w:val="1"/>
                <w:bCs w:val="1"/>
                <w:color w:val="FFFFFF"/>
              </w:rPr>
              <w:t>NOMINATING</w:t>
            </w:r>
          </w:p>
        </w:tc>
        <w:tc>
          <w:tcPr>
            <w:tcW w:w="580" w:type="dxa"/>
            <w:vAlign w:val="bottom"/>
          </w:tcPr>
          <w:p>
            <w:pPr>
              <w:spacing w:after="0"/>
              <w:rPr>
                <w:sz w:val="4"/>
                <w:szCs w:val="4"/>
                <w:color w:val="auto"/>
              </w:rPr>
            </w:pPr>
          </w:p>
        </w:tc>
        <w:tc>
          <w:tcPr>
            <w:tcW w:w="62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3000" w:type="dxa"/>
            <w:vAlign w:val="bottom"/>
            <w:gridSpan w:val="3"/>
            <w:vMerge w:val="continue"/>
          </w:tcPr>
          <w:p>
            <w:pPr>
              <w:spacing w:after="0"/>
              <w:rPr>
                <w:sz w:val="18"/>
                <w:szCs w:val="18"/>
                <w:color w:val="auto"/>
              </w:rPr>
            </w:pPr>
          </w:p>
        </w:tc>
        <w:tc>
          <w:tcPr>
            <w:tcW w:w="58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60" w:type="dxa"/>
            <w:vAlign w:val="bottom"/>
            <w:gridSpan w:val="2"/>
          </w:tcPr>
          <w:p>
            <w:pPr>
              <w:ind w:left="960"/>
              <w:spacing w:after="0" w:line="224" w:lineRule="exact"/>
              <w:rPr>
                <w:sz w:val="20"/>
                <w:szCs w:val="20"/>
                <w:color w:val="auto"/>
              </w:rPr>
            </w:pPr>
            <w:r>
              <w:rPr>
                <w:rFonts w:ascii="Arial" w:cs="Arial" w:eastAsia="Arial" w:hAnsi="Arial"/>
                <w:sz w:val="23"/>
                <w:szCs w:val="23"/>
                <w:b w:val="1"/>
                <w:bCs w:val="1"/>
                <w:color w:val="FFFFFF"/>
                <w:w w:val="96"/>
              </w:rPr>
              <w:t>AND</w:t>
            </w:r>
          </w:p>
        </w:tc>
        <w:tc>
          <w:tcPr>
            <w:tcW w:w="1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60" w:type="dxa"/>
            <w:vAlign w:val="bottom"/>
          </w:tcPr>
          <w:p>
            <w:pPr>
              <w:ind w:left="360"/>
              <w:spacing w:after="0"/>
              <w:rPr>
                <w:sz w:val="20"/>
                <w:szCs w:val="20"/>
                <w:color w:val="auto"/>
              </w:rPr>
            </w:pPr>
            <w:r>
              <w:rPr>
                <w:rFonts w:ascii="Arial" w:cs="Arial" w:eastAsia="Arial" w:hAnsi="Arial"/>
                <w:sz w:val="16"/>
                <w:szCs w:val="16"/>
                <w:color w:val="auto"/>
              </w:rPr>
              <w:t>•  Identify individuals qualified to fill vacancies or newly-created positions on the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00" w:type="dxa"/>
            <w:vAlign w:val="bottom"/>
            <w:gridSpan w:val="3"/>
            <w:vMerge w:val="restart"/>
          </w:tcPr>
          <w:p>
            <w:pPr>
              <w:ind w:left="960"/>
              <w:spacing w:after="0"/>
              <w:rPr>
                <w:sz w:val="20"/>
                <w:szCs w:val="20"/>
                <w:color w:val="auto"/>
              </w:rPr>
            </w:pPr>
            <w:r>
              <w:rPr>
                <w:rFonts w:ascii="Arial" w:cs="Arial" w:eastAsia="Arial" w:hAnsi="Arial"/>
                <w:sz w:val="23"/>
                <w:szCs w:val="23"/>
                <w:b w:val="1"/>
                <w:bCs w:val="1"/>
                <w:color w:val="FFFFFF"/>
              </w:rPr>
              <w:t>CORPORATE</w:t>
            </w:r>
          </w:p>
        </w:tc>
        <w:tc>
          <w:tcPr>
            <w:tcW w:w="580" w:type="dxa"/>
            <w:vAlign w:val="bottom"/>
          </w:tcPr>
          <w:p>
            <w:pPr>
              <w:spacing w:after="0"/>
              <w:rPr>
                <w:sz w:val="18"/>
                <w:szCs w:val="18"/>
                <w:color w:val="auto"/>
              </w:rPr>
            </w:pPr>
          </w:p>
        </w:tc>
        <w:tc>
          <w:tcPr>
            <w:tcW w:w="6260" w:type="dxa"/>
            <w:vAlign w:val="bottom"/>
          </w:tcPr>
          <w:p>
            <w:pPr>
              <w:ind w:left="540"/>
              <w:spacing w:after="0"/>
              <w:rPr>
                <w:sz w:val="20"/>
                <w:szCs w:val="20"/>
                <w:color w:val="auto"/>
              </w:rPr>
            </w:pPr>
            <w:r>
              <w:rPr>
                <w:rFonts w:ascii="Arial" w:cs="Arial" w:eastAsia="Arial" w:hAnsi="Arial"/>
                <w:sz w:val="16"/>
                <w:szCs w:val="16"/>
                <w:color w:val="auto"/>
              </w:rPr>
              <w:t>Board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3000" w:type="dxa"/>
            <w:vAlign w:val="bottom"/>
            <w:gridSpan w:val="3"/>
            <w:vMerge w:val="continue"/>
          </w:tcPr>
          <w:p>
            <w:pPr>
              <w:spacing w:after="0"/>
              <w:rPr>
                <w:sz w:val="8"/>
                <w:szCs w:val="8"/>
                <w:color w:val="auto"/>
              </w:rPr>
            </w:pPr>
          </w:p>
        </w:tc>
        <w:tc>
          <w:tcPr>
            <w:tcW w:w="580" w:type="dxa"/>
            <w:vAlign w:val="bottom"/>
          </w:tcPr>
          <w:p>
            <w:pPr>
              <w:spacing w:after="0"/>
              <w:rPr>
                <w:sz w:val="8"/>
                <w:szCs w:val="8"/>
                <w:color w:val="auto"/>
              </w:rPr>
            </w:pPr>
          </w:p>
        </w:tc>
        <w:tc>
          <w:tcPr>
            <w:tcW w:w="6260" w:type="dxa"/>
            <w:vAlign w:val="bottom"/>
            <w:vMerge w:val="restart"/>
          </w:tcPr>
          <w:p>
            <w:pPr>
              <w:ind w:left="360"/>
              <w:spacing w:after="0"/>
              <w:rPr>
                <w:sz w:val="20"/>
                <w:szCs w:val="20"/>
                <w:color w:val="auto"/>
              </w:rPr>
            </w:pPr>
            <w:r>
              <w:rPr>
                <w:rFonts w:ascii="Arial" w:cs="Arial" w:eastAsia="Arial" w:hAnsi="Arial"/>
                <w:sz w:val="16"/>
                <w:szCs w:val="16"/>
                <w:color w:val="auto"/>
                <w:w w:val="99"/>
              </w:rPr>
              <w:t>•  Recommend to the Board the persons it should nominate for election as directors</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3000" w:type="dxa"/>
            <w:vAlign w:val="bottom"/>
            <w:gridSpan w:val="3"/>
            <w:vMerge w:val="restart"/>
          </w:tcPr>
          <w:p>
            <w:pPr>
              <w:ind w:left="960"/>
              <w:spacing w:after="0"/>
              <w:rPr>
                <w:sz w:val="20"/>
                <w:szCs w:val="20"/>
                <w:color w:val="auto"/>
              </w:rPr>
            </w:pPr>
            <w:r>
              <w:rPr>
                <w:rFonts w:ascii="Arial" w:cs="Arial" w:eastAsia="Arial" w:hAnsi="Arial"/>
                <w:sz w:val="23"/>
                <w:szCs w:val="23"/>
                <w:b w:val="1"/>
                <w:bCs w:val="1"/>
                <w:color w:val="FFFFFF"/>
              </w:rPr>
              <w:t>GOVERNANCE</w:t>
            </w:r>
          </w:p>
        </w:tc>
        <w:tc>
          <w:tcPr>
            <w:tcW w:w="580" w:type="dxa"/>
            <w:vAlign w:val="bottom"/>
          </w:tcPr>
          <w:p>
            <w:pPr>
              <w:spacing w:after="0"/>
              <w:rPr>
                <w:sz w:val="11"/>
                <w:szCs w:val="11"/>
                <w:color w:val="auto"/>
              </w:rPr>
            </w:pPr>
          </w:p>
        </w:tc>
        <w:tc>
          <w:tcPr>
            <w:tcW w:w="62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00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6260" w:type="dxa"/>
            <w:vAlign w:val="bottom"/>
          </w:tcPr>
          <w:p>
            <w:pPr>
              <w:ind w:left="540"/>
              <w:spacing w:after="0" w:line="163" w:lineRule="exact"/>
              <w:rPr>
                <w:sz w:val="20"/>
                <w:szCs w:val="20"/>
                <w:color w:val="auto"/>
              </w:rPr>
            </w:pPr>
            <w:r>
              <w:rPr>
                <w:rFonts w:ascii="Arial" w:cs="Arial" w:eastAsia="Arial" w:hAnsi="Arial"/>
                <w:sz w:val="16"/>
                <w:szCs w:val="16"/>
                <w:color w:val="auto"/>
              </w:rPr>
              <w:t>at annual meetings of the Company’s stockholders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2"/>
        </w:trPr>
        <w:tc>
          <w:tcPr>
            <w:tcW w:w="3000" w:type="dxa"/>
            <w:vAlign w:val="bottom"/>
            <w:gridSpan w:val="3"/>
          </w:tcPr>
          <w:p>
            <w:pPr>
              <w:ind w:left="960"/>
              <w:spacing w:after="0"/>
              <w:rPr>
                <w:sz w:val="20"/>
                <w:szCs w:val="20"/>
                <w:color w:val="auto"/>
              </w:rPr>
            </w:pPr>
            <w:r>
              <w:rPr>
                <w:rFonts w:ascii="Arial" w:cs="Arial" w:eastAsia="Arial" w:hAnsi="Arial"/>
                <w:sz w:val="23"/>
                <w:szCs w:val="23"/>
                <w:b w:val="1"/>
                <w:bCs w:val="1"/>
                <w:color w:val="FFFFFF"/>
              </w:rPr>
              <w:t>COMMITTEE</w:t>
            </w:r>
          </w:p>
        </w:tc>
        <w:tc>
          <w:tcPr>
            <w:tcW w:w="580" w:type="dxa"/>
            <w:vAlign w:val="bottom"/>
          </w:tcPr>
          <w:p>
            <w:pPr>
              <w:spacing w:after="0"/>
              <w:rPr>
                <w:sz w:val="24"/>
                <w:szCs w:val="24"/>
                <w:color w:val="auto"/>
              </w:rPr>
            </w:pPr>
          </w:p>
        </w:tc>
        <w:tc>
          <w:tcPr>
            <w:tcW w:w="6260" w:type="dxa"/>
            <w:vAlign w:val="bottom"/>
          </w:tcPr>
          <w:p>
            <w:pPr>
              <w:ind w:left="360"/>
              <w:spacing w:after="0"/>
              <w:rPr>
                <w:sz w:val="20"/>
                <w:szCs w:val="20"/>
                <w:color w:val="auto"/>
              </w:rPr>
            </w:pPr>
            <w:r>
              <w:rPr>
                <w:rFonts w:ascii="Arial" w:cs="Arial" w:eastAsia="Arial" w:hAnsi="Arial"/>
                <w:sz w:val="16"/>
                <w:szCs w:val="16"/>
                <w:color w:val="auto"/>
              </w:rPr>
              <w:t>•  Recommend directors to serve on all committees of the Board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000" w:type="dxa"/>
            <w:vAlign w:val="bottom"/>
            <w:gridSpan w:val="3"/>
            <w:vMerge w:val="restart"/>
          </w:tcPr>
          <w:p>
            <w:pPr>
              <w:ind w:left="960"/>
              <w:spacing w:after="0"/>
              <w:rPr>
                <w:sz w:val="20"/>
                <w:szCs w:val="20"/>
                <w:color w:val="auto"/>
              </w:rPr>
            </w:pPr>
            <w:r>
              <w:rPr>
                <w:rFonts w:ascii="Arial" w:cs="Arial" w:eastAsia="Arial" w:hAnsi="Arial"/>
                <w:sz w:val="16"/>
                <w:szCs w:val="16"/>
                <w:b w:val="1"/>
                <w:bCs w:val="1"/>
                <w:color w:val="FFFFFF"/>
              </w:rPr>
              <w:t>Members</w:t>
            </w:r>
          </w:p>
        </w:tc>
        <w:tc>
          <w:tcPr>
            <w:tcW w:w="580" w:type="dxa"/>
            <w:vAlign w:val="bottom"/>
          </w:tcPr>
          <w:p>
            <w:pPr>
              <w:spacing w:after="0"/>
              <w:rPr>
                <w:sz w:val="18"/>
                <w:szCs w:val="18"/>
                <w:color w:val="auto"/>
              </w:rPr>
            </w:pPr>
          </w:p>
        </w:tc>
        <w:tc>
          <w:tcPr>
            <w:tcW w:w="6260" w:type="dxa"/>
            <w:vAlign w:val="bottom"/>
          </w:tcPr>
          <w:p>
            <w:pPr>
              <w:ind w:left="360"/>
              <w:spacing w:after="0"/>
              <w:rPr>
                <w:sz w:val="20"/>
                <w:szCs w:val="20"/>
                <w:color w:val="auto"/>
              </w:rPr>
            </w:pPr>
            <w:r>
              <w:rPr>
                <w:rFonts w:ascii="Arial" w:cs="Arial" w:eastAsia="Arial" w:hAnsi="Arial"/>
                <w:sz w:val="16"/>
                <w:szCs w:val="16"/>
                <w:color w:val="auto"/>
              </w:rPr>
              <w:t>•  Develop and recommend to the Board governance principles applicable to the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3000" w:type="dxa"/>
            <w:vAlign w:val="bottom"/>
            <w:gridSpan w:val="3"/>
            <w:vMerge w:val="continue"/>
          </w:tcPr>
          <w:p>
            <w:pPr>
              <w:spacing w:after="0"/>
              <w:rPr>
                <w:sz w:val="8"/>
                <w:szCs w:val="8"/>
                <w:color w:val="auto"/>
              </w:rPr>
            </w:pPr>
          </w:p>
        </w:tc>
        <w:tc>
          <w:tcPr>
            <w:tcW w:w="580" w:type="dxa"/>
            <w:vAlign w:val="bottom"/>
          </w:tcPr>
          <w:p>
            <w:pPr>
              <w:spacing w:after="0"/>
              <w:rPr>
                <w:sz w:val="8"/>
                <w:szCs w:val="8"/>
                <w:color w:val="auto"/>
              </w:rPr>
            </w:pPr>
          </w:p>
        </w:tc>
        <w:tc>
          <w:tcPr>
            <w:tcW w:w="6260" w:type="dxa"/>
            <w:vAlign w:val="bottom"/>
            <w:vMerge w:val="restart"/>
          </w:tcPr>
          <w:p>
            <w:pPr>
              <w:ind w:left="540"/>
              <w:spacing w:after="0"/>
              <w:rPr>
                <w:sz w:val="20"/>
                <w:szCs w:val="20"/>
                <w:color w:val="auto"/>
              </w:rPr>
            </w:pPr>
            <w:r>
              <w:rPr>
                <w:rFonts w:ascii="Arial" w:cs="Arial" w:eastAsia="Arial" w:hAnsi="Arial"/>
                <w:sz w:val="16"/>
                <w:szCs w:val="16"/>
                <w:color w:val="auto"/>
              </w:rPr>
              <w:t>Company</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3000" w:type="dxa"/>
            <w:vAlign w:val="bottom"/>
            <w:gridSpan w:val="3"/>
            <w:vMerge w:val="restart"/>
          </w:tcPr>
          <w:p>
            <w:pPr>
              <w:ind w:left="960"/>
              <w:spacing w:after="0"/>
              <w:rPr>
                <w:sz w:val="20"/>
                <w:szCs w:val="20"/>
                <w:color w:val="auto"/>
              </w:rPr>
            </w:pPr>
            <w:r>
              <w:rPr>
                <w:rFonts w:ascii="Arial" w:cs="Arial" w:eastAsia="Arial" w:hAnsi="Arial"/>
                <w:sz w:val="16"/>
                <w:szCs w:val="16"/>
                <w:color w:val="FFFFFF"/>
              </w:rPr>
              <w:t>Craig M. Hatkoff (Chair)</w:t>
            </w:r>
          </w:p>
        </w:tc>
        <w:tc>
          <w:tcPr>
            <w:tcW w:w="580" w:type="dxa"/>
            <w:vAlign w:val="bottom"/>
          </w:tcPr>
          <w:p>
            <w:pPr>
              <w:spacing w:after="0"/>
              <w:rPr>
                <w:sz w:val="9"/>
                <w:szCs w:val="9"/>
                <w:color w:val="auto"/>
              </w:rPr>
            </w:pPr>
          </w:p>
        </w:tc>
        <w:tc>
          <w:tcPr>
            <w:tcW w:w="62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300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6260" w:type="dxa"/>
            <w:vAlign w:val="bottom"/>
            <w:vMerge w:val="restart"/>
          </w:tcPr>
          <w:p>
            <w:pPr>
              <w:ind w:left="360"/>
              <w:spacing w:after="0"/>
              <w:rPr>
                <w:sz w:val="20"/>
                <w:szCs w:val="20"/>
                <w:color w:val="auto"/>
              </w:rPr>
            </w:pPr>
            <w:r>
              <w:rPr>
                <w:rFonts w:ascii="Arial" w:cs="Arial" w:eastAsia="Arial" w:hAnsi="Arial"/>
                <w:sz w:val="16"/>
                <w:szCs w:val="16"/>
                <w:color w:val="auto"/>
              </w:rPr>
              <w:t>•  Oversee ESG matters, including related risk and strategy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000" w:type="dxa"/>
            <w:vAlign w:val="bottom"/>
            <w:gridSpan w:val="3"/>
            <w:vMerge w:val="restart"/>
          </w:tcPr>
          <w:p>
            <w:pPr>
              <w:ind w:left="960"/>
              <w:spacing w:after="0"/>
              <w:rPr>
                <w:sz w:val="20"/>
                <w:szCs w:val="20"/>
                <w:color w:val="auto"/>
              </w:rPr>
            </w:pPr>
            <w:r>
              <w:rPr>
                <w:rFonts w:ascii="Arial" w:cs="Arial" w:eastAsia="Arial" w:hAnsi="Arial"/>
                <w:sz w:val="16"/>
                <w:szCs w:val="16"/>
                <w:color w:val="FFFFFF"/>
              </w:rPr>
              <w:t>John H. Alschuler</w:t>
            </w:r>
          </w:p>
        </w:tc>
        <w:tc>
          <w:tcPr>
            <w:tcW w:w="580" w:type="dxa"/>
            <w:vAlign w:val="bottom"/>
          </w:tcPr>
          <w:p>
            <w:pPr>
              <w:spacing w:after="0"/>
              <w:rPr>
                <w:sz w:val="6"/>
                <w:szCs w:val="6"/>
                <w:color w:val="auto"/>
              </w:rPr>
            </w:pPr>
          </w:p>
        </w:tc>
        <w:tc>
          <w:tcPr>
            <w:tcW w:w="6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3000" w:type="dxa"/>
            <w:vAlign w:val="bottom"/>
            <w:gridSpan w:val="3"/>
            <w:vMerge w:val="continue"/>
          </w:tcPr>
          <w:p>
            <w:pPr>
              <w:spacing w:after="0"/>
              <w:rPr>
                <w:sz w:val="10"/>
                <w:szCs w:val="10"/>
                <w:color w:val="auto"/>
              </w:rPr>
            </w:pPr>
          </w:p>
        </w:tc>
        <w:tc>
          <w:tcPr>
            <w:tcW w:w="58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3000" w:type="dxa"/>
            <w:vAlign w:val="bottom"/>
            <w:gridSpan w:val="3"/>
          </w:tcPr>
          <w:p>
            <w:pPr>
              <w:ind w:left="960"/>
              <w:spacing w:after="0"/>
              <w:rPr>
                <w:sz w:val="20"/>
                <w:szCs w:val="20"/>
                <w:color w:val="auto"/>
              </w:rPr>
            </w:pPr>
            <w:r>
              <w:rPr>
                <w:rFonts w:ascii="Arial" w:cs="Arial" w:eastAsia="Arial" w:hAnsi="Arial"/>
                <w:sz w:val="16"/>
                <w:szCs w:val="16"/>
                <w:color w:val="FFFFFF"/>
              </w:rPr>
              <w:t>Carol N. Brown</w:t>
            </w:r>
          </w:p>
        </w:tc>
        <w:tc>
          <w:tcPr>
            <w:tcW w:w="580" w:type="dxa"/>
            <w:vAlign w:val="bottom"/>
          </w:tcPr>
          <w:p>
            <w:pPr>
              <w:spacing w:after="0"/>
              <w:rPr>
                <w:sz w:val="18"/>
                <w:szCs w:val="18"/>
                <w:color w:val="auto"/>
              </w:rPr>
            </w:pPr>
          </w:p>
        </w:tc>
        <w:tc>
          <w:tcPr>
            <w:tcW w:w="6260" w:type="dxa"/>
            <w:vAlign w:val="bottom"/>
            <w:vMerge w:val="restart"/>
          </w:tcPr>
          <w:p>
            <w:pPr>
              <w:ind w:left="360"/>
              <w:spacing w:after="0"/>
              <w:rPr>
                <w:sz w:val="20"/>
                <w:szCs w:val="20"/>
                <w:color w:val="auto"/>
              </w:rPr>
            </w:pPr>
            <w:r>
              <w:rPr>
                <w:rFonts w:ascii="Arial" w:cs="Arial" w:eastAsia="Arial" w:hAnsi="Arial"/>
                <w:sz w:val="16"/>
                <w:szCs w:val="16"/>
                <w:color w:val="auto"/>
              </w:rPr>
              <w:t>Each member of the Nominating and Corporate Governance Committee is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10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000" w:type="dxa"/>
            <w:vAlign w:val="bottom"/>
            <w:gridSpan w:val="3"/>
            <w:vMerge w:val="restart"/>
          </w:tcPr>
          <w:p>
            <w:pPr>
              <w:ind w:left="960"/>
              <w:spacing w:after="0"/>
              <w:rPr>
                <w:sz w:val="20"/>
                <w:szCs w:val="20"/>
                <w:color w:val="auto"/>
              </w:rPr>
            </w:pPr>
            <w:r>
              <w:rPr>
                <w:rFonts w:ascii="Arial" w:cs="Arial" w:eastAsia="Arial" w:hAnsi="Arial"/>
                <w:sz w:val="16"/>
                <w:szCs w:val="16"/>
                <w:color w:val="FFFFFF"/>
              </w:rPr>
              <w:t>Meetings in 2024: 1</w:t>
            </w:r>
          </w:p>
        </w:tc>
        <w:tc>
          <w:tcPr>
            <w:tcW w:w="580" w:type="dxa"/>
            <w:vAlign w:val="bottom"/>
          </w:tcPr>
          <w:p>
            <w:pPr>
              <w:spacing w:after="0"/>
              <w:rPr>
                <w:sz w:val="19"/>
                <w:szCs w:val="19"/>
                <w:color w:val="auto"/>
              </w:rPr>
            </w:pPr>
          </w:p>
        </w:tc>
        <w:tc>
          <w:tcPr>
            <w:tcW w:w="6260" w:type="dxa"/>
            <w:vAlign w:val="bottom"/>
          </w:tcPr>
          <w:p>
            <w:pPr>
              <w:ind w:left="360"/>
              <w:spacing w:after="0"/>
              <w:rPr>
                <w:sz w:val="20"/>
                <w:szCs w:val="20"/>
                <w:color w:val="auto"/>
              </w:rPr>
            </w:pPr>
            <w:r>
              <w:rPr>
                <w:rFonts w:ascii="Arial" w:cs="Arial" w:eastAsia="Arial" w:hAnsi="Arial"/>
                <w:sz w:val="16"/>
                <w:szCs w:val="16"/>
                <w:color w:val="auto"/>
              </w:rPr>
              <w:t>independent within the meaning of the rules of the NYSE.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3000" w:type="dxa"/>
            <w:vAlign w:val="bottom"/>
            <w:gridSpan w:val="3"/>
            <w:vMerge w:val="continue"/>
          </w:tcPr>
          <w:p>
            <w:pPr>
              <w:spacing w:after="0"/>
              <w:rPr>
                <w:sz w:val="8"/>
                <w:szCs w:val="8"/>
                <w:color w:val="auto"/>
              </w:rPr>
            </w:pPr>
          </w:p>
        </w:tc>
        <w:tc>
          <w:tcPr>
            <w:tcW w:w="58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-2124075</wp:posOffset>
            </wp:positionV>
            <wp:extent cx="1748790" cy="37287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748790" cy="3728720"/>
                    </a:xfrm>
                    <a:prstGeom prst="rect">
                      <a:avLst/>
                    </a:prstGeom>
                    <a:noFill/>
                  </pic:spPr>
                </pic:pic>
              </a:graphicData>
            </a:graphic>
          </wp:anchor>
        </w:drawing>
      </w:r>
    </w:p>
    <w:p>
      <w:pPr>
        <w:spacing w:after="0" w:line="170" w:lineRule="exact"/>
        <w:rPr>
          <w:sz w:val="20"/>
          <w:szCs w:val="20"/>
          <w:color w:val="auto"/>
        </w:rPr>
      </w:pPr>
    </w:p>
    <w:p>
      <w:pPr>
        <w:ind w:left="960"/>
        <w:spacing w:after="0"/>
        <w:rPr>
          <w:sz w:val="20"/>
          <w:szCs w:val="20"/>
          <w:color w:val="auto"/>
        </w:rPr>
      </w:pPr>
      <w:r>
        <w:rPr>
          <w:rFonts w:ascii="Arial" w:cs="Arial" w:eastAsia="Arial" w:hAnsi="Arial"/>
          <w:sz w:val="16"/>
          <w:szCs w:val="16"/>
          <w:color w:val="FFFFFF"/>
        </w:rPr>
        <w:t>In addition to participating in</w:t>
      </w:r>
    </w:p>
    <w:p>
      <w:pPr>
        <w:spacing w:after="0" w:line="31" w:lineRule="exact"/>
        <w:rPr>
          <w:sz w:val="20"/>
          <w:szCs w:val="20"/>
          <w:color w:val="auto"/>
        </w:rPr>
      </w:pPr>
    </w:p>
    <w:p>
      <w:pPr>
        <w:ind w:left="960"/>
        <w:spacing w:after="0"/>
        <w:rPr>
          <w:sz w:val="20"/>
          <w:szCs w:val="20"/>
          <w:color w:val="auto"/>
        </w:rPr>
      </w:pPr>
      <w:r>
        <w:rPr>
          <w:rFonts w:ascii="Arial" w:cs="Arial" w:eastAsia="Arial" w:hAnsi="Arial"/>
          <w:sz w:val="16"/>
          <w:szCs w:val="16"/>
          <w:color w:val="FFFFFF"/>
        </w:rPr>
        <w:t>formal meetings, our Nominating</w:t>
      </w:r>
    </w:p>
    <w:p>
      <w:pPr>
        <w:spacing w:after="0" w:line="19" w:lineRule="exact"/>
        <w:rPr>
          <w:sz w:val="20"/>
          <w:szCs w:val="20"/>
          <w:color w:val="auto"/>
        </w:rPr>
      </w:pPr>
    </w:p>
    <w:p>
      <w:pPr>
        <w:ind w:left="960"/>
        <w:spacing w:after="0"/>
        <w:rPr>
          <w:sz w:val="20"/>
          <w:szCs w:val="20"/>
          <w:color w:val="auto"/>
        </w:rPr>
      </w:pPr>
      <w:r>
        <w:rPr>
          <w:rFonts w:ascii="Arial" w:cs="Arial" w:eastAsia="Arial" w:hAnsi="Arial"/>
          <w:sz w:val="16"/>
          <w:szCs w:val="16"/>
          <w:color w:val="FFFFFF"/>
        </w:rPr>
        <w:t>and Corporate Governance</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6"/>
          <w:szCs w:val="16"/>
          <w:color w:val="FFFFFF"/>
        </w:rPr>
        <w:t>Committee members regularly</w:t>
      </w:r>
    </w:p>
    <w:p>
      <w:pPr>
        <w:spacing w:after="0" w:line="15" w:lineRule="exact"/>
        <w:rPr>
          <w:sz w:val="20"/>
          <w:szCs w:val="20"/>
          <w:color w:val="auto"/>
        </w:rPr>
      </w:pPr>
    </w:p>
    <w:p>
      <w:pPr>
        <w:ind w:left="960"/>
        <w:spacing w:after="0"/>
        <w:rPr>
          <w:sz w:val="20"/>
          <w:szCs w:val="20"/>
          <w:color w:val="auto"/>
        </w:rPr>
      </w:pPr>
      <w:r>
        <w:rPr>
          <w:rFonts w:ascii="Arial" w:cs="Arial" w:eastAsia="Arial" w:hAnsi="Arial"/>
          <w:sz w:val="16"/>
          <w:szCs w:val="16"/>
          <w:color w:val="FFFFFF"/>
        </w:rPr>
        <w:t>communicate with each other,</w:t>
      </w:r>
    </w:p>
    <w:p>
      <w:pPr>
        <w:spacing w:after="0" w:line="19" w:lineRule="exact"/>
        <w:rPr>
          <w:sz w:val="20"/>
          <w:szCs w:val="20"/>
          <w:color w:val="auto"/>
        </w:rPr>
      </w:pPr>
    </w:p>
    <w:p>
      <w:pPr>
        <w:ind w:left="960"/>
        <w:spacing w:after="0"/>
        <w:rPr>
          <w:sz w:val="20"/>
          <w:szCs w:val="20"/>
          <w:color w:val="auto"/>
        </w:rPr>
      </w:pPr>
      <w:r>
        <w:rPr>
          <w:rFonts w:ascii="Arial" w:cs="Arial" w:eastAsia="Arial" w:hAnsi="Arial"/>
          <w:sz w:val="16"/>
          <w:szCs w:val="16"/>
          <w:color w:val="FFFFFF"/>
        </w:rPr>
        <w:t>members of management and</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6"/>
          <w:szCs w:val="16"/>
          <w:color w:val="FFFFFF"/>
        </w:rPr>
        <w:t>advisors and take action by</w:t>
      </w:r>
    </w:p>
    <w:p>
      <w:pPr>
        <w:spacing w:after="0" w:line="15" w:lineRule="exact"/>
        <w:rPr>
          <w:sz w:val="20"/>
          <w:szCs w:val="20"/>
          <w:color w:val="auto"/>
        </w:rPr>
      </w:pPr>
    </w:p>
    <w:p>
      <w:pPr>
        <w:ind w:left="960"/>
        <w:spacing w:after="0"/>
        <w:rPr>
          <w:sz w:val="20"/>
          <w:szCs w:val="20"/>
          <w:color w:val="auto"/>
        </w:rPr>
      </w:pPr>
      <w:r>
        <w:rPr>
          <w:rFonts w:ascii="Arial" w:cs="Arial" w:eastAsia="Arial" w:hAnsi="Arial"/>
          <w:sz w:val="16"/>
          <w:szCs w:val="16"/>
          <w:color w:val="FFFFFF"/>
        </w:rPr>
        <w:t>written consent.</w:t>
      </w:r>
    </w:p>
    <w:p>
      <w:pPr>
        <w:spacing w:after="0" w:line="200" w:lineRule="exact"/>
        <w:rPr>
          <w:sz w:val="20"/>
          <w:szCs w:val="20"/>
          <w:color w:val="auto"/>
        </w:rPr>
      </w:pPr>
    </w:p>
    <w:p>
      <w:pPr>
        <w:spacing w:after="0" w:line="226" w:lineRule="exact"/>
        <w:rPr>
          <w:sz w:val="20"/>
          <w:szCs w:val="20"/>
          <w:color w:val="auto"/>
        </w:rPr>
      </w:pPr>
    </w:p>
    <w:p>
      <w:pPr>
        <w:ind w:left="1020"/>
        <w:spacing w:after="0"/>
        <w:tabs>
          <w:tab w:leader="none" w:pos="350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2488565</wp:posOffset>
            </wp:positionH>
            <wp:positionV relativeFrom="paragraph">
              <wp:posOffset>508000</wp:posOffset>
            </wp:positionV>
            <wp:extent cx="37801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820" w:type="dxa"/>
        <w:tblCellMar>
          <w:top w:w="0" w:type="dxa"/>
          <w:left w:w="0" w:type="dxa"/>
          <w:bottom w:w="0" w:type="dxa"/>
          <w:right w:w="0" w:type="dxa"/>
        </w:tblCellMar>
      </w:tblPr>
      <w:tr>
        <w:trPr>
          <w:trHeight w:val="58"/>
        </w:trPr>
        <w:tc>
          <w:tcPr>
            <w:tcW w:w="200" w:type="dxa"/>
            <w:vAlign w:val="bottom"/>
          </w:tcPr>
          <w:p>
            <w:pPr>
              <w:spacing w:after="0"/>
              <w:rPr>
                <w:sz w:val="5"/>
                <w:szCs w:val="5"/>
                <w:color w:val="auto"/>
              </w:rPr>
            </w:pPr>
          </w:p>
        </w:tc>
        <w:tc>
          <w:tcPr>
            <w:tcW w:w="2380" w:type="dxa"/>
            <w:vAlign w:val="bottom"/>
            <w:tcBorders>
              <w:bottom w:val="single" w:sz="8" w:color="83AD40"/>
            </w:tcBorders>
          </w:tcPr>
          <w:p>
            <w:pPr>
              <w:spacing w:after="0"/>
              <w:rPr>
                <w:sz w:val="5"/>
                <w:szCs w:val="5"/>
                <w:color w:val="auto"/>
              </w:rPr>
            </w:pPr>
          </w:p>
        </w:tc>
        <w:tc>
          <w:tcPr>
            <w:tcW w:w="120" w:type="dxa"/>
            <w:vAlign w:val="bottom"/>
            <w:tcBorders>
              <w:bottom w:val="single" w:sz="8" w:color="83AD40"/>
            </w:tcBorders>
          </w:tcPr>
          <w:p>
            <w:pPr>
              <w:spacing w:after="0"/>
              <w:rPr>
                <w:sz w:val="5"/>
                <w:szCs w:val="5"/>
                <w:color w:val="auto"/>
              </w:rPr>
            </w:pPr>
          </w:p>
        </w:tc>
        <w:tc>
          <w:tcPr>
            <w:tcW w:w="40" w:type="dxa"/>
            <w:vAlign w:val="bottom"/>
            <w:tcBorders>
              <w:bottom w:val="single" w:sz="8" w:color="83AD40"/>
            </w:tcBorders>
          </w:tcPr>
          <w:p>
            <w:pPr>
              <w:spacing w:after="0"/>
              <w:rPr>
                <w:sz w:val="5"/>
                <w:szCs w:val="5"/>
                <w:color w:val="auto"/>
              </w:rPr>
            </w:pPr>
          </w:p>
        </w:tc>
        <w:tc>
          <w:tcPr>
            <w:tcW w:w="20" w:type="dxa"/>
            <w:vAlign w:val="bottom"/>
            <w:tcBorders>
              <w:bottom w:val="single" w:sz="8" w:color="83AD40"/>
            </w:tcBorders>
          </w:tcPr>
          <w:p>
            <w:pPr>
              <w:spacing w:after="0"/>
              <w:rPr>
                <w:sz w:val="5"/>
                <w:szCs w:val="5"/>
                <w:color w:val="auto"/>
              </w:rPr>
            </w:pPr>
          </w:p>
        </w:tc>
        <w:tc>
          <w:tcPr>
            <w:tcW w:w="6220" w:type="dxa"/>
            <w:vAlign w:val="bottom"/>
            <w:vMerge w:val="restart"/>
          </w:tcPr>
          <w:p>
            <w:pPr>
              <w:ind w:left="360"/>
              <w:spacing w:after="0"/>
              <w:rPr>
                <w:sz w:val="20"/>
                <w:szCs w:val="20"/>
                <w:color w:val="auto"/>
              </w:rPr>
            </w:pPr>
            <w:r>
              <w:rPr>
                <w:rFonts w:ascii="Arial" w:cs="Arial" w:eastAsia="Arial" w:hAnsi="Arial"/>
                <w:sz w:val="20"/>
                <w:szCs w:val="20"/>
                <w:b w:val="1"/>
                <w:bCs w:val="1"/>
                <w:color w:val="83AD40"/>
              </w:rPr>
              <w:t>Principal Responsibilities:</w:t>
            </w:r>
          </w:p>
        </w:tc>
        <w:tc>
          <w:tcPr>
            <w:tcW w:w="0" w:type="dxa"/>
            <w:vAlign w:val="bottom"/>
          </w:tcPr>
          <w:p>
            <w:pPr>
              <w:spacing w:after="0"/>
              <w:rPr>
                <w:sz w:val="1"/>
                <w:szCs w:val="1"/>
                <w:color w:val="auto"/>
              </w:rPr>
            </w:pPr>
          </w:p>
        </w:tc>
      </w:tr>
      <w:tr>
        <w:trPr>
          <w:trHeight w:val="243"/>
        </w:trPr>
        <w:tc>
          <w:tcPr>
            <w:tcW w:w="200" w:type="dxa"/>
            <w:vAlign w:val="bottom"/>
            <w:tcBorders>
              <w:right w:val="single" w:sz="8" w:color="83AD40"/>
            </w:tcBorders>
          </w:tcPr>
          <w:p>
            <w:pPr>
              <w:spacing w:after="0"/>
              <w:rPr>
                <w:sz w:val="21"/>
                <w:szCs w:val="21"/>
                <w:color w:val="auto"/>
              </w:rPr>
            </w:pPr>
          </w:p>
        </w:tc>
        <w:tc>
          <w:tcPr>
            <w:tcW w:w="238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120" w:type="dxa"/>
            <w:vAlign w:val="bottom"/>
            <w:vMerge w:val="restart"/>
          </w:tcPr>
          <w:p>
            <w:pPr>
              <w:spacing w:after="0"/>
              <w:rPr>
                <w:sz w:val="20"/>
                <w:szCs w:val="20"/>
                <w:color w:val="auto"/>
              </w:rPr>
            </w:pPr>
            <w:r>
              <w:rPr>
                <w:rFonts w:ascii="Arial" w:cs="Arial" w:eastAsia="Arial" w:hAnsi="Arial"/>
                <w:sz w:val="16"/>
                <w:szCs w:val="16"/>
                <w:color w:val="FFFFFF"/>
              </w:rPr>
              <w:t>​</w:t>
            </w:r>
          </w:p>
        </w:tc>
        <w:tc>
          <w:tcPr>
            <w:tcW w:w="40" w:type="dxa"/>
            <w:vAlign w:val="bottom"/>
            <w:shd w:val="clear" w:color="auto" w:fill="83AD40"/>
          </w:tcPr>
          <w:p>
            <w:pPr>
              <w:spacing w:after="0" w:line="243" w:lineRule="exact"/>
              <w:rPr>
                <w:sz w:val="20"/>
                <w:szCs w:val="20"/>
                <w:color w:val="auto"/>
              </w:rPr>
            </w:pPr>
            <w:r>
              <w:rPr>
                <w:rFonts w:ascii="Arial" w:cs="Arial" w:eastAsia="Arial" w:hAnsi="Arial"/>
                <w:sz w:val="22"/>
                <w:szCs w:val="22"/>
                <w:color w:val="auto"/>
              </w:rPr>
              <w:t>​</w:t>
            </w:r>
          </w:p>
        </w:tc>
        <w:tc>
          <w:tcPr>
            <w:tcW w:w="20" w:type="dxa"/>
            <w:vAlign w:val="bottom"/>
          </w:tcPr>
          <w:p>
            <w:pPr>
              <w:spacing w:after="0"/>
              <w:rPr>
                <w:sz w:val="21"/>
                <w:szCs w:val="21"/>
                <w:color w:val="auto"/>
              </w:rPr>
            </w:pPr>
          </w:p>
        </w:tc>
        <w:tc>
          <w:tcPr>
            <w:tcW w:w="6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0" w:type="dxa"/>
            <w:vAlign w:val="bottom"/>
            <w:tcBorders>
              <w:right w:val="single" w:sz="8" w:color="1F2668"/>
            </w:tcBorders>
            <w:shd w:val="clear" w:color="auto" w:fill="1F2668"/>
          </w:tcPr>
          <w:p>
            <w:pPr>
              <w:ind w:left="140"/>
              <w:spacing w:after="0"/>
              <w:rPr>
                <w:sz w:val="20"/>
                <w:szCs w:val="20"/>
                <w:color w:val="auto"/>
              </w:rPr>
            </w:pPr>
            <w:r>
              <w:rPr>
                <w:rFonts w:ascii="Arial" w:cs="Arial" w:eastAsia="Arial" w:hAnsi="Arial"/>
                <w:sz w:val="16"/>
                <w:szCs w:val="16"/>
                <w:color w:val="FFFFFF"/>
              </w:rPr>
              <w:t>​</w:t>
            </w:r>
          </w:p>
        </w:tc>
        <w:tc>
          <w:tcPr>
            <w:tcW w:w="2380" w:type="dxa"/>
            <w:vAlign w:val="bottom"/>
            <w:shd w:val="clear" w:color="auto" w:fill="1F2668"/>
          </w:tcPr>
          <w:p>
            <w:pPr>
              <w:spacing w:after="0"/>
              <w:rPr>
                <w:sz w:val="17"/>
                <w:szCs w:val="17"/>
                <w:color w:val="auto"/>
              </w:rPr>
            </w:pPr>
          </w:p>
        </w:tc>
        <w:tc>
          <w:tcPr>
            <w:tcW w:w="120" w:type="dxa"/>
            <w:vAlign w:val="bottom"/>
            <w:vMerge w:val="continue"/>
          </w:tcPr>
          <w:p>
            <w:pPr>
              <w:spacing w:after="0"/>
              <w:rPr>
                <w:sz w:val="17"/>
                <w:szCs w:val="17"/>
                <w:color w:val="auto"/>
              </w:rPr>
            </w:pPr>
          </w:p>
        </w:tc>
        <w:tc>
          <w:tcPr>
            <w:tcW w:w="40" w:type="dxa"/>
            <w:vAlign w:val="bottom"/>
            <w:shd w:val="clear" w:color="auto" w:fill="83AD40"/>
          </w:tcPr>
          <w:p>
            <w:pPr>
              <w:spacing w:after="0"/>
              <w:rPr>
                <w:sz w:val="17"/>
                <w:szCs w:val="17"/>
                <w:color w:val="auto"/>
              </w:rPr>
            </w:pPr>
          </w:p>
        </w:tc>
        <w:tc>
          <w:tcPr>
            <w:tcW w:w="20" w:type="dxa"/>
            <w:vAlign w:val="bottom"/>
          </w:tcPr>
          <w:p>
            <w:pPr>
              <w:spacing w:after="0"/>
              <w:rPr>
                <w:sz w:val="17"/>
                <w:szCs w:val="17"/>
                <w:color w:val="auto"/>
              </w:rPr>
            </w:pPr>
          </w:p>
        </w:tc>
        <w:tc>
          <w:tcPr>
            <w:tcW w:w="6220" w:type="dxa"/>
            <w:vAlign w:val="bottom"/>
            <w:vMerge w:val="restart"/>
          </w:tcPr>
          <w:p>
            <w:pPr>
              <w:ind w:left="360"/>
              <w:spacing w:after="0"/>
              <w:rPr>
                <w:sz w:val="20"/>
                <w:szCs w:val="20"/>
                <w:color w:val="auto"/>
              </w:rPr>
            </w:pPr>
            <w:r>
              <w:rPr>
                <w:rFonts w:ascii="Arial" w:cs="Arial" w:eastAsia="Arial" w:hAnsi="Arial"/>
                <w:sz w:val="16"/>
                <w:szCs w:val="16"/>
                <w:color w:val="auto"/>
              </w:rPr>
              <w:t>Subject to the supervision and oversight of the Board, our Executive Committee is</w:t>
            </w:r>
          </w:p>
        </w:tc>
        <w:tc>
          <w:tcPr>
            <w:tcW w:w="0" w:type="dxa"/>
            <w:vAlign w:val="bottom"/>
          </w:tcPr>
          <w:p>
            <w:pPr>
              <w:spacing w:after="0"/>
              <w:rPr>
                <w:sz w:val="1"/>
                <w:szCs w:val="1"/>
                <w:color w:val="auto"/>
              </w:rPr>
            </w:pPr>
          </w:p>
        </w:tc>
      </w:tr>
      <w:tr>
        <w:trPr>
          <w:trHeight w:val="52"/>
        </w:trPr>
        <w:tc>
          <w:tcPr>
            <w:tcW w:w="2580" w:type="dxa"/>
            <w:vAlign w:val="bottom"/>
            <w:gridSpan w:val="2"/>
            <w:vMerge w:val="restart"/>
            <w:shd w:val="clear" w:color="auto" w:fill="1F2668"/>
          </w:tcPr>
          <w:p>
            <w:pPr>
              <w:ind w:left="140"/>
              <w:spacing w:after="0"/>
              <w:rPr>
                <w:sz w:val="20"/>
                <w:szCs w:val="20"/>
                <w:color w:val="auto"/>
              </w:rPr>
            </w:pPr>
            <w:r>
              <w:rPr>
                <w:rFonts w:ascii="Arial" w:cs="Arial" w:eastAsia="Arial" w:hAnsi="Arial"/>
                <w:sz w:val="23"/>
                <w:szCs w:val="23"/>
                <w:b w:val="1"/>
                <w:bCs w:val="1"/>
                <w:color w:val="FFFFFF"/>
              </w:rPr>
              <w:t>EXECUTIVE</w:t>
            </w:r>
          </w:p>
        </w:tc>
        <w:tc>
          <w:tcPr>
            <w:tcW w:w="120" w:type="dxa"/>
            <w:vAlign w:val="bottom"/>
          </w:tcPr>
          <w:p>
            <w:pPr>
              <w:spacing w:after="0"/>
              <w:rPr>
                <w:sz w:val="4"/>
                <w:szCs w:val="4"/>
                <w:color w:val="auto"/>
              </w:rPr>
            </w:pPr>
          </w:p>
        </w:tc>
        <w:tc>
          <w:tcPr>
            <w:tcW w:w="40" w:type="dxa"/>
            <w:vAlign w:val="bottom"/>
            <w:shd w:val="clear" w:color="auto" w:fill="83AD40"/>
          </w:tcPr>
          <w:p>
            <w:pPr>
              <w:spacing w:after="0"/>
              <w:rPr>
                <w:sz w:val="4"/>
                <w:szCs w:val="4"/>
                <w:color w:val="auto"/>
              </w:rPr>
            </w:pPr>
          </w:p>
        </w:tc>
        <w:tc>
          <w:tcPr>
            <w:tcW w:w="20" w:type="dxa"/>
            <w:vAlign w:val="bottom"/>
          </w:tcPr>
          <w:p>
            <w:pPr>
              <w:spacing w:after="0"/>
              <w:rPr>
                <w:sz w:val="4"/>
                <w:szCs w:val="4"/>
                <w:color w:val="auto"/>
              </w:rPr>
            </w:pPr>
          </w:p>
        </w:tc>
        <w:tc>
          <w:tcPr>
            <w:tcW w:w="6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580" w:type="dxa"/>
            <w:vAlign w:val="bottom"/>
            <w:gridSpan w:val="2"/>
            <w:vMerge w:val="continue"/>
            <w:shd w:val="clear" w:color="auto" w:fill="1F2668"/>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shd w:val="clear" w:color="auto" w:fill="83AD40"/>
          </w:tcPr>
          <w:p>
            <w:pPr>
              <w:spacing w:after="0"/>
              <w:rPr>
                <w:sz w:val="18"/>
                <w:szCs w:val="18"/>
                <w:color w:val="auto"/>
              </w:rPr>
            </w:pPr>
          </w:p>
        </w:tc>
        <w:tc>
          <w:tcPr>
            <w:tcW w:w="20" w:type="dxa"/>
            <w:vAlign w:val="bottom"/>
          </w:tcPr>
          <w:p>
            <w:pPr>
              <w:spacing w:after="0"/>
              <w:rPr>
                <w:sz w:val="18"/>
                <w:szCs w:val="18"/>
                <w:color w:val="auto"/>
              </w:rPr>
            </w:pPr>
          </w:p>
        </w:tc>
        <w:tc>
          <w:tcPr>
            <w:tcW w:w="6220" w:type="dxa"/>
            <w:vAlign w:val="bottom"/>
          </w:tcPr>
          <w:p>
            <w:pPr>
              <w:ind w:left="360"/>
              <w:spacing w:after="0"/>
              <w:rPr>
                <w:sz w:val="20"/>
                <w:szCs w:val="20"/>
                <w:color w:val="auto"/>
              </w:rPr>
            </w:pPr>
            <w:r>
              <w:rPr>
                <w:rFonts w:ascii="Arial" w:cs="Arial" w:eastAsia="Arial" w:hAnsi="Arial"/>
                <w:sz w:val="16"/>
                <w:szCs w:val="16"/>
                <w:color w:val="auto"/>
              </w:rPr>
              <w:t>responsible for, among other things:</w:t>
            </w:r>
          </w:p>
        </w:tc>
        <w:tc>
          <w:tcPr>
            <w:tcW w:w="0" w:type="dxa"/>
            <w:vAlign w:val="bottom"/>
          </w:tcPr>
          <w:p>
            <w:pPr>
              <w:spacing w:after="0"/>
              <w:rPr>
                <w:sz w:val="1"/>
                <w:szCs w:val="1"/>
                <w:color w:val="auto"/>
              </w:rPr>
            </w:pPr>
          </w:p>
        </w:tc>
      </w:tr>
      <w:tr>
        <w:trPr>
          <w:trHeight w:val="322"/>
        </w:trPr>
        <w:tc>
          <w:tcPr>
            <w:tcW w:w="2580" w:type="dxa"/>
            <w:vAlign w:val="bottom"/>
            <w:gridSpan w:val="2"/>
            <w:shd w:val="clear" w:color="auto" w:fill="1F2668"/>
          </w:tcPr>
          <w:p>
            <w:pPr>
              <w:ind w:left="140"/>
              <w:spacing w:after="0"/>
              <w:rPr>
                <w:sz w:val="20"/>
                <w:szCs w:val="20"/>
                <w:color w:val="auto"/>
              </w:rPr>
            </w:pPr>
            <w:r>
              <w:rPr>
                <w:rFonts w:ascii="Arial" w:cs="Arial" w:eastAsia="Arial" w:hAnsi="Arial"/>
                <w:sz w:val="23"/>
                <w:szCs w:val="23"/>
                <w:b w:val="1"/>
                <w:bCs w:val="1"/>
                <w:color w:val="FFFFFF"/>
              </w:rPr>
              <w:t>COMMITTEE</w:t>
            </w:r>
          </w:p>
        </w:tc>
        <w:tc>
          <w:tcPr>
            <w:tcW w:w="120" w:type="dxa"/>
            <w:vAlign w:val="bottom"/>
          </w:tcPr>
          <w:p>
            <w:pPr>
              <w:spacing w:after="0"/>
              <w:rPr>
                <w:sz w:val="24"/>
                <w:szCs w:val="24"/>
                <w:color w:val="auto"/>
              </w:rPr>
            </w:pPr>
          </w:p>
        </w:tc>
        <w:tc>
          <w:tcPr>
            <w:tcW w:w="40" w:type="dxa"/>
            <w:vAlign w:val="bottom"/>
            <w:shd w:val="clear" w:color="auto" w:fill="83AD40"/>
          </w:tcPr>
          <w:p>
            <w:pPr>
              <w:spacing w:after="0"/>
              <w:rPr>
                <w:sz w:val="24"/>
                <w:szCs w:val="24"/>
                <w:color w:val="auto"/>
              </w:rPr>
            </w:pPr>
          </w:p>
        </w:tc>
        <w:tc>
          <w:tcPr>
            <w:tcW w:w="20" w:type="dxa"/>
            <w:vAlign w:val="bottom"/>
          </w:tcPr>
          <w:p>
            <w:pPr>
              <w:spacing w:after="0"/>
              <w:rPr>
                <w:sz w:val="24"/>
                <w:szCs w:val="24"/>
                <w:color w:val="auto"/>
              </w:rPr>
            </w:pPr>
          </w:p>
        </w:tc>
        <w:tc>
          <w:tcPr>
            <w:tcW w:w="6220" w:type="dxa"/>
            <w:vAlign w:val="bottom"/>
            <w:vMerge w:val="restart"/>
          </w:tcPr>
          <w:p>
            <w:pPr>
              <w:ind w:left="360"/>
              <w:spacing w:after="0"/>
              <w:rPr>
                <w:sz w:val="20"/>
                <w:szCs w:val="20"/>
                <w:color w:val="auto"/>
              </w:rPr>
            </w:pPr>
            <w:r>
              <w:rPr>
                <w:rFonts w:ascii="Arial" w:cs="Arial" w:eastAsia="Arial" w:hAnsi="Arial"/>
                <w:sz w:val="16"/>
                <w:szCs w:val="16"/>
                <w:color w:val="auto"/>
              </w:rPr>
              <w:t>•  The approval of our acquisition, disposition and financing of investments</w:t>
            </w:r>
          </w:p>
        </w:tc>
        <w:tc>
          <w:tcPr>
            <w:tcW w:w="0" w:type="dxa"/>
            <w:vAlign w:val="bottom"/>
          </w:tcPr>
          <w:p>
            <w:pPr>
              <w:spacing w:after="0"/>
              <w:rPr>
                <w:sz w:val="1"/>
                <w:szCs w:val="1"/>
                <w:color w:val="auto"/>
              </w:rPr>
            </w:pPr>
          </w:p>
        </w:tc>
      </w:tr>
      <w:tr>
        <w:trPr>
          <w:trHeight w:val="128"/>
        </w:trPr>
        <w:tc>
          <w:tcPr>
            <w:tcW w:w="2580" w:type="dxa"/>
            <w:vAlign w:val="bottom"/>
            <w:gridSpan w:val="2"/>
            <w:vMerge w:val="restart"/>
            <w:shd w:val="clear" w:color="auto" w:fill="1F2668"/>
          </w:tcPr>
          <w:p>
            <w:pPr>
              <w:ind w:left="140"/>
              <w:spacing w:after="0"/>
              <w:rPr>
                <w:sz w:val="20"/>
                <w:szCs w:val="20"/>
                <w:color w:val="auto"/>
              </w:rPr>
            </w:pPr>
            <w:r>
              <w:rPr>
                <w:rFonts w:ascii="Arial" w:cs="Arial" w:eastAsia="Arial" w:hAnsi="Arial"/>
                <w:sz w:val="16"/>
                <w:szCs w:val="16"/>
                <w:b w:val="1"/>
                <w:bCs w:val="1"/>
                <w:color w:val="FFFFFF"/>
              </w:rPr>
              <w:t>Members</w:t>
            </w:r>
          </w:p>
        </w:tc>
        <w:tc>
          <w:tcPr>
            <w:tcW w:w="120" w:type="dxa"/>
            <w:vAlign w:val="bottom"/>
          </w:tcPr>
          <w:p>
            <w:pPr>
              <w:spacing w:after="0"/>
              <w:rPr>
                <w:sz w:val="11"/>
                <w:szCs w:val="11"/>
                <w:color w:val="auto"/>
              </w:rPr>
            </w:pPr>
          </w:p>
        </w:tc>
        <w:tc>
          <w:tcPr>
            <w:tcW w:w="40" w:type="dxa"/>
            <w:vAlign w:val="bottom"/>
            <w:shd w:val="clear" w:color="auto" w:fill="83AD40"/>
          </w:tcPr>
          <w:p>
            <w:pPr>
              <w:spacing w:after="0"/>
              <w:rPr>
                <w:sz w:val="11"/>
                <w:szCs w:val="11"/>
                <w:color w:val="auto"/>
              </w:rPr>
            </w:pPr>
          </w:p>
        </w:tc>
        <w:tc>
          <w:tcPr>
            <w:tcW w:w="20" w:type="dxa"/>
            <w:vAlign w:val="bottom"/>
          </w:tcPr>
          <w:p>
            <w:pPr>
              <w:spacing w:after="0"/>
              <w:rPr>
                <w:sz w:val="11"/>
                <w:szCs w:val="11"/>
                <w:color w:val="auto"/>
              </w:rPr>
            </w:pPr>
          </w:p>
        </w:tc>
        <w:tc>
          <w:tcPr>
            <w:tcW w:w="6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1"/>
        </w:trPr>
        <w:tc>
          <w:tcPr>
            <w:tcW w:w="2580" w:type="dxa"/>
            <w:vAlign w:val="bottom"/>
            <w:gridSpan w:val="2"/>
            <w:vMerge w:val="continue"/>
            <w:shd w:val="clear" w:color="auto" w:fill="1F2668"/>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shd w:val="clear" w:color="auto" w:fill="83AD40"/>
          </w:tcPr>
          <w:p>
            <w:pPr>
              <w:spacing w:after="0"/>
              <w:rPr>
                <w:sz w:val="20"/>
                <w:szCs w:val="20"/>
                <w:color w:val="auto"/>
              </w:rPr>
            </w:pPr>
          </w:p>
        </w:tc>
        <w:tc>
          <w:tcPr>
            <w:tcW w:w="20" w:type="dxa"/>
            <w:vAlign w:val="bottom"/>
          </w:tcPr>
          <w:p>
            <w:pPr>
              <w:spacing w:after="0"/>
              <w:rPr>
                <w:sz w:val="20"/>
                <w:szCs w:val="20"/>
                <w:color w:val="auto"/>
              </w:rPr>
            </w:pPr>
          </w:p>
        </w:tc>
        <w:tc>
          <w:tcPr>
            <w:tcW w:w="6220" w:type="dxa"/>
            <w:vAlign w:val="bottom"/>
          </w:tcPr>
          <w:p>
            <w:pPr>
              <w:ind w:left="360"/>
              <w:spacing w:after="0"/>
              <w:rPr>
                <w:sz w:val="20"/>
                <w:szCs w:val="20"/>
                <w:color w:val="auto"/>
              </w:rPr>
            </w:pPr>
            <w:r>
              <w:rPr>
                <w:rFonts w:ascii="Arial" w:cs="Arial" w:eastAsia="Arial" w:hAnsi="Arial"/>
                <w:sz w:val="16"/>
                <w:szCs w:val="16"/>
                <w:color w:val="auto"/>
                <w:w w:val="99"/>
              </w:rPr>
              <w:t>•  The authorization of the execution of certain contracts and agreements, including</w:t>
            </w:r>
          </w:p>
        </w:tc>
        <w:tc>
          <w:tcPr>
            <w:tcW w:w="0" w:type="dxa"/>
            <w:vAlign w:val="bottom"/>
          </w:tcPr>
          <w:p>
            <w:pPr>
              <w:spacing w:after="0"/>
              <w:rPr>
                <w:sz w:val="1"/>
                <w:szCs w:val="1"/>
                <w:color w:val="auto"/>
              </w:rPr>
            </w:pPr>
          </w:p>
        </w:tc>
      </w:tr>
      <w:tr>
        <w:trPr>
          <w:trHeight w:val="215"/>
        </w:trPr>
        <w:tc>
          <w:tcPr>
            <w:tcW w:w="2580" w:type="dxa"/>
            <w:vAlign w:val="bottom"/>
            <w:gridSpan w:val="2"/>
            <w:vMerge w:val="restart"/>
            <w:shd w:val="clear" w:color="auto" w:fill="1F2668"/>
          </w:tcPr>
          <w:p>
            <w:pPr>
              <w:ind w:left="140"/>
              <w:spacing w:after="0"/>
              <w:rPr>
                <w:sz w:val="20"/>
                <w:szCs w:val="20"/>
                <w:color w:val="auto"/>
              </w:rPr>
            </w:pPr>
            <w:r>
              <w:rPr>
                <w:rFonts w:ascii="Arial" w:cs="Arial" w:eastAsia="Arial" w:hAnsi="Arial"/>
                <w:sz w:val="16"/>
                <w:szCs w:val="16"/>
                <w:color w:val="FFFFFF"/>
              </w:rPr>
              <w:t>Marc Holliday (Chair)</w:t>
            </w:r>
          </w:p>
        </w:tc>
        <w:tc>
          <w:tcPr>
            <w:tcW w:w="120" w:type="dxa"/>
            <w:vAlign w:val="bottom"/>
          </w:tcPr>
          <w:p>
            <w:pPr>
              <w:spacing w:after="0"/>
              <w:rPr>
                <w:sz w:val="18"/>
                <w:szCs w:val="18"/>
                <w:color w:val="auto"/>
              </w:rPr>
            </w:pPr>
          </w:p>
        </w:tc>
        <w:tc>
          <w:tcPr>
            <w:tcW w:w="40" w:type="dxa"/>
            <w:vAlign w:val="bottom"/>
            <w:shd w:val="clear" w:color="auto" w:fill="83AD40"/>
          </w:tcPr>
          <w:p>
            <w:pPr>
              <w:spacing w:after="0"/>
              <w:rPr>
                <w:sz w:val="18"/>
                <w:szCs w:val="18"/>
                <w:color w:val="auto"/>
              </w:rPr>
            </w:pPr>
          </w:p>
        </w:tc>
        <w:tc>
          <w:tcPr>
            <w:tcW w:w="20" w:type="dxa"/>
            <w:vAlign w:val="bottom"/>
          </w:tcPr>
          <w:p>
            <w:pPr>
              <w:spacing w:after="0"/>
              <w:rPr>
                <w:sz w:val="18"/>
                <w:szCs w:val="18"/>
                <w:color w:val="auto"/>
              </w:rPr>
            </w:pPr>
          </w:p>
        </w:tc>
        <w:tc>
          <w:tcPr>
            <w:tcW w:w="6220" w:type="dxa"/>
            <w:vAlign w:val="bottom"/>
          </w:tcPr>
          <w:p>
            <w:pPr>
              <w:ind w:left="540"/>
              <w:spacing w:after="0"/>
              <w:rPr>
                <w:sz w:val="20"/>
                <w:szCs w:val="20"/>
                <w:color w:val="auto"/>
              </w:rPr>
            </w:pPr>
            <w:r>
              <w:rPr>
                <w:rFonts w:ascii="Arial" w:cs="Arial" w:eastAsia="Arial" w:hAnsi="Arial"/>
                <w:sz w:val="16"/>
                <w:szCs w:val="16"/>
                <w:color w:val="auto"/>
              </w:rPr>
              <w:t>those relating to our borrowing of money</w:t>
            </w:r>
          </w:p>
        </w:tc>
        <w:tc>
          <w:tcPr>
            <w:tcW w:w="0" w:type="dxa"/>
            <w:vAlign w:val="bottom"/>
          </w:tcPr>
          <w:p>
            <w:pPr>
              <w:spacing w:after="0"/>
              <w:rPr>
                <w:sz w:val="1"/>
                <w:szCs w:val="1"/>
                <w:color w:val="auto"/>
              </w:rPr>
            </w:pPr>
          </w:p>
        </w:tc>
      </w:tr>
      <w:tr>
        <w:trPr>
          <w:trHeight w:val="42"/>
        </w:trPr>
        <w:tc>
          <w:tcPr>
            <w:tcW w:w="2580" w:type="dxa"/>
            <w:vAlign w:val="bottom"/>
            <w:gridSpan w:val="2"/>
            <w:vMerge w:val="continue"/>
            <w:shd w:val="clear" w:color="auto" w:fill="1F2668"/>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shd w:val="clear" w:color="auto" w:fill="83AD40"/>
          </w:tcPr>
          <w:p>
            <w:pPr>
              <w:spacing w:after="0"/>
              <w:rPr>
                <w:sz w:val="3"/>
                <w:szCs w:val="3"/>
                <w:color w:val="auto"/>
              </w:rPr>
            </w:pPr>
          </w:p>
        </w:tc>
        <w:tc>
          <w:tcPr>
            <w:tcW w:w="2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580" w:type="dxa"/>
            <w:vAlign w:val="bottom"/>
            <w:gridSpan w:val="2"/>
            <w:shd w:val="clear" w:color="auto" w:fill="1F2668"/>
          </w:tcPr>
          <w:p>
            <w:pPr>
              <w:ind w:left="140"/>
              <w:spacing w:after="0"/>
              <w:rPr>
                <w:sz w:val="20"/>
                <w:szCs w:val="20"/>
                <w:color w:val="auto"/>
              </w:rPr>
            </w:pPr>
            <w:r>
              <w:rPr>
                <w:rFonts w:ascii="Arial" w:cs="Arial" w:eastAsia="Arial" w:hAnsi="Arial"/>
                <w:sz w:val="16"/>
                <w:szCs w:val="16"/>
                <w:color w:val="FFFFFF"/>
              </w:rPr>
              <w:t>John H. Alschuler</w:t>
            </w:r>
          </w:p>
        </w:tc>
        <w:tc>
          <w:tcPr>
            <w:tcW w:w="120" w:type="dxa"/>
            <w:vAlign w:val="bottom"/>
          </w:tcPr>
          <w:p>
            <w:pPr>
              <w:spacing w:after="0"/>
              <w:rPr>
                <w:sz w:val="16"/>
                <w:szCs w:val="16"/>
                <w:color w:val="auto"/>
              </w:rPr>
            </w:pPr>
          </w:p>
        </w:tc>
        <w:tc>
          <w:tcPr>
            <w:tcW w:w="40" w:type="dxa"/>
            <w:vAlign w:val="bottom"/>
            <w:shd w:val="clear" w:color="auto" w:fill="83AD40"/>
          </w:tcPr>
          <w:p>
            <w:pPr>
              <w:spacing w:after="0"/>
              <w:rPr>
                <w:sz w:val="16"/>
                <w:szCs w:val="16"/>
                <w:color w:val="auto"/>
              </w:rPr>
            </w:pPr>
          </w:p>
        </w:tc>
        <w:tc>
          <w:tcPr>
            <w:tcW w:w="20" w:type="dxa"/>
            <w:vAlign w:val="bottom"/>
          </w:tcPr>
          <w:p>
            <w:pPr>
              <w:spacing w:after="0"/>
              <w:rPr>
                <w:sz w:val="16"/>
                <w:szCs w:val="16"/>
                <w:color w:val="auto"/>
              </w:rPr>
            </w:pPr>
          </w:p>
        </w:tc>
        <w:tc>
          <w:tcPr>
            <w:tcW w:w="6220" w:type="dxa"/>
            <w:vAlign w:val="bottom"/>
          </w:tcPr>
          <w:p>
            <w:pPr>
              <w:ind w:left="360"/>
              <w:spacing w:after="0"/>
              <w:rPr>
                <w:sz w:val="20"/>
                <w:szCs w:val="20"/>
                <w:color w:val="auto"/>
              </w:rPr>
            </w:pPr>
            <w:r>
              <w:rPr>
                <w:rFonts w:ascii="Arial" w:cs="Arial" w:eastAsia="Arial" w:hAnsi="Arial"/>
                <w:sz w:val="16"/>
                <w:szCs w:val="16"/>
                <w:color w:val="auto"/>
                <w:w w:val="98"/>
              </w:rPr>
              <w:t>•  The exercise, in general, of all other powers of the Board, except for such powers</w:t>
            </w:r>
          </w:p>
        </w:tc>
        <w:tc>
          <w:tcPr>
            <w:tcW w:w="0" w:type="dxa"/>
            <w:vAlign w:val="bottom"/>
          </w:tcPr>
          <w:p>
            <w:pPr>
              <w:spacing w:after="0"/>
              <w:rPr>
                <w:sz w:val="1"/>
                <w:szCs w:val="1"/>
                <w:color w:val="auto"/>
              </w:rPr>
            </w:pPr>
          </w:p>
        </w:tc>
      </w:tr>
      <w:tr>
        <w:trPr>
          <w:trHeight w:val="203"/>
        </w:trPr>
        <w:tc>
          <w:tcPr>
            <w:tcW w:w="2580" w:type="dxa"/>
            <w:vAlign w:val="bottom"/>
            <w:gridSpan w:val="2"/>
            <w:shd w:val="clear" w:color="auto" w:fill="1F2668"/>
          </w:tcPr>
          <w:p>
            <w:pPr>
              <w:ind w:left="140"/>
              <w:spacing w:after="0"/>
              <w:rPr>
                <w:sz w:val="20"/>
                <w:szCs w:val="20"/>
                <w:color w:val="auto"/>
              </w:rPr>
            </w:pPr>
            <w:r>
              <w:rPr>
                <w:rFonts w:ascii="Arial" w:cs="Arial" w:eastAsia="Arial" w:hAnsi="Arial"/>
                <w:sz w:val="16"/>
                <w:szCs w:val="16"/>
                <w:color w:val="FFFFFF"/>
              </w:rPr>
              <w:t>Stephen L. Green</w:t>
            </w:r>
          </w:p>
        </w:tc>
        <w:tc>
          <w:tcPr>
            <w:tcW w:w="120" w:type="dxa"/>
            <w:vAlign w:val="bottom"/>
          </w:tcPr>
          <w:p>
            <w:pPr>
              <w:spacing w:after="0"/>
              <w:rPr>
                <w:sz w:val="17"/>
                <w:szCs w:val="17"/>
                <w:color w:val="auto"/>
              </w:rPr>
            </w:pPr>
          </w:p>
        </w:tc>
        <w:tc>
          <w:tcPr>
            <w:tcW w:w="40" w:type="dxa"/>
            <w:vAlign w:val="bottom"/>
            <w:shd w:val="clear" w:color="auto" w:fill="83AD40"/>
          </w:tcPr>
          <w:p>
            <w:pPr>
              <w:spacing w:after="0"/>
              <w:rPr>
                <w:sz w:val="17"/>
                <w:szCs w:val="17"/>
                <w:color w:val="auto"/>
              </w:rPr>
            </w:pPr>
          </w:p>
        </w:tc>
        <w:tc>
          <w:tcPr>
            <w:tcW w:w="20" w:type="dxa"/>
            <w:vAlign w:val="bottom"/>
          </w:tcPr>
          <w:p>
            <w:pPr>
              <w:spacing w:after="0"/>
              <w:rPr>
                <w:sz w:val="17"/>
                <w:szCs w:val="17"/>
                <w:color w:val="auto"/>
              </w:rPr>
            </w:pPr>
          </w:p>
        </w:tc>
        <w:tc>
          <w:tcPr>
            <w:tcW w:w="6220" w:type="dxa"/>
            <w:vAlign w:val="bottom"/>
          </w:tcPr>
          <w:p>
            <w:pPr>
              <w:ind w:left="540"/>
              <w:spacing w:after="0"/>
              <w:rPr>
                <w:sz w:val="20"/>
                <w:szCs w:val="20"/>
                <w:color w:val="auto"/>
              </w:rPr>
            </w:pPr>
            <w:r>
              <w:rPr>
                <w:rFonts w:ascii="Arial" w:cs="Arial" w:eastAsia="Arial" w:hAnsi="Arial"/>
                <w:sz w:val="16"/>
                <w:szCs w:val="16"/>
                <w:color w:val="auto"/>
                <w:w w:val="99"/>
              </w:rPr>
              <w:t>that require action by all directors or the independent directors under our articles</w:t>
            </w:r>
          </w:p>
        </w:tc>
        <w:tc>
          <w:tcPr>
            <w:tcW w:w="0" w:type="dxa"/>
            <w:vAlign w:val="bottom"/>
          </w:tcPr>
          <w:p>
            <w:pPr>
              <w:spacing w:after="0"/>
              <w:rPr>
                <w:sz w:val="1"/>
                <w:szCs w:val="1"/>
                <w:color w:val="auto"/>
              </w:rPr>
            </w:pPr>
          </w:p>
        </w:tc>
      </w:tr>
      <w:tr>
        <w:trPr>
          <w:trHeight w:val="228"/>
        </w:trPr>
        <w:tc>
          <w:tcPr>
            <w:tcW w:w="2580" w:type="dxa"/>
            <w:vAlign w:val="bottom"/>
            <w:gridSpan w:val="2"/>
            <w:shd w:val="clear" w:color="auto" w:fill="1F2668"/>
          </w:tcPr>
          <w:p>
            <w:pPr>
              <w:ind w:left="140"/>
              <w:spacing w:after="0"/>
              <w:rPr>
                <w:sz w:val="20"/>
                <w:szCs w:val="20"/>
                <w:color w:val="auto"/>
              </w:rPr>
            </w:pPr>
            <w:r>
              <w:rPr>
                <w:rFonts w:ascii="Arial" w:cs="Arial" w:eastAsia="Arial" w:hAnsi="Arial"/>
                <w:sz w:val="16"/>
                <w:szCs w:val="16"/>
                <w:color w:val="FFFFFF"/>
              </w:rPr>
              <w:t>Andrew W. Mathias</w:t>
            </w:r>
          </w:p>
        </w:tc>
        <w:tc>
          <w:tcPr>
            <w:tcW w:w="120" w:type="dxa"/>
            <w:vAlign w:val="bottom"/>
          </w:tcPr>
          <w:p>
            <w:pPr>
              <w:spacing w:after="0"/>
              <w:rPr>
                <w:sz w:val="19"/>
                <w:szCs w:val="19"/>
                <w:color w:val="auto"/>
              </w:rPr>
            </w:pPr>
          </w:p>
        </w:tc>
        <w:tc>
          <w:tcPr>
            <w:tcW w:w="40" w:type="dxa"/>
            <w:vAlign w:val="bottom"/>
            <w:shd w:val="clear" w:color="auto" w:fill="83AD40"/>
          </w:tcPr>
          <w:p>
            <w:pPr>
              <w:spacing w:after="0"/>
              <w:rPr>
                <w:sz w:val="19"/>
                <w:szCs w:val="19"/>
                <w:color w:val="auto"/>
              </w:rPr>
            </w:pPr>
          </w:p>
        </w:tc>
        <w:tc>
          <w:tcPr>
            <w:tcW w:w="20" w:type="dxa"/>
            <w:vAlign w:val="bottom"/>
          </w:tcPr>
          <w:p>
            <w:pPr>
              <w:spacing w:after="0"/>
              <w:rPr>
                <w:sz w:val="19"/>
                <w:szCs w:val="19"/>
                <w:color w:val="auto"/>
              </w:rPr>
            </w:pPr>
          </w:p>
        </w:tc>
        <w:tc>
          <w:tcPr>
            <w:tcW w:w="6220" w:type="dxa"/>
            <w:vAlign w:val="bottom"/>
          </w:tcPr>
          <w:p>
            <w:pPr>
              <w:ind w:left="540"/>
              <w:spacing w:after="0"/>
              <w:rPr>
                <w:sz w:val="20"/>
                <w:szCs w:val="20"/>
                <w:color w:val="auto"/>
              </w:rPr>
            </w:pPr>
            <w:r>
              <w:rPr>
                <w:rFonts w:ascii="Arial" w:cs="Arial" w:eastAsia="Arial" w:hAnsi="Arial"/>
                <w:sz w:val="16"/>
                <w:szCs w:val="16"/>
                <w:color w:val="auto"/>
              </w:rPr>
              <w:t>of incorporation or bylaws or under applicable law</w:t>
            </w:r>
          </w:p>
        </w:tc>
        <w:tc>
          <w:tcPr>
            <w:tcW w:w="0" w:type="dxa"/>
            <w:vAlign w:val="bottom"/>
          </w:tcPr>
          <w:p>
            <w:pPr>
              <w:spacing w:after="0"/>
              <w:rPr>
                <w:sz w:val="1"/>
                <w:szCs w:val="1"/>
                <w:color w:val="auto"/>
              </w:rPr>
            </w:pPr>
          </w:p>
        </w:tc>
      </w:tr>
      <w:tr>
        <w:trPr>
          <w:trHeight w:val="405"/>
        </w:trPr>
        <w:tc>
          <w:tcPr>
            <w:tcW w:w="2580" w:type="dxa"/>
            <w:vAlign w:val="bottom"/>
            <w:gridSpan w:val="2"/>
            <w:shd w:val="clear" w:color="auto" w:fill="1F2668"/>
          </w:tcPr>
          <w:p>
            <w:pPr>
              <w:ind w:left="140"/>
              <w:spacing w:after="0"/>
              <w:rPr>
                <w:sz w:val="20"/>
                <w:szCs w:val="20"/>
                <w:color w:val="auto"/>
              </w:rPr>
            </w:pPr>
            <w:r>
              <w:rPr>
                <w:rFonts w:ascii="Arial" w:cs="Arial" w:eastAsia="Arial" w:hAnsi="Arial"/>
                <w:sz w:val="16"/>
                <w:szCs w:val="16"/>
                <w:color w:val="FFFFFF"/>
              </w:rPr>
              <w:t>Meetings in 2024: 0</w:t>
            </w:r>
          </w:p>
        </w:tc>
        <w:tc>
          <w:tcPr>
            <w:tcW w:w="120" w:type="dxa"/>
            <w:vAlign w:val="bottom"/>
          </w:tcPr>
          <w:p>
            <w:pPr>
              <w:spacing w:after="0"/>
              <w:rPr>
                <w:sz w:val="24"/>
                <w:szCs w:val="24"/>
                <w:color w:val="auto"/>
              </w:rPr>
            </w:pPr>
          </w:p>
        </w:tc>
        <w:tc>
          <w:tcPr>
            <w:tcW w:w="40" w:type="dxa"/>
            <w:vAlign w:val="bottom"/>
            <w:shd w:val="clear" w:color="auto" w:fill="83AD40"/>
          </w:tcPr>
          <w:p>
            <w:pPr>
              <w:spacing w:after="0"/>
              <w:rPr>
                <w:sz w:val="24"/>
                <w:szCs w:val="24"/>
                <w:color w:val="auto"/>
              </w:rPr>
            </w:pPr>
          </w:p>
        </w:tc>
        <w:tc>
          <w:tcPr>
            <w:tcW w:w="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2580" w:type="dxa"/>
            <w:vAlign w:val="bottom"/>
            <w:gridSpan w:val="2"/>
            <w:shd w:val="clear" w:color="auto" w:fill="1F2668"/>
          </w:tcPr>
          <w:p>
            <w:pPr>
              <w:ind w:left="140"/>
              <w:spacing w:after="0"/>
              <w:rPr>
                <w:sz w:val="20"/>
                <w:szCs w:val="20"/>
                <w:color w:val="auto"/>
              </w:rPr>
            </w:pPr>
            <w:r>
              <w:rPr>
                <w:rFonts w:ascii="Arial" w:cs="Arial" w:eastAsia="Arial" w:hAnsi="Arial"/>
                <w:sz w:val="16"/>
                <w:szCs w:val="16"/>
                <w:color w:val="FFFFFF"/>
              </w:rPr>
              <w:t>Our Executive Committee was</w:t>
            </w:r>
          </w:p>
        </w:tc>
        <w:tc>
          <w:tcPr>
            <w:tcW w:w="120" w:type="dxa"/>
            <w:vAlign w:val="bottom"/>
          </w:tcPr>
          <w:p>
            <w:pPr>
              <w:spacing w:after="0"/>
              <w:rPr>
                <w:sz w:val="24"/>
                <w:szCs w:val="24"/>
                <w:color w:val="auto"/>
              </w:rPr>
            </w:pPr>
          </w:p>
        </w:tc>
        <w:tc>
          <w:tcPr>
            <w:tcW w:w="40" w:type="dxa"/>
            <w:vAlign w:val="bottom"/>
            <w:shd w:val="clear" w:color="auto" w:fill="83AD40"/>
          </w:tcPr>
          <w:p>
            <w:pPr>
              <w:spacing w:after="0"/>
              <w:rPr>
                <w:sz w:val="24"/>
                <w:szCs w:val="24"/>
                <w:color w:val="auto"/>
              </w:rPr>
            </w:pPr>
          </w:p>
        </w:tc>
        <w:tc>
          <w:tcPr>
            <w:tcW w:w="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580" w:type="dxa"/>
            <w:vAlign w:val="bottom"/>
            <w:gridSpan w:val="2"/>
            <w:shd w:val="clear" w:color="auto" w:fill="1F2668"/>
          </w:tcPr>
          <w:p>
            <w:pPr>
              <w:ind w:left="140"/>
              <w:spacing w:after="0"/>
              <w:rPr>
                <w:sz w:val="20"/>
                <w:szCs w:val="20"/>
                <w:color w:val="auto"/>
              </w:rPr>
            </w:pPr>
            <w:r>
              <w:rPr>
                <w:rFonts w:ascii="Arial" w:cs="Arial" w:eastAsia="Arial" w:hAnsi="Arial"/>
                <w:sz w:val="16"/>
                <w:szCs w:val="16"/>
                <w:color w:val="FFFFFF"/>
              </w:rPr>
              <w:t>not required to take any actions</w:t>
            </w:r>
          </w:p>
        </w:tc>
        <w:tc>
          <w:tcPr>
            <w:tcW w:w="120" w:type="dxa"/>
            <w:vAlign w:val="bottom"/>
          </w:tcPr>
          <w:p>
            <w:pPr>
              <w:spacing w:after="0"/>
              <w:rPr>
                <w:sz w:val="16"/>
                <w:szCs w:val="16"/>
                <w:color w:val="auto"/>
              </w:rPr>
            </w:pPr>
          </w:p>
        </w:tc>
        <w:tc>
          <w:tcPr>
            <w:tcW w:w="40" w:type="dxa"/>
            <w:vAlign w:val="bottom"/>
            <w:shd w:val="clear" w:color="auto" w:fill="83AD40"/>
          </w:tcPr>
          <w:p>
            <w:pPr>
              <w:spacing w:after="0"/>
              <w:rPr>
                <w:sz w:val="16"/>
                <w:szCs w:val="16"/>
                <w:color w:val="auto"/>
              </w:rPr>
            </w:pPr>
          </w:p>
        </w:tc>
        <w:tc>
          <w:tcPr>
            <w:tcW w:w="2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80" w:type="dxa"/>
            <w:vAlign w:val="bottom"/>
            <w:gridSpan w:val="2"/>
            <w:shd w:val="clear" w:color="auto" w:fill="1F2668"/>
          </w:tcPr>
          <w:p>
            <w:pPr>
              <w:ind w:left="140"/>
              <w:spacing w:after="0"/>
              <w:rPr>
                <w:sz w:val="20"/>
                <w:szCs w:val="20"/>
                <w:color w:val="auto"/>
              </w:rPr>
            </w:pPr>
            <w:r>
              <w:rPr>
                <w:rFonts w:ascii="Arial" w:cs="Arial" w:eastAsia="Arial" w:hAnsi="Arial"/>
                <w:sz w:val="16"/>
                <w:szCs w:val="16"/>
                <w:color w:val="FFFFFF"/>
              </w:rPr>
              <w:t>by written consent during fiscal</w:t>
            </w:r>
          </w:p>
        </w:tc>
        <w:tc>
          <w:tcPr>
            <w:tcW w:w="120" w:type="dxa"/>
            <w:vAlign w:val="bottom"/>
          </w:tcPr>
          <w:p>
            <w:pPr>
              <w:spacing w:after="0"/>
              <w:rPr>
                <w:sz w:val="17"/>
                <w:szCs w:val="17"/>
                <w:color w:val="auto"/>
              </w:rPr>
            </w:pPr>
          </w:p>
        </w:tc>
        <w:tc>
          <w:tcPr>
            <w:tcW w:w="40" w:type="dxa"/>
            <w:vAlign w:val="bottom"/>
            <w:shd w:val="clear" w:color="auto" w:fill="83AD40"/>
          </w:tcPr>
          <w:p>
            <w:pPr>
              <w:spacing w:after="0"/>
              <w:rPr>
                <w:sz w:val="17"/>
                <w:szCs w:val="17"/>
                <w:color w:val="auto"/>
              </w:rPr>
            </w:pPr>
          </w:p>
        </w:tc>
        <w:tc>
          <w:tcPr>
            <w:tcW w:w="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gridSpan w:val="2"/>
            <w:shd w:val="clear" w:color="auto" w:fill="1F2668"/>
          </w:tcPr>
          <w:p>
            <w:pPr>
              <w:ind w:left="140"/>
              <w:spacing w:after="0"/>
              <w:rPr>
                <w:sz w:val="20"/>
                <w:szCs w:val="20"/>
                <w:color w:val="auto"/>
              </w:rPr>
            </w:pPr>
            <w:r>
              <w:rPr>
                <w:rFonts w:ascii="Arial" w:cs="Arial" w:eastAsia="Arial" w:hAnsi="Arial"/>
                <w:sz w:val="16"/>
                <w:szCs w:val="16"/>
                <w:color w:val="FFFFFF"/>
              </w:rPr>
              <w:t>year 2024, as all matters within</w:t>
            </w:r>
          </w:p>
        </w:tc>
        <w:tc>
          <w:tcPr>
            <w:tcW w:w="120" w:type="dxa"/>
            <w:vAlign w:val="bottom"/>
          </w:tcPr>
          <w:p>
            <w:pPr>
              <w:spacing w:after="0"/>
              <w:rPr>
                <w:sz w:val="17"/>
                <w:szCs w:val="17"/>
                <w:color w:val="auto"/>
              </w:rPr>
            </w:pPr>
          </w:p>
        </w:tc>
        <w:tc>
          <w:tcPr>
            <w:tcW w:w="40" w:type="dxa"/>
            <w:vAlign w:val="bottom"/>
            <w:shd w:val="clear" w:color="auto" w:fill="83AD40"/>
          </w:tcPr>
          <w:p>
            <w:pPr>
              <w:spacing w:after="0"/>
              <w:rPr>
                <w:sz w:val="17"/>
                <w:szCs w:val="17"/>
                <w:color w:val="auto"/>
              </w:rPr>
            </w:pPr>
          </w:p>
        </w:tc>
        <w:tc>
          <w:tcPr>
            <w:tcW w:w="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580" w:type="dxa"/>
            <w:vAlign w:val="bottom"/>
            <w:gridSpan w:val="2"/>
            <w:shd w:val="clear" w:color="auto" w:fill="1F2668"/>
          </w:tcPr>
          <w:p>
            <w:pPr>
              <w:ind w:left="140"/>
              <w:spacing w:after="0"/>
              <w:rPr>
                <w:sz w:val="20"/>
                <w:szCs w:val="20"/>
                <w:color w:val="auto"/>
              </w:rPr>
            </w:pPr>
            <w:r>
              <w:rPr>
                <w:rFonts w:ascii="Arial" w:cs="Arial" w:eastAsia="Arial" w:hAnsi="Arial"/>
                <w:sz w:val="16"/>
                <w:szCs w:val="16"/>
                <w:color w:val="FFFFFF"/>
              </w:rPr>
              <w:t>its authority were approved by</w:t>
            </w:r>
          </w:p>
        </w:tc>
        <w:tc>
          <w:tcPr>
            <w:tcW w:w="120" w:type="dxa"/>
            <w:vAlign w:val="bottom"/>
          </w:tcPr>
          <w:p>
            <w:pPr>
              <w:spacing w:after="0"/>
              <w:rPr>
                <w:sz w:val="16"/>
                <w:szCs w:val="16"/>
                <w:color w:val="auto"/>
              </w:rPr>
            </w:pPr>
          </w:p>
        </w:tc>
        <w:tc>
          <w:tcPr>
            <w:tcW w:w="40" w:type="dxa"/>
            <w:vAlign w:val="bottom"/>
            <w:shd w:val="clear" w:color="auto" w:fill="83AD40"/>
          </w:tcPr>
          <w:p>
            <w:pPr>
              <w:spacing w:after="0"/>
              <w:rPr>
                <w:sz w:val="16"/>
                <w:szCs w:val="16"/>
                <w:color w:val="auto"/>
              </w:rPr>
            </w:pPr>
          </w:p>
        </w:tc>
        <w:tc>
          <w:tcPr>
            <w:tcW w:w="2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580" w:type="dxa"/>
            <w:vAlign w:val="bottom"/>
            <w:gridSpan w:val="2"/>
            <w:shd w:val="clear" w:color="auto" w:fill="1F2668"/>
          </w:tcPr>
          <w:p>
            <w:pPr>
              <w:ind w:left="140"/>
              <w:spacing w:after="0"/>
              <w:rPr>
                <w:sz w:val="20"/>
                <w:szCs w:val="20"/>
                <w:color w:val="auto"/>
              </w:rPr>
            </w:pPr>
            <w:r>
              <w:rPr>
                <w:rFonts w:ascii="Arial" w:cs="Arial" w:eastAsia="Arial" w:hAnsi="Arial"/>
                <w:sz w:val="16"/>
                <w:szCs w:val="16"/>
                <w:color w:val="FFFFFF"/>
              </w:rPr>
              <w:t>the Board.</w:t>
            </w:r>
          </w:p>
        </w:tc>
        <w:tc>
          <w:tcPr>
            <w:tcW w:w="120" w:type="dxa"/>
            <w:vAlign w:val="bottom"/>
          </w:tcPr>
          <w:p>
            <w:pPr>
              <w:spacing w:after="0"/>
              <w:rPr>
                <w:sz w:val="18"/>
                <w:szCs w:val="18"/>
                <w:color w:val="auto"/>
              </w:rPr>
            </w:pPr>
          </w:p>
        </w:tc>
        <w:tc>
          <w:tcPr>
            <w:tcW w:w="40" w:type="dxa"/>
            <w:vAlign w:val="bottom"/>
            <w:shd w:val="clear" w:color="auto" w:fill="83AD40"/>
          </w:tcPr>
          <w:p>
            <w:pPr>
              <w:spacing w:after="0"/>
              <w:rPr>
                <w:sz w:val="18"/>
                <w:szCs w:val="18"/>
                <w:color w:val="auto"/>
              </w:rPr>
            </w:pPr>
          </w:p>
        </w:tc>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0" w:type="dxa"/>
            <w:vAlign w:val="bottom"/>
            <w:tcBorders>
              <w:right w:val="single" w:sz="8" w:color="1F2668"/>
            </w:tcBorders>
            <w:shd w:val="clear" w:color="auto" w:fill="1F2668"/>
          </w:tcPr>
          <w:p>
            <w:pPr>
              <w:spacing w:after="0"/>
              <w:rPr>
                <w:sz w:val="20"/>
                <w:szCs w:val="20"/>
                <w:color w:val="auto"/>
              </w:rPr>
            </w:pPr>
          </w:p>
        </w:tc>
        <w:tc>
          <w:tcPr>
            <w:tcW w:w="2380" w:type="dxa"/>
            <w:vAlign w:val="bottom"/>
            <w:shd w:val="clear" w:color="auto" w:fill="1F2668"/>
          </w:tcPr>
          <w:p>
            <w:pPr>
              <w:spacing w:after="0"/>
              <w:rPr>
                <w:sz w:val="20"/>
                <w:szCs w:val="20"/>
                <w:color w:val="auto"/>
              </w:rPr>
            </w:pPr>
          </w:p>
        </w:tc>
        <w:tc>
          <w:tcPr>
            <w:tcW w:w="120" w:type="dxa"/>
            <w:vAlign w:val="bottom"/>
            <w:vMerge w:val="restart"/>
          </w:tcPr>
          <w:p>
            <w:pPr>
              <w:spacing w:after="0"/>
              <w:rPr>
                <w:sz w:val="20"/>
                <w:szCs w:val="20"/>
                <w:color w:val="auto"/>
              </w:rPr>
            </w:pPr>
          </w:p>
        </w:tc>
        <w:tc>
          <w:tcPr>
            <w:tcW w:w="40" w:type="dxa"/>
            <w:vAlign w:val="bottom"/>
            <w:vMerge w:val="restart"/>
            <w:shd w:val="clear" w:color="auto" w:fill="83AD40"/>
          </w:tcPr>
          <w:p>
            <w:pPr>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00" w:type="dxa"/>
            <w:vAlign w:val="bottom"/>
            <w:tcBorders>
              <w:right w:val="single" w:sz="8" w:color="83AD40"/>
            </w:tcBorders>
          </w:tcPr>
          <w:p>
            <w:pPr>
              <w:spacing w:after="0"/>
              <w:rPr>
                <w:sz w:val="24"/>
                <w:szCs w:val="24"/>
                <w:color w:val="auto"/>
              </w:rPr>
            </w:pPr>
          </w:p>
        </w:tc>
        <w:tc>
          <w:tcPr>
            <w:tcW w:w="2380" w:type="dxa"/>
            <w:vAlign w:val="bottom"/>
            <w:tcBorders>
              <w:bottom w:val="single" w:sz="8" w:color="83AD40"/>
            </w:tcBorders>
          </w:tcPr>
          <w:p>
            <w:pPr>
              <w:spacing w:after="0" w:line="243" w:lineRule="exact"/>
              <w:rPr>
                <w:sz w:val="20"/>
                <w:szCs w:val="20"/>
                <w:color w:val="auto"/>
              </w:rPr>
            </w:pPr>
            <w:r>
              <w:rPr>
                <w:rFonts w:ascii="Arial" w:cs="Arial" w:eastAsia="Arial" w:hAnsi="Arial"/>
                <w:sz w:val="22"/>
                <w:szCs w:val="22"/>
                <w:color w:val="auto"/>
              </w:rPr>
              <w:t>​</w:t>
            </w:r>
          </w:p>
        </w:tc>
        <w:tc>
          <w:tcPr>
            <w:tcW w:w="120" w:type="dxa"/>
            <w:vAlign w:val="bottom"/>
            <w:tcBorders>
              <w:bottom w:val="single" w:sz="8" w:color="83AD40"/>
            </w:tcBorders>
            <w:vMerge w:val="continue"/>
          </w:tcPr>
          <w:p>
            <w:pPr>
              <w:spacing w:after="0"/>
              <w:rPr>
                <w:sz w:val="24"/>
                <w:szCs w:val="24"/>
                <w:color w:val="auto"/>
              </w:rPr>
            </w:pPr>
          </w:p>
        </w:tc>
        <w:tc>
          <w:tcPr>
            <w:tcW w:w="40" w:type="dxa"/>
            <w:vAlign w:val="bottom"/>
            <w:tcBorders>
              <w:bottom w:val="single" w:sz="8" w:color="83AD40"/>
            </w:tcBorders>
            <w:vMerge w:val="continue"/>
            <w:shd w:val="clear" w:color="auto" w:fill="83AD40"/>
          </w:tcPr>
          <w:p>
            <w:pPr>
              <w:spacing w:after="0"/>
              <w:rPr>
                <w:sz w:val="24"/>
                <w:szCs w:val="24"/>
                <w:color w:val="auto"/>
              </w:rPr>
            </w:pPr>
          </w:p>
        </w:tc>
        <w:tc>
          <w:tcPr>
            <w:tcW w:w="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1384300</wp:posOffset>
            </wp:positionV>
            <wp:extent cx="683196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6260" w:type="dxa"/>
            <w:vAlign w:val="bottom"/>
          </w:tcPr>
          <w:p>
            <w:pPr>
              <w:spacing w:after="0"/>
              <w:rPr>
                <w:sz w:val="20"/>
                <w:szCs w:val="20"/>
                <w:color w:val="auto"/>
              </w:rPr>
            </w:pPr>
            <w:r>
              <w:rPr>
                <w:rFonts w:ascii="Arial" w:cs="Arial" w:eastAsia="Arial" w:hAnsi="Arial"/>
                <w:sz w:val="14"/>
                <w:szCs w:val="14"/>
                <w:b w:val="1"/>
                <w:bCs w:val="1"/>
                <w:color w:val="auto"/>
              </w:rPr>
              <w:t>​</w:t>
            </w:r>
          </w:p>
        </w:tc>
        <w:tc>
          <w:tcPr>
            <w:tcW w:w="2320" w:type="dxa"/>
            <w:vAlign w:val="bottom"/>
          </w:tcPr>
          <w:p>
            <w:pPr>
              <w:ind w:left="1940"/>
              <w:spacing w:after="0"/>
              <w:rPr>
                <w:sz w:val="20"/>
                <w:szCs w:val="20"/>
                <w:color w:val="auto"/>
              </w:rPr>
            </w:pPr>
            <w:r>
              <w:rPr>
                <w:rFonts w:ascii="Arial" w:cs="Arial" w:eastAsia="Arial" w:hAnsi="Arial"/>
                <w:sz w:val="14"/>
                <w:szCs w:val="14"/>
                <w:b w:val="1"/>
                <w:bCs w:val="1"/>
                <w:color w:val="auto"/>
              </w:rPr>
              <w:t>​ ​</w:t>
            </w:r>
          </w:p>
        </w:tc>
        <w:tc>
          <w:tcPr>
            <w:tcW w:w="480" w:type="dxa"/>
            <w:vAlign w:val="bottom"/>
            <w:vMerge w:val="restart"/>
          </w:tcPr>
          <w:p>
            <w:pPr>
              <w:jc w:val="right"/>
              <w:spacing w:after="0"/>
              <w:rPr>
                <w:sz w:val="20"/>
                <w:szCs w:val="20"/>
                <w:color w:val="auto"/>
              </w:rPr>
            </w:pPr>
            <w:r>
              <w:rPr>
                <w:rFonts w:ascii="Arial" w:cs="Arial" w:eastAsia="Arial" w:hAnsi="Arial"/>
                <w:sz w:val="22"/>
                <w:szCs w:val="22"/>
                <w:b w:val="1"/>
                <w:bCs w:val="1"/>
                <w:color w:val="1F2668"/>
              </w:rPr>
              <w:t>29</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6260" w:type="dxa"/>
            <w:vAlign w:val="bottom"/>
          </w:tcPr>
          <w:p>
            <w:pPr>
              <w:spacing w:after="0"/>
              <w:rPr>
                <w:sz w:val="20"/>
                <w:szCs w:val="20"/>
                <w:color w:val="auto"/>
              </w:rPr>
            </w:pPr>
            <w:r>
              <w:rPr>
                <w:rFonts w:ascii="Arial" w:cs="Arial" w:eastAsia="Arial" w:hAnsi="Arial"/>
                <w:sz w:val="14"/>
                <w:szCs w:val="14"/>
                <w:b w:val="1"/>
                <w:bCs w:val="1"/>
                <w:color w:val="auto"/>
              </w:rPr>
              <w:t>OUR BOARD OF DIRECTORS AND CORPORATE GOVERNANCE</w:t>
            </w:r>
          </w:p>
        </w:tc>
        <w:tc>
          <w:tcPr>
            <w:tcW w:w="232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820"/>
        <w:spacing w:after="0"/>
        <w:rPr>
          <w:sz w:val="20"/>
          <w:szCs w:val="20"/>
          <w:color w:val="auto"/>
        </w:rPr>
      </w:pPr>
      <w:r>
        <w:rPr>
          <w:rFonts w:ascii="Arial" w:cs="Arial" w:eastAsia="Arial" w:hAnsi="Arial"/>
          <w:sz w:val="29"/>
          <w:szCs w:val="29"/>
          <w:b w:val="1"/>
          <w:bCs w:val="1"/>
          <w:color w:val="83AD40"/>
        </w:rPr>
        <w:t>CORPORATE GOVERNANCE</w:t>
      </w:r>
    </w:p>
    <w:p>
      <w:pPr>
        <w:spacing w:after="0" w:line="302"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Corporate Governance Highlights</w:t>
      </w:r>
    </w:p>
    <w:p>
      <w:pPr>
        <w:spacing w:after="0" w:line="140" w:lineRule="exact"/>
        <w:rPr>
          <w:sz w:val="20"/>
          <w:szCs w:val="20"/>
          <w:color w:val="auto"/>
        </w:rPr>
      </w:pPr>
    </w:p>
    <w:tbl>
      <w:tblPr>
        <w:tblLayout w:type="fixed"/>
        <w:tblInd w:w="820" w:type="dxa"/>
        <w:tblCellMar>
          <w:top w:w="0" w:type="dxa"/>
          <w:left w:w="0" w:type="dxa"/>
          <w:bottom w:w="0" w:type="dxa"/>
          <w:right w:w="0" w:type="dxa"/>
        </w:tblCellMar>
      </w:tblPr>
      <w:tr>
        <w:trPr>
          <w:trHeight w:val="228"/>
        </w:trPr>
        <w:tc>
          <w:tcPr>
            <w:tcW w:w="2780" w:type="dxa"/>
            <w:vAlign w:val="bottom"/>
            <w:tcBorders>
              <w:top w:val="single" w:sz="8" w:color="83AD40"/>
            </w:tcBorders>
          </w:tcPr>
          <w:p>
            <w:pPr>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83AD40"/>
              <w:right w:val="single" w:sz="8" w:color="83AD40"/>
            </w:tcBorders>
          </w:tcPr>
          <w:p>
            <w:pPr>
              <w:ind w:left="80"/>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83AD40"/>
            </w:tcBorders>
          </w:tcPr>
          <w:p>
            <w:pPr>
              <w:spacing w:after="0"/>
              <w:rPr>
                <w:sz w:val="20"/>
                <w:szCs w:val="20"/>
                <w:color w:val="auto"/>
              </w:rPr>
            </w:pPr>
            <w:r>
              <w:rPr>
                <w:rFonts w:ascii="Arial" w:cs="Arial" w:eastAsia="Arial" w:hAnsi="Arial"/>
                <w:sz w:val="16"/>
                <w:szCs w:val="16"/>
                <w:color w:val="auto"/>
              </w:rPr>
              <w:t>​</w:t>
            </w:r>
          </w:p>
        </w:tc>
        <w:tc>
          <w:tcPr>
            <w:tcW w:w="2820" w:type="dxa"/>
            <w:vAlign w:val="bottom"/>
            <w:tcBorders>
              <w:top w:val="single" w:sz="8" w:color="83AD40"/>
              <w:right w:val="single" w:sz="8" w:color="83AD40"/>
            </w:tcBorders>
          </w:tcPr>
          <w:p>
            <w:pPr>
              <w:ind w:left="272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83AD40"/>
            </w:tcBorders>
          </w:tcPr>
          <w:p>
            <w:pPr>
              <w:spacing w:after="0"/>
              <w:rPr>
                <w:sz w:val="20"/>
                <w:szCs w:val="20"/>
                <w:color w:val="auto"/>
              </w:rPr>
            </w:pPr>
            <w:r>
              <w:rPr>
                <w:rFonts w:ascii="Arial" w:cs="Arial" w:eastAsia="Arial" w:hAnsi="Arial"/>
                <w:sz w:val="16"/>
                <w:szCs w:val="16"/>
                <w:color w:val="auto"/>
              </w:rPr>
              <w:t>​</w:t>
            </w:r>
          </w:p>
        </w:tc>
        <w:tc>
          <w:tcPr>
            <w:tcW w:w="2980" w:type="dxa"/>
            <w:vAlign w:val="bottom"/>
            <w:tcBorders>
              <w:top w:val="single" w:sz="8" w:color="83AD40"/>
            </w:tcBorders>
          </w:tcPr>
          <w:p>
            <w:pPr>
              <w:ind w:left="28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rPr>
                <w:sz w:val="20"/>
                <w:szCs w:val="20"/>
                <w:color w:val="auto"/>
              </w:rPr>
            </w:pPr>
            <w:r>
              <w:rPr>
                <w:rFonts w:ascii="Arial" w:cs="Arial" w:eastAsia="Arial" w:hAnsi="Arial"/>
                <w:sz w:val="16"/>
                <w:szCs w:val="16"/>
                <w:b w:val="1"/>
                <w:bCs w:val="1"/>
                <w:color w:val="1F2668"/>
              </w:rPr>
              <w:t>Board Independence and</w:t>
            </w:r>
          </w:p>
        </w:tc>
        <w:tc>
          <w:tcPr>
            <w:tcW w:w="200" w:type="dxa"/>
            <w:vAlign w:val="bottom"/>
            <w:tcBorders>
              <w:right w:val="single" w:sz="8" w:color="83AD40"/>
            </w:tcBorders>
          </w:tcPr>
          <w:p>
            <w:pPr>
              <w:spacing w:after="0"/>
              <w:rPr>
                <w:sz w:val="17"/>
                <w:szCs w:val="17"/>
                <w:color w:val="auto"/>
              </w:rPr>
            </w:pPr>
          </w:p>
        </w:tc>
        <w:tc>
          <w:tcPr>
            <w:tcW w:w="3020" w:type="dxa"/>
            <w:vAlign w:val="bottom"/>
            <w:tcBorders>
              <w:right w:val="single" w:sz="8" w:color="83AD40"/>
            </w:tcBorders>
            <w:gridSpan w:val="2"/>
          </w:tcPr>
          <w:p>
            <w:pPr>
              <w:ind w:left="80"/>
              <w:spacing w:after="0"/>
              <w:rPr>
                <w:sz w:val="20"/>
                <w:szCs w:val="20"/>
                <w:color w:val="auto"/>
              </w:rPr>
            </w:pPr>
            <w:r>
              <w:rPr>
                <w:rFonts w:ascii="Arial" w:cs="Arial" w:eastAsia="Arial" w:hAnsi="Arial"/>
                <w:sz w:val="16"/>
                <w:szCs w:val="16"/>
                <w:b w:val="1"/>
                <w:bCs w:val="1"/>
                <w:color w:val="1F2668"/>
              </w:rPr>
              <w:t>Board and Board Committee</w:t>
            </w:r>
          </w:p>
        </w:tc>
        <w:tc>
          <w:tcPr>
            <w:tcW w:w="80" w:type="dxa"/>
            <w:vAlign w:val="bottom"/>
          </w:tcPr>
          <w:p>
            <w:pPr>
              <w:spacing w:after="0"/>
              <w:rPr>
                <w:sz w:val="17"/>
                <w:szCs w:val="17"/>
                <w:color w:val="auto"/>
              </w:rPr>
            </w:pPr>
          </w:p>
        </w:tc>
        <w:tc>
          <w:tcPr>
            <w:tcW w:w="2980" w:type="dxa"/>
            <w:vAlign w:val="bottom"/>
          </w:tcPr>
          <w:p>
            <w:pPr>
              <w:ind w:left="20"/>
              <w:spacing w:after="0"/>
              <w:rPr>
                <w:sz w:val="20"/>
                <w:szCs w:val="20"/>
                <w:color w:val="auto"/>
              </w:rPr>
            </w:pPr>
            <w:r>
              <w:rPr>
                <w:rFonts w:ascii="Arial" w:cs="Arial" w:eastAsia="Arial" w:hAnsi="Arial"/>
                <w:sz w:val="16"/>
                <w:szCs w:val="16"/>
                <w:b w:val="1"/>
                <w:bCs w:val="1"/>
                <w:color w:val="1F2668"/>
              </w:rPr>
              <w:t>Stockholder Rights</w:t>
            </w:r>
          </w:p>
        </w:tc>
        <w:tc>
          <w:tcPr>
            <w:tcW w:w="0" w:type="dxa"/>
            <w:vAlign w:val="bottom"/>
          </w:tcPr>
          <w:p>
            <w:pPr>
              <w:spacing w:after="0"/>
              <w:rPr>
                <w:sz w:val="1"/>
                <w:szCs w:val="1"/>
                <w:color w:val="auto"/>
              </w:rPr>
            </w:pPr>
          </w:p>
        </w:tc>
      </w:tr>
      <w:tr>
        <w:trPr>
          <w:trHeight w:val="223"/>
        </w:trPr>
        <w:tc>
          <w:tcPr>
            <w:tcW w:w="2780" w:type="dxa"/>
            <w:vAlign w:val="bottom"/>
          </w:tcPr>
          <w:p>
            <w:pPr>
              <w:ind w:left="20"/>
              <w:spacing w:after="0"/>
              <w:rPr>
                <w:sz w:val="20"/>
                <w:szCs w:val="20"/>
                <w:color w:val="auto"/>
              </w:rPr>
            </w:pPr>
            <w:r>
              <w:rPr>
                <w:rFonts w:ascii="Arial" w:cs="Arial" w:eastAsia="Arial" w:hAnsi="Arial"/>
                <w:sz w:val="16"/>
                <w:szCs w:val="16"/>
                <w:b w:val="1"/>
                <w:bCs w:val="1"/>
                <w:color w:val="1F2668"/>
              </w:rPr>
              <w:t>Composition</w:t>
            </w:r>
          </w:p>
        </w:tc>
        <w:tc>
          <w:tcPr>
            <w:tcW w:w="200" w:type="dxa"/>
            <w:vAlign w:val="bottom"/>
            <w:tcBorders>
              <w:right w:val="single" w:sz="8" w:color="83AD40"/>
            </w:tcBorders>
          </w:tcPr>
          <w:p>
            <w:pPr>
              <w:spacing w:after="0"/>
              <w:rPr>
                <w:sz w:val="19"/>
                <w:szCs w:val="19"/>
                <w:color w:val="auto"/>
              </w:rPr>
            </w:pPr>
          </w:p>
        </w:tc>
        <w:tc>
          <w:tcPr>
            <w:tcW w:w="3020" w:type="dxa"/>
            <w:vAlign w:val="bottom"/>
            <w:tcBorders>
              <w:right w:val="single" w:sz="8" w:color="83AD40"/>
            </w:tcBorders>
            <w:gridSpan w:val="2"/>
          </w:tcPr>
          <w:p>
            <w:pPr>
              <w:ind w:left="80"/>
              <w:spacing w:after="0"/>
              <w:rPr>
                <w:sz w:val="20"/>
                <w:szCs w:val="20"/>
                <w:color w:val="auto"/>
              </w:rPr>
            </w:pPr>
            <w:r>
              <w:rPr>
                <w:rFonts w:ascii="Arial" w:cs="Arial" w:eastAsia="Arial" w:hAnsi="Arial"/>
                <w:sz w:val="16"/>
                <w:szCs w:val="16"/>
                <w:b w:val="1"/>
                <w:bCs w:val="1"/>
                <w:color w:val="1F2668"/>
              </w:rPr>
              <w:t>Practices</w:t>
            </w:r>
          </w:p>
        </w:tc>
        <w:tc>
          <w:tcPr>
            <w:tcW w:w="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780" w:type="dxa"/>
            <w:vAlign w:val="bottom"/>
          </w:tcPr>
          <w:p>
            <w:pPr>
              <w:ind w:left="20"/>
              <w:spacing w:after="0"/>
              <w:rPr>
                <w:sz w:val="20"/>
                <w:szCs w:val="20"/>
                <w:color w:val="auto"/>
              </w:rPr>
            </w:pPr>
            <w:r>
              <w:rPr>
                <w:rFonts w:ascii="Arial" w:cs="Arial" w:eastAsia="Arial" w:hAnsi="Arial"/>
                <w:sz w:val="16"/>
                <w:szCs w:val="16"/>
                <w:color w:val="auto"/>
              </w:rPr>
              <w:t>• Majority independent Board and</w:t>
            </w:r>
          </w:p>
        </w:tc>
        <w:tc>
          <w:tcPr>
            <w:tcW w:w="200" w:type="dxa"/>
            <w:vAlign w:val="bottom"/>
            <w:tcBorders>
              <w:right w:val="single" w:sz="8" w:color="83AD40"/>
            </w:tcBorders>
          </w:tcPr>
          <w:p>
            <w:pPr>
              <w:spacing w:after="0"/>
              <w:rPr>
                <w:sz w:val="22"/>
                <w:szCs w:val="22"/>
                <w:color w:val="auto"/>
              </w:rPr>
            </w:pP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2820" w:type="dxa"/>
            <w:vAlign w:val="bottom"/>
            <w:tcBorders>
              <w:right w:val="single" w:sz="8" w:color="83AD40"/>
            </w:tcBorders>
          </w:tcPr>
          <w:p>
            <w:pPr>
              <w:ind w:left="40"/>
              <w:spacing w:after="0"/>
              <w:rPr>
                <w:sz w:val="20"/>
                <w:szCs w:val="20"/>
                <w:color w:val="auto"/>
              </w:rPr>
            </w:pPr>
            <w:r>
              <w:rPr>
                <w:rFonts w:ascii="Arial" w:cs="Arial" w:eastAsia="Arial" w:hAnsi="Arial"/>
                <w:sz w:val="16"/>
                <w:szCs w:val="16"/>
                <w:color w:val="auto"/>
              </w:rPr>
              <w:t>Board and committee self-evaluations</w:t>
            </w:r>
          </w:p>
        </w:tc>
        <w:tc>
          <w:tcPr>
            <w:tcW w:w="80" w:type="dxa"/>
            <w:vAlign w:val="bottom"/>
          </w:tcPr>
          <w:p>
            <w:pPr>
              <w:spacing w:after="0"/>
              <w:rPr>
                <w:sz w:val="22"/>
                <w:szCs w:val="22"/>
                <w:color w:val="auto"/>
              </w:rPr>
            </w:pPr>
          </w:p>
        </w:tc>
        <w:tc>
          <w:tcPr>
            <w:tcW w:w="2980" w:type="dxa"/>
            <w:vAlign w:val="bottom"/>
          </w:tcPr>
          <w:p>
            <w:pPr>
              <w:ind w:left="20"/>
              <w:spacing w:after="0"/>
              <w:rPr>
                <w:sz w:val="20"/>
                <w:szCs w:val="20"/>
                <w:color w:val="auto"/>
              </w:rPr>
            </w:pPr>
            <w:r>
              <w:rPr>
                <w:rFonts w:ascii="Arial" w:cs="Arial" w:eastAsia="Arial" w:hAnsi="Arial"/>
                <w:sz w:val="16"/>
                <w:szCs w:val="16"/>
                <w:color w:val="auto"/>
              </w:rPr>
              <w:t>• Annual election of all directors</w:t>
            </w:r>
          </w:p>
        </w:tc>
        <w:tc>
          <w:tcPr>
            <w:tcW w:w="0" w:type="dxa"/>
            <w:vAlign w:val="bottom"/>
          </w:tcPr>
          <w:p>
            <w:pPr>
              <w:spacing w:after="0"/>
              <w:rPr>
                <w:sz w:val="1"/>
                <w:szCs w:val="1"/>
                <w:color w:val="auto"/>
              </w:rPr>
            </w:pPr>
          </w:p>
        </w:tc>
      </w:tr>
      <w:tr>
        <w:trPr>
          <w:trHeight w:val="203"/>
        </w:trPr>
        <w:tc>
          <w:tcPr>
            <w:tcW w:w="2780" w:type="dxa"/>
            <w:vAlign w:val="bottom"/>
          </w:tcPr>
          <w:p>
            <w:pPr>
              <w:ind w:left="180"/>
              <w:spacing w:after="0"/>
              <w:rPr>
                <w:sz w:val="20"/>
                <w:szCs w:val="20"/>
                <w:color w:val="auto"/>
              </w:rPr>
            </w:pPr>
            <w:r>
              <w:rPr>
                <w:rFonts w:ascii="Arial" w:cs="Arial" w:eastAsia="Arial" w:hAnsi="Arial"/>
                <w:sz w:val="16"/>
                <w:szCs w:val="16"/>
                <w:color w:val="auto"/>
              </w:rPr>
              <w:t>100% independent Nominating and</w:t>
            </w:r>
          </w:p>
        </w:tc>
        <w:tc>
          <w:tcPr>
            <w:tcW w:w="200" w:type="dxa"/>
            <w:vAlign w:val="bottom"/>
            <w:tcBorders>
              <w:right w:val="single" w:sz="8" w:color="83AD40"/>
            </w:tcBorders>
          </w:tcPr>
          <w:p>
            <w:pPr>
              <w:spacing w:after="0"/>
              <w:rPr>
                <w:sz w:val="17"/>
                <w:szCs w:val="17"/>
                <w:color w:val="auto"/>
              </w:rPr>
            </w:pPr>
          </w:p>
        </w:tc>
        <w:tc>
          <w:tcPr>
            <w:tcW w:w="3020" w:type="dxa"/>
            <w:vAlign w:val="bottom"/>
            <w:tcBorders>
              <w:right w:val="single" w:sz="8" w:color="83AD40"/>
            </w:tcBorders>
            <w:gridSpan w:val="2"/>
            <w:vMerge w:val="restart"/>
          </w:tcPr>
          <w:p>
            <w:pPr>
              <w:ind w:left="80"/>
              <w:spacing w:after="0"/>
              <w:rPr>
                <w:sz w:val="20"/>
                <w:szCs w:val="20"/>
                <w:color w:val="auto"/>
              </w:rPr>
            </w:pPr>
            <w:r>
              <w:rPr>
                <w:rFonts w:ascii="Arial" w:cs="Arial" w:eastAsia="Arial" w:hAnsi="Arial"/>
                <w:sz w:val="16"/>
                <w:szCs w:val="16"/>
                <w:color w:val="auto"/>
              </w:rPr>
              <w:t>• Risk oversight by full Board and Audit</w:t>
            </w:r>
          </w:p>
        </w:tc>
        <w:tc>
          <w:tcPr>
            <w:tcW w:w="80" w:type="dxa"/>
            <w:vAlign w:val="bottom"/>
          </w:tcPr>
          <w:p>
            <w:pPr>
              <w:spacing w:after="0"/>
              <w:rPr>
                <w:sz w:val="17"/>
                <w:szCs w:val="17"/>
                <w:color w:val="auto"/>
              </w:rPr>
            </w:pPr>
          </w:p>
        </w:tc>
        <w:tc>
          <w:tcPr>
            <w:tcW w:w="2980" w:type="dxa"/>
            <w:vAlign w:val="bottom"/>
          </w:tcPr>
          <w:p>
            <w:pPr>
              <w:ind w:left="20"/>
              <w:spacing w:after="0"/>
              <w:rPr>
                <w:sz w:val="20"/>
                <w:szCs w:val="20"/>
                <w:color w:val="auto"/>
              </w:rPr>
            </w:pPr>
            <w:r>
              <w:rPr>
                <w:rFonts w:ascii="Arial" w:cs="Arial" w:eastAsia="Arial" w:hAnsi="Arial"/>
                <w:sz w:val="16"/>
                <w:szCs w:val="16"/>
                <w:color w:val="auto"/>
              </w:rPr>
              <w:t>• Majority voting standard for director</w:t>
            </w:r>
          </w:p>
        </w:tc>
        <w:tc>
          <w:tcPr>
            <w:tcW w:w="0" w:type="dxa"/>
            <w:vAlign w:val="bottom"/>
          </w:tcPr>
          <w:p>
            <w:pPr>
              <w:spacing w:after="0"/>
              <w:rPr>
                <w:sz w:val="1"/>
                <w:szCs w:val="1"/>
                <w:color w:val="auto"/>
              </w:rPr>
            </w:pPr>
          </w:p>
        </w:tc>
      </w:tr>
      <w:tr>
        <w:trPr>
          <w:trHeight w:val="81"/>
        </w:trPr>
        <w:tc>
          <w:tcPr>
            <w:tcW w:w="2780" w:type="dxa"/>
            <w:vAlign w:val="bottom"/>
            <w:vMerge w:val="restart"/>
          </w:tcPr>
          <w:p>
            <w:pPr>
              <w:ind w:left="180"/>
              <w:spacing w:after="0"/>
              <w:rPr>
                <w:sz w:val="20"/>
                <w:szCs w:val="20"/>
                <w:color w:val="auto"/>
              </w:rPr>
            </w:pPr>
            <w:r>
              <w:rPr>
                <w:rFonts w:ascii="Arial" w:cs="Arial" w:eastAsia="Arial" w:hAnsi="Arial"/>
                <w:sz w:val="16"/>
                <w:szCs w:val="16"/>
                <w:color w:val="auto"/>
              </w:rPr>
              <w:t>Corporate Governance, Audit and</w:t>
            </w:r>
          </w:p>
        </w:tc>
        <w:tc>
          <w:tcPr>
            <w:tcW w:w="200" w:type="dxa"/>
            <w:vAlign w:val="bottom"/>
            <w:tcBorders>
              <w:right w:val="single" w:sz="8" w:color="83AD40"/>
            </w:tcBorders>
          </w:tcPr>
          <w:p>
            <w:pPr>
              <w:spacing w:after="0"/>
              <w:rPr>
                <w:sz w:val="7"/>
                <w:szCs w:val="7"/>
                <w:color w:val="auto"/>
              </w:rPr>
            </w:pPr>
          </w:p>
        </w:tc>
        <w:tc>
          <w:tcPr>
            <w:tcW w:w="3020" w:type="dxa"/>
            <w:vAlign w:val="bottom"/>
            <w:tcBorders>
              <w:right w:val="single" w:sz="8" w:color="83AD40"/>
            </w:tcBorders>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2980" w:type="dxa"/>
            <w:vAlign w:val="bottom"/>
            <w:vMerge w:val="restart"/>
          </w:tcPr>
          <w:p>
            <w:pPr>
              <w:ind w:left="180"/>
              <w:spacing w:after="0"/>
              <w:rPr>
                <w:sz w:val="20"/>
                <w:szCs w:val="20"/>
                <w:color w:val="auto"/>
              </w:rPr>
            </w:pPr>
            <w:r>
              <w:rPr>
                <w:rFonts w:ascii="Arial" w:cs="Arial" w:eastAsia="Arial" w:hAnsi="Arial"/>
                <w:sz w:val="16"/>
                <w:szCs w:val="16"/>
                <w:color w:val="auto"/>
              </w:rPr>
              <w:t>elections</w:t>
            </w:r>
          </w:p>
        </w:tc>
        <w:tc>
          <w:tcPr>
            <w:tcW w:w="0" w:type="dxa"/>
            <w:vAlign w:val="bottom"/>
          </w:tcPr>
          <w:p>
            <w:pPr>
              <w:spacing w:after="0"/>
              <w:rPr>
                <w:sz w:val="1"/>
                <w:szCs w:val="1"/>
                <w:color w:val="auto"/>
              </w:rPr>
            </w:pPr>
          </w:p>
        </w:tc>
      </w:tr>
      <w:tr>
        <w:trPr>
          <w:trHeight w:val="108"/>
        </w:trPr>
        <w:tc>
          <w:tcPr>
            <w:tcW w:w="2780" w:type="dxa"/>
            <w:vAlign w:val="bottom"/>
            <w:vMerge w:val="continue"/>
          </w:tcPr>
          <w:p>
            <w:pPr>
              <w:spacing w:after="0"/>
              <w:rPr>
                <w:sz w:val="9"/>
                <w:szCs w:val="9"/>
                <w:color w:val="auto"/>
              </w:rPr>
            </w:pPr>
          </w:p>
        </w:tc>
        <w:tc>
          <w:tcPr>
            <w:tcW w:w="200" w:type="dxa"/>
            <w:vAlign w:val="bottom"/>
            <w:tcBorders>
              <w:right w:val="single" w:sz="8" w:color="83AD40"/>
            </w:tcBorders>
          </w:tcPr>
          <w:p>
            <w:pPr>
              <w:spacing w:after="0"/>
              <w:rPr>
                <w:sz w:val="9"/>
                <w:szCs w:val="9"/>
                <w:color w:val="auto"/>
              </w:rPr>
            </w:pPr>
          </w:p>
        </w:tc>
        <w:tc>
          <w:tcPr>
            <w:tcW w:w="200" w:type="dxa"/>
            <w:vAlign w:val="bottom"/>
          </w:tcPr>
          <w:p>
            <w:pPr>
              <w:spacing w:after="0"/>
              <w:rPr>
                <w:sz w:val="9"/>
                <w:szCs w:val="9"/>
                <w:color w:val="auto"/>
              </w:rPr>
            </w:pPr>
          </w:p>
        </w:tc>
        <w:tc>
          <w:tcPr>
            <w:tcW w:w="2820" w:type="dxa"/>
            <w:vAlign w:val="bottom"/>
            <w:tcBorders>
              <w:right w:val="single" w:sz="8" w:color="83AD40"/>
            </w:tcBorders>
            <w:vMerge w:val="restart"/>
          </w:tcPr>
          <w:p>
            <w:pPr>
              <w:ind w:left="40"/>
              <w:spacing w:after="0"/>
              <w:rPr>
                <w:sz w:val="20"/>
                <w:szCs w:val="20"/>
                <w:color w:val="auto"/>
              </w:rPr>
            </w:pPr>
            <w:r>
              <w:rPr>
                <w:rFonts w:ascii="Arial" w:cs="Arial" w:eastAsia="Arial" w:hAnsi="Arial"/>
                <w:sz w:val="16"/>
                <w:szCs w:val="16"/>
                <w:color w:val="auto"/>
              </w:rPr>
              <w:t>Committee</w:t>
            </w:r>
          </w:p>
        </w:tc>
        <w:tc>
          <w:tcPr>
            <w:tcW w:w="80" w:type="dxa"/>
            <w:vAlign w:val="bottom"/>
          </w:tcPr>
          <w:p>
            <w:pPr>
              <w:spacing w:after="0"/>
              <w:rPr>
                <w:sz w:val="9"/>
                <w:szCs w:val="9"/>
                <w:color w:val="auto"/>
              </w:rPr>
            </w:pPr>
          </w:p>
        </w:tc>
        <w:tc>
          <w:tcPr>
            <w:tcW w:w="2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780" w:type="dxa"/>
            <w:vAlign w:val="bottom"/>
            <w:vMerge w:val="restart"/>
          </w:tcPr>
          <w:p>
            <w:pPr>
              <w:ind w:left="180"/>
              <w:spacing w:after="0"/>
              <w:rPr>
                <w:sz w:val="20"/>
                <w:szCs w:val="20"/>
                <w:color w:val="auto"/>
              </w:rPr>
            </w:pPr>
            <w:r>
              <w:rPr>
                <w:rFonts w:ascii="Arial" w:cs="Arial" w:eastAsia="Arial" w:hAnsi="Arial"/>
                <w:sz w:val="16"/>
                <w:szCs w:val="16"/>
                <w:color w:val="auto"/>
              </w:rPr>
              <w:t>Compensation Committees</w:t>
            </w:r>
          </w:p>
        </w:tc>
        <w:tc>
          <w:tcPr>
            <w:tcW w:w="200" w:type="dxa"/>
            <w:vAlign w:val="bottom"/>
            <w:tcBorders>
              <w:right w:val="single" w:sz="8" w:color="83AD40"/>
            </w:tcBorders>
          </w:tcPr>
          <w:p>
            <w:pPr>
              <w:spacing w:after="0"/>
              <w:rPr>
                <w:sz w:val="9"/>
                <w:szCs w:val="9"/>
                <w:color w:val="auto"/>
              </w:rPr>
            </w:pPr>
          </w:p>
        </w:tc>
        <w:tc>
          <w:tcPr>
            <w:tcW w:w="200" w:type="dxa"/>
            <w:vAlign w:val="bottom"/>
          </w:tcPr>
          <w:p>
            <w:pPr>
              <w:spacing w:after="0"/>
              <w:rPr>
                <w:sz w:val="9"/>
                <w:szCs w:val="9"/>
                <w:color w:val="auto"/>
              </w:rPr>
            </w:pPr>
          </w:p>
        </w:tc>
        <w:tc>
          <w:tcPr>
            <w:tcW w:w="2820" w:type="dxa"/>
            <w:vAlign w:val="bottom"/>
            <w:tcBorders>
              <w:right w:val="single" w:sz="8" w:color="83AD40"/>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780" w:type="dxa"/>
            <w:vAlign w:val="bottom"/>
            <w:vMerge w:val="continue"/>
          </w:tcPr>
          <w:p>
            <w:pPr>
              <w:spacing w:after="0"/>
              <w:rPr>
                <w:sz w:val="9"/>
                <w:szCs w:val="9"/>
                <w:color w:val="auto"/>
              </w:rPr>
            </w:pPr>
          </w:p>
        </w:tc>
        <w:tc>
          <w:tcPr>
            <w:tcW w:w="200" w:type="dxa"/>
            <w:vAlign w:val="bottom"/>
            <w:tcBorders>
              <w:right w:val="single" w:sz="8" w:color="83AD40"/>
            </w:tcBorders>
          </w:tcPr>
          <w:p>
            <w:pPr>
              <w:spacing w:after="0"/>
              <w:rPr>
                <w:sz w:val="9"/>
                <w:szCs w:val="9"/>
                <w:color w:val="auto"/>
              </w:rPr>
            </w:pPr>
          </w:p>
        </w:tc>
        <w:tc>
          <w:tcPr>
            <w:tcW w:w="20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2820" w:type="dxa"/>
            <w:vAlign w:val="bottom"/>
            <w:tcBorders>
              <w:right w:val="single" w:sz="8" w:color="83AD40"/>
            </w:tcBorders>
            <w:vMerge w:val="restart"/>
          </w:tcPr>
          <w:p>
            <w:pPr>
              <w:ind w:left="40"/>
              <w:spacing w:after="0"/>
              <w:rPr>
                <w:sz w:val="20"/>
                <w:szCs w:val="20"/>
                <w:color w:val="auto"/>
              </w:rPr>
            </w:pPr>
            <w:r>
              <w:rPr>
                <w:rFonts w:ascii="Arial" w:cs="Arial" w:eastAsia="Arial" w:hAnsi="Arial"/>
                <w:sz w:val="16"/>
                <w:szCs w:val="16"/>
                <w:color w:val="auto"/>
              </w:rPr>
              <w:t>ESG oversight</w:t>
            </w:r>
          </w:p>
        </w:tc>
        <w:tc>
          <w:tcPr>
            <w:tcW w:w="80" w:type="dxa"/>
            <w:vAlign w:val="bottom"/>
          </w:tcPr>
          <w:p>
            <w:pPr>
              <w:spacing w:after="0"/>
              <w:rPr>
                <w:sz w:val="9"/>
                <w:szCs w:val="9"/>
                <w:color w:val="auto"/>
              </w:rPr>
            </w:pPr>
          </w:p>
        </w:tc>
        <w:tc>
          <w:tcPr>
            <w:tcW w:w="2980" w:type="dxa"/>
            <w:vAlign w:val="bottom"/>
            <w:vMerge w:val="restart"/>
          </w:tcPr>
          <w:p>
            <w:pPr>
              <w:ind w:left="20"/>
              <w:spacing w:after="0"/>
              <w:rPr>
                <w:sz w:val="20"/>
                <w:szCs w:val="20"/>
                <w:color w:val="auto"/>
              </w:rPr>
            </w:pPr>
            <w:r>
              <w:rPr>
                <w:rFonts w:ascii="Arial" w:cs="Arial" w:eastAsia="Arial" w:hAnsi="Arial"/>
                <w:sz w:val="16"/>
                <w:szCs w:val="16"/>
                <w:color w:val="auto"/>
              </w:rPr>
              <w:t>• Stockholder ability to amend bylaws</w:t>
            </w:r>
          </w:p>
        </w:tc>
        <w:tc>
          <w:tcPr>
            <w:tcW w:w="0" w:type="dxa"/>
            <w:vAlign w:val="bottom"/>
          </w:tcPr>
          <w:p>
            <w:pPr>
              <w:spacing w:after="0"/>
              <w:rPr>
                <w:sz w:val="1"/>
                <w:szCs w:val="1"/>
                <w:color w:val="auto"/>
              </w:rPr>
            </w:pPr>
          </w:p>
        </w:tc>
      </w:tr>
      <w:tr>
        <w:trPr>
          <w:trHeight w:val="96"/>
        </w:trPr>
        <w:tc>
          <w:tcPr>
            <w:tcW w:w="2780" w:type="dxa"/>
            <w:vAlign w:val="bottom"/>
            <w:vMerge w:val="restart"/>
          </w:tcPr>
          <w:p>
            <w:pPr>
              <w:ind w:left="20"/>
              <w:spacing w:after="0"/>
              <w:rPr>
                <w:sz w:val="20"/>
                <w:szCs w:val="20"/>
                <w:color w:val="auto"/>
              </w:rPr>
            </w:pPr>
            <w:r>
              <w:rPr>
                <w:rFonts w:ascii="Arial" w:cs="Arial" w:eastAsia="Arial" w:hAnsi="Arial"/>
                <w:sz w:val="16"/>
                <w:szCs w:val="16"/>
                <w:color w:val="auto"/>
              </w:rPr>
              <w:t>• Lead Independent Director role with</w:t>
            </w:r>
          </w:p>
        </w:tc>
        <w:tc>
          <w:tcPr>
            <w:tcW w:w="200" w:type="dxa"/>
            <w:vAlign w:val="bottom"/>
            <w:tcBorders>
              <w:right w:val="single" w:sz="8" w:color="83AD40"/>
            </w:tcBorders>
          </w:tcPr>
          <w:p>
            <w:pPr>
              <w:spacing w:after="0"/>
              <w:rPr>
                <w:sz w:val="8"/>
                <w:szCs w:val="8"/>
                <w:color w:val="auto"/>
              </w:rPr>
            </w:pPr>
          </w:p>
        </w:tc>
        <w:tc>
          <w:tcPr>
            <w:tcW w:w="200" w:type="dxa"/>
            <w:vAlign w:val="bottom"/>
            <w:vMerge w:val="continue"/>
          </w:tcPr>
          <w:p>
            <w:pPr>
              <w:spacing w:after="0"/>
              <w:rPr>
                <w:sz w:val="8"/>
                <w:szCs w:val="8"/>
                <w:color w:val="auto"/>
              </w:rPr>
            </w:pPr>
          </w:p>
        </w:tc>
        <w:tc>
          <w:tcPr>
            <w:tcW w:w="2820" w:type="dxa"/>
            <w:vAlign w:val="bottom"/>
            <w:tcBorders>
              <w:right w:val="single" w:sz="8" w:color="83AD40"/>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2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780" w:type="dxa"/>
            <w:vAlign w:val="bottom"/>
            <w:vMerge w:val="continue"/>
          </w:tcPr>
          <w:p>
            <w:pPr>
              <w:spacing w:after="0"/>
              <w:rPr>
                <w:sz w:val="6"/>
                <w:szCs w:val="6"/>
                <w:color w:val="auto"/>
              </w:rPr>
            </w:pPr>
          </w:p>
        </w:tc>
        <w:tc>
          <w:tcPr>
            <w:tcW w:w="200" w:type="dxa"/>
            <w:vAlign w:val="bottom"/>
            <w:tcBorders>
              <w:right w:val="single" w:sz="8" w:color="83AD40"/>
            </w:tcBorders>
          </w:tcPr>
          <w:p>
            <w:pPr>
              <w:spacing w:after="0"/>
              <w:rPr>
                <w:sz w:val="6"/>
                <w:szCs w:val="6"/>
                <w:color w:val="auto"/>
              </w:rPr>
            </w:pPr>
          </w:p>
        </w:tc>
        <w:tc>
          <w:tcPr>
            <w:tcW w:w="200" w:type="dxa"/>
            <w:vAlign w:val="bottom"/>
            <w:vMerge w:val="continue"/>
          </w:tcPr>
          <w:p>
            <w:pPr>
              <w:spacing w:after="0"/>
              <w:rPr>
                <w:sz w:val="6"/>
                <w:szCs w:val="6"/>
                <w:color w:val="auto"/>
              </w:rPr>
            </w:pPr>
          </w:p>
        </w:tc>
        <w:tc>
          <w:tcPr>
            <w:tcW w:w="2820" w:type="dxa"/>
            <w:vAlign w:val="bottom"/>
            <w:tcBorders>
              <w:right w:val="single" w:sz="8" w:color="83AD40"/>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2980" w:type="dxa"/>
            <w:vAlign w:val="bottom"/>
            <w:vMerge w:val="restart"/>
          </w:tcPr>
          <w:p>
            <w:pPr>
              <w:ind w:left="180"/>
              <w:spacing w:after="0" w:line="175" w:lineRule="exact"/>
              <w:rPr>
                <w:sz w:val="20"/>
                <w:szCs w:val="20"/>
                <w:color w:val="auto"/>
              </w:rPr>
            </w:pPr>
            <w:r>
              <w:rPr>
                <w:rFonts w:ascii="Arial" w:cs="Arial" w:eastAsia="Arial" w:hAnsi="Arial"/>
                <w:sz w:val="16"/>
                <w:szCs w:val="16"/>
                <w:color w:val="auto"/>
              </w:rPr>
              <w:t>by majority vote</w:t>
            </w:r>
          </w:p>
        </w:tc>
        <w:tc>
          <w:tcPr>
            <w:tcW w:w="0" w:type="dxa"/>
            <w:vAlign w:val="bottom"/>
          </w:tcPr>
          <w:p>
            <w:pPr>
              <w:spacing w:after="0"/>
              <w:rPr>
                <w:sz w:val="1"/>
                <w:szCs w:val="1"/>
                <w:color w:val="auto"/>
              </w:rPr>
            </w:pPr>
          </w:p>
        </w:tc>
      </w:tr>
      <w:tr>
        <w:trPr>
          <w:trHeight w:val="96"/>
        </w:trPr>
        <w:tc>
          <w:tcPr>
            <w:tcW w:w="2780" w:type="dxa"/>
            <w:vAlign w:val="bottom"/>
            <w:vMerge w:val="continue"/>
          </w:tcPr>
          <w:p>
            <w:pPr>
              <w:spacing w:after="0"/>
              <w:rPr>
                <w:sz w:val="8"/>
                <w:szCs w:val="8"/>
                <w:color w:val="auto"/>
              </w:rPr>
            </w:pPr>
          </w:p>
        </w:tc>
        <w:tc>
          <w:tcPr>
            <w:tcW w:w="200" w:type="dxa"/>
            <w:vAlign w:val="bottom"/>
            <w:tcBorders>
              <w:right w:val="single" w:sz="8" w:color="83AD40"/>
            </w:tcBorders>
          </w:tcPr>
          <w:p>
            <w:pPr>
              <w:spacing w:after="0"/>
              <w:rPr>
                <w:sz w:val="8"/>
                <w:szCs w:val="8"/>
                <w:color w:val="auto"/>
              </w:rPr>
            </w:pPr>
          </w:p>
        </w:tc>
        <w:tc>
          <w:tcPr>
            <w:tcW w:w="200" w:type="dxa"/>
            <w:vAlign w:val="bottom"/>
            <w:vMerge w:val="restart"/>
          </w:tcPr>
          <w:p>
            <w:pPr>
              <w:ind w:left="80"/>
              <w:spacing w:after="0"/>
              <w:rPr>
                <w:sz w:val="20"/>
                <w:szCs w:val="20"/>
                <w:color w:val="auto"/>
              </w:rPr>
            </w:pPr>
            <w:r>
              <w:rPr>
                <w:rFonts w:ascii="Arial" w:cs="Arial" w:eastAsia="Arial" w:hAnsi="Arial"/>
                <w:sz w:val="16"/>
                <w:szCs w:val="16"/>
                <w:color w:val="auto"/>
              </w:rPr>
              <w:t>•</w:t>
            </w:r>
          </w:p>
        </w:tc>
        <w:tc>
          <w:tcPr>
            <w:tcW w:w="2820" w:type="dxa"/>
            <w:vAlign w:val="bottom"/>
            <w:tcBorders>
              <w:right w:val="single" w:sz="8" w:color="83AD40"/>
            </w:tcBorders>
            <w:vMerge w:val="restart"/>
          </w:tcPr>
          <w:p>
            <w:pPr>
              <w:ind w:left="40"/>
              <w:spacing w:after="0"/>
              <w:rPr>
                <w:sz w:val="20"/>
                <w:szCs w:val="20"/>
                <w:color w:val="auto"/>
              </w:rPr>
            </w:pPr>
            <w:r>
              <w:rPr>
                <w:rFonts w:ascii="Arial" w:cs="Arial" w:eastAsia="Arial" w:hAnsi="Arial"/>
                <w:sz w:val="16"/>
                <w:szCs w:val="16"/>
                <w:color w:val="auto"/>
              </w:rPr>
              <w:t>Robust stockholder engagement</w:t>
            </w:r>
          </w:p>
        </w:tc>
        <w:tc>
          <w:tcPr>
            <w:tcW w:w="80" w:type="dxa"/>
            <w:vAlign w:val="bottom"/>
          </w:tcPr>
          <w:p>
            <w:pPr>
              <w:spacing w:after="0"/>
              <w:rPr>
                <w:sz w:val="8"/>
                <w:szCs w:val="8"/>
                <w:color w:val="auto"/>
              </w:rPr>
            </w:pPr>
          </w:p>
        </w:tc>
        <w:tc>
          <w:tcPr>
            <w:tcW w:w="2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780" w:type="dxa"/>
            <w:vAlign w:val="bottom"/>
            <w:vMerge w:val="restart"/>
          </w:tcPr>
          <w:p>
            <w:pPr>
              <w:ind w:left="180"/>
              <w:spacing w:after="0"/>
              <w:rPr>
                <w:sz w:val="20"/>
                <w:szCs w:val="20"/>
                <w:color w:val="auto"/>
              </w:rPr>
            </w:pPr>
            <w:r>
              <w:rPr>
                <w:rFonts w:ascii="Arial" w:cs="Arial" w:eastAsia="Arial" w:hAnsi="Arial"/>
                <w:sz w:val="16"/>
                <w:szCs w:val="16"/>
                <w:color w:val="auto"/>
              </w:rPr>
              <w:t>robust responsibilities</w:t>
            </w:r>
          </w:p>
        </w:tc>
        <w:tc>
          <w:tcPr>
            <w:tcW w:w="200" w:type="dxa"/>
            <w:vAlign w:val="bottom"/>
            <w:tcBorders>
              <w:right w:val="single" w:sz="8" w:color="83AD40"/>
            </w:tcBorders>
          </w:tcPr>
          <w:p>
            <w:pPr>
              <w:spacing w:after="0"/>
              <w:rPr>
                <w:sz w:val="12"/>
                <w:szCs w:val="12"/>
                <w:color w:val="auto"/>
              </w:rPr>
            </w:pPr>
          </w:p>
        </w:tc>
        <w:tc>
          <w:tcPr>
            <w:tcW w:w="200" w:type="dxa"/>
            <w:vAlign w:val="bottom"/>
            <w:vMerge w:val="continue"/>
          </w:tcPr>
          <w:p>
            <w:pPr>
              <w:spacing w:after="0"/>
              <w:rPr>
                <w:sz w:val="12"/>
                <w:szCs w:val="12"/>
                <w:color w:val="auto"/>
              </w:rPr>
            </w:pPr>
          </w:p>
        </w:tc>
        <w:tc>
          <w:tcPr>
            <w:tcW w:w="2820" w:type="dxa"/>
            <w:vAlign w:val="bottom"/>
            <w:tcBorders>
              <w:right w:val="single" w:sz="8" w:color="83AD40"/>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980" w:type="dxa"/>
            <w:vAlign w:val="bottom"/>
            <w:vMerge w:val="restart"/>
          </w:tcPr>
          <w:p>
            <w:pPr>
              <w:ind w:left="20"/>
              <w:spacing w:after="0"/>
              <w:rPr>
                <w:sz w:val="20"/>
                <w:szCs w:val="20"/>
                <w:color w:val="auto"/>
              </w:rPr>
            </w:pPr>
            <w:r>
              <w:rPr>
                <w:rFonts w:ascii="Arial" w:cs="Arial" w:eastAsia="Arial" w:hAnsi="Arial"/>
                <w:sz w:val="16"/>
                <w:szCs w:val="16"/>
                <w:color w:val="auto"/>
              </w:rPr>
              <w:t>• Proxy access bylaw provision</w:t>
            </w:r>
          </w:p>
        </w:tc>
        <w:tc>
          <w:tcPr>
            <w:tcW w:w="0" w:type="dxa"/>
            <w:vAlign w:val="bottom"/>
          </w:tcPr>
          <w:p>
            <w:pPr>
              <w:spacing w:after="0"/>
              <w:rPr>
                <w:sz w:val="1"/>
                <w:szCs w:val="1"/>
                <w:color w:val="auto"/>
              </w:rPr>
            </w:pPr>
          </w:p>
        </w:tc>
      </w:tr>
      <w:tr>
        <w:trPr>
          <w:trHeight w:val="68"/>
        </w:trPr>
        <w:tc>
          <w:tcPr>
            <w:tcW w:w="2780" w:type="dxa"/>
            <w:vAlign w:val="bottom"/>
            <w:vMerge w:val="continue"/>
          </w:tcPr>
          <w:p>
            <w:pPr>
              <w:spacing w:after="0"/>
              <w:rPr>
                <w:sz w:val="5"/>
                <w:szCs w:val="5"/>
                <w:color w:val="auto"/>
              </w:rPr>
            </w:pPr>
          </w:p>
        </w:tc>
        <w:tc>
          <w:tcPr>
            <w:tcW w:w="200" w:type="dxa"/>
            <w:vAlign w:val="bottom"/>
            <w:tcBorders>
              <w:right w:val="single" w:sz="8" w:color="83AD40"/>
            </w:tcBorders>
          </w:tcPr>
          <w:p>
            <w:pPr>
              <w:spacing w:after="0"/>
              <w:rPr>
                <w:sz w:val="5"/>
                <w:szCs w:val="5"/>
                <w:color w:val="auto"/>
              </w:rPr>
            </w:pPr>
          </w:p>
        </w:tc>
        <w:tc>
          <w:tcPr>
            <w:tcW w:w="200" w:type="dxa"/>
            <w:vAlign w:val="bottom"/>
          </w:tcPr>
          <w:p>
            <w:pPr>
              <w:spacing w:after="0"/>
              <w:rPr>
                <w:sz w:val="5"/>
                <w:szCs w:val="5"/>
                <w:color w:val="auto"/>
              </w:rPr>
            </w:pPr>
          </w:p>
        </w:tc>
        <w:tc>
          <w:tcPr>
            <w:tcW w:w="2820" w:type="dxa"/>
            <w:vAlign w:val="bottom"/>
            <w:tcBorders>
              <w:right w:val="single" w:sz="8" w:color="83AD40"/>
            </w:tcBorders>
          </w:tcPr>
          <w:p>
            <w:pPr>
              <w:spacing w:after="0"/>
              <w:rPr>
                <w:sz w:val="5"/>
                <w:szCs w:val="5"/>
                <w:color w:val="auto"/>
              </w:rPr>
            </w:pPr>
          </w:p>
        </w:tc>
        <w:tc>
          <w:tcPr>
            <w:tcW w:w="80" w:type="dxa"/>
            <w:vAlign w:val="bottom"/>
          </w:tcPr>
          <w:p>
            <w:pPr>
              <w:spacing w:after="0"/>
              <w:rPr>
                <w:sz w:val="5"/>
                <w:szCs w:val="5"/>
                <w:color w:val="auto"/>
              </w:rPr>
            </w:pPr>
          </w:p>
        </w:tc>
        <w:tc>
          <w:tcPr>
            <w:tcW w:w="2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780" w:type="dxa"/>
            <w:vAlign w:val="bottom"/>
          </w:tcPr>
          <w:p>
            <w:pPr>
              <w:spacing w:after="0"/>
              <w:rPr>
                <w:sz w:val="8"/>
                <w:szCs w:val="8"/>
                <w:color w:val="auto"/>
              </w:rPr>
            </w:pPr>
          </w:p>
        </w:tc>
        <w:tc>
          <w:tcPr>
            <w:tcW w:w="200" w:type="dxa"/>
            <w:vAlign w:val="bottom"/>
            <w:tcBorders>
              <w:right w:val="single" w:sz="8" w:color="83AD40"/>
            </w:tcBorders>
          </w:tcPr>
          <w:p>
            <w:pPr>
              <w:spacing w:after="0"/>
              <w:rPr>
                <w:sz w:val="8"/>
                <w:szCs w:val="8"/>
                <w:color w:val="auto"/>
              </w:rPr>
            </w:pPr>
          </w:p>
        </w:tc>
        <w:tc>
          <w:tcPr>
            <w:tcW w:w="200" w:type="dxa"/>
            <w:vAlign w:val="bottom"/>
          </w:tcPr>
          <w:p>
            <w:pPr>
              <w:spacing w:after="0"/>
              <w:rPr>
                <w:sz w:val="8"/>
                <w:szCs w:val="8"/>
                <w:color w:val="auto"/>
              </w:rPr>
            </w:pPr>
          </w:p>
        </w:tc>
        <w:tc>
          <w:tcPr>
            <w:tcW w:w="2820" w:type="dxa"/>
            <w:vAlign w:val="bottom"/>
            <w:tcBorders>
              <w:right w:val="single" w:sz="8" w:color="83AD40"/>
            </w:tcBorders>
          </w:tcPr>
          <w:p>
            <w:pPr>
              <w:spacing w:after="0"/>
              <w:rPr>
                <w:sz w:val="8"/>
                <w:szCs w:val="8"/>
                <w:color w:val="auto"/>
              </w:rPr>
            </w:pPr>
          </w:p>
        </w:tc>
        <w:tc>
          <w:tcPr>
            <w:tcW w:w="80" w:type="dxa"/>
            <w:vAlign w:val="bottom"/>
          </w:tcPr>
          <w:p>
            <w:pPr>
              <w:spacing w:after="0"/>
              <w:rPr>
                <w:sz w:val="8"/>
                <w:szCs w:val="8"/>
                <w:color w:val="auto"/>
              </w:rPr>
            </w:pPr>
          </w:p>
        </w:tc>
        <w:tc>
          <w:tcPr>
            <w:tcW w:w="2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5"/>
        </w:trPr>
        <w:tc>
          <w:tcPr>
            <w:tcW w:w="2780" w:type="dxa"/>
            <w:vAlign w:val="bottom"/>
            <w:tcBorders>
              <w:bottom w:val="single" w:sz="8" w:color="83AD40"/>
            </w:tcBorders>
          </w:tcPr>
          <w:p>
            <w:pPr>
              <w:spacing w:after="0"/>
              <w:rPr>
                <w:sz w:val="21"/>
                <w:szCs w:val="21"/>
                <w:color w:val="auto"/>
              </w:rPr>
            </w:pPr>
          </w:p>
        </w:tc>
        <w:tc>
          <w:tcPr>
            <w:tcW w:w="200" w:type="dxa"/>
            <w:vAlign w:val="bottom"/>
            <w:tcBorders>
              <w:bottom w:val="single" w:sz="8" w:color="83AD40"/>
              <w:right w:val="single" w:sz="8" w:color="83AD40"/>
            </w:tcBorders>
          </w:tcPr>
          <w:p>
            <w:pPr>
              <w:spacing w:after="0"/>
              <w:rPr>
                <w:sz w:val="21"/>
                <w:szCs w:val="21"/>
                <w:color w:val="auto"/>
              </w:rPr>
            </w:pPr>
          </w:p>
        </w:tc>
        <w:tc>
          <w:tcPr>
            <w:tcW w:w="200" w:type="dxa"/>
            <w:vAlign w:val="bottom"/>
            <w:tcBorders>
              <w:bottom w:val="single" w:sz="8" w:color="83AD40"/>
            </w:tcBorders>
          </w:tcPr>
          <w:p>
            <w:pPr>
              <w:spacing w:after="0"/>
              <w:rPr>
                <w:sz w:val="21"/>
                <w:szCs w:val="21"/>
                <w:color w:val="auto"/>
              </w:rPr>
            </w:pPr>
          </w:p>
        </w:tc>
        <w:tc>
          <w:tcPr>
            <w:tcW w:w="2820" w:type="dxa"/>
            <w:vAlign w:val="bottom"/>
            <w:tcBorders>
              <w:bottom w:val="single" w:sz="8" w:color="83AD40"/>
              <w:right w:val="single" w:sz="8" w:color="83AD40"/>
            </w:tcBorders>
          </w:tcPr>
          <w:p>
            <w:pPr>
              <w:spacing w:after="0"/>
              <w:rPr>
                <w:sz w:val="21"/>
                <w:szCs w:val="21"/>
                <w:color w:val="auto"/>
              </w:rPr>
            </w:pPr>
          </w:p>
        </w:tc>
        <w:tc>
          <w:tcPr>
            <w:tcW w:w="80" w:type="dxa"/>
            <w:vAlign w:val="bottom"/>
            <w:tcBorders>
              <w:bottom w:val="single" w:sz="8" w:color="83AD40"/>
            </w:tcBorders>
          </w:tcPr>
          <w:p>
            <w:pPr>
              <w:spacing w:after="0"/>
              <w:rPr>
                <w:sz w:val="21"/>
                <w:szCs w:val="21"/>
                <w:color w:val="auto"/>
              </w:rPr>
            </w:pPr>
          </w:p>
        </w:tc>
        <w:tc>
          <w:tcPr>
            <w:tcW w:w="2980" w:type="dxa"/>
            <w:vAlign w:val="bottom"/>
            <w:tcBorders>
              <w:bottom w:val="single" w:sz="8" w:color="83AD4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Board Oversight of Strategy</w:t>
      </w:r>
    </w:p>
    <w:p>
      <w:pPr>
        <w:spacing w:after="0" w:line="133" w:lineRule="exact"/>
        <w:rPr>
          <w:sz w:val="20"/>
          <w:szCs w:val="20"/>
          <w:color w:val="auto"/>
        </w:rPr>
      </w:pPr>
    </w:p>
    <w:p>
      <w:pPr>
        <w:ind w:left="820" w:right="260"/>
        <w:spacing w:after="0" w:line="321" w:lineRule="auto"/>
        <w:rPr>
          <w:sz w:val="20"/>
          <w:szCs w:val="20"/>
          <w:color w:val="auto"/>
        </w:rPr>
      </w:pPr>
      <w:r>
        <w:rPr>
          <w:rFonts w:ascii="Arial" w:cs="Arial" w:eastAsia="Arial" w:hAnsi="Arial"/>
          <w:sz w:val="16"/>
          <w:szCs w:val="16"/>
          <w:color w:val="auto"/>
        </w:rPr>
        <w:t>One of the most important functions of the Board relates to its role in formulating and overseeing the execution of our business strategy. In order to do this, the Board:</w:t>
      </w:r>
    </w:p>
    <w:p>
      <w:pPr>
        <w:spacing w:after="0" w:line="88" w:lineRule="exact"/>
        <w:rPr>
          <w:sz w:val="20"/>
          <w:szCs w:val="20"/>
          <w:color w:val="auto"/>
        </w:rPr>
      </w:pPr>
    </w:p>
    <w:p>
      <w:pPr>
        <w:ind w:left="1000" w:right="540" w:hanging="184"/>
        <w:spacing w:after="0" w:line="286" w:lineRule="auto"/>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actively participates with management in the formulation and refinement of our business strategy to help ensure that our strategic goals are thoughtfully constructed and well-articulated;</w:t>
      </w:r>
    </w:p>
    <w:p>
      <w:pPr>
        <w:spacing w:after="0" w:line="7" w:lineRule="exact"/>
        <w:rPr>
          <w:rFonts w:ascii="Arial" w:cs="Arial" w:eastAsia="Arial" w:hAnsi="Arial"/>
          <w:sz w:val="16"/>
          <w:szCs w:val="16"/>
          <w:color w:val="auto"/>
        </w:rPr>
      </w:pPr>
    </w:p>
    <w:p>
      <w:pPr>
        <w:ind w:left="1000" w:right="120" w:hanging="184"/>
        <w:spacing w:after="0" w:line="290" w:lineRule="auto"/>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periodically meets with our management and external advisors in full day or multi-day sessions focused on long-term strategic planning;</w:t>
      </w:r>
    </w:p>
    <w:p>
      <w:pPr>
        <w:ind w:left="1000" w:right="460" w:hanging="184"/>
        <w:spacing w:after="0" w:line="299" w:lineRule="auto"/>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no less than quarterly, receives updates from management regarding progress toward strategic goals, changes in market conditions, and external opportunities and challenges in order to assist our management;</w:t>
      </w:r>
    </w:p>
    <w:p>
      <w:pPr>
        <w:ind w:left="1000" w:hanging="184"/>
        <w:spacing w:after="0"/>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monitors and evaluates performance and actively engages with senior management;</w:t>
      </w:r>
    </w:p>
    <w:p>
      <w:pPr>
        <w:spacing w:after="0" w:line="59" w:lineRule="exact"/>
        <w:rPr>
          <w:rFonts w:ascii="Arial" w:cs="Arial" w:eastAsia="Arial" w:hAnsi="Arial"/>
          <w:sz w:val="16"/>
          <w:szCs w:val="16"/>
          <w:color w:val="auto"/>
        </w:rPr>
      </w:pPr>
    </w:p>
    <w:p>
      <w:pPr>
        <w:ind w:left="1000" w:right="100" w:hanging="184"/>
        <w:spacing w:after="0" w:line="299" w:lineRule="auto"/>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discusses aspects of our business strategy at every meeting, and includes key elements of our strategy in the work performed by the committees of the Board; and</w:t>
      </w:r>
    </w:p>
    <w:p>
      <w:pPr>
        <w:ind w:left="1000" w:hanging="184"/>
        <w:spacing w:after="0"/>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oversees financial and operational performance, including sustainability, social and governance goals, and related metrics.</w:t>
      </w:r>
    </w:p>
    <w:p>
      <w:pPr>
        <w:spacing w:after="0" w:line="235" w:lineRule="exact"/>
        <w:rPr>
          <w:sz w:val="20"/>
          <w:szCs w:val="20"/>
          <w:color w:val="auto"/>
        </w:rPr>
      </w:pPr>
    </w:p>
    <w:p>
      <w:pPr>
        <w:ind w:left="820" w:right="320"/>
        <w:spacing w:after="0" w:line="321" w:lineRule="auto"/>
        <w:rPr>
          <w:sz w:val="20"/>
          <w:szCs w:val="20"/>
          <w:color w:val="auto"/>
        </w:rPr>
      </w:pPr>
      <w:r>
        <w:rPr>
          <w:rFonts w:ascii="Arial" w:cs="Arial" w:eastAsia="Arial" w:hAnsi="Arial"/>
          <w:sz w:val="16"/>
          <w:szCs w:val="16"/>
          <w:color w:val="auto"/>
        </w:rPr>
        <w:t>The Board believes that, through these ongoing efforts, it is able to focus on our performance over the short, intermediate and long term to secure the continuing health and success of the business for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3052445</wp:posOffset>
            </wp:positionV>
            <wp:extent cx="683196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p>
      <w:pPr>
        <w:ind w:left="820"/>
        <w:spacing w:after="0"/>
        <w:tabs>
          <w:tab w:leader="none" w:pos="1440" w:val="left"/>
          <w:tab w:leader="none" w:pos="9860" w:val="left"/>
        </w:tabs>
        <w:rPr>
          <w:sz w:val="20"/>
          <w:szCs w:val="20"/>
          <w:color w:val="auto"/>
        </w:rPr>
      </w:pPr>
      <w:r>
        <w:rPr>
          <w:rFonts w:ascii="Arial" w:cs="Arial" w:eastAsia="Arial" w:hAnsi="Arial"/>
          <w:sz w:val="22"/>
          <w:szCs w:val="22"/>
          <w:b w:val="1"/>
          <w:bCs w:val="1"/>
          <w:color w:val="1F2668"/>
        </w:rPr>
        <w:t>​30</w:t>
      </w:r>
      <w:r>
        <w:rPr>
          <w:sz w:val="20"/>
          <w:szCs w:val="20"/>
          <w:color w:val="auto"/>
        </w:rPr>
        <w:tab/>
      </w:r>
      <w:r>
        <w:rPr>
          <w:rFonts w:ascii="Arial" w:cs="Arial" w:eastAsia="Arial" w:hAnsi="Arial"/>
          <w:sz w:val="22"/>
          <w:szCs w:val="22"/>
          <w:b w:val="1"/>
          <w:bCs w:val="1"/>
          <w:color w:val="1F2668"/>
        </w:rPr>
        <w:t xml:space="preserve">​ ​ </w:t>
      </w:r>
      <w:r>
        <w:rPr>
          <w:rFonts w:ascii="Arial" w:cs="Arial" w:eastAsia="Arial" w:hAnsi="Arial"/>
          <w:sz w:val="14"/>
          <w:szCs w:val="14"/>
          <w:b w:val="1"/>
          <w:bCs w:val="1"/>
          <w:color w:val="1F2668"/>
        </w:rPr>
        <w:t>SL GREEN REALTY CORP. 2025 PROXY STATEMENT</w:t>
      </w:r>
      <w:r>
        <w:rPr>
          <w:sz w:val="20"/>
          <w:szCs w:val="20"/>
          <w:color w:val="auto"/>
        </w:rPr>
        <w:tab/>
      </w:r>
      <w:r>
        <w:rPr>
          <w:rFonts w:ascii="Arial" w:cs="Arial" w:eastAsia="Arial" w:hAnsi="Arial"/>
          <w:sz w:val="22"/>
          <w:szCs w:val="22"/>
          <w:b w:val="1"/>
          <w:bCs w:val="1"/>
          <w:color w:val="1F2668"/>
        </w:rPr>
        <w:t>​</w:t>
      </w:r>
    </w:p>
    <w:p>
      <w:pPr>
        <w:spacing w:after="0" w:line="200" w:lineRule="exact"/>
        <w:rPr>
          <w:sz w:val="20"/>
          <w:szCs w:val="20"/>
          <w:color w:val="auto"/>
        </w:rPr>
      </w:pPr>
    </w:p>
    <w:p>
      <w:pPr>
        <w:spacing w:after="0" w:line="285"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Enterprise Risk Management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41910</wp:posOffset>
            </wp:positionV>
            <wp:extent cx="5760720" cy="44488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760720" cy="444881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p>
      <w:pPr>
        <w:spacing w:after="0" w:line="93"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w:t>
      </w:r>
    </w:p>
    <w:p>
      <w:pPr>
        <w:ind w:left="960"/>
        <w:spacing w:after="0" w:line="180" w:lineRule="auto"/>
        <w:rPr>
          <w:sz w:val="20"/>
          <w:szCs w:val="20"/>
          <w:color w:val="auto"/>
        </w:rPr>
      </w:pPr>
      <w:r>
        <w:rPr>
          <w:rFonts w:ascii="Arial" w:cs="Arial" w:eastAsia="Arial" w:hAnsi="Arial"/>
          <w:sz w:val="14"/>
          <w:szCs w:val="14"/>
          <w:color w:val="FFFFFF"/>
        </w:rPr>
        <w:t>​</w:t>
      </w:r>
    </w:p>
    <w:p>
      <w:pPr>
        <w:ind w:left="960"/>
        <w:spacing w:after="0"/>
        <w:rPr>
          <w:sz w:val="20"/>
          <w:szCs w:val="20"/>
          <w:color w:val="auto"/>
        </w:rPr>
      </w:pPr>
      <w:r>
        <w:rPr>
          <w:rFonts w:ascii="Arial" w:cs="Arial" w:eastAsia="Arial" w:hAnsi="Arial"/>
          <w:sz w:val="20"/>
          <w:szCs w:val="20"/>
          <w:b w:val="1"/>
          <w:bCs w:val="1"/>
          <w:color w:val="FFFFFF"/>
        </w:rPr>
        <w:t>Board</w:t>
      </w:r>
      <w:r>
        <w:rPr>
          <w:rFonts w:ascii="Arial" w:cs="Arial" w:eastAsia="Arial" w:hAnsi="Arial"/>
          <w:sz w:val="16"/>
          <w:szCs w:val="16"/>
          <w:color w:val="000000"/>
        </w:rPr>
        <w:t>​</w:t>
      </w:r>
    </w:p>
    <w:p>
      <w:pPr>
        <w:spacing w:after="0" w:line="111" w:lineRule="exact"/>
        <w:rPr>
          <w:sz w:val="20"/>
          <w:szCs w:val="20"/>
          <w:color w:val="auto"/>
        </w:rPr>
      </w:pPr>
    </w:p>
    <w:p>
      <w:pPr>
        <w:ind w:left="960"/>
        <w:spacing w:after="0" w:line="268" w:lineRule="auto"/>
        <w:rPr>
          <w:sz w:val="20"/>
          <w:szCs w:val="20"/>
          <w:color w:val="auto"/>
        </w:rPr>
      </w:pPr>
      <w:r>
        <w:rPr>
          <w:rFonts w:ascii="Arial" w:cs="Arial" w:eastAsia="Arial" w:hAnsi="Arial"/>
          <w:sz w:val="16"/>
          <w:szCs w:val="16"/>
          <w:color w:val="FFFFFF"/>
        </w:rPr>
        <w:t>The Board is responsible for overseeing the Company’s risk management process. Both directly and through its committees, the Board focuses on the Company’s general risk management strategy and the most significant risks facing the Company and ensures that appropriate risk mitigation strategies are implemented by management. In particular, the Board focuses on overseeing risks relating to the financial health of the Company, including the structure, composition and amount of our debt, broad market and portfolio conditions, status of development projects, ESG issues, succession planning and other material risks facing the Company.</w:t>
      </w:r>
    </w:p>
    <w:p>
      <w:pPr>
        <w:spacing w:after="0" w:line="24"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right"/>
        <w:ind w:right="60"/>
        <w:spacing w:after="0"/>
        <w:rPr>
          <w:sz w:val="20"/>
          <w:szCs w:val="20"/>
          <w:color w:val="auto"/>
        </w:rPr>
      </w:pPr>
      <w:r>
        <w:rPr>
          <w:rFonts w:ascii="Arial" w:cs="Arial" w:eastAsia="Arial" w:hAnsi="Arial"/>
          <w:sz w:val="22"/>
          <w:szCs w:val="22"/>
          <w:color w:val="auto"/>
        </w:rPr>
        <w:t>​</w:t>
      </w:r>
    </w:p>
    <w:p>
      <w:pPr>
        <w:spacing w:after="0" w:line="18"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ind w:right="60"/>
        <w:spacing w:after="0"/>
        <w:rPr>
          <w:sz w:val="20"/>
          <w:szCs w:val="20"/>
          <w:color w:val="auto"/>
        </w:rPr>
      </w:pPr>
      <w:r>
        <w:rPr>
          <w:rFonts w:ascii="Arial" w:cs="Arial" w:eastAsia="Arial" w:hAnsi="Arial"/>
          <w:sz w:val="22"/>
          <w:szCs w:val="22"/>
          <w:color w:val="auto"/>
        </w:rPr>
        <w:t>​</w:t>
      </w:r>
    </w:p>
    <w:p>
      <w:pPr>
        <w:spacing w:after="0" w:line="184" w:lineRule="exact"/>
        <w:rPr>
          <w:sz w:val="20"/>
          <w:szCs w:val="20"/>
          <w:color w:val="auto"/>
        </w:rPr>
      </w:pPr>
    </w:p>
    <w:p>
      <w:pPr>
        <w:sectPr>
          <w:pgSz w:w="11900" w:h="16838" w:orient="portrait"/>
          <w:cols w:equalWidth="0" w:num="2">
            <w:col w:w="9500" w:space="200"/>
            <w:col w:w="240"/>
          </w:cols>
          <w:pgMar w:left="580" w:top="97" w:right="1379" w:bottom="1440" w:gutter="0" w:footer="0" w:header="0"/>
          <w:type w:val="continuous"/>
        </w:sectPr>
      </w:pPr>
    </w:p>
    <w:tbl>
      <w:tblPr>
        <w:tblLayout w:type="fixed"/>
        <w:tblInd w:w="960" w:type="dxa"/>
        <w:tblCellMar>
          <w:top w:w="0" w:type="dxa"/>
          <w:left w:w="0" w:type="dxa"/>
          <w:bottom w:w="0" w:type="dxa"/>
          <w:right w:w="0" w:type="dxa"/>
        </w:tblCellMar>
      </w:tblPr>
      <w:tr>
        <w:trPr>
          <w:trHeight w:val="184"/>
        </w:trPr>
        <w:tc>
          <w:tcPr>
            <w:tcW w:w="2740" w:type="dxa"/>
            <w:vAlign w:val="bottom"/>
          </w:tcPr>
          <w:p>
            <w:pPr>
              <w:spacing w:after="0"/>
              <w:rPr>
                <w:sz w:val="20"/>
                <w:szCs w:val="20"/>
                <w:color w:val="auto"/>
              </w:rPr>
            </w:pPr>
            <w:r>
              <w:rPr>
                <w:rFonts w:ascii="Arial" w:cs="Arial" w:eastAsia="Arial" w:hAnsi="Arial"/>
                <w:sz w:val="16"/>
                <w:szCs w:val="16"/>
                <w:color w:val="auto"/>
              </w:rPr>
              <w:t>​</w:t>
            </w:r>
          </w:p>
        </w:tc>
        <w:tc>
          <w:tcPr>
            <w:tcW w:w="320" w:type="dxa"/>
            <w:vAlign w:val="bottom"/>
          </w:tcPr>
          <w:p>
            <w:pPr>
              <w:ind w:left="220"/>
              <w:spacing w:after="0"/>
              <w:rPr>
                <w:sz w:val="20"/>
                <w:szCs w:val="20"/>
                <w:color w:val="auto"/>
              </w:rPr>
            </w:pPr>
            <w:r>
              <w:rPr>
                <w:rFonts w:ascii="Arial" w:cs="Arial" w:eastAsia="Arial" w:hAnsi="Arial"/>
                <w:sz w:val="16"/>
                <w:szCs w:val="16"/>
                <w:color w:val="auto"/>
              </w:rPr>
              <w:t>​</w:t>
            </w:r>
          </w:p>
        </w:tc>
        <w:tc>
          <w:tcPr>
            <w:tcW w:w="2600" w:type="dxa"/>
            <w:vAlign w:val="bottom"/>
            <w:vMerge w:val="restart"/>
          </w:tcPr>
          <w:p>
            <w:pPr>
              <w:ind w:left="20"/>
              <w:spacing w:after="0"/>
              <w:rPr>
                <w:sz w:val="20"/>
                <w:szCs w:val="20"/>
                <w:color w:val="auto"/>
              </w:rPr>
            </w:pPr>
            <w:r>
              <w:rPr>
                <w:rFonts w:ascii="Arial" w:cs="Arial" w:eastAsia="Arial" w:hAnsi="Arial"/>
                <w:sz w:val="20"/>
                <w:szCs w:val="20"/>
                <w:b w:val="1"/>
                <w:bCs w:val="1"/>
                <w:color w:val="1F2668"/>
              </w:rPr>
              <w:t>Compensation Committee</w:t>
            </w:r>
          </w:p>
        </w:tc>
        <w:tc>
          <w:tcPr>
            <w:tcW w:w="260" w:type="dxa"/>
            <w:vAlign w:val="bottom"/>
          </w:tcPr>
          <w:p>
            <w:pPr>
              <w:ind w:left="180"/>
              <w:spacing w:after="0"/>
              <w:rPr>
                <w:sz w:val="20"/>
                <w:szCs w:val="20"/>
                <w:color w:val="auto"/>
              </w:rPr>
            </w:pPr>
            <w:r>
              <w:rPr>
                <w:rFonts w:ascii="Arial" w:cs="Arial" w:eastAsia="Arial" w:hAnsi="Arial"/>
                <w:sz w:val="16"/>
                <w:szCs w:val="16"/>
                <w:color w:val="auto"/>
              </w:rPr>
              <w:t>​</w:t>
            </w:r>
          </w:p>
        </w:tc>
        <w:tc>
          <w:tcPr>
            <w:tcW w:w="2660" w:type="dxa"/>
            <w:vAlign w:val="bottom"/>
            <w:vMerge w:val="restart"/>
          </w:tcPr>
          <w:p>
            <w:pPr>
              <w:ind w:left="40"/>
              <w:spacing w:after="0"/>
              <w:rPr>
                <w:sz w:val="20"/>
                <w:szCs w:val="20"/>
                <w:color w:val="auto"/>
              </w:rPr>
            </w:pPr>
            <w:r>
              <w:rPr>
                <w:rFonts w:ascii="Arial" w:cs="Arial" w:eastAsia="Arial" w:hAnsi="Arial"/>
                <w:sz w:val="20"/>
                <w:szCs w:val="20"/>
                <w:b w:val="1"/>
                <w:bCs w:val="1"/>
                <w:color w:val="1F2668"/>
              </w:rPr>
              <w:t>Nominating and Corporate</w:t>
            </w:r>
          </w:p>
        </w:tc>
        <w:tc>
          <w:tcPr>
            <w:tcW w:w="200" w:type="dxa"/>
            <w:vAlign w:val="bottom"/>
          </w:tcPr>
          <w:p>
            <w:pPr>
              <w:ind w:lef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5"/>
        </w:trPr>
        <w:tc>
          <w:tcPr>
            <w:tcW w:w="2740" w:type="dxa"/>
            <w:vAlign w:val="bottom"/>
          </w:tcPr>
          <w:p>
            <w:pPr>
              <w:spacing w:after="0" w:line="165" w:lineRule="exact"/>
              <w:rPr>
                <w:sz w:val="20"/>
                <w:szCs w:val="20"/>
                <w:color w:val="auto"/>
              </w:rPr>
            </w:pPr>
            <w:r>
              <w:rPr>
                <w:rFonts w:ascii="Arial" w:cs="Arial" w:eastAsia="Arial" w:hAnsi="Arial"/>
                <w:sz w:val="19"/>
                <w:szCs w:val="19"/>
                <w:b w:val="1"/>
                <w:bCs w:val="1"/>
                <w:color w:val="1F2668"/>
              </w:rPr>
              <w:t>Audit Committee</w:t>
            </w:r>
          </w:p>
        </w:tc>
        <w:tc>
          <w:tcPr>
            <w:tcW w:w="320" w:type="dxa"/>
            <w:vAlign w:val="bottom"/>
          </w:tcPr>
          <w:p>
            <w:pPr>
              <w:spacing w:after="0"/>
              <w:rPr>
                <w:sz w:val="14"/>
                <w:szCs w:val="14"/>
                <w:color w:val="auto"/>
              </w:rPr>
            </w:pPr>
          </w:p>
        </w:tc>
        <w:tc>
          <w:tcPr>
            <w:tcW w:w="26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740" w:type="dxa"/>
            <w:vAlign w:val="bottom"/>
            <w:vMerge w:val="restart"/>
          </w:tcPr>
          <w:p>
            <w:pPr>
              <w:spacing w:after="0"/>
              <w:rPr>
                <w:sz w:val="20"/>
                <w:szCs w:val="20"/>
                <w:color w:val="auto"/>
              </w:rPr>
            </w:pPr>
            <w:r>
              <w:rPr>
                <w:rFonts w:ascii="Arial" w:cs="Arial" w:eastAsia="Arial" w:hAnsi="Arial"/>
                <w:sz w:val="16"/>
                <w:szCs w:val="16"/>
                <w:color w:val="auto"/>
              </w:rPr>
              <w:t>• Oversees the Company’s risk</w:t>
            </w:r>
          </w:p>
        </w:tc>
        <w:tc>
          <w:tcPr>
            <w:tcW w:w="320" w:type="dxa"/>
            <w:vAlign w:val="bottom"/>
          </w:tcPr>
          <w:p>
            <w:pPr>
              <w:spacing w:after="0"/>
              <w:rPr>
                <w:sz w:val="23"/>
                <w:szCs w:val="23"/>
                <w:color w:val="auto"/>
              </w:rPr>
            </w:pPr>
          </w:p>
        </w:tc>
        <w:tc>
          <w:tcPr>
            <w:tcW w:w="2600" w:type="dxa"/>
            <w:vAlign w:val="bottom"/>
            <w:vMerge w:val="restart"/>
          </w:tcPr>
          <w:p>
            <w:pPr>
              <w:ind w:left="20"/>
              <w:spacing w:after="0"/>
              <w:rPr>
                <w:sz w:val="20"/>
                <w:szCs w:val="20"/>
                <w:color w:val="auto"/>
              </w:rPr>
            </w:pPr>
            <w:r>
              <w:rPr>
                <w:rFonts w:ascii="Arial" w:cs="Arial" w:eastAsia="Arial" w:hAnsi="Arial"/>
                <w:sz w:val="16"/>
                <w:szCs w:val="16"/>
                <w:color w:val="auto"/>
              </w:rPr>
              <w:t>• Considers potential risks to the</w:t>
            </w:r>
          </w:p>
        </w:tc>
        <w:tc>
          <w:tcPr>
            <w:tcW w:w="260" w:type="dxa"/>
            <w:vAlign w:val="bottom"/>
          </w:tcPr>
          <w:p>
            <w:pPr>
              <w:spacing w:after="0"/>
              <w:rPr>
                <w:sz w:val="23"/>
                <w:szCs w:val="23"/>
                <w:color w:val="auto"/>
              </w:rPr>
            </w:pPr>
          </w:p>
        </w:tc>
        <w:tc>
          <w:tcPr>
            <w:tcW w:w="2660" w:type="dxa"/>
            <w:vAlign w:val="bottom"/>
          </w:tcPr>
          <w:p>
            <w:pPr>
              <w:ind w:left="40"/>
              <w:spacing w:after="0"/>
              <w:rPr>
                <w:sz w:val="20"/>
                <w:szCs w:val="20"/>
                <w:color w:val="auto"/>
              </w:rPr>
            </w:pPr>
            <w:r>
              <w:rPr>
                <w:rFonts w:ascii="Arial" w:cs="Arial" w:eastAsia="Arial" w:hAnsi="Arial"/>
                <w:sz w:val="20"/>
                <w:szCs w:val="20"/>
                <w:b w:val="1"/>
                <w:bCs w:val="1"/>
                <w:color w:val="1F2668"/>
              </w:rPr>
              <w:t>Governance Committee</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274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26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160"/>
              <w:spacing w:after="0"/>
              <w:rPr>
                <w:sz w:val="20"/>
                <w:szCs w:val="20"/>
                <w:color w:val="auto"/>
              </w:rPr>
            </w:pPr>
            <w:r>
              <w:rPr>
                <w:rFonts w:ascii="Arial" w:cs="Arial" w:eastAsia="Arial" w:hAnsi="Arial"/>
                <w:sz w:val="16"/>
                <w:szCs w:val="16"/>
                <w:color w:val="auto"/>
              </w:rPr>
              <w:t>management process</w:t>
            </w:r>
          </w:p>
        </w:tc>
        <w:tc>
          <w:tcPr>
            <w:tcW w:w="320" w:type="dxa"/>
            <w:vAlign w:val="bottom"/>
          </w:tcPr>
          <w:p>
            <w:pPr>
              <w:spacing w:after="0"/>
              <w:rPr>
                <w:sz w:val="17"/>
                <w:szCs w:val="17"/>
                <w:color w:val="auto"/>
              </w:rPr>
            </w:pPr>
          </w:p>
        </w:tc>
        <w:tc>
          <w:tcPr>
            <w:tcW w:w="2600" w:type="dxa"/>
            <w:vAlign w:val="bottom"/>
          </w:tcPr>
          <w:p>
            <w:pPr>
              <w:ind w:left="180"/>
              <w:spacing w:after="0"/>
              <w:rPr>
                <w:sz w:val="20"/>
                <w:szCs w:val="20"/>
                <w:color w:val="auto"/>
              </w:rPr>
            </w:pPr>
            <w:r>
              <w:rPr>
                <w:rFonts w:ascii="Arial" w:cs="Arial" w:eastAsia="Arial" w:hAnsi="Arial"/>
                <w:sz w:val="16"/>
                <w:szCs w:val="16"/>
                <w:color w:val="auto"/>
              </w:rPr>
              <w:t>Company in its determinations</w:t>
            </w:r>
          </w:p>
        </w:tc>
        <w:tc>
          <w:tcPr>
            <w:tcW w:w="260" w:type="dxa"/>
            <w:vAlign w:val="bottom"/>
          </w:tcPr>
          <w:p>
            <w:pPr>
              <w:spacing w:after="0"/>
              <w:rPr>
                <w:sz w:val="17"/>
                <w:szCs w:val="17"/>
                <w:color w:val="auto"/>
              </w:rPr>
            </w:pPr>
          </w:p>
        </w:tc>
        <w:tc>
          <w:tcPr>
            <w:tcW w:w="2660" w:type="dxa"/>
            <w:vAlign w:val="bottom"/>
            <w:vMerge w:val="restart"/>
          </w:tcPr>
          <w:p>
            <w:pPr>
              <w:ind w:left="40"/>
              <w:spacing w:after="0"/>
              <w:rPr>
                <w:sz w:val="20"/>
                <w:szCs w:val="20"/>
                <w:color w:val="auto"/>
              </w:rPr>
            </w:pPr>
            <w:r>
              <w:rPr>
                <w:rFonts w:ascii="Arial" w:cs="Arial" w:eastAsia="Arial" w:hAnsi="Arial"/>
                <w:sz w:val="16"/>
                <w:szCs w:val="16"/>
                <w:color w:val="auto"/>
              </w:rPr>
              <w:t>• Considers potential risks to the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0" w:type="dxa"/>
            <w:vAlign w:val="bottom"/>
            <w:vMerge w:val="restart"/>
          </w:tcPr>
          <w:p>
            <w:pPr>
              <w:ind w:left="180"/>
              <w:spacing w:after="0"/>
              <w:rPr>
                <w:sz w:val="20"/>
                <w:szCs w:val="20"/>
                <w:color w:val="auto"/>
              </w:rPr>
            </w:pPr>
            <w:r>
              <w:rPr>
                <w:rFonts w:ascii="Arial" w:cs="Arial" w:eastAsia="Arial" w:hAnsi="Arial"/>
                <w:sz w:val="16"/>
                <w:szCs w:val="16"/>
                <w:color w:val="auto"/>
              </w:rPr>
              <w:t>of the overall structure of our</w:t>
            </w:r>
          </w:p>
        </w:tc>
        <w:tc>
          <w:tcPr>
            <w:tcW w:w="260" w:type="dxa"/>
            <w:vAlign w:val="bottom"/>
          </w:tcPr>
          <w:p>
            <w:pPr>
              <w:spacing w:after="0"/>
              <w:rPr>
                <w:sz w:val="5"/>
                <w:szCs w:val="5"/>
                <w:color w:val="auto"/>
              </w:rPr>
            </w:pPr>
          </w:p>
        </w:tc>
        <w:tc>
          <w:tcPr>
            <w:tcW w:w="26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740" w:type="dxa"/>
            <w:vAlign w:val="bottom"/>
            <w:vMerge w:val="restart"/>
          </w:tcPr>
          <w:p>
            <w:pPr>
              <w:spacing w:after="0"/>
              <w:rPr>
                <w:sz w:val="20"/>
                <w:szCs w:val="20"/>
                <w:color w:val="auto"/>
              </w:rPr>
            </w:pPr>
            <w:r>
              <w:rPr>
                <w:rFonts w:ascii="Arial" w:cs="Arial" w:eastAsia="Arial" w:hAnsi="Arial"/>
                <w:sz w:val="16"/>
                <w:szCs w:val="16"/>
                <w:color w:val="auto"/>
              </w:rPr>
              <w:t>• Reviews with management</w:t>
            </w:r>
          </w:p>
        </w:tc>
        <w:tc>
          <w:tcPr>
            <w:tcW w:w="320" w:type="dxa"/>
            <w:vAlign w:val="bottom"/>
          </w:tcPr>
          <w:p>
            <w:pPr>
              <w:spacing w:after="0"/>
              <w:rPr>
                <w:sz w:val="10"/>
                <w:szCs w:val="10"/>
                <w:color w:val="auto"/>
              </w:rPr>
            </w:pPr>
          </w:p>
        </w:tc>
        <w:tc>
          <w:tcPr>
            <w:tcW w:w="26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2660" w:type="dxa"/>
            <w:vAlign w:val="bottom"/>
            <w:vMerge w:val="restart"/>
          </w:tcPr>
          <w:p>
            <w:pPr>
              <w:ind w:left="200"/>
              <w:spacing w:after="0"/>
              <w:rPr>
                <w:sz w:val="20"/>
                <w:szCs w:val="20"/>
                <w:color w:val="auto"/>
              </w:rPr>
            </w:pPr>
            <w:r>
              <w:rPr>
                <w:rFonts w:ascii="Arial" w:cs="Arial" w:eastAsia="Arial" w:hAnsi="Arial"/>
                <w:sz w:val="16"/>
                <w:szCs w:val="16"/>
                <w:color w:val="auto"/>
              </w:rPr>
              <w:t>Company related to the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7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2600" w:type="dxa"/>
            <w:vAlign w:val="bottom"/>
            <w:vMerge w:val="restart"/>
          </w:tcPr>
          <w:p>
            <w:pPr>
              <w:ind w:left="180"/>
              <w:spacing w:after="0"/>
              <w:rPr>
                <w:sz w:val="20"/>
                <w:szCs w:val="20"/>
                <w:color w:val="auto"/>
              </w:rPr>
            </w:pPr>
            <w:r>
              <w:rPr>
                <w:rFonts w:ascii="Arial" w:cs="Arial" w:eastAsia="Arial" w:hAnsi="Arial"/>
                <w:sz w:val="16"/>
                <w:szCs w:val="16"/>
                <w:color w:val="auto"/>
              </w:rPr>
              <w:t>executive compensation</w:t>
            </w:r>
          </w:p>
        </w:tc>
        <w:tc>
          <w:tcPr>
            <w:tcW w:w="260" w:type="dxa"/>
            <w:vAlign w:val="bottom"/>
          </w:tcPr>
          <w:p>
            <w:pPr>
              <w:spacing w:after="0"/>
              <w:rPr>
                <w:sz w:val="7"/>
                <w:szCs w:val="7"/>
                <w:color w:val="auto"/>
              </w:rPr>
            </w:pPr>
          </w:p>
        </w:tc>
        <w:tc>
          <w:tcPr>
            <w:tcW w:w="26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740" w:type="dxa"/>
            <w:vAlign w:val="bottom"/>
            <w:vMerge w:val="restart"/>
          </w:tcPr>
          <w:p>
            <w:pPr>
              <w:ind w:left="160"/>
              <w:spacing w:after="0"/>
              <w:rPr>
                <w:sz w:val="20"/>
                <w:szCs w:val="20"/>
                <w:color w:val="auto"/>
              </w:rPr>
            </w:pPr>
            <w:r>
              <w:rPr>
                <w:rFonts w:ascii="Arial" w:cs="Arial" w:eastAsia="Arial" w:hAnsi="Arial"/>
                <w:sz w:val="16"/>
                <w:szCs w:val="16"/>
                <w:color w:val="auto"/>
              </w:rPr>
              <w:t>(a) Company policies with</w:t>
            </w:r>
          </w:p>
        </w:tc>
        <w:tc>
          <w:tcPr>
            <w:tcW w:w="320" w:type="dxa"/>
            <w:vAlign w:val="bottom"/>
          </w:tcPr>
          <w:p>
            <w:pPr>
              <w:spacing w:after="0"/>
              <w:rPr>
                <w:sz w:val="10"/>
                <w:szCs w:val="10"/>
                <w:color w:val="auto"/>
              </w:rPr>
            </w:pPr>
          </w:p>
        </w:tc>
        <w:tc>
          <w:tcPr>
            <w:tcW w:w="26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2660" w:type="dxa"/>
            <w:vAlign w:val="bottom"/>
            <w:vMerge w:val="restart"/>
          </w:tcPr>
          <w:p>
            <w:pPr>
              <w:ind w:left="200"/>
              <w:spacing w:after="0"/>
              <w:rPr>
                <w:sz w:val="20"/>
                <w:szCs w:val="20"/>
                <w:color w:val="auto"/>
              </w:rPr>
            </w:pPr>
            <w:r>
              <w:rPr>
                <w:rFonts w:ascii="Arial" w:cs="Arial" w:eastAsia="Arial" w:hAnsi="Arial"/>
                <w:sz w:val="16"/>
                <w:szCs w:val="16"/>
                <w:color w:val="auto"/>
              </w:rPr>
              <w:t>composition of the Board,</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7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600" w:type="dxa"/>
            <w:vAlign w:val="bottom"/>
            <w:vMerge w:val="restart"/>
          </w:tcPr>
          <w:p>
            <w:pPr>
              <w:ind w:left="180"/>
              <w:spacing w:after="0"/>
              <w:rPr>
                <w:sz w:val="20"/>
                <w:szCs w:val="20"/>
                <w:color w:val="auto"/>
              </w:rPr>
            </w:pPr>
            <w:r>
              <w:rPr>
                <w:rFonts w:ascii="Arial" w:cs="Arial" w:eastAsia="Arial" w:hAnsi="Arial"/>
                <w:sz w:val="16"/>
                <w:szCs w:val="16"/>
                <w:color w:val="auto"/>
              </w:rPr>
              <w:t>program, our ability to attract,</w:t>
            </w:r>
          </w:p>
        </w:tc>
        <w:tc>
          <w:tcPr>
            <w:tcW w:w="260" w:type="dxa"/>
            <w:vAlign w:val="bottom"/>
          </w:tcPr>
          <w:p>
            <w:pPr>
              <w:spacing w:after="0"/>
              <w:rPr>
                <w:sz w:val="5"/>
                <w:szCs w:val="5"/>
                <w:color w:val="auto"/>
              </w:rPr>
            </w:pPr>
          </w:p>
        </w:tc>
        <w:tc>
          <w:tcPr>
            <w:tcW w:w="26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740" w:type="dxa"/>
            <w:vAlign w:val="bottom"/>
            <w:vMerge w:val="restart"/>
          </w:tcPr>
          <w:p>
            <w:pPr>
              <w:ind w:left="160"/>
              <w:spacing w:after="0"/>
              <w:rPr>
                <w:sz w:val="20"/>
                <w:szCs w:val="20"/>
                <w:color w:val="auto"/>
              </w:rPr>
            </w:pPr>
            <w:r>
              <w:rPr>
                <w:rFonts w:ascii="Arial" w:cs="Arial" w:eastAsia="Arial" w:hAnsi="Arial"/>
                <w:sz w:val="16"/>
                <w:szCs w:val="16"/>
                <w:color w:val="auto"/>
              </w:rPr>
              <w:t>respect to risk assessment and</w:t>
            </w:r>
          </w:p>
        </w:tc>
        <w:tc>
          <w:tcPr>
            <w:tcW w:w="320" w:type="dxa"/>
            <w:vAlign w:val="bottom"/>
          </w:tcPr>
          <w:p>
            <w:pPr>
              <w:spacing w:after="0"/>
              <w:rPr>
                <w:sz w:val="11"/>
                <w:szCs w:val="11"/>
                <w:color w:val="auto"/>
              </w:rPr>
            </w:pPr>
          </w:p>
        </w:tc>
        <w:tc>
          <w:tcPr>
            <w:tcW w:w="26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2660" w:type="dxa"/>
            <w:vAlign w:val="bottom"/>
            <w:vMerge w:val="restart"/>
          </w:tcPr>
          <w:p>
            <w:pPr>
              <w:ind w:left="200"/>
              <w:spacing w:after="0"/>
              <w:rPr>
                <w:sz w:val="20"/>
                <w:szCs w:val="20"/>
                <w:color w:val="auto"/>
              </w:rPr>
            </w:pPr>
            <w:r>
              <w:rPr>
                <w:rFonts w:ascii="Arial" w:cs="Arial" w:eastAsia="Arial" w:hAnsi="Arial"/>
                <w:sz w:val="16"/>
                <w:szCs w:val="16"/>
                <w:color w:val="auto"/>
              </w:rPr>
              <w:t>including succession planning,</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7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600" w:type="dxa"/>
            <w:vAlign w:val="bottom"/>
            <w:vMerge w:val="restart"/>
          </w:tcPr>
          <w:p>
            <w:pPr>
              <w:ind w:left="180"/>
              <w:spacing w:after="0"/>
              <w:rPr>
                <w:sz w:val="20"/>
                <w:szCs w:val="20"/>
                <w:color w:val="auto"/>
              </w:rPr>
            </w:pPr>
            <w:r>
              <w:rPr>
                <w:rFonts w:ascii="Arial" w:cs="Arial" w:eastAsia="Arial" w:hAnsi="Arial"/>
                <w:sz w:val="16"/>
                <w:szCs w:val="16"/>
                <w:color w:val="auto"/>
              </w:rPr>
              <w:t>retain and motivate our</w:t>
            </w:r>
          </w:p>
        </w:tc>
        <w:tc>
          <w:tcPr>
            <w:tcW w:w="260" w:type="dxa"/>
            <w:vAlign w:val="bottom"/>
          </w:tcPr>
          <w:p>
            <w:pPr>
              <w:spacing w:after="0"/>
              <w:rPr>
                <w:sz w:val="5"/>
                <w:szCs w:val="5"/>
                <w:color w:val="auto"/>
              </w:rPr>
            </w:pPr>
          </w:p>
        </w:tc>
        <w:tc>
          <w:tcPr>
            <w:tcW w:w="26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740" w:type="dxa"/>
            <w:vAlign w:val="bottom"/>
            <w:vMerge w:val="restart"/>
          </w:tcPr>
          <w:p>
            <w:pPr>
              <w:ind w:left="160"/>
              <w:spacing w:after="0"/>
              <w:rPr>
                <w:sz w:val="20"/>
                <w:szCs w:val="20"/>
                <w:color w:val="auto"/>
              </w:rPr>
            </w:pPr>
            <w:r>
              <w:rPr>
                <w:rFonts w:ascii="Arial" w:cs="Arial" w:eastAsia="Arial" w:hAnsi="Arial"/>
                <w:sz w:val="16"/>
                <w:szCs w:val="16"/>
                <w:color w:val="auto"/>
              </w:rPr>
              <w:t>management of risks that may be</w:t>
            </w:r>
          </w:p>
        </w:tc>
        <w:tc>
          <w:tcPr>
            <w:tcW w:w="320" w:type="dxa"/>
            <w:vAlign w:val="bottom"/>
          </w:tcPr>
          <w:p>
            <w:pPr>
              <w:spacing w:after="0"/>
              <w:rPr>
                <w:sz w:val="10"/>
                <w:szCs w:val="10"/>
                <w:color w:val="auto"/>
              </w:rPr>
            </w:pPr>
          </w:p>
        </w:tc>
        <w:tc>
          <w:tcPr>
            <w:tcW w:w="26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2660" w:type="dxa"/>
            <w:vAlign w:val="bottom"/>
            <w:vMerge w:val="restart"/>
          </w:tcPr>
          <w:p>
            <w:pPr>
              <w:ind w:left="200"/>
              <w:spacing w:after="0"/>
              <w:rPr>
                <w:sz w:val="20"/>
                <w:szCs w:val="20"/>
                <w:color w:val="auto"/>
              </w:rPr>
            </w:pPr>
            <w:r>
              <w:rPr>
                <w:rFonts w:ascii="Arial" w:cs="Arial" w:eastAsia="Arial" w:hAnsi="Arial"/>
                <w:sz w:val="16"/>
                <w:szCs w:val="16"/>
                <w:color w:val="auto"/>
              </w:rPr>
              <w:t>ESG matters, compliance with</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7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2600" w:type="dxa"/>
            <w:vAlign w:val="bottom"/>
            <w:vMerge w:val="restart"/>
          </w:tcPr>
          <w:p>
            <w:pPr>
              <w:ind w:left="180"/>
              <w:spacing w:after="0"/>
              <w:rPr>
                <w:sz w:val="20"/>
                <w:szCs w:val="20"/>
                <w:color w:val="auto"/>
              </w:rPr>
            </w:pPr>
            <w:r>
              <w:rPr>
                <w:rFonts w:ascii="Arial" w:cs="Arial" w:eastAsia="Arial" w:hAnsi="Arial"/>
                <w:sz w:val="16"/>
                <w:szCs w:val="16"/>
                <w:color w:val="auto"/>
              </w:rPr>
              <w:t>management team, the specific</w:t>
            </w:r>
          </w:p>
        </w:tc>
        <w:tc>
          <w:tcPr>
            <w:tcW w:w="260" w:type="dxa"/>
            <w:vAlign w:val="bottom"/>
          </w:tcPr>
          <w:p>
            <w:pPr>
              <w:spacing w:after="0"/>
              <w:rPr>
                <w:sz w:val="7"/>
                <w:szCs w:val="7"/>
                <w:color w:val="auto"/>
              </w:rPr>
            </w:pPr>
          </w:p>
        </w:tc>
        <w:tc>
          <w:tcPr>
            <w:tcW w:w="26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740" w:type="dxa"/>
            <w:vAlign w:val="bottom"/>
            <w:vMerge w:val="restart"/>
          </w:tcPr>
          <w:p>
            <w:pPr>
              <w:ind w:left="160"/>
              <w:spacing w:after="0"/>
              <w:rPr>
                <w:sz w:val="20"/>
                <w:szCs w:val="20"/>
                <w:color w:val="auto"/>
              </w:rPr>
            </w:pPr>
            <w:r>
              <w:rPr>
                <w:rFonts w:ascii="Arial" w:cs="Arial" w:eastAsia="Arial" w:hAnsi="Arial"/>
                <w:sz w:val="16"/>
                <w:szCs w:val="16"/>
                <w:color w:val="auto"/>
              </w:rPr>
              <w:t>material to the Company,</w:t>
            </w:r>
          </w:p>
        </w:tc>
        <w:tc>
          <w:tcPr>
            <w:tcW w:w="320" w:type="dxa"/>
            <w:vAlign w:val="bottom"/>
          </w:tcPr>
          <w:p>
            <w:pPr>
              <w:spacing w:after="0"/>
              <w:rPr>
                <w:sz w:val="10"/>
                <w:szCs w:val="10"/>
                <w:color w:val="auto"/>
              </w:rPr>
            </w:pPr>
          </w:p>
        </w:tc>
        <w:tc>
          <w:tcPr>
            <w:tcW w:w="26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2660" w:type="dxa"/>
            <w:vAlign w:val="bottom"/>
            <w:vMerge w:val="restart"/>
          </w:tcPr>
          <w:p>
            <w:pPr>
              <w:ind w:left="200"/>
              <w:spacing w:after="0"/>
              <w:rPr>
                <w:sz w:val="20"/>
                <w:szCs w:val="20"/>
                <w:color w:val="auto"/>
              </w:rPr>
            </w:pPr>
            <w:r>
              <w:rPr>
                <w:rFonts w:ascii="Arial" w:cs="Arial" w:eastAsia="Arial" w:hAnsi="Arial"/>
                <w:sz w:val="16"/>
                <w:szCs w:val="16"/>
                <w:color w:val="auto"/>
              </w:rPr>
              <w:t>corporate governance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7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600" w:type="dxa"/>
            <w:vAlign w:val="bottom"/>
            <w:vMerge w:val="restart"/>
          </w:tcPr>
          <w:p>
            <w:pPr>
              <w:ind w:left="180"/>
              <w:spacing w:after="0"/>
              <w:rPr>
                <w:sz w:val="20"/>
                <w:szCs w:val="20"/>
                <w:color w:val="auto"/>
              </w:rPr>
            </w:pPr>
            <w:r>
              <w:rPr>
                <w:rFonts w:ascii="Arial" w:cs="Arial" w:eastAsia="Arial" w:hAnsi="Arial"/>
                <w:sz w:val="16"/>
                <w:szCs w:val="16"/>
                <w:color w:val="auto"/>
              </w:rPr>
              <w:t>goals it establishes for our</w:t>
            </w:r>
          </w:p>
        </w:tc>
        <w:tc>
          <w:tcPr>
            <w:tcW w:w="260" w:type="dxa"/>
            <w:vAlign w:val="bottom"/>
          </w:tcPr>
          <w:p>
            <w:pPr>
              <w:spacing w:after="0"/>
              <w:rPr>
                <w:sz w:val="5"/>
                <w:szCs w:val="5"/>
                <w:color w:val="auto"/>
              </w:rPr>
            </w:pPr>
          </w:p>
        </w:tc>
        <w:tc>
          <w:tcPr>
            <w:tcW w:w="26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740" w:type="dxa"/>
            <w:vAlign w:val="bottom"/>
            <w:vMerge w:val="restart"/>
          </w:tcPr>
          <w:p>
            <w:pPr>
              <w:ind w:left="160"/>
              <w:spacing w:after="0"/>
              <w:rPr>
                <w:sz w:val="20"/>
                <w:szCs w:val="20"/>
                <w:color w:val="auto"/>
              </w:rPr>
            </w:pPr>
            <w:r>
              <w:rPr>
                <w:rFonts w:ascii="Arial" w:cs="Arial" w:eastAsia="Arial" w:hAnsi="Arial"/>
                <w:sz w:val="16"/>
                <w:szCs w:val="16"/>
                <w:color w:val="auto"/>
              </w:rPr>
              <w:t>(b) disclosure controls and</w:t>
            </w:r>
          </w:p>
        </w:tc>
        <w:tc>
          <w:tcPr>
            <w:tcW w:w="320" w:type="dxa"/>
            <w:vAlign w:val="bottom"/>
          </w:tcPr>
          <w:p>
            <w:pPr>
              <w:spacing w:after="0"/>
              <w:rPr>
                <w:sz w:val="11"/>
                <w:szCs w:val="11"/>
                <w:color w:val="auto"/>
              </w:rPr>
            </w:pPr>
          </w:p>
        </w:tc>
        <w:tc>
          <w:tcPr>
            <w:tcW w:w="26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2660" w:type="dxa"/>
            <w:vAlign w:val="bottom"/>
            <w:vMerge w:val="restart"/>
          </w:tcPr>
          <w:p>
            <w:pPr>
              <w:ind w:left="200"/>
              <w:spacing w:after="0"/>
              <w:rPr>
                <w:sz w:val="20"/>
                <w:szCs w:val="20"/>
                <w:color w:val="auto"/>
              </w:rPr>
            </w:pPr>
            <w:r>
              <w:rPr>
                <w:rFonts w:ascii="Arial" w:cs="Arial" w:eastAsia="Arial" w:hAnsi="Arial"/>
                <w:sz w:val="16"/>
                <w:szCs w:val="16"/>
                <w:color w:val="auto"/>
              </w:rPr>
              <w:t>guidelines and adoption of new</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7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600" w:type="dxa"/>
            <w:vAlign w:val="bottom"/>
            <w:vMerge w:val="restart"/>
          </w:tcPr>
          <w:p>
            <w:pPr>
              <w:ind w:left="180"/>
              <w:spacing w:after="0"/>
              <w:rPr>
                <w:sz w:val="20"/>
                <w:szCs w:val="20"/>
                <w:color w:val="auto"/>
              </w:rPr>
            </w:pPr>
            <w:r>
              <w:rPr>
                <w:rFonts w:ascii="Arial" w:cs="Arial" w:eastAsia="Arial" w:hAnsi="Arial"/>
                <w:sz w:val="16"/>
                <w:szCs w:val="16"/>
                <w:color w:val="auto"/>
              </w:rPr>
              <w:t>executives and the influence of</w:t>
            </w:r>
          </w:p>
        </w:tc>
        <w:tc>
          <w:tcPr>
            <w:tcW w:w="260" w:type="dxa"/>
            <w:vAlign w:val="bottom"/>
          </w:tcPr>
          <w:p>
            <w:pPr>
              <w:spacing w:after="0"/>
              <w:rPr>
                <w:sz w:val="5"/>
                <w:szCs w:val="5"/>
                <w:color w:val="auto"/>
              </w:rPr>
            </w:pPr>
          </w:p>
        </w:tc>
        <w:tc>
          <w:tcPr>
            <w:tcW w:w="26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740" w:type="dxa"/>
            <w:vAlign w:val="bottom"/>
            <w:vMerge w:val="restart"/>
          </w:tcPr>
          <w:p>
            <w:pPr>
              <w:ind w:left="160"/>
              <w:spacing w:after="0"/>
              <w:rPr>
                <w:sz w:val="20"/>
                <w:szCs w:val="20"/>
                <w:color w:val="auto"/>
              </w:rPr>
            </w:pPr>
            <w:r>
              <w:rPr>
                <w:rFonts w:ascii="Arial" w:cs="Arial" w:eastAsia="Arial" w:hAnsi="Arial"/>
                <w:sz w:val="16"/>
                <w:szCs w:val="16"/>
                <w:color w:val="auto"/>
              </w:rPr>
              <w:t>internal controls over financial</w:t>
            </w:r>
          </w:p>
        </w:tc>
        <w:tc>
          <w:tcPr>
            <w:tcW w:w="320" w:type="dxa"/>
            <w:vAlign w:val="bottom"/>
          </w:tcPr>
          <w:p>
            <w:pPr>
              <w:spacing w:after="0"/>
              <w:rPr>
                <w:sz w:val="10"/>
                <w:szCs w:val="10"/>
                <w:color w:val="auto"/>
              </w:rPr>
            </w:pPr>
          </w:p>
        </w:tc>
        <w:tc>
          <w:tcPr>
            <w:tcW w:w="26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2660" w:type="dxa"/>
            <w:vAlign w:val="bottom"/>
            <w:vMerge w:val="restart"/>
          </w:tcPr>
          <w:p>
            <w:pPr>
              <w:ind w:left="200"/>
              <w:spacing w:after="0"/>
              <w:rPr>
                <w:sz w:val="20"/>
                <w:szCs w:val="20"/>
                <w:color w:val="auto"/>
              </w:rPr>
            </w:pPr>
            <w:r>
              <w:rPr>
                <w:rFonts w:ascii="Arial" w:cs="Arial" w:eastAsia="Arial" w:hAnsi="Arial"/>
                <w:sz w:val="16"/>
                <w:szCs w:val="16"/>
                <w:color w:val="auto"/>
              </w:rPr>
              <w:t>policies and governance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7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2600" w:type="dxa"/>
            <w:vAlign w:val="bottom"/>
            <w:vMerge w:val="restart"/>
          </w:tcPr>
          <w:p>
            <w:pPr>
              <w:ind w:left="180"/>
              <w:spacing w:after="0"/>
              <w:rPr>
                <w:sz w:val="20"/>
                <w:szCs w:val="20"/>
                <w:color w:val="auto"/>
              </w:rPr>
            </w:pPr>
            <w:r>
              <w:rPr>
                <w:rFonts w:ascii="Arial" w:cs="Arial" w:eastAsia="Arial" w:hAnsi="Arial"/>
                <w:sz w:val="16"/>
                <w:szCs w:val="16"/>
                <w:color w:val="auto"/>
              </w:rPr>
              <w:t>incentive compensation on risk-</w:t>
            </w:r>
          </w:p>
        </w:tc>
        <w:tc>
          <w:tcPr>
            <w:tcW w:w="260" w:type="dxa"/>
            <w:vAlign w:val="bottom"/>
          </w:tcPr>
          <w:p>
            <w:pPr>
              <w:spacing w:after="0"/>
              <w:rPr>
                <w:sz w:val="7"/>
                <w:szCs w:val="7"/>
                <w:color w:val="auto"/>
              </w:rPr>
            </w:pPr>
          </w:p>
        </w:tc>
        <w:tc>
          <w:tcPr>
            <w:tcW w:w="26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740" w:type="dxa"/>
            <w:vAlign w:val="bottom"/>
            <w:vMerge w:val="restart"/>
          </w:tcPr>
          <w:p>
            <w:pPr>
              <w:ind w:left="160"/>
              <w:spacing w:after="0"/>
              <w:rPr>
                <w:sz w:val="20"/>
                <w:szCs w:val="20"/>
                <w:color w:val="auto"/>
              </w:rPr>
            </w:pPr>
            <w:r>
              <w:rPr>
                <w:rFonts w:ascii="Arial" w:cs="Arial" w:eastAsia="Arial" w:hAnsi="Arial"/>
                <w:sz w:val="16"/>
                <w:szCs w:val="16"/>
                <w:color w:val="auto"/>
              </w:rPr>
              <w:t>reporting and (c) the Company’s</w:t>
            </w:r>
          </w:p>
        </w:tc>
        <w:tc>
          <w:tcPr>
            <w:tcW w:w="320" w:type="dxa"/>
            <w:vAlign w:val="bottom"/>
          </w:tcPr>
          <w:p>
            <w:pPr>
              <w:spacing w:after="0"/>
              <w:rPr>
                <w:sz w:val="10"/>
                <w:szCs w:val="10"/>
                <w:color w:val="auto"/>
              </w:rPr>
            </w:pPr>
          </w:p>
        </w:tc>
        <w:tc>
          <w:tcPr>
            <w:tcW w:w="26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2660" w:type="dxa"/>
            <w:vAlign w:val="bottom"/>
            <w:vMerge w:val="restart"/>
          </w:tcPr>
          <w:p>
            <w:pPr>
              <w:ind w:left="200"/>
              <w:spacing w:after="0"/>
              <w:rPr>
                <w:sz w:val="20"/>
                <w:szCs w:val="20"/>
                <w:color w:val="auto"/>
              </w:rPr>
            </w:pPr>
            <w:r>
              <w:rPr>
                <w:rFonts w:ascii="Arial" w:cs="Arial" w:eastAsia="Arial" w:hAnsi="Arial"/>
                <w:sz w:val="16"/>
                <w:szCs w:val="16"/>
                <w:color w:val="auto"/>
              </w:rPr>
              <w:t>guidelines</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74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2600" w:type="dxa"/>
            <w:vAlign w:val="bottom"/>
            <w:vMerge w:val="restart"/>
          </w:tcPr>
          <w:p>
            <w:pPr>
              <w:ind w:left="180"/>
              <w:spacing w:after="0"/>
              <w:rPr>
                <w:sz w:val="20"/>
                <w:szCs w:val="20"/>
                <w:color w:val="auto"/>
              </w:rPr>
            </w:pPr>
            <w:r>
              <w:rPr>
                <w:rFonts w:ascii="Arial" w:cs="Arial" w:eastAsia="Arial" w:hAnsi="Arial"/>
                <w:sz w:val="16"/>
                <w:szCs w:val="16"/>
                <w:color w:val="auto"/>
              </w:rPr>
              <w:t>taking</w:t>
            </w:r>
          </w:p>
        </w:tc>
        <w:tc>
          <w:tcPr>
            <w:tcW w:w="260" w:type="dxa"/>
            <w:vAlign w:val="bottom"/>
          </w:tcPr>
          <w:p>
            <w:pPr>
              <w:spacing w:after="0"/>
              <w:rPr>
                <w:sz w:val="8"/>
                <w:szCs w:val="8"/>
                <w:color w:val="auto"/>
              </w:rPr>
            </w:pPr>
          </w:p>
        </w:tc>
        <w:tc>
          <w:tcPr>
            <w:tcW w:w="2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740" w:type="dxa"/>
            <w:vAlign w:val="bottom"/>
            <w:vMerge w:val="restart"/>
          </w:tcPr>
          <w:p>
            <w:pPr>
              <w:ind w:left="160"/>
              <w:spacing w:after="0"/>
              <w:rPr>
                <w:sz w:val="20"/>
                <w:szCs w:val="20"/>
                <w:color w:val="auto"/>
              </w:rPr>
            </w:pPr>
            <w:r>
              <w:rPr>
                <w:rFonts w:ascii="Arial" w:cs="Arial" w:eastAsia="Arial" w:hAnsi="Arial"/>
                <w:sz w:val="16"/>
                <w:szCs w:val="16"/>
                <w:color w:val="auto"/>
              </w:rPr>
              <w:t>compliance with legal and</w:t>
            </w:r>
          </w:p>
        </w:tc>
        <w:tc>
          <w:tcPr>
            <w:tcW w:w="320" w:type="dxa"/>
            <w:vAlign w:val="bottom"/>
          </w:tcPr>
          <w:p>
            <w:pPr>
              <w:spacing w:after="0"/>
              <w:rPr>
                <w:sz w:val="10"/>
                <w:szCs w:val="10"/>
                <w:color w:val="auto"/>
              </w:rPr>
            </w:pPr>
          </w:p>
        </w:tc>
        <w:tc>
          <w:tcPr>
            <w:tcW w:w="26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7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2740" w:type="dxa"/>
            <w:vAlign w:val="bottom"/>
          </w:tcPr>
          <w:p>
            <w:pPr>
              <w:ind w:left="160"/>
              <w:spacing w:after="0"/>
              <w:rPr>
                <w:sz w:val="20"/>
                <w:szCs w:val="20"/>
                <w:color w:val="auto"/>
              </w:rPr>
            </w:pPr>
            <w:r>
              <w:rPr>
                <w:rFonts w:ascii="Arial" w:cs="Arial" w:eastAsia="Arial" w:hAnsi="Arial"/>
                <w:sz w:val="16"/>
                <w:szCs w:val="16"/>
                <w:color w:val="auto"/>
              </w:rPr>
              <w:t>regulatory requirements</w:t>
            </w:r>
          </w:p>
        </w:tc>
        <w:tc>
          <w:tcPr>
            <w:tcW w:w="3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740" w:type="dxa"/>
            <w:vAlign w:val="bottom"/>
          </w:tcPr>
          <w:p>
            <w:pPr>
              <w:spacing w:after="0"/>
              <w:rPr>
                <w:sz w:val="20"/>
                <w:szCs w:val="20"/>
                <w:color w:val="auto"/>
              </w:rPr>
            </w:pPr>
            <w:r>
              <w:rPr>
                <w:rFonts w:ascii="Arial" w:cs="Arial" w:eastAsia="Arial" w:hAnsi="Arial"/>
                <w:sz w:val="16"/>
                <w:szCs w:val="16"/>
                <w:color w:val="auto"/>
              </w:rPr>
              <w:t>• Reviews major legislative and</w:t>
            </w:r>
          </w:p>
        </w:tc>
        <w:tc>
          <w:tcPr>
            <w:tcW w:w="32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160"/>
              <w:spacing w:after="0"/>
              <w:rPr>
                <w:sz w:val="20"/>
                <w:szCs w:val="20"/>
                <w:color w:val="auto"/>
              </w:rPr>
            </w:pPr>
            <w:r>
              <w:rPr>
                <w:rFonts w:ascii="Arial" w:cs="Arial" w:eastAsia="Arial" w:hAnsi="Arial"/>
                <w:sz w:val="16"/>
                <w:szCs w:val="16"/>
                <w:color w:val="auto"/>
              </w:rPr>
              <w:t>regulatory developments that</w:t>
            </w:r>
          </w:p>
        </w:tc>
        <w:tc>
          <w:tcPr>
            <w:tcW w:w="3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40" w:type="dxa"/>
            <w:vAlign w:val="bottom"/>
          </w:tcPr>
          <w:p>
            <w:pPr>
              <w:ind w:left="160"/>
              <w:spacing w:after="0"/>
              <w:rPr>
                <w:sz w:val="20"/>
                <w:szCs w:val="20"/>
                <w:color w:val="auto"/>
              </w:rPr>
            </w:pPr>
            <w:r>
              <w:rPr>
                <w:rFonts w:ascii="Arial" w:cs="Arial" w:eastAsia="Arial" w:hAnsi="Arial"/>
                <w:sz w:val="16"/>
                <w:szCs w:val="16"/>
                <w:color w:val="auto"/>
              </w:rPr>
              <w:t>could have a material impact on</w:t>
            </w:r>
          </w:p>
        </w:tc>
        <w:tc>
          <w:tcPr>
            <w:tcW w:w="3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40" w:type="dxa"/>
            <w:vAlign w:val="bottom"/>
          </w:tcPr>
          <w:p>
            <w:pPr>
              <w:ind w:left="160"/>
              <w:spacing w:after="0"/>
              <w:rPr>
                <w:sz w:val="20"/>
                <w:szCs w:val="20"/>
                <w:color w:val="auto"/>
              </w:rPr>
            </w:pPr>
            <w:r>
              <w:rPr>
                <w:rFonts w:ascii="Arial" w:cs="Arial" w:eastAsia="Arial" w:hAnsi="Arial"/>
                <w:sz w:val="16"/>
                <w:szCs w:val="16"/>
                <w:color w:val="auto"/>
              </w:rPr>
              <w:t>the Company’s contingent</w:t>
            </w:r>
          </w:p>
        </w:tc>
        <w:tc>
          <w:tcPr>
            <w:tcW w:w="3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740" w:type="dxa"/>
            <w:vAlign w:val="bottom"/>
          </w:tcPr>
          <w:p>
            <w:pPr>
              <w:ind w:left="160"/>
              <w:spacing w:after="0"/>
              <w:rPr>
                <w:sz w:val="20"/>
                <w:szCs w:val="20"/>
                <w:color w:val="auto"/>
              </w:rPr>
            </w:pPr>
            <w:r>
              <w:rPr>
                <w:rFonts w:ascii="Arial" w:cs="Arial" w:eastAsia="Arial" w:hAnsi="Arial"/>
                <w:sz w:val="16"/>
                <w:szCs w:val="16"/>
                <w:color w:val="auto"/>
              </w:rPr>
              <w:t>liabilities and risks</w:t>
            </w:r>
          </w:p>
        </w:tc>
        <w:tc>
          <w:tcPr>
            <w:tcW w:w="3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tbl>
      <w:tblPr>
        <w:tblLayout w:type="fixed"/>
        <w:tblInd w:w="960" w:type="dxa"/>
        <w:tblCellMar>
          <w:top w:w="0" w:type="dxa"/>
          <w:left w:w="0" w:type="dxa"/>
          <w:bottom w:w="0" w:type="dxa"/>
          <w:right w:w="0" w:type="dxa"/>
        </w:tblCellMar>
      </w:tblPr>
      <w:tr>
        <w:trPr>
          <w:trHeight w:val="26"/>
        </w:trPr>
        <w:tc>
          <w:tcPr>
            <w:tcW w:w="60" w:type="dxa"/>
            <w:vAlign w:val="bottom"/>
          </w:tcPr>
          <w:p>
            <w:pPr>
              <w:spacing w:after="0"/>
              <w:rPr>
                <w:sz w:val="2"/>
                <w:szCs w:val="2"/>
                <w:color w:val="auto"/>
              </w:rPr>
            </w:pPr>
          </w:p>
        </w:tc>
        <w:tc>
          <w:tcPr>
            <w:tcW w:w="8560" w:type="dxa"/>
            <w:vAlign w:val="bottom"/>
            <w:vMerge w:val="restart"/>
          </w:tcPr>
          <w:p>
            <w:pPr>
              <w:spacing w:after="0"/>
              <w:rPr>
                <w:sz w:val="20"/>
                <w:szCs w:val="20"/>
                <w:color w:val="auto"/>
              </w:rPr>
            </w:pPr>
            <w:r>
              <w:rPr>
                <w:rFonts w:ascii="Arial" w:cs="Arial" w:eastAsia="Arial" w:hAnsi="Arial"/>
                <w:sz w:val="22"/>
                <w:szCs w:val="22"/>
                <w:color w:val="auto"/>
              </w:rPr>
              <w:t>​</w:t>
            </w:r>
          </w:p>
        </w:tc>
        <w:tc>
          <w:tcPr>
            <w:tcW w:w="300" w:type="dxa"/>
            <w:vAlign w:val="bottom"/>
            <w:vMerge w:val="restart"/>
          </w:tcPr>
          <w:p>
            <w:pPr>
              <w:ind w:left="240"/>
              <w:spacing w:after="0"/>
              <w:rPr>
                <w:sz w:val="20"/>
                <w:szCs w:val="20"/>
                <w:color w:val="auto"/>
              </w:rPr>
            </w:pPr>
            <w:r>
              <w:rPr>
                <w:rFonts w:ascii="Arial" w:cs="Arial" w:eastAsia="Arial" w:hAnsi="Arial"/>
                <w:sz w:val="22"/>
                <w:szCs w:val="22"/>
                <w:color w:val="auto"/>
              </w:rPr>
              <w:t>​</w:t>
            </w:r>
          </w:p>
        </w:tc>
        <w:tc>
          <w:tcPr>
            <w:tcW w:w="0" w:type="dxa"/>
            <w:vAlign w:val="bottom"/>
          </w:tcPr>
          <w:p>
            <w:pPr>
              <w:spacing w:after="0" w:line="20" w:lineRule="exact"/>
              <w:rPr>
                <w:sz w:val="1"/>
                <w:szCs w:val="1"/>
                <w:color w:val="auto"/>
              </w:rPr>
            </w:pPr>
          </w:p>
        </w:tc>
      </w:tr>
      <w:tr>
        <w:trPr>
          <w:trHeight w:val="277"/>
        </w:trPr>
        <w:tc>
          <w:tcPr>
            <w:tcW w:w="60" w:type="dxa"/>
            <w:vAlign w:val="bottom"/>
            <w:tcBorders>
              <w:bottom w:val="single" w:sz="8" w:color="83AD40"/>
            </w:tcBorders>
            <w:shd w:val="clear" w:color="auto" w:fill="83AD40"/>
          </w:tcPr>
          <w:p>
            <w:pPr>
              <w:spacing w:after="0"/>
              <w:rPr>
                <w:sz w:val="24"/>
                <w:szCs w:val="24"/>
                <w:color w:val="auto"/>
              </w:rPr>
            </w:pPr>
          </w:p>
        </w:tc>
        <w:tc>
          <w:tcPr>
            <w:tcW w:w="8560" w:type="dxa"/>
            <w:vAlign w:val="bottom"/>
            <w:tcBorders>
              <w:bottom w:val="single" w:sz="8" w:color="83AD40"/>
            </w:tcBorders>
            <w:vMerge w:val="continue"/>
          </w:tcPr>
          <w:p>
            <w:pPr>
              <w:spacing w:after="0"/>
              <w:rPr>
                <w:sz w:val="24"/>
                <w:szCs w:val="24"/>
                <w:color w:val="auto"/>
              </w:rPr>
            </w:pPr>
          </w:p>
        </w:tc>
        <w:tc>
          <w:tcPr>
            <w:tcW w:w="300" w:type="dxa"/>
            <w:vAlign w:val="bottom"/>
            <w:tcBorders>
              <w:bottom w:val="single" w:sz="8" w:color="83AD40"/>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620" w:type="dxa"/>
            <w:vAlign w:val="bottom"/>
            <w:gridSpan w:val="2"/>
          </w:tcPr>
          <w:p>
            <w:pPr>
              <w:ind w:left="60"/>
              <w:spacing w:after="0"/>
              <w:rPr>
                <w:sz w:val="20"/>
                <w:szCs w:val="20"/>
                <w:color w:val="auto"/>
              </w:rPr>
            </w:pPr>
            <w:r>
              <w:rPr>
                <w:rFonts w:ascii="Arial" w:cs="Arial" w:eastAsia="Arial" w:hAnsi="Arial"/>
                <w:sz w:val="22"/>
                <w:szCs w:val="22"/>
                <w:color w:val="auto"/>
              </w:rPr>
              <w:t>​</w:t>
            </w:r>
          </w:p>
        </w:tc>
        <w:tc>
          <w:tcPr>
            <w:tcW w:w="300" w:type="dxa"/>
            <w:vAlign w:val="bottom"/>
          </w:tcPr>
          <w:p>
            <w:pPr>
              <w:ind w:left="24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96"/>
        </w:trPr>
        <w:tc>
          <w:tcPr>
            <w:tcW w:w="8620" w:type="dxa"/>
            <w:vAlign w:val="bottom"/>
            <w:tcBorders>
              <w:bottom w:val="single" w:sz="8" w:color="1F2668"/>
            </w:tcBorders>
            <w:gridSpan w:val="2"/>
          </w:tcPr>
          <w:p>
            <w:pPr>
              <w:spacing w:after="0"/>
              <w:rPr>
                <w:sz w:val="17"/>
                <w:szCs w:val="17"/>
                <w:color w:val="auto"/>
              </w:rPr>
            </w:pPr>
          </w:p>
        </w:tc>
        <w:tc>
          <w:tcPr>
            <w:tcW w:w="300" w:type="dxa"/>
            <w:vAlign w:val="bottom"/>
            <w:tcBorders>
              <w:bottom w:val="single" w:sz="8" w:color="1F2668"/>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0" w:type="dxa"/>
            <w:vAlign w:val="bottom"/>
            <w:shd w:val="clear" w:color="auto" w:fill="1F2668"/>
          </w:tcPr>
          <w:p>
            <w:pPr>
              <w:spacing w:after="0"/>
              <w:rPr>
                <w:sz w:val="21"/>
                <w:szCs w:val="21"/>
                <w:color w:val="auto"/>
              </w:rPr>
            </w:pPr>
          </w:p>
        </w:tc>
        <w:tc>
          <w:tcPr>
            <w:tcW w:w="856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300" w:type="dxa"/>
            <w:vAlign w:val="bottom"/>
          </w:tcPr>
          <w:p>
            <w:pPr>
              <w:ind w:left="24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48"/>
        </w:trPr>
        <w:tc>
          <w:tcPr>
            <w:tcW w:w="60" w:type="dxa"/>
            <w:vAlign w:val="bottom"/>
          </w:tcPr>
          <w:p>
            <w:pPr>
              <w:spacing w:after="0" w:line="148" w:lineRule="exact"/>
              <w:rPr>
                <w:sz w:val="20"/>
                <w:szCs w:val="20"/>
                <w:color w:val="auto"/>
              </w:rPr>
            </w:pPr>
            <w:r>
              <w:rPr>
                <w:rFonts w:ascii="Arial" w:cs="Arial" w:eastAsia="Arial" w:hAnsi="Arial"/>
                <w:sz w:val="16"/>
                <w:szCs w:val="16"/>
                <w:color w:val="FFFFFF"/>
              </w:rPr>
              <w:t>​</w:t>
            </w:r>
          </w:p>
        </w:tc>
        <w:tc>
          <w:tcPr>
            <w:tcW w:w="8560" w:type="dxa"/>
            <w:vAlign w:val="bottom"/>
          </w:tcPr>
          <w:p>
            <w:pPr>
              <w:spacing w:after="0"/>
              <w:rPr>
                <w:sz w:val="12"/>
                <w:szCs w:val="12"/>
                <w:color w:val="auto"/>
              </w:rPr>
            </w:pPr>
          </w:p>
        </w:tc>
        <w:tc>
          <w:tcPr>
            <w:tcW w:w="300" w:type="dxa"/>
            <w:vAlign w:val="bottom"/>
          </w:tcPr>
          <w:p>
            <w:pPr>
              <w:ind w:left="120"/>
              <w:spacing w:after="0" w:line="148" w:lineRule="exact"/>
              <w:rPr>
                <w:sz w:val="20"/>
                <w:szCs w:val="20"/>
                <w:color w:val="auto"/>
              </w:rPr>
            </w:pPr>
            <w:r>
              <w:rPr>
                <w:rFonts w:ascii="Arial" w:cs="Arial" w:eastAsia="Arial" w:hAnsi="Arial"/>
                <w:sz w:val="16"/>
                <w:szCs w:val="16"/>
                <w:color w:val="FFFFFF"/>
              </w:rPr>
              <w:t>​</w:t>
            </w:r>
          </w:p>
        </w:tc>
        <w:tc>
          <w:tcPr>
            <w:tcW w:w="0" w:type="dxa"/>
            <w:vAlign w:val="bottom"/>
          </w:tcPr>
          <w:p>
            <w:pPr>
              <w:spacing w:after="0"/>
              <w:rPr>
                <w:sz w:val="1"/>
                <w:szCs w:val="1"/>
                <w:color w:val="auto"/>
              </w:rPr>
            </w:pPr>
          </w:p>
        </w:tc>
      </w:tr>
      <w:tr>
        <w:trPr>
          <w:trHeight w:val="273"/>
        </w:trPr>
        <w:tc>
          <w:tcPr>
            <w:tcW w:w="8620" w:type="dxa"/>
            <w:vAlign w:val="bottom"/>
            <w:gridSpan w:val="2"/>
          </w:tcPr>
          <w:p>
            <w:pPr>
              <w:spacing w:after="0"/>
              <w:rPr>
                <w:sz w:val="20"/>
                <w:szCs w:val="20"/>
                <w:color w:val="auto"/>
              </w:rPr>
            </w:pPr>
            <w:r>
              <w:rPr>
                <w:rFonts w:ascii="Arial" w:cs="Arial" w:eastAsia="Arial" w:hAnsi="Arial"/>
                <w:sz w:val="20"/>
                <w:szCs w:val="20"/>
                <w:b w:val="1"/>
                <w:bCs w:val="1"/>
                <w:color w:val="FFFFFF"/>
              </w:rPr>
              <w:t>Management</w:t>
            </w:r>
            <w:r>
              <w:rPr>
                <w:rFonts w:ascii="Arial" w:cs="Arial" w:eastAsia="Arial" w:hAnsi="Arial"/>
                <w:sz w:val="16"/>
                <w:szCs w:val="16"/>
                <w:color w:val="000000"/>
              </w:rPr>
              <w:t>​</w:t>
            </w: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8620" w:type="dxa"/>
            <w:vAlign w:val="bottom"/>
            <w:gridSpan w:val="2"/>
          </w:tcPr>
          <w:p>
            <w:pPr>
              <w:spacing w:after="0"/>
              <w:rPr>
                <w:sz w:val="20"/>
                <w:szCs w:val="20"/>
                <w:color w:val="auto"/>
              </w:rPr>
            </w:pPr>
            <w:r>
              <w:rPr>
                <w:rFonts w:ascii="Arial" w:cs="Arial" w:eastAsia="Arial" w:hAnsi="Arial"/>
                <w:sz w:val="16"/>
                <w:szCs w:val="16"/>
                <w:color w:val="FFFFFF"/>
                <w:w w:val="99"/>
              </w:rPr>
              <w:t>The Company’s management is responsible for day-to-day risk management, including the primary monitoring and testing</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-803910</wp:posOffset>
            </wp:positionV>
            <wp:extent cx="5760720" cy="1423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760720" cy="1423035"/>
                    </a:xfrm>
                    <a:prstGeom prst="rect">
                      <a:avLst/>
                    </a:prstGeom>
                    <a:noFill/>
                  </pic:spPr>
                </pic:pic>
              </a:graphicData>
            </a:graphic>
          </wp:anchor>
        </w:drawing>
      </w:r>
    </w:p>
    <w:p>
      <w:pPr>
        <w:ind w:left="960" w:right="500"/>
        <w:spacing w:after="0" w:line="267" w:lineRule="auto"/>
        <w:rPr>
          <w:sz w:val="20"/>
          <w:szCs w:val="20"/>
          <w:color w:val="auto"/>
        </w:rPr>
      </w:pPr>
      <w:r>
        <w:rPr>
          <w:rFonts w:ascii="Arial" w:cs="Arial" w:eastAsia="Arial" w:hAnsi="Arial"/>
          <w:sz w:val="16"/>
          <w:szCs w:val="16"/>
          <w:color w:val="FFFFFF"/>
        </w:rPr>
        <w:t>function for company-wide policies and procedures, and day-to-day oversight of the risk management strategy for the ongoing business of the Company. This oversight includes identifying, evaluating, and addressing potential risks that may exist at the enterprise, strategic, financial, operational, and compliance and reporting levels.</w:t>
      </w:r>
    </w:p>
    <w:p>
      <w:pPr>
        <w:spacing w:after="0" w:line="36" w:lineRule="exact"/>
        <w:rPr>
          <w:sz w:val="20"/>
          <w:szCs w:val="20"/>
          <w:color w:val="auto"/>
        </w:rPr>
      </w:pPr>
    </w:p>
    <w:p>
      <w:pPr>
        <w:ind w:left="1020"/>
        <w:spacing w:after="0"/>
        <w:tabs>
          <w:tab w:leader="none" w:pos="980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86" w:lineRule="exact"/>
        <w:rPr>
          <w:sz w:val="20"/>
          <w:szCs w:val="20"/>
          <w:color w:val="auto"/>
        </w:rPr>
      </w:pPr>
    </w:p>
    <w:p>
      <w:pPr>
        <w:ind w:left="820" w:right="260"/>
        <w:spacing w:after="0" w:line="321" w:lineRule="auto"/>
        <w:rPr>
          <w:sz w:val="20"/>
          <w:szCs w:val="20"/>
          <w:color w:val="auto"/>
        </w:rPr>
      </w:pPr>
      <w:r>
        <w:rPr>
          <w:rFonts w:ascii="Arial" w:cs="Arial" w:eastAsia="Arial" w:hAnsi="Arial"/>
          <w:sz w:val="16"/>
          <w:szCs w:val="16"/>
          <w:color w:val="auto"/>
        </w:rPr>
        <w:t>All committees report to the full Board as appropriate, including when a matter rises to the level of a material or enterprise level risk.</w:t>
      </w:r>
    </w:p>
    <w:p>
      <w:pPr>
        <w:spacing w:after="0" w:line="156" w:lineRule="exact"/>
        <w:rPr>
          <w:sz w:val="20"/>
          <w:szCs w:val="20"/>
          <w:color w:val="auto"/>
        </w:rPr>
      </w:pPr>
    </w:p>
    <w:p>
      <w:pPr>
        <w:ind w:left="820" w:right="380"/>
        <w:spacing w:after="0" w:line="321" w:lineRule="auto"/>
        <w:rPr>
          <w:sz w:val="20"/>
          <w:szCs w:val="20"/>
          <w:color w:val="auto"/>
        </w:rPr>
      </w:pPr>
      <w:r>
        <w:rPr>
          <w:rFonts w:ascii="Arial" w:cs="Arial" w:eastAsia="Arial" w:hAnsi="Arial"/>
          <w:sz w:val="16"/>
          <w:szCs w:val="16"/>
          <w:color w:val="auto"/>
        </w:rPr>
        <w:t>We believe the division of risk management responsibilities described above is an effective approach for addressing the risks facing the Company and that the Board leadership structure supports this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883920</wp:posOffset>
            </wp:positionV>
            <wp:extent cx="683196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6260" w:type="dxa"/>
            <w:vAlign w:val="bottom"/>
          </w:tcPr>
          <w:p>
            <w:pPr>
              <w:spacing w:after="0"/>
              <w:rPr>
                <w:sz w:val="20"/>
                <w:szCs w:val="20"/>
                <w:color w:val="auto"/>
              </w:rPr>
            </w:pPr>
            <w:r>
              <w:rPr>
                <w:rFonts w:ascii="Arial" w:cs="Arial" w:eastAsia="Arial" w:hAnsi="Arial"/>
                <w:sz w:val="14"/>
                <w:szCs w:val="14"/>
                <w:b w:val="1"/>
                <w:bCs w:val="1"/>
                <w:color w:val="auto"/>
              </w:rPr>
              <w:t>​</w:t>
            </w:r>
          </w:p>
        </w:tc>
        <w:tc>
          <w:tcPr>
            <w:tcW w:w="2280" w:type="dxa"/>
            <w:vAlign w:val="bottom"/>
          </w:tcPr>
          <w:p>
            <w:pPr>
              <w:ind w:left="1940"/>
              <w:spacing w:after="0"/>
              <w:rPr>
                <w:sz w:val="20"/>
                <w:szCs w:val="20"/>
                <w:color w:val="auto"/>
              </w:rPr>
            </w:pPr>
            <w:r>
              <w:rPr>
                <w:rFonts w:ascii="Arial" w:cs="Arial" w:eastAsia="Arial" w:hAnsi="Arial"/>
                <w:sz w:val="14"/>
                <w:szCs w:val="14"/>
                <w:b w:val="1"/>
                <w:bCs w:val="1"/>
                <w:color w:val="auto"/>
              </w:rPr>
              <w:t>​ ​</w:t>
            </w:r>
          </w:p>
        </w:tc>
        <w:tc>
          <w:tcPr>
            <w:tcW w:w="520" w:type="dxa"/>
            <w:vAlign w:val="bottom"/>
            <w:vMerge w:val="restart"/>
          </w:tcPr>
          <w:p>
            <w:pPr>
              <w:jc w:val="right"/>
              <w:spacing w:after="0"/>
              <w:rPr>
                <w:sz w:val="20"/>
                <w:szCs w:val="20"/>
                <w:color w:val="auto"/>
              </w:rPr>
            </w:pPr>
            <w:r>
              <w:rPr>
                <w:rFonts w:ascii="Arial" w:cs="Arial" w:eastAsia="Arial" w:hAnsi="Arial"/>
                <w:sz w:val="22"/>
                <w:szCs w:val="22"/>
                <w:b w:val="1"/>
                <w:bCs w:val="1"/>
                <w:color w:val="1F2668"/>
              </w:rPr>
              <w:t>31</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6260" w:type="dxa"/>
            <w:vAlign w:val="bottom"/>
          </w:tcPr>
          <w:p>
            <w:pPr>
              <w:spacing w:after="0"/>
              <w:rPr>
                <w:sz w:val="20"/>
                <w:szCs w:val="20"/>
                <w:color w:val="auto"/>
              </w:rPr>
            </w:pPr>
            <w:r>
              <w:rPr>
                <w:rFonts w:ascii="Arial" w:cs="Arial" w:eastAsia="Arial" w:hAnsi="Arial"/>
                <w:sz w:val="14"/>
                <w:szCs w:val="14"/>
                <w:b w:val="1"/>
                <w:bCs w:val="1"/>
                <w:color w:val="auto"/>
              </w:rPr>
              <w:t>OUR BOARD OF DIRECTORS AND CORPORATE GOVERNANCE</w:t>
            </w:r>
          </w:p>
        </w:tc>
        <w:tc>
          <w:tcPr>
            <w:tcW w:w="228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8"/>
        </w:trPr>
        <w:tc>
          <w:tcPr>
            <w:tcW w:w="6260" w:type="dxa"/>
            <w:vAlign w:val="bottom"/>
          </w:tcPr>
          <w:p>
            <w:pPr>
              <w:spacing w:after="0"/>
              <w:rPr>
                <w:sz w:val="20"/>
                <w:szCs w:val="20"/>
                <w:color w:val="auto"/>
              </w:rPr>
            </w:pPr>
            <w:r>
              <w:rPr>
                <w:rFonts w:ascii="Arial" w:cs="Arial" w:eastAsia="Arial" w:hAnsi="Arial"/>
                <w:sz w:val="16"/>
                <w:szCs w:val="16"/>
                <w:color w:val="auto"/>
              </w:rPr>
              <w:t>​</w:t>
            </w:r>
          </w:p>
        </w:tc>
        <w:tc>
          <w:tcPr>
            <w:tcW w:w="2280" w:type="dxa"/>
            <w:vAlign w:val="bottom"/>
          </w:tcPr>
          <w:p>
            <w:pPr>
              <w:spacing w:after="0"/>
              <w:rPr>
                <w:sz w:val="24"/>
                <w:szCs w:val="24"/>
                <w:color w:val="auto"/>
              </w:rPr>
            </w:pPr>
          </w:p>
        </w:tc>
        <w:tc>
          <w:tcPr>
            <w:tcW w:w="520" w:type="dxa"/>
            <w:vAlign w:val="bottom"/>
          </w:tcPr>
          <w:p>
            <w:pPr>
              <w:jc w:val="right"/>
              <w:ind w:right="186"/>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-126365</wp:posOffset>
            </wp:positionV>
            <wp:extent cx="5760720" cy="78092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760720" cy="7809230"/>
                    </a:xfrm>
                    <a:prstGeom prst="rect">
                      <a:avLst/>
                    </a:prstGeom>
                    <a:noFill/>
                  </pic:spPr>
                </pic:pic>
              </a:graphicData>
            </a:graphic>
          </wp:anchor>
        </w:drawing>
      </w:r>
    </w:p>
    <w:p>
      <w:pPr>
        <w:spacing w:after="0" w:line="39" w:lineRule="exact"/>
        <w:rPr>
          <w:sz w:val="20"/>
          <w:szCs w:val="20"/>
          <w:color w:val="auto"/>
        </w:rPr>
      </w:pPr>
    </w:p>
    <w:p>
      <w:pPr>
        <w:ind w:left="1140"/>
        <w:spacing w:after="0"/>
        <w:rPr>
          <w:sz w:val="20"/>
          <w:szCs w:val="20"/>
          <w:color w:val="auto"/>
        </w:rPr>
      </w:pPr>
      <w:r>
        <w:rPr>
          <w:rFonts w:ascii="Arial" w:cs="Arial" w:eastAsia="Arial" w:hAnsi="Arial"/>
          <w:sz w:val="20"/>
          <w:szCs w:val="20"/>
          <w:b w:val="1"/>
          <w:bCs w:val="1"/>
          <w:color w:val="83AD40"/>
        </w:rPr>
        <w:t>OVERSIGHT OF CYBERSECURITY</w:t>
      </w:r>
      <w:r>
        <w:rPr>
          <w:rFonts w:ascii="Arial" w:cs="Arial" w:eastAsia="Arial" w:hAnsi="Arial"/>
          <w:sz w:val="16"/>
          <w:szCs w:val="16"/>
          <w:color w:val="000000"/>
        </w:rPr>
        <w:t>​</w:t>
      </w:r>
    </w:p>
    <w:p>
      <w:pPr>
        <w:spacing w:after="0" w:line="144" w:lineRule="exact"/>
        <w:rPr>
          <w:sz w:val="20"/>
          <w:szCs w:val="20"/>
          <w:color w:val="auto"/>
        </w:rPr>
      </w:pPr>
    </w:p>
    <w:p>
      <w:pPr>
        <w:ind w:left="1140" w:right="380"/>
        <w:spacing w:after="0" w:line="271" w:lineRule="auto"/>
        <w:rPr>
          <w:sz w:val="20"/>
          <w:szCs w:val="20"/>
          <w:color w:val="auto"/>
        </w:rPr>
      </w:pPr>
      <w:r>
        <w:rPr>
          <w:rFonts w:ascii="Arial" w:cs="Arial" w:eastAsia="Arial" w:hAnsi="Arial"/>
          <w:sz w:val="16"/>
          <w:szCs w:val="16"/>
          <w:color w:val="auto"/>
        </w:rPr>
        <w:t>Included in our Board’s oversight and approach to risk management is a focus on cybersecurity. Our cybersecurity program, which is applied across all levels of the Company, is designed to protect our information assets and operations from external and internal cyber threats by seeking to mitigate and manage risks while helping to ensure business resiliency.</w:t>
      </w:r>
    </w:p>
    <w:p>
      <w:pPr>
        <w:spacing w:after="0" w:line="168"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1F2668"/>
        </w:rPr>
        <w:t>Cybersecurity Oversight</w:t>
      </w:r>
    </w:p>
    <w:p>
      <w:pPr>
        <w:spacing w:after="0" w:line="73" w:lineRule="exact"/>
        <w:rPr>
          <w:sz w:val="20"/>
          <w:szCs w:val="20"/>
          <w:color w:val="auto"/>
        </w:rPr>
      </w:pPr>
    </w:p>
    <w:p>
      <w:pPr>
        <w:ind w:left="1140" w:right="580"/>
        <w:spacing w:after="0" w:line="275" w:lineRule="auto"/>
        <w:rPr>
          <w:sz w:val="20"/>
          <w:szCs w:val="20"/>
          <w:color w:val="auto"/>
        </w:rPr>
      </w:pPr>
      <w:r>
        <w:rPr>
          <w:rFonts w:ascii="Arial" w:cs="Arial" w:eastAsia="Arial" w:hAnsi="Arial"/>
          <w:sz w:val="16"/>
          <w:szCs w:val="16"/>
          <w:color w:val="auto"/>
        </w:rPr>
        <w:t>The Board oversees our risk management process directly and through its committees. Pursuant to the Audit Committee charter, the Audit Committee provides compliance oversight to our risk assessment and risk management policies and the steps management has taken to monitor and mitigate such exposures and risks.</w:t>
      </w:r>
    </w:p>
    <w:p>
      <w:pPr>
        <w:spacing w:after="0" w:line="70" w:lineRule="exact"/>
        <w:rPr>
          <w:sz w:val="20"/>
          <w:szCs w:val="20"/>
          <w:color w:val="auto"/>
        </w:rPr>
      </w:pPr>
    </w:p>
    <w:p>
      <w:pPr>
        <w:ind w:left="1140" w:right="360"/>
        <w:spacing w:after="0" w:line="271" w:lineRule="auto"/>
        <w:rPr>
          <w:sz w:val="20"/>
          <w:szCs w:val="20"/>
          <w:color w:val="auto"/>
        </w:rPr>
      </w:pPr>
      <w:r>
        <w:rPr>
          <w:rFonts w:ascii="Arial" w:cs="Arial" w:eastAsia="Arial" w:hAnsi="Arial"/>
          <w:sz w:val="16"/>
          <w:szCs w:val="16"/>
          <w:color w:val="auto"/>
        </w:rPr>
        <w:t>Our Senior Director, Information Security &amp; Network Systems, in coordination with the Senior Vice President, Information Technology, is responsible for leading the assessment and management of cybersecurity risks, and regularly reviewing and assessing cybersecurity initiatives. They are informed about and monitor the prevention, detection, mitigation, and remediation of cybersecurity incidents.</w:t>
      </w:r>
    </w:p>
    <w:p>
      <w:pPr>
        <w:spacing w:after="0" w:line="73" w:lineRule="exact"/>
        <w:rPr>
          <w:sz w:val="20"/>
          <w:szCs w:val="20"/>
          <w:color w:val="auto"/>
        </w:rPr>
      </w:pPr>
    </w:p>
    <w:p>
      <w:pPr>
        <w:jc w:val="both"/>
        <w:ind w:left="1140" w:right="740"/>
        <w:spacing w:after="0" w:line="275" w:lineRule="auto"/>
        <w:rPr>
          <w:sz w:val="20"/>
          <w:szCs w:val="20"/>
          <w:color w:val="auto"/>
        </w:rPr>
      </w:pPr>
      <w:r>
        <w:rPr>
          <w:rFonts w:ascii="Arial" w:cs="Arial" w:eastAsia="Arial" w:hAnsi="Arial"/>
          <w:sz w:val="16"/>
          <w:szCs w:val="16"/>
          <w:color w:val="auto"/>
        </w:rPr>
        <w:t>The Senior Vice President, Information Technology reports to the Board, the Audit Committee and management on cybersecurity risk assessment, policies, incident prevention, detection, mitigation, and remediation of cybersecurity incidents on an as needed basis.</w:t>
      </w:r>
    </w:p>
    <w:p>
      <w:pPr>
        <w:spacing w:after="0" w:line="164"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1F2668"/>
        </w:rPr>
        <w:t>Risk and Vulnerability Management</w:t>
      </w:r>
    </w:p>
    <w:p>
      <w:pPr>
        <w:spacing w:after="0" w:line="73" w:lineRule="exact"/>
        <w:rPr>
          <w:sz w:val="20"/>
          <w:szCs w:val="20"/>
          <w:color w:val="auto"/>
        </w:rPr>
      </w:pPr>
    </w:p>
    <w:p>
      <w:pPr>
        <w:ind w:left="1140" w:right="600"/>
        <w:spacing w:after="0" w:line="271" w:lineRule="auto"/>
        <w:rPr>
          <w:sz w:val="20"/>
          <w:szCs w:val="20"/>
          <w:color w:val="auto"/>
        </w:rPr>
      </w:pPr>
      <w:r>
        <w:rPr>
          <w:rFonts w:ascii="Arial" w:cs="Arial" w:eastAsia="Arial" w:hAnsi="Arial"/>
          <w:sz w:val="16"/>
          <w:szCs w:val="16"/>
          <w:color w:val="auto"/>
        </w:rPr>
        <w:t>We take a risk-based approach to cybersecurity and have implemented policies that are designed to address cybersecurity threats and incidents, including those related to third-party service providers. We assess risks from cybersecurity threats, monitor our information systems for potential vulnerabilities and test those systems pursuant to our cybersecurity standards, processes and practices, as part of our overall risk management system.</w:t>
      </w:r>
    </w:p>
    <w:p>
      <w:pPr>
        <w:spacing w:after="0" w:line="181"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1F2668"/>
        </w:rPr>
        <w:t>Risk Mitigation and Strategy</w:t>
      </w:r>
    </w:p>
    <w:p>
      <w:pPr>
        <w:spacing w:after="0" w:line="59" w:lineRule="exact"/>
        <w:rPr>
          <w:sz w:val="20"/>
          <w:szCs w:val="20"/>
          <w:color w:val="auto"/>
        </w:rPr>
      </w:pPr>
    </w:p>
    <w:p>
      <w:pPr>
        <w:ind w:left="1140" w:right="380"/>
        <w:spacing w:after="0" w:line="304" w:lineRule="auto"/>
        <w:rPr>
          <w:sz w:val="20"/>
          <w:szCs w:val="20"/>
          <w:color w:val="auto"/>
        </w:rPr>
      </w:pPr>
      <w:r>
        <w:rPr>
          <w:rFonts w:ascii="Arial" w:cs="Arial" w:eastAsia="Arial" w:hAnsi="Arial"/>
          <w:sz w:val="16"/>
          <w:szCs w:val="16"/>
          <w:color w:val="auto"/>
        </w:rPr>
        <w:t>With growing risks associated with cybersecurity, we mitigate our exposure by offsetting the potential costs involved with recovery after a cyber-related security breach or similar event by purchasing cyber liability insurance coverage.</w:t>
      </w:r>
    </w:p>
    <w:p>
      <w:pPr>
        <w:spacing w:after="0" w:line="47" w:lineRule="exact"/>
        <w:rPr>
          <w:sz w:val="20"/>
          <w:szCs w:val="20"/>
          <w:color w:val="auto"/>
        </w:rPr>
      </w:pPr>
    </w:p>
    <w:p>
      <w:pPr>
        <w:ind w:left="1140" w:right="500"/>
        <w:spacing w:after="0" w:line="275" w:lineRule="auto"/>
        <w:rPr>
          <w:sz w:val="20"/>
          <w:szCs w:val="20"/>
          <w:color w:val="auto"/>
        </w:rPr>
      </w:pPr>
      <w:r>
        <w:rPr>
          <w:rFonts w:ascii="Arial" w:cs="Arial" w:eastAsia="Arial" w:hAnsi="Arial"/>
          <w:sz w:val="16"/>
          <w:szCs w:val="16"/>
          <w:color w:val="auto"/>
        </w:rPr>
        <w:t>Our cybersecurity strategy is guided by prioritized risk, the National Institute for Standards and Technology (NIST) Cybersecurity Framework, and emerging business needs. We maintain a cybersecurity incident response plan, as well as a monitoring program, to support senior leadership and the Board.</w:t>
      </w:r>
    </w:p>
    <w:p>
      <w:pPr>
        <w:spacing w:after="0" w:line="178"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1F2668"/>
        </w:rPr>
        <w:t>Security Assessments</w:t>
      </w:r>
    </w:p>
    <w:p>
      <w:pPr>
        <w:spacing w:after="0" w:line="5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We periodically employ internal software tools as well as external agencies to test the efficacy of our security protocols.</w:t>
      </w:r>
    </w:p>
    <w:p>
      <w:pPr>
        <w:spacing w:after="0" w:line="3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Any weaknesses found are addressed through corrective action plans and systematic changes.</w:t>
      </w:r>
    </w:p>
    <w:p>
      <w:pPr>
        <w:spacing w:after="0" w:line="222"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1F2668"/>
        </w:rPr>
        <w:t>Cybersecurity Awareness</w:t>
      </w:r>
    </w:p>
    <w:p>
      <w:pPr>
        <w:spacing w:after="0" w:line="59" w:lineRule="exact"/>
        <w:rPr>
          <w:sz w:val="20"/>
          <w:szCs w:val="20"/>
          <w:color w:val="auto"/>
        </w:rPr>
      </w:pPr>
    </w:p>
    <w:p>
      <w:pPr>
        <w:ind w:left="1140" w:right="380"/>
        <w:spacing w:after="0" w:line="271" w:lineRule="auto"/>
        <w:rPr>
          <w:sz w:val="20"/>
          <w:szCs w:val="20"/>
          <w:color w:val="auto"/>
        </w:rPr>
      </w:pPr>
      <w:r>
        <w:rPr>
          <w:rFonts w:ascii="Arial" w:cs="Arial" w:eastAsia="Arial" w:hAnsi="Arial"/>
          <w:sz w:val="16"/>
          <w:szCs w:val="16"/>
          <w:color w:val="auto"/>
        </w:rPr>
        <w:t>To ensure our employees are equipped with strategies to combat cybersecurity threats, our employees are provided cybersecurity awareness training throughout the year, which includes topics on our policies and procedures for reporting potential incidents. All employees also receive security awareness tips to help identify phishing, deceptive emails, and corrupt links.</w:t>
      </w:r>
    </w:p>
    <w:p>
      <w:pPr>
        <w:spacing w:after="0" w:line="181"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1F2668"/>
        </w:rPr>
        <w:t>Disaster Recovery</w:t>
      </w:r>
    </w:p>
    <w:p>
      <w:pPr>
        <w:spacing w:after="0" w:line="73" w:lineRule="exact"/>
        <w:rPr>
          <w:sz w:val="20"/>
          <w:szCs w:val="20"/>
          <w:color w:val="auto"/>
        </w:rPr>
      </w:pPr>
    </w:p>
    <w:p>
      <w:pPr>
        <w:ind w:left="1140" w:right="400"/>
        <w:spacing w:after="0" w:line="275" w:lineRule="auto"/>
        <w:rPr>
          <w:sz w:val="20"/>
          <w:szCs w:val="20"/>
          <w:color w:val="auto"/>
        </w:rPr>
      </w:pPr>
      <w:r>
        <w:rPr>
          <w:rFonts w:ascii="Arial" w:cs="Arial" w:eastAsia="Arial" w:hAnsi="Arial"/>
          <w:sz w:val="16"/>
          <w:szCs w:val="16"/>
          <w:color w:val="auto"/>
        </w:rPr>
        <w:t>We undergo offsite disaster recovery testing of Day 1 and partial Day 2 critical systems annually and implement incident response procedures. Additionally, 100% of our employees are equipped with mobile computing and remote work capabilities that enable end-to-end continuity of business operations.</w:t>
      </w:r>
    </w:p>
    <w:p>
      <w:pPr>
        <w:spacing w:after="0" w:line="178"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1F2668"/>
        </w:rPr>
        <w:t>Cloud Computing</w:t>
      </w:r>
    </w:p>
    <w:p>
      <w:pPr>
        <w:spacing w:after="0" w:line="59" w:lineRule="exact"/>
        <w:rPr>
          <w:sz w:val="20"/>
          <w:szCs w:val="20"/>
          <w:color w:val="auto"/>
        </w:rPr>
      </w:pPr>
    </w:p>
    <w:p>
      <w:pPr>
        <w:ind w:left="1140" w:right="1320"/>
        <w:spacing w:after="0" w:line="304" w:lineRule="auto"/>
        <w:rPr>
          <w:sz w:val="20"/>
          <w:szCs w:val="20"/>
          <w:color w:val="auto"/>
        </w:rPr>
      </w:pPr>
      <w:r>
        <w:rPr>
          <w:rFonts w:ascii="Arial" w:cs="Arial" w:eastAsia="Arial" w:hAnsi="Arial"/>
          <w:sz w:val="16"/>
          <w:szCs w:val="16"/>
          <w:color w:val="auto"/>
        </w:rPr>
        <w:t>With the advancement and availability of cloud technologies, we leverage the power of the cloud to employ sophisticated cybersecurity and business resilience measures.</w:t>
      </w:r>
    </w:p>
    <w:p>
      <w:pPr>
        <w:spacing w:after="0" w:line="155"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1F2668"/>
        </w:rPr>
        <w:t>External Assurance</w:t>
      </w:r>
    </w:p>
    <w:p>
      <w:pPr>
        <w:spacing w:after="0" w:line="59" w:lineRule="exact"/>
        <w:rPr>
          <w:sz w:val="20"/>
          <w:szCs w:val="20"/>
          <w:color w:val="auto"/>
        </w:rPr>
      </w:pPr>
    </w:p>
    <w:p>
      <w:pPr>
        <w:ind w:left="1140" w:right="760"/>
        <w:spacing w:after="0" w:line="340" w:lineRule="auto"/>
        <w:rPr>
          <w:sz w:val="20"/>
          <w:szCs w:val="20"/>
          <w:color w:val="auto"/>
        </w:rPr>
      </w:pPr>
      <w:r>
        <w:rPr>
          <w:rFonts w:ascii="Arial" w:cs="Arial" w:eastAsia="Arial" w:hAnsi="Arial"/>
          <w:sz w:val="15"/>
          <w:szCs w:val="15"/>
          <w:color w:val="auto"/>
        </w:rPr>
        <w:t>We periodically assess our IT systems to ensure adherence to industry standards, guidelines, and regulations. Our systems are also audited externally each year and any findings are tracked until they are adequately remediated.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328930</wp:posOffset>
            </wp:positionV>
            <wp:extent cx="683196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p>
      <w:pPr>
        <w:ind w:left="820"/>
        <w:spacing w:after="0"/>
        <w:tabs>
          <w:tab w:leader="none" w:pos="1440" w:val="left"/>
          <w:tab w:leader="none" w:pos="9860" w:val="left"/>
        </w:tabs>
        <w:rPr>
          <w:sz w:val="20"/>
          <w:szCs w:val="20"/>
          <w:color w:val="auto"/>
        </w:rPr>
      </w:pPr>
      <w:r>
        <w:rPr>
          <w:rFonts w:ascii="Arial" w:cs="Arial" w:eastAsia="Arial" w:hAnsi="Arial"/>
          <w:sz w:val="22"/>
          <w:szCs w:val="22"/>
          <w:b w:val="1"/>
          <w:bCs w:val="1"/>
          <w:color w:val="1F2668"/>
        </w:rPr>
        <w:t>​32</w:t>
      </w:r>
      <w:r>
        <w:rPr>
          <w:sz w:val="20"/>
          <w:szCs w:val="20"/>
          <w:color w:val="auto"/>
        </w:rPr>
        <w:tab/>
      </w:r>
      <w:r>
        <w:rPr>
          <w:rFonts w:ascii="Arial" w:cs="Arial" w:eastAsia="Arial" w:hAnsi="Arial"/>
          <w:sz w:val="22"/>
          <w:szCs w:val="22"/>
          <w:b w:val="1"/>
          <w:bCs w:val="1"/>
          <w:color w:val="1F2668"/>
        </w:rPr>
        <w:t xml:space="preserve">​ ​ </w:t>
      </w:r>
      <w:r>
        <w:rPr>
          <w:rFonts w:ascii="Arial" w:cs="Arial" w:eastAsia="Arial" w:hAnsi="Arial"/>
          <w:sz w:val="14"/>
          <w:szCs w:val="14"/>
          <w:b w:val="1"/>
          <w:bCs w:val="1"/>
          <w:color w:val="1F2668"/>
        </w:rPr>
        <w:t>SL GREEN REALTY CORP. 2025 PROXY STATEMENT</w:t>
      </w:r>
      <w:r>
        <w:rPr>
          <w:sz w:val="20"/>
          <w:szCs w:val="20"/>
          <w:color w:val="auto"/>
        </w:rPr>
        <w:tab/>
      </w:r>
      <w:r>
        <w:rPr>
          <w:rFonts w:ascii="Arial" w:cs="Arial" w:eastAsia="Arial" w:hAnsi="Arial"/>
          <w:sz w:val="22"/>
          <w:szCs w:val="22"/>
          <w:b w:val="1"/>
          <w:bCs w:val="1"/>
          <w:color w:val="1F2668"/>
        </w:rPr>
        <w:t>​</w:t>
      </w:r>
    </w:p>
    <w:p>
      <w:pPr>
        <w:spacing w:after="0" w:line="200" w:lineRule="exact"/>
        <w:rPr>
          <w:sz w:val="20"/>
          <w:szCs w:val="20"/>
          <w:color w:val="auto"/>
        </w:rPr>
      </w:pPr>
    </w:p>
    <w:p>
      <w:pPr>
        <w:spacing w:after="0" w:line="285"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Stockholder Outreach</w:t>
      </w:r>
    </w:p>
    <w:p>
      <w:pPr>
        <w:spacing w:after="0" w:line="133" w:lineRule="exact"/>
        <w:rPr>
          <w:sz w:val="20"/>
          <w:szCs w:val="20"/>
          <w:color w:val="auto"/>
        </w:rPr>
      </w:pPr>
    </w:p>
    <w:p>
      <w:pPr>
        <w:ind w:left="820" w:right="60"/>
        <w:spacing w:after="0" w:line="301" w:lineRule="auto"/>
        <w:rPr>
          <w:sz w:val="20"/>
          <w:szCs w:val="20"/>
          <w:color w:val="auto"/>
        </w:rPr>
      </w:pPr>
      <w:r>
        <w:rPr>
          <w:rFonts w:ascii="Arial" w:cs="Arial" w:eastAsia="Arial" w:hAnsi="Arial"/>
          <w:sz w:val="16"/>
          <w:szCs w:val="16"/>
          <w:color w:val="auto"/>
        </w:rPr>
        <w:t>The Board believes that engaging in stockholder outreach is an essential element of strong corporate governance. We strive for a collaborative approach to issues of importance to investors and continually seek to better understand the views of our investors on key topics.</w:t>
      </w:r>
    </w:p>
    <w:p>
      <w:pPr>
        <w:spacing w:after="0" w:line="189" w:lineRule="exact"/>
        <w:rPr>
          <w:sz w:val="20"/>
          <w:szCs w:val="20"/>
          <w:color w:val="auto"/>
        </w:rPr>
      </w:pPr>
    </w:p>
    <w:tbl>
      <w:tblPr>
        <w:tblLayout w:type="fixed"/>
        <w:tblInd w:w="820" w:type="dxa"/>
        <w:tblCellMar>
          <w:top w:w="0" w:type="dxa"/>
          <w:left w:w="0" w:type="dxa"/>
          <w:bottom w:w="0" w:type="dxa"/>
          <w:right w:w="0" w:type="dxa"/>
        </w:tblCellMar>
      </w:tblPr>
      <w:tr>
        <w:trPr>
          <w:trHeight w:val="37"/>
        </w:trPr>
        <w:tc>
          <w:tcPr>
            <w:tcW w:w="2140" w:type="dxa"/>
            <w:vAlign w:val="bottom"/>
            <w:gridSpan w:val="3"/>
            <w:vMerge w:val="restart"/>
          </w:tcPr>
          <w:p>
            <w:pPr>
              <w:spacing w:after="0"/>
              <w:rPr>
                <w:sz w:val="20"/>
                <w:szCs w:val="20"/>
                <w:color w:val="auto"/>
              </w:rPr>
            </w:pPr>
            <w:r>
              <w:rPr>
                <w:rFonts w:ascii="Arial" w:cs="Arial" w:eastAsia="Arial" w:hAnsi="Arial"/>
                <w:sz w:val="20"/>
                <w:szCs w:val="20"/>
                <w:b w:val="1"/>
                <w:bCs w:val="1"/>
                <w:color w:val="83AD40"/>
              </w:rPr>
              <w:t>​Who We Engage</w:t>
            </w:r>
            <w:r>
              <w:rPr>
                <w:rFonts w:ascii="Arial" w:cs="Arial" w:eastAsia="Arial" w:hAnsi="Arial"/>
                <w:sz w:val="16"/>
                <w:szCs w:val="16"/>
                <w:color w:val="000000"/>
              </w:rPr>
              <w:t>​</w:t>
            </w:r>
          </w:p>
        </w:tc>
        <w:tc>
          <w:tcPr>
            <w:tcW w:w="180" w:type="dxa"/>
            <w:vAlign w:val="bottom"/>
            <w:vMerge w:val="restart"/>
          </w:tcPr>
          <w:p>
            <w:pPr>
              <w:ind w:left="40"/>
              <w:spacing w:after="0"/>
              <w:rPr>
                <w:sz w:val="20"/>
                <w:szCs w:val="20"/>
                <w:color w:val="auto"/>
              </w:rPr>
            </w:pPr>
            <w:r>
              <w:rPr>
                <w:rFonts w:ascii="Arial" w:cs="Arial" w:eastAsia="Arial" w:hAnsi="Arial"/>
                <w:sz w:val="20"/>
                <w:szCs w:val="20"/>
                <w:b w:val="1"/>
                <w:bCs w:val="1"/>
                <w:color w:val="83AD40"/>
              </w:rPr>
              <w:t>​</w:t>
            </w:r>
          </w:p>
        </w:tc>
        <w:tc>
          <w:tcPr>
            <w:tcW w:w="20" w:type="dxa"/>
            <w:vAlign w:val="bottom"/>
          </w:tcPr>
          <w:p>
            <w:pPr>
              <w:spacing w:after="0"/>
              <w:rPr>
                <w:sz w:val="3"/>
                <w:szCs w:val="3"/>
                <w:color w:val="auto"/>
              </w:rPr>
            </w:pPr>
          </w:p>
        </w:tc>
        <w:tc>
          <w:tcPr>
            <w:tcW w:w="4280" w:type="dxa"/>
            <w:vAlign w:val="bottom"/>
            <w:gridSpan w:val="5"/>
            <w:vMerge w:val="restart"/>
          </w:tcPr>
          <w:p>
            <w:pPr>
              <w:spacing w:after="0"/>
              <w:rPr>
                <w:sz w:val="20"/>
                <w:szCs w:val="20"/>
                <w:color w:val="auto"/>
              </w:rPr>
            </w:pPr>
            <w:r>
              <w:rPr>
                <w:rFonts w:ascii="Arial" w:cs="Arial" w:eastAsia="Arial" w:hAnsi="Arial"/>
                <w:sz w:val="20"/>
                <w:szCs w:val="20"/>
                <w:b w:val="1"/>
                <w:bCs w:val="1"/>
                <w:color w:val="83AD40"/>
              </w:rPr>
              <w:t>​ Offered Engagement with Approximately</w:t>
            </w:r>
            <w:r>
              <w:rPr>
                <w:rFonts w:ascii="Arial" w:cs="Arial" w:eastAsia="Arial" w:hAnsi="Arial"/>
                <w:sz w:val="16"/>
                <w:szCs w:val="16"/>
                <w:color w:val="000000"/>
              </w:rPr>
              <w:t>​</w:t>
            </w:r>
            <w:r>
              <w:rPr>
                <w:rFonts w:ascii="Arial" w:cs="Arial" w:eastAsia="Arial" w:hAnsi="Arial"/>
                <w:sz w:val="20"/>
                <w:szCs w:val="20"/>
                <w:b w:val="1"/>
                <w:bCs w:val="1"/>
                <w:color w:val="83AD40"/>
              </w:rPr>
              <w:t xml:space="preserve">  ​</w:t>
            </w:r>
          </w:p>
        </w:tc>
        <w:tc>
          <w:tcPr>
            <w:tcW w:w="20" w:type="dxa"/>
            <w:vAlign w:val="bottom"/>
          </w:tcPr>
          <w:p>
            <w:pPr>
              <w:spacing w:after="0"/>
              <w:rPr>
                <w:sz w:val="3"/>
                <w:szCs w:val="3"/>
                <w:color w:val="auto"/>
              </w:rPr>
            </w:pPr>
          </w:p>
        </w:tc>
        <w:tc>
          <w:tcPr>
            <w:tcW w:w="2260" w:type="dxa"/>
            <w:vAlign w:val="bottom"/>
            <w:vMerge w:val="restart"/>
          </w:tcPr>
          <w:p>
            <w:pPr>
              <w:spacing w:after="0"/>
              <w:rPr>
                <w:sz w:val="20"/>
                <w:szCs w:val="20"/>
                <w:color w:val="auto"/>
              </w:rPr>
            </w:pPr>
            <w:r>
              <w:rPr>
                <w:rFonts w:ascii="Arial" w:cs="Arial" w:eastAsia="Arial" w:hAnsi="Arial"/>
                <w:sz w:val="20"/>
                <w:szCs w:val="20"/>
                <w:b w:val="1"/>
                <w:bCs w:val="1"/>
                <w:color w:val="83AD40"/>
              </w:rPr>
              <w:t>​ How We Engage</w:t>
            </w:r>
            <w:r>
              <w:rPr>
                <w:rFonts w:ascii="Arial" w:cs="Arial" w:eastAsia="Arial" w:hAnsi="Arial"/>
                <w:sz w:val="16"/>
                <w:szCs w:val="16"/>
                <w:color w:val="000000"/>
              </w:rPr>
              <w:t>​</w:t>
            </w:r>
          </w:p>
        </w:tc>
        <w:tc>
          <w:tcPr>
            <w:tcW w:w="160" w:type="dxa"/>
            <w:vAlign w:val="bottom"/>
            <w:gridSpan w:val="3"/>
            <w:vMerge w:val="restart"/>
          </w:tcPr>
          <w:p>
            <w:pPr>
              <w:ind w:left="40"/>
              <w:spacing w:after="0"/>
              <w:rPr>
                <w:sz w:val="20"/>
                <w:szCs w:val="20"/>
                <w:color w:val="auto"/>
              </w:rPr>
            </w:pPr>
            <w:r>
              <w:rPr>
                <w:rFonts w:ascii="Arial" w:cs="Arial" w:eastAsia="Arial" w:hAnsi="Arial"/>
                <w:sz w:val="20"/>
                <w:szCs w:val="20"/>
                <w:b w:val="1"/>
                <w:bCs w:val="1"/>
                <w:color w:val="83AD40"/>
              </w:rPr>
              <w:t>​</w:t>
            </w:r>
          </w:p>
        </w:tc>
        <w:tc>
          <w:tcPr>
            <w:tcW w:w="0" w:type="dxa"/>
            <w:vAlign w:val="bottom"/>
          </w:tcPr>
          <w:p>
            <w:pPr>
              <w:spacing w:after="0" w:line="20" w:lineRule="exact"/>
              <w:rPr>
                <w:sz w:val="1"/>
                <w:szCs w:val="1"/>
                <w:color w:val="auto"/>
              </w:rPr>
            </w:pPr>
          </w:p>
        </w:tc>
      </w:tr>
      <w:tr>
        <w:trPr>
          <w:trHeight w:val="229"/>
        </w:trPr>
        <w:tc>
          <w:tcPr>
            <w:tcW w:w="2140" w:type="dxa"/>
            <w:vAlign w:val="bottom"/>
            <w:gridSpan w:val="3"/>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20" w:type="dxa"/>
            <w:vAlign w:val="bottom"/>
            <w:shd w:val="clear" w:color="auto" w:fill="83AD40"/>
          </w:tcPr>
          <w:p>
            <w:pPr>
              <w:spacing w:after="0"/>
              <w:rPr>
                <w:sz w:val="19"/>
                <w:szCs w:val="19"/>
                <w:color w:val="auto"/>
              </w:rPr>
            </w:pPr>
          </w:p>
        </w:tc>
        <w:tc>
          <w:tcPr>
            <w:tcW w:w="4280" w:type="dxa"/>
            <w:vAlign w:val="bottom"/>
            <w:gridSpan w:val="5"/>
            <w:vMerge w:val="continue"/>
          </w:tcPr>
          <w:p>
            <w:pPr>
              <w:spacing w:after="0"/>
              <w:rPr>
                <w:sz w:val="19"/>
                <w:szCs w:val="19"/>
                <w:color w:val="auto"/>
              </w:rPr>
            </w:pPr>
          </w:p>
        </w:tc>
        <w:tc>
          <w:tcPr>
            <w:tcW w:w="20" w:type="dxa"/>
            <w:vAlign w:val="bottom"/>
            <w:shd w:val="clear" w:color="auto" w:fill="83AD40"/>
          </w:tcPr>
          <w:p>
            <w:pPr>
              <w:spacing w:after="0"/>
              <w:rPr>
                <w:sz w:val="19"/>
                <w:szCs w:val="19"/>
                <w:color w:val="auto"/>
              </w:rPr>
            </w:pPr>
          </w:p>
        </w:tc>
        <w:tc>
          <w:tcPr>
            <w:tcW w:w="2260" w:type="dxa"/>
            <w:vAlign w:val="bottom"/>
            <w:vMerge w:val="continue"/>
          </w:tcPr>
          <w:p>
            <w:pPr>
              <w:spacing w:after="0"/>
              <w:rPr>
                <w:sz w:val="19"/>
                <w:szCs w:val="19"/>
                <w:color w:val="auto"/>
              </w:rPr>
            </w:pPr>
          </w:p>
        </w:tc>
        <w:tc>
          <w:tcPr>
            <w:tcW w:w="1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200" w:type="dxa"/>
            <w:vAlign w:val="bottom"/>
            <w:gridSpan w:val="2"/>
          </w:tcPr>
          <w:p>
            <w:pPr>
              <w:spacing w:after="0" w:line="163" w:lineRule="exact"/>
              <w:rPr>
                <w:sz w:val="20"/>
                <w:szCs w:val="20"/>
                <w:color w:val="auto"/>
              </w:rPr>
            </w:pPr>
            <w:r>
              <w:rPr>
                <w:rFonts w:ascii="Arial" w:cs="Arial" w:eastAsia="Arial" w:hAnsi="Arial"/>
                <w:sz w:val="16"/>
                <w:szCs w:val="16"/>
                <w:color w:val="1F2668"/>
              </w:rPr>
              <w:t>​</w:t>
            </w:r>
          </w:p>
        </w:tc>
        <w:tc>
          <w:tcPr>
            <w:tcW w:w="1940" w:type="dxa"/>
            <w:vAlign w:val="bottom"/>
          </w:tcPr>
          <w:p>
            <w:pPr>
              <w:spacing w:after="0"/>
              <w:rPr>
                <w:sz w:val="14"/>
                <w:szCs w:val="14"/>
                <w:color w:val="auto"/>
              </w:rPr>
            </w:pPr>
          </w:p>
        </w:tc>
        <w:tc>
          <w:tcPr>
            <w:tcW w:w="180" w:type="dxa"/>
            <w:vAlign w:val="bottom"/>
          </w:tcPr>
          <w:p>
            <w:pPr>
              <w:ind w:left="40"/>
              <w:spacing w:after="0" w:line="163" w:lineRule="exact"/>
              <w:rPr>
                <w:sz w:val="20"/>
                <w:szCs w:val="20"/>
                <w:color w:val="auto"/>
              </w:rPr>
            </w:pPr>
            <w:r>
              <w:rPr>
                <w:rFonts w:ascii="Arial" w:cs="Arial" w:eastAsia="Arial" w:hAnsi="Arial"/>
                <w:sz w:val="16"/>
                <w:szCs w:val="16"/>
                <w:color w:val="1F2668"/>
              </w:rPr>
              <w:t>​</w:t>
            </w:r>
          </w:p>
        </w:tc>
        <w:tc>
          <w:tcPr>
            <w:tcW w:w="20" w:type="dxa"/>
            <w:vAlign w:val="bottom"/>
            <w:shd w:val="clear" w:color="auto" w:fill="83AD40"/>
          </w:tcPr>
          <w:p>
            <w:pPr>
              <w:spacing w:after="0"/>
              <w:rPr>
                <w:sz w:val="14"/>
                <w:szCs w:val="14"/>
                <w:color w:val="auto"/>
              </w:rPr>
            </w:pPr>
          </w:p>
        </w:tc>
        <w:tc>
          <w:tcPr>
            <w:tcW w:w="700" w:type="dxa"/>
            <w:vAlign w:val="bottom"/>
            <w:gridSpan w:val="2"/>
          </w:tcPr>
          <w:p>
            <w:pPr>
              <w:spacing w:after="0" w:line="163" w:lineRule="exact"/>
              <w:rPr>
                <w:sz w:val="20"/>
                <w:szCs w:val="20"/>
                <w:color w:val="auto"/>
              </w:rPr>
            </w:pPr>
            <w:r>
              <w:rPr>
                <w:rFonts w:ascii="Arial" w:cs="Arial" w:eastAsia="Arial" w:hAnsi="Arial"/>
                <w:sz w:val="16"/>
                <w:szCs w:val="16"/>
                <w:color w:val="1F2668"/>
              </w:rPr>
              <w:t>​</w:t>
            </w:r>
          </w:p>
        </w:tc>
        <w:tc>
          <w:tcPr>
            <w:tcW w:w="2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ind w:left="840"/>
              <w:spacing w:after="0" w:line="163" w:lineRule="exact"/>
              <w:rPr>
                <w:sz w:val="20"/>
                <w:szCs w:val="20"/>
                <w:color w:val="auto"/>
              </w:rPr>
            </w:pPr>
            <w:r>
              <w:rPr>
                <w:rFonts w:ascii="Arial" w:cs="Arial" w:eastAsia="Arial" w:hAnsi="Arial"/>
                <w:sz w:val="16"/>
                <w:szCs w:val="16"/>
                <w:color w:val="1F2668"/>
              </w:rPr>
              <w:t>​</w:t>
            </w:r>
          </w:p>
        </w:tc>
        <w:tc>
          <w:tcPr>
            <w:tcW w:w="20" w:type="dxa"/>
            <w:vAlign w:val="bottom"/>
            <w:shd w:val="clear" w:color="auto" w:fill="83AD40"/>
          </w:tcPr>
          <w:p>
            <w:pPr>
              <w:spacing w:after="0"/>
              <w:rPr>
                <w:sz w:val="14"/>
                <w:szCs w:val="14"/>
                <w:color w:val="auto"/>
              </w:rPr>
            </w:pPr>
          </w:p>
        </w:tc>
        <w:tc>
          <w:tcPr>
            <w:tcW w:w="2260" w:type="dxa"/>
            <w:vAlign w:val="bottom"/>
          </w:tcPr>
          <w:p>
            <w:pPr>
              <w:spacing w:after="0" w:line="163" w:lineRule="exact"/>
              <w:rPr>
                <w:sz w:val="20"/>
                <w:szCs w:val="20"/>
                <w:color w:val="auto"/>
              </w:rPr>
            </w:pPr>
            <w:r>
              <w:rPr>
                <w:rFonts w:ascii="Arial" w:cs="Arial" w:eastAsia="Arial" w:hAnsi="Arial"/>
                <w:sz w:val="16"/>
                <w:szCs w:val="16"/>
                <w:color w:val="1F2668"/>
              </w:rPr>
              <w:t>​</w:t>
            </w:r>
          </w:p>
        </w:tc>
        <w:tc>
          <w:tcPr>
            <w:tcW w:w="160" w:type="dxa"/>
            <w:vAlign w:val="bottom"/>
            <w:gridSpan w:val="3"/>
          </w:tcPr>
          <w:p>
            <w:pPr>
              <w:ind w:left="40"/>
              <w:spacing w:after="0" w:line="163" w:lineRule="exact"/>
              <w:rPr>
                <w:sz w:val="20"/>
                <w:szCs w:val="20"/>
                <w:color w:val="auto"/>
              </w:rPr>
            </w:pPr>
            <w:r>
              <w:rPr>
                <w:rFonts w:ascii="Arial" w:cs="Arial" w:eastAsia="Arial" w:hAnsi="Arial"/>
                <w:sz w:val="16"/>
                <w:szCs w:val="16"/>
                <w:color w:val="1F2668"/>
              </w:rPr>
              <w:t>​</w:t>
            </w:r>
          </w:p>
        </w:tc>
        <w:tc>
          <w:tcPr>
            <w:tcW w:w="0" w:type="dxa"/>
            <w:vAlign w:val="bottom"/>
          </w:tcPr>
          <w:p>
            <w:pPr>
              <w:spacing w:after="0"/>
              <w:rPr>
                <w:sz w:val="1"/>
                <w:szCs w:val="1"/>
                <w:color w:val="auto"/>
              </w:rPr>
            </w:pPr>
          </w:p>
        </w:tc>
      </w:tr>
      <w:tr>
        <w:trPr>
          <w:trHeight w:val="202"/>
        </w:trPr>
        <w:tc>
          <w:tcPr>
            <w:tcW w:w="2140" w:type="dxa"/>
            <w:vAlign w:val="bottom"/>
            <w:gridSpan w:val="3"/>
          </w:tcPr>
          <w:p>
            <w:pPr>
              <w:ind w:left="40"/>
              <w:spacing w:after="0"/>
              <w:rPr>
                <w:sz w:val="20"/>
                <w:szCs w:val="20"/>
                <w:color w:val="auto"/>
              </w:rPr>
            </w:pPr>
            <w:r>
              <w:rPr>
                <w:rFonts w:ascii="Arial" w:cs="Arial" w:eastAsia="Arial" w:hAnsi="Arial"/>
                <w:sz w:val="16"/>
                <w:szCs w:val="16"/>
                <w:color w:val="1F2668"/>
              </w:rPr>
              <w:t>Over the past several years,</w:t>
            </w:r>
          </w:p>
        </w:tc>
        <w:tc>
          <w:tcPr>
            <w:tcW w:w="180" w:type="dxa"/>
            <w:vAlign w:val="bottom"/>
          </w:tcPr>
          <w:p>
            <w:pPr>
              <w:spacing w:after="0"/>
              <w:rPr>
                <w:sz w:val="17"/>
                <w:szCs w:val="17"/>
                <w:color w:val="auto"/>
              </w:rPr>
            </w:pPr>
          </w:p>
        </w:tc>
        <w:tc>
          <w:tcPr>
            <w:tcW w:w="20" w:type="dxa"/>
            <w:vAlign w:val="bottom"/>
            <w:shd w:val="clear" w:color="auto" w:fill="83AD40"/>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shd w:val="clear" w:color="auto" w:fill="83AD40"/>
          </w:tcPr>
          <w:p>
            <w:pPr>
              <w:spacing w:after="0"/>
              <w:rPr>
                <w:sz w:val="17"/>
                <w:szCs w:val="17"/>
                <w:color w:val="auto"/>
              </w:rPr>
            </w:pPr>
          </w:p>
        </w:tc>
        <w:tc>
          <w:tcPr>
            <w:tcW w:w="2260" w:type="dxa"/>
            <w:vAlign w:val="bottom"/>
          </w:tcPr>
          <w:p>
            <w:pPr>
              <w:ind w:left="140"/>
              <w:spacing w:after="0"/>
              <w:rPr>
                <w:sz w:val="20"/>
                <w:szCs w:val="20"/>
                <w:color w:val="auto"/>
              </w:rPr>
            </w:pPr>
            <w:r>
              <w:rPr>
                <w:rFonts w:ascii="Arial" w:cs="Arial" w:eastAsia="Arial" w:hAnsi="Arial"/>
                <w:sz w:val="16"/>
                <w:szCs w:val="16"/>
                <w:color w:val="1F2668"/>
              </w:rPr>
              <w:t>We held in-person and virtual</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140" w:type="dxa"/>
            <w:vAlign w:val="bottom"/>
            <w:gridSpan w:val="3"/>
          </w:tcPr>
          <w:p>
            <w:pPr>
              <w:ind w:left="40"/>
              <w:spacing w:after="0"/>
              <w:rPr>
                <w:sz w:val="20"/>
                <w:szCs w:val="20"/>
                <w:color w:val="auto"/>
              </w:rPr>
            </w:pPr>
            <w:r>
              <w:rPr>
                <w:rFonts w:ascii="Arial" w:cs="Arial" w:eastAsia="Arial" w:hAnsi="Arial"/>
                <w:sz w:val="16"/>
                <w:szCs w:val="16"/>
                <w:color w:val="1F2668"/>
              </w:rPr>
              <w:t>the chairs of the</w:t>
            </w:r>
          </w:p>
        </w:tc>
        <w:tc>
          <w:tcPr>
            <w:tcW w:w="180" w:type="dxa"/>
            <w:vAlign w:val="bottom"/>
          </w:tcPr>
          <w:p>
            <w:pPr>
              <w:spacing w:after="0"/>
              <w:rPr>
                <w:sz w:val="16"/>
                <w:szCs w:val="16"/>
                <w:color w:val="auto"/>
              </w:rPr>
            </w:pPr>
          </w:p>
        </w:tc>
        <w:tc>
          <w:tcPr>
            <w:tcW w:w="20" w:type="dxa"/>
            <w:vAlign w:val="bottom"/>
            <w:shd w:val="clear" w:color="auto" w:fill="83AD40"/>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shd w:val="clear" w:color="auto" w:fill="83AD40"/>
          </w:tcPr>
          <w:p>
            <w:pPr>
              <w:spacing w:after="0"/>
              <w:rPr>
                <w:sz w:val="16"/>
                <w:szCs w:val="16"/>
                <w:color w:val="auto"/>
              </w:rPr>
            </w:pPr>
          </w:p>
        </w:tc>
        <w:tc>
          <w:tcPr>
            <w:tcW w:w="2420" w:type="dxa"/>
            <w:vAlign w:val="bottom"/>
            <w:gridSpan w:val="4"/>
          </w:tcPr>
          <w:p>
            <w:pPr>
              <w:ind w:left="140"/>
              <w:spacing w:after="0"/>
              <w:rPr>
                <w:sz w:val="20"/>
                <w:szCs w:val="20"/>
                <w:color w:val="auto"/>
              </w:rPr>
            </w:pPr>
            <w:r>
              <w:rPr>
                <w:rFonts w:ascii="Arial" w:cs="Arial" w:eastAsia="Arial" w:hAnsi="Arial"/>
                <w:sz w:val="16"/>
                <w:szCs w:val="16"/>
                <w:color w:val="1F2668"/>
              </w:rPr>
              <w:t>meetings, conducted calls and</w:t>
            </w:r>
          </w:p>
        </w:tc>
        <w:tc>
          <w:tcPr>
            <w:tcW w:w="0" w:type="dxa"/>
            <w:vAlign w:val="bottom"/>
          </w:tcPr>
          <w:p>
            <w:pPr>
              <w:spacing w:after="0"/>
              <w:rPr>
                <w:sz w:val="1"/>
                <w:szCs w:val="1"/>
                <w:color w:val="auto"/>
              </w:rPr>
            </w:pPr>
          </w:p>
        </w:tc>
      </w:tr>
      <w:tr>
        <w:trPr>
          <w:trHeight w:val="203"/>
        </w:trPr>
        <w:tc>
          <w:tcPr>
            <w:tcW w:w="2140" w:type="dxa"/>
            <w:vAlign w:val="bottom"/>
            <w:gridSpan w:val="3"/>
          </w:tcPr>
          <w:p>
            <w:pPr>
              <w:ind w:left="40"/>
              <w:spacing w:after="0"/>
              <w:rPr>
                <w:sz w:val="20"/>
                <w:szCs w:val="20"/>
                <w:color w:val="auto"/>
              </w:rPr>
            </w:pPr>
            <w:r>
              <w:rPr>
                <w:rFonts w:ascii="Arial" w:cs="Arial" w:eastAsia="Arial" w:hAnsi="Arial"/>
                <w:sz w:val="16"/>
                <w:szCs w:val="16"/>
                <w:color w:val="1F2668"/>
              </w:rPr>
              <w:t>Compensation and</w:t>
            </w:r>
          </w:p>
        </w:tc>
        <w:tc>
          <w:tcPr>
            <w:tcW w:w="180" w:type="dxa"/>
            <w:vAlign w:val="bottom"/>
          </w:tcPr>
          <w:p>
            <w:pPr>
              <w:spacing w:after="0"/>
              <w:rPr>
                <w:sz w:val="17"/>
                <w:szCs w:val="17"/>
                <w:color w:val="auto"/>
              </w:rPr>
            </w:pPr>
          </w:p>
        </w:tc>
        <w:tc>
          <w:tcPr>
            <w:tcW w:w="20" w:type="dxa"/>
            <w:vAlign w:val="bottom"/>
            <w:shd w:val="clear" w:color="auto" w:fill="83AD40"/>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shd w:val="clear" w:color="auto" w:fill="83AD40"/>
          </w:tcPr>
          <w:p>
            <w:pPr>
              <w:spacing w:after="0"/>
              <w:rPr>
                <w:sz w:val="17"/>
                <w:szCs w:val="17"/>
                <w:color w:val="auto"/>
              </w:rPr>
            </w:pPr>
          </w:p>
        </w:tc>
        <w:tc>
          <w:tcPr>
            <w:tcW w:w="2260" w:type="dxa"/>
            <w:vAlign w:val="bottom"/>
          </w:tcPr>
          <w:p>
            <w:pPr>
              <w:ind w:left="140"/>
              <w:spacing w:after="0"/>
              <w:rPr>
                <w:sz w:val="20"/>
                <w:szCs w:val="20"/>
                <w:color w:val="auto"/>
              </w:rPr>
            </w:pPr>
            <w:r>
              <w:rPr>
                <w:rFonts w:ascii="Arial" w:cs="Arial" w:eastAsia="Arial" w:hAnsi="Arial"/>
                <w:sz w:val="16"/>
                <w:szCs w:val="16"/>
                <w:color w:val="1F2668"/>
              </w:rPr>
              <w:t>otherwise engaged with</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40" w:type="dxa"/>
            <w:vAlign w:val="bottom"/>
            <w:gridSpan w:val="3"/>
          </w:tcPr>
          <w:p>
            <w:pPr>
              <w:ind w:left="40"/>
              <w:spacing w:after="0"/>
              <w:rPr>
                <w:sz w:val="20"/>
                <w:szCs w:val="20"/>
                <w:color w:val="auto"/>
              </w:rPr>
            </w:pPr>
            <w:r>
              <w:rPr>
                <w:rFonts w:ascii="Arial" w:cs="Arial" w:eastAsia="Arial" w:hAnsi="Arial"/>
                <w:sz w:val="16"/>
                <w:szCs w:val="16"/>
                <w:color w:val="1F2668"/>
              </w:rPr>
              <w:t>Nominating and Governance</w:t>
            </w:r>
          </w:p>
        </w:tc>
        <w:tc>
          <w:tcPr>
            <w:tcW w:w="180" w:type="dxa"/>
            <w:vAlign w:val="bottom"/>
          </w:tcPr>
          <w:p>
            <w:pPr>
              <w:spacing w:after="0"/>
              <w:rPr>
                <w:sz w:val="17"/>
                <w:szCs w:val="17"/>
                <w:color w:val="auto"/>
              </w:rPr>
            </w:pPr>
          </w:p>
        </w:tc>
        <w:tc>
          <w:tcPr>
            <w:tcW w:w="20" w:type="dxa"/>
            <w:vAlign w:val="bottom"/>
            <w:shd w:val="clear" w:color="auto" w:fill="83AD40"/>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shd w:val="clear" w:color="auto" w:fill="83AD40"/>
          </w:tcPr>
          <w:p>
            <w:pPr>
              <w:spacing w:after="0"/>
              <w:rPr>
                <w:sz w:val="17"/>
                <w:szCs w:val="17"/>
                <w:color w:val="auto"/>
              </w:rPr>
            </w:pPr>
          </w:p>
        </w:tc>
        <w:tc>
          <w:tcPr>
            <w:tcW w:w="2260" w:type="dxa"/>
            <w:vAlign w:val="bottom"/>
          </w:tcPr>
          <w:p>
            <w:pPr>
              <w:ind w:left="140"/>
              <w:spacing w:after="0"/>
              <w:rPr>
                <w:sz w:val="20"/>
                <w:szCs w:val="20"/>
                <w:color w:val="auto"/>
              </w:rPr>
            </w:pPr>
            <w:r>
              <w:rPr>
                <w:rFonts w:ascii="Arial" w:cs="Arial" w:eastAsia="Arial" w:hAnsi="Arial"/>
                <w:sz w:val="16"/>
                <w:szCs w:val="16"/>
                <w:color w:val="1F2668"/>
              </w:rPr>
              <w:t>investors on topics including</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140" w:type="dxa"/>
            <w:vAlign w:val="bottom"/>
            <w:gridSpan w:val="3"/>
          </w:tcPr>
          <w:p>
            <w:pPr>
              <w:ind w:left="40"/>
              <w:spacing w:after="0"/>
              <w:rPr>
                <w:sz w:val="20"/>
                <w:szCs w:val="20"/>
                <w:color w:val="auto"/>
              </w:rPr>
            </w:pPr>
            <w:r>
              <w:rPr>
                <w:rFonts w:ascii="Arial" w:cs="Arial" w:eastAsia="Arial" w:hAnsi="Arial"/>
                <w:sz w:val="16"/>
                <w:szCs w:val="16"/>
                <w:color w:val="1F2668"/>
              </w:rPr>
              <w:t>Committees and members of</w:t>
            </w:r>
          </w:p>
        </w:tc>
        <w:tc>
          <w:tcPr>
            <w:tcW w:w="180" w:type="dxa"/>
            <w:vAlign w:val="bottom"/>
          </w:tcPr>
          <w:p>
            <w:pPr>
              <w:spacing w:after="0"/>
              <w:rPr>
                <w:sz w:val="16"/>
                <w:szCs w:val="16"/>
                <w:color w:val="auto"/>
              </w:rPr>
            </w:pPr>
          </w:p>
        </w:tc>
        <w:tc>
          <w:tcPr>
            <w:tcW w:w="20" w:type="dxa"/>
            <w:vAlign w:val="bottom"/>
            <w:shd w:val="clear" w:color="auto" w:fill="83AD40"/>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shd w:val="clear" w:color="auto" w:fill="83AD40"/>
          </w:tcPr>
          <w:p>
            <w:pPr>
              <w:spacing w:after="0"/>
              <w:rPr>
                <w:sz w:val="16"/>
                <w:szCs w:val="16"/>
                <w:color w:val="auto"/>
              </w:rPr>
            </w:pPr>
          </w:p>
        </w:tc>
        <w:tc>
          <w:tcPr>
            <w:tcW w:w="2260" w:type="dxa"/>
            <w:vAlign w:val="bottom"/>
          </w:tcPr>
          <w:p>
            <w:pPr>
              <w:ind w:left="140"/>
              <w:spacing w:after="0"/>
              <w:rPr>
                <w:sz w:val="20"/>
                <w:szCs w:val="20"/>
                <w:color w:val="auto"/>
              </w:rPr>
            </w:pPr>
            <w:r>
              <w:rPr>
                <w:rFonts w:ascii="Arial" w:cs="Arial" w:eastAsia="Arial" w:hAnsi="Arial"/>
                <w:sz w:val="16"/>
                <w:szCs w:val="16"/>
                <w:color w:val="1F2668"/>
              </w:rPr>
              <w:t>our business strategy and</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40" w:type="dxa"/>
            <w:vAlign w:val="bottom"/>
            <w:gridSpan w:val="3"/>
          </w:tcPr>
          <w:p>
            <w:pPr>
              <w:ind w:left="40"/>
              <w:spacing w:after="0"/>
              <w:rPr>
                <w:sz w:val="20"/>
                <w:szCs w:val="20"/>
                <w:color w:val="auto"/>
              </w:rPr>
            </w:pPr>
            <w:r>
              <w:rPr>
                <w:rFonts w:ascii="Arial" w:cs="Arial" w:eastAsia="Arial" w:hAnsi="Arial"/>
                <w:sz w:val="16"/>
                <w:szCs w:val="16"/>
                <w:color w:val="1F2668"/>
                <w:w w:val="99"/>
              </w:rPr>
              <w:t>our senior management team</w:t>
            </w:r>
          </w:p>
        </w:tc>
        <w:tc>
          <w:tcPr>
            <w:tcW w:w="180" w:type="dxa"/>
            <w:vAlign w:val="bottom"/>
          </w:tcPr>
          <w:p>
            <w:pPr>
              <w:spacing w:after="0"/>
              <w:rPr>
                <w:sz w:val="17"/>
                <w:szCs w:val="17"/>
                <w:color w:val="auto"/>
              </w:rPr>
            </w:pPr>
          </w:p>
        </w:tc>
        <w:tc>
          <w:tcPr>
            <w:tcW w:w="20" w:type="dxa"/>
            <w:vAlign w:val="bottom"/>
            <w:shd w:val="clear" w:color="auto" w:fill="83AD40"/>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shd w:val="clear" w:color="auto" w:fill="83AD40"/>
          </w:tcPr>
          <w:p>
            <w:pPr>
              <w:spacing w:after="0"/>
              <w:rPr>
                <w:sz w:val="17"/>
                <w:szCs w:val="17"/>
                <w:color w:val="auto"/>
              </w:rPr>
            </w:pPr>
          </w:p>
        </w:tc>
        <w:tc>
          <w:tcPr>
            <w:tcW w:w="2260" w:type="dxa"/>
            <w:vAlign w:val="bottom"/>
          </w:tcPr>
          <w:p>
            <w:pPr>
              <w:ind w:left="140"/>
              <w:spacing w:after="0"/>
              <w:rPr>
                <w:sz w:val="20"/>
                <w:szCs w:val="20"/>
                <w:color w:val="auto"/>
              </w:rPr>
            </w:pPr>
            <w:r>
              <w:rPr>
                <w:rFonts w:ascii="Arial" w:cs="Arial" w:eastAsia="Arial" w:hAnsi="Arial"/>
                <w:sz w:val="16"/>
                <w:szCs w:val="16"/>
                <w:color w:val="1F2668"/>
              </w:rPr>
              <w:t>executive compensation as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40" w:type="dxa"/>
            <w:vAlign w:val="bottom"/>
            <w:gridSpan w:val="3"/>
          </w:tcPr>
          <w:p>
            <w:pPr>
              <w:ind w:left="40"/>
              <w:spacing w:after="0"/>
              <w:rPr>
                <w:sz w:val="20"/>
                <w:szCs w:val="20"/>
                <w:color w:val="auto"/>
              </w:rPr>
            </w:pPr>
            <w:r>
              <w:rPr>
                <w:rFonts w:ascii="Arial" w:cs="Arial" w:eastAsia="Arial" w:hAnsi="Arial"/>
                <w:sz w:val="16"/>
                <w:szCs w:val="16"/>
                <w:color w:val="1F2668"/>
              </w:rPr>
              <w:t>have engaged with many of</w:t>
            </w:r>
          </w:p>
        </w:tc>
        <w:tc>
          <w:tcPr>
            <w:tcW w:w="180" w:type="dxa"/>
            <w:vAlign w:val="bottom"/>
          </w:tcPr>
          <w:p>
            <w:pPr>
              <w:spacing w:after="0"/>
              <w:rPr>
                <w:sz w:val="17"/>
                <w:szCs w:val="17"/>
                <w:color w:val="auto"/>
              </w:rPr>
            </w:pPr>
          </w:p>
        </w:tc>
        <w:tc>
          <w:tcPr>
            <w:tcW w:w="20" w:type="dxa"/>
            <w:vAlign w:val="bottom"/>
            <w:shd w:val="clear" w:color="auto" w:fill="83AD40"/>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shd w:val="clear" w:color="auto" w:fill="83AD40"/>
          </w:tcPr>
          <w:p>
            <w:pPr>
              <w:spacing w:after="0"/>
              <w:rPr>
                <w:sz w:val="17"/>
                <w:szCs w:val="17"/>
                <w:color w:val="auto"/>
              </w:rPr>
            </w:pPr>
          </w:p>
        </w:tc>
        <w:tc>
          <w:tcPr>
            <w:tcW w:w="2260" w:type="dxa"/>
            <w:vAlign w:val="bottom"/>
          </w:tcPr>
          <w:p>
            <w:pPr>
              <w:ind w:left="140"/>
              <w:spacing w:after="0"/>
              <w:rPr>
                <w:sz w:val="20"/>
                <w:szCs w:val="20"/>
                <w:color w:val="auto"/>
              </w:rPr>
            </w:pPr>
            <w:r>
              <w:rPr>
                <w:rFonts w:ascii="Arial" w:cs="Arial" w:eastAsia="Arial" w:hAnsi="Arial"/>
                <w:sz w:val="16"/>
                <w:szCs w:val="16"/>
                <w:color w:val="1F2668"/>
              </w:rPr>
              <w:t>well as governance and ESG</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140" w:type="dxa"/>
            <w:vAlign w:val="bottom"/>
            <w:gridSpan w:val="3"/>
          </w:tcPr>
          <w:p>
            <w:pPr>
              <w:ind w:left="40"/>
              <w:spacing w:after="0"/>
              <w:rPr>
                <w:sz w:val="20"/>
                <w:szCs w:val="20"/>
                <w:color w:val="auto"/>
              </w:rPr>
            </w:pPr>
            <w:r>
              <w:rPr>
                <w:rFonts w:ascii="Arial" w:cs="Arial" w:eastAsia="Arial" w:hAnsi="Arial"/>
                <w:sz w:val="16"/>
                <w:szCs w:val="16"/>
                <w:color w:val="1F2668"/>
              </w:rPr>
              <w:t>our largest institutional</w:t>
            </w:r>
          </w:p>
        </w:tc>
        <w:tc>
          <w:tcPr>
            <w:tcW w:w="180" w:type="dxa"/>
            <w:vAlign w:val="bottom"/>
          </w:tcPr>
          <w:p>
            <w:pPr>
              <w:spacing w:after="0"/>
              <w:rPr>
                <w:sz w:val="16"/>
                <w:szCs w:val="16"/>
                <w:color w:val="auto"/>
              </w:rPr>
            </w:pPr>
          </w:p>
        </w:tc>
        <w:tc>
          <w:tcPr>
            <w:tcW w:w="20" w:type="dxa"/>
            <w:vAlign w:val="bottom"/>
            <w:shd w:val="clear" w:color="auto" w:fill="83AD40"/>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shd w:val="clear" w:color="auto" w:fill="83AD40"/>
          </w:tcPr>
          <w:p>
            <w:pPr>
              <w:spacing w:after="0"/>
              <w:rPr>
                <w:sz w:val="16"/>
                <w:szCs w:val="16"/>
                <w:color w:val="auto"/>
              </w:rPr>
            </w:pPr>
          </w:p>
        </w:tc>
        <w:tc>
          <w:tcPr>
            <w:tcW w:w="2260" w:type="dxa"/>
            <w:vAlign w:val="bottom"/>
          </w:tcPr>
          <w:p>
            <w:pPr>
              <w:ind w:left="140"/>
              <w:spacing w:after="0"/>
              <w:rPr>
                <w:sz w:val="20"/>
                <w:szCs w:val="20"/>
                <w:color w:val="auto"/>
              </w:rPr>
            </w:pPr>
            <w:r>
              <w:rPr>
                <w:rFonts w:ascii="Arial" w:cs="Arial" w:eastAsia="Arial" w:hAnsi="Arial"/>
                <w:sz w:val="16"/>
                <w:szCs w:val="16"/>
                <w:color w:val="1F2668"/>
              </w:rPr>
              <w:t>matters.</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140" w:type="dxa"/>
            <w:vAlign w:val="bottom"/>
            <w:gridSpan w:val="3"/>
          </w:tcPr>
          <w:p>
            <w:pPr>
              <w:ind w:left="40"/>
              <w:spacing w:after="0"/>
              <w:rPr>
                <w:sz w:val="20"/>
                <w:szCs w:val="20"/>
                <w:color w:val="auto"/>
              </w:rPr>
            </w:pPr>
            <w:r>
              <w:rPr>
                <w:rFonts w:ascii="Arial" w:cs="Arial" w:eastAsia="Arial" w:hAnsi="Arial"/>
                <w:sz w:val="16"/>
                <w:szCs w:val="16"/>
                <w:color w:val="1F2668"/>
              </w:rPr>
              <w:t>investors.</w:t>
            </w:r>
          </w:p>
        </w:tc>
        <w:tc>
          <w:tcPr>
            <w:tcW w:w="180" w:type="dxa"/>
            <w:vAlign w:val="bottom"/>
          </w:tcPr>
          <w:p>
            <w:pPr>
              <w:spacing w:after="0"/>
              <w:rPr>
                <w:sz w:val="18"/>
                <w:szCs w:val="18"/>
                <w:color w:val="auto"/>
              </w:rPr>
            </w:pPr>
          </w:p>
        </w:tc>
        <w:tc>
          <w:tcPr>
            <w:tcW w:w="20" w:type="dxa"/>
            <w:vAlign w:val="bottom"/>
            <w:shd w:val="clear" w:color="auto" w:fill="83AD40"/>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shd w:val="clear" w:color="auto" w:fill="83AD40"/>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120" w:type="dxa"/>
            <w:vAlign w:val="bottom"/>
            <w:gridSpan w:val="2"/>
          </w:tcPr>
          <w:p>
            <w:pPr>
              <w:spacing w:after="0"/>
              <w:rPr>
                <w:sz w:val="11"/>
                <w:szCs w:val="11"/>
                <w:color w:val="auto"/>
              </w:rPr>
            </w:pPr>
          </w:p>
        </w:tc>
        <w:tc>
          <w:tcPr>
            <w:tcW w:w="20" w:type="dxa"/>
            <w:vAlign w:val="bottom"/>
            <w:shd w:val="clear" w:color="auto" w:fill="83AD40"/>
          </w:tcPr>
          <w:p>
            <w:pPr>
              <w:spacing w:after="0"/>
              <w:rPr>
                <w:sz w:val="11"/>
                <w:szCs w:val="11"/>
                <w:color w:val="auto"/>
              </w:rPr>
            </w:pPr>
          </w:p>
        </w:tc>
        <w:tc>
          <w:tcPr>
            <w:tcW w:w="500" w:type="dxa"/>
            <w:vAlign w:val="bottom"/>
          </w:tcPr>
          <w:p>
            <w:pPr>
              <w:spacing w:after="0"/>
              <w:rPr>
                <w:sz w:val="11"/>
                <w:szCs w:val="11"/>
                <w:color w:val="auto"/>
              </w:rPr>
            </w:pPr>
          </w:p>
        </w:tc>
        <w:tc>
          <w:tcPr>
            <w:tcW w:w="2600" w:type="dxa"/>
            <w:vAlign w:val="bottom"/>
            <w:gridSpan w:val="2"/>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shd w:val="clear" w:color="auto" w:fill="83AD40"/>
          </w:tcPr>
          <w:p>
            <w:pPr>
              <w:spacing w:after="0"/>
              <w:rPr>
                <w:sz w:val="11"/>
                <w:szCs w:val="11"/>
                <w:color w:val="auto"/>
              </w:rPr>
            </w:pPr>
          </w:p>
        </w:tc>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3"/>
        </w:trPr>
        <w:tc>
          <w:tcPr>
            <w:tcW w:w="5440" w:type="dxa"/>
            <w:vAlign w:val="bottom"/>
            <w:gridSpan w:val="8"/>
          </w:tcPr>
          <w:p>
            <w:pPr>
              <w:spacing w:after="0"/>
              <w:rPr>
                <w:sz w:val="20"/>
                <w:szCs w:val="20"/>
                <w:color w:val="auto"/>
              </w:rPr>
            </w:pPr>
            <w:r>
              <w:rPr>
                <w:rFonts w:ascii="Arial" w:cs="Arial" w:eastAsia="Arial" w:hAnsi="Arial"/>
                <w:sz w:val="16"/>
                <w:szCs w:val="16"/>
                <w:color w:val="1F2668"/>
              </w:rPr>
              <w:t>Following the 2024 Annual Meeting, the Company:</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40" w:type="dxa"/>
            <w:vAlign w:val="bottom"/>
          </w:tcPr>
          <w:p>
            <w:pPr>
              <w:spacing w:after="0"/>
              <w:rPr>
                <w:sz w:val="24"/>
                <w:szCs w:val="24"/>
                <w:color w:val="auto"/>
              </w:rPr>
            </w:pPr>
          </w:p>
        </w:tc>
        <w:tc>
          <w:tcPr>
            <w:tcW w:w="60" w:type="dxa"/>
            <w:vAlign w:val="bottom"/>
            <w:tcBorders>
              <w:bottom w:val="single" w:sz="8" w:color="83AD40"/>
            </w:tcBorders>
          </w:tcPr>
          <w:p>
            <w:pPr>
              <w:spacing w:after="0"/>
              <w:rPr>
                <w:sz w:val="24"/>
                <w:szCs w:val="24"/>
                <w:color w:val="auto"/>
              </w:rPr>
            </w:pPr>
          </w:p>
        </w:tc>
        <w:tc>
          <w:tcPr>
            <w:tcW w:w="1940" w:type="dxa"/>
            <w:vAlign w:val="bottom"/>
            <w:tcBorders>
              <w:bottom w:val="single" w:sz="8" w:color="83AD40"/>
            </w:tcBorders>
          </w:tcPr>
          <w:p>
            <w:pPr>
              <w:spacing w:after="0"/>
              <w:rPr>
                <w:sz w:val="24"/>
                <w:szCs w:val="24"/>
                <w:color w:val="auto"/>
              </w:rPr>
            </w:pPr>
          </w:p>
        </w:tc>
        <w:tc>
          <w:tcPr>
            <w:tcW w:w="180" w:type="dxa"/>
            <w:vAlign w:val="bottom"/>
            <w:tcBorders>
              <w:bottom w:val="single" w:sz="8" w:color="83AD40"/>
            </w:tcBorders>
          </w:tcPr>
          <w:p>
            <w:pPr>
              <w:spacing w:after="0"/>
              <w:rPr>
                <w:sz w:val="24"/>
                <w:szCs w:val="24"/>
                <w:color w:val="auto"/>
              </w:rPr>
            </w:pPr>
          </w:p>
        </w:tc>
        <w:tc>
          <w:tcPr>
            <w:tcW w:w="20" w:type="dxa"/>
            <w:vAlign w:val="bottom"/>
            <w:tcBorders>
              <w:bottom w:val="single" w:sz="8" w:color="83AD40"/>
            </w:tcBorders>
          </w:tcPr>
          <w:p>
            <w:pPr>
              <w:spacing w:after="0"/>
              <w:rPr>
                <w:sz w:val="24"/>
                <w:szCs w:val="24"/>
                <w:color w:val="auto"/>
              </w:rPr>
            </w:pPr>
          </w:p>
        </w:tc>
        <w:tc>
          <w:tcPr>
            <w:tcW w:w="500" w:type="dxa"/>
            <w:vAlign w:val="bottom"/>
            <w:tcBorders>
              <w:bottom w:val="single" w:sz="8" w:color="83AD40"/>
            </w:tcBorders>
          </w:tcPr>
          <w:p>
            <w:pPr>
              <w:spacing w:after="0"/>
              <w:rPr>
                <w:sz w:val="24"/>
                <w:szCs w:val="24"/>
                <w:color w:val="auto"/>
              </w:rPr>
            </w:pPr>
          </w:p>
        </w:tc>
        <w:tc>
          <w:tcPr>
            <w:tcW w:w="200" w:type="dxa"/>
            <w:vAlign w:val="bottom"/>
            <w:tcBorders>
              <w:bottom w:val="single" w:sz="8" w:color="83AD40"/>
            </w:tcBorders>
          </w:tcPr>
          <w:p>
            <w:pPr>
              <w:spacing w:after="0"/>
              <w:rPr>
                <w:sz w:val="24"/>
                <w:szCs w:val="24"/>
                <w:color w:val="auto"/>
              </w:rPr>
            </w:pPr>
          </w:p>
        </w:tc>
        <w:tc>
          <w:tcPr>
            <w:tcW w:w="2400" w:type="dxa"/>
            <w:vAlign w:val="bottom"/>
            <w:tcBorders>
              <w:bottom w:val="single" w:sz="8" w:color="83AD40"/>
            </w:tcBorders>
          </w:tcPr>
          <w:p>
            <w:pPr>
              <w:spacing w:after="0"/>
              <w:rPr>
                <w:sz w:val="24"/>
                <w:szCs w:val="24"/>
                <w:color w:val="auto"/>
              </w:rPr>
            </w:pPr>
          </w:p>
        </w:tc>
        <w:tc>
          <w:tcPr>
            <w:tcW w:w="200" w:type="dxa"/>
            <w:vAlign w:val="bottom"/>
            <w:tcBorders>
              <w:bottom w:val="single" w:sz="8" w:color="83AD40"/>
            </w:tcBorders>
          </w:tcPr>
          <w:p>
            <w:pPr>
              <w:spacing w:after="0"/>
              <w:rPr>
                <w:sz w:val="24"/>
                <w:szCs w:val="24"/>
                <w:color w:val="auto"/>
              </w:rPr>
            </w:pPr>
          </w:p>
        </w:tc>
        <w:tc>
          <w:tcPr>
            <w:tcW w:w="980" w:type="dxa"/>
            <w:vAlign w:val="bottom"/>
            <w:tcBorders>
              <w:bottom w:val="single" w:sz="8" w:color="83AD40"/>
            </w:tcBorders>
          </w:tcPr>
          <w:p>
            <w:pPr>
              <w:spacing w:after="0"/>
              <w:rPr>
                <w:sz w:val="24"/>
                <w:szCs w:val="24"/>
                <w:color w:val="auto"/>
              </w:rPr>
            </w:pPr>
          </w:p>
        </w:tc>
        <w:tc>
          <w:tcPr>
            <w:tcW w:w="20" w:type="dxa"/>
            <w:vAlign w:val="bottom"/>
            <w:tcBorders>
              <w:bottom w:val="single" w:sz="8" w:color="83AD40"/>
            </w:tcBorders>
          </w:tcPr>
          <w:p>
            <w:pPr>
              <w:spacing w:after="0"/>
              <w:rPr>
                <w:sz w:val="24"/>
                <w:szCs w:val="24"/>
                <w:color w:val="auto"/>
              </w:rPr>
            </w:pPr>
          </w:p>
        </w:tc>
        <w:tc>
          <w:tcPr>
            <w:tcW w:w="2260" w:type="dxa"/>
            <w:vAlign w:val="bottom"/>
            <w:tcBorders>
              <w:bottom w:val="single" w:sz="8" w:color="83AD40"/>
            </w:tcBorders>
          </w:tcPr>
          <w:p>
            <w:pPr>
              <w:spacing w:after="0"/>
              <w:rPr>
                <w:sz w:val="24"/>
                <w:szCs w:val="24"/>
                <w:color w:val="auto"/>
              </w:rPr>
            </w:pPr>
          </w:p>
        </w:tc>
        <w:tc>
          <w:tcPr>
            <w:tcW w:w="120" w:type="dxa"/>
            <w:vAlign w:val="bottom"/>
            <w:tcBorders>
              <w:bottom w:val="single" w:sz="8" w:color="83AD40"/>
            </w:tcBorders>
          </w:tcPr>
          <w:p>
            <w:pPr>
              <w:spacing w:after="0"/>
              <w:rPr>
                <w:sz w:val="24"/>
                <w:szCs w:val="24"/>
                <w:color w:val="auto"/>
              </w:rPr>
            </w:pPr>
          </w:p>
        </w:tc>
        <w:tc>
          <w:tcPr>
            <w:tcW w:w="20" w:type="dxa"/>
            <w:vAlign w:val="bottom"/>
            <w:tcBorders>
              <w:bottom w:val="single" w:sz="8" w:color="83AD40"/>
            </w:tcBorders>
          </w:tcPr>
          <w:p>
            <w:pPr>
              <w:spacing w:after="0"/>
              <w:rPr>
                <w:sz w:val="24"/>
                <w:szCs w:val="24"/>
                <w:color w:val="auto"/>
              </w:rPr>
            </w:pPr>
          </w:p>
        </w:tc>
        <w:tc>
          <w:tcPr>
            <w:tcW w:w="20" w:type="dxa"/>
            <w:vAlign w:val="bottom"/>
            <w:tcBorders>
              <w:bottom w:val="single" w:sz="8" w:color="83AD40"/>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60" w:type="dxa"/>
            <w:vAlign w:val="bottom"/>
            <w:tcBorders>
              <w:bottom w:val="single" w:sz="8" w:color="83AD40"/>
            </w:tcBorders>
            <w:shd w:val="clear" w:color="auto" w:fill="83AD40"/>
          </w:tcPr>
          <w:p>
            <w:pPr>
              <w:spacing w:after="0"/>
              <w:rPr>
                <w:sz w:val="19"/>
                <w:szCs w:val="19"/>
                <w:color w:val="auto"/>
              </w:rPr>
            </w:pPr>
          </w:p>
        </w:tc>
        <w:tc>
          <w:tcPr>
            <w:tcW w:w="1940" w:type="dxa"/>
            <w:vAlign w:val="bottom"/>
          </w:tcPr>
          <w:p>
            <w:pPr>
              <w:spacing w:after="0" w:line="220" w:lineRule="exact"/>
              <w:rPr>
                <w:sz w:val="20"/>
                <w:szCs w:val="20"/>
                <w:color w:val="auto"/>
              </w:rPr>
            </w:pPr>
            <w:r>
              <w:rPr>
                <w:rFonts w:ascii="Arial" w:cs="Arial" w:eastAsia="Arial" w:hAnsi="Arial"/>
                <w:sz w:val="22"/>
                <w:szCs w:val="22"/>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20" w:type="dxa"/>
            <w:vAlign w:val="bottom"/>
            <w:tcBorders>
              <w:bottom w:val="single" w:sz="8" w:color="83AD40"/>
            </w:tcBorders>
            <w:shd w:val="clear" w:color="auto" w:fill="83AD40"/>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273"/>
        </w:trPr>
        <w:tc>
          <w:tcPr>
            <w:tcW w:w="140" w:type="dxa"/>
            <w:vAlign w:val="bottom"/>
            <w:shd w:val="clear" w:color="auto" w:fill="D8D8D8"/>
          </w:tcPr>
          <w:p>
            <w:pPr>
              <w:spacing w:after="0"/>
              <w:rPr>
                <w:sz w:val="23"/>
                <w:szCs w:val="23"/>
                <w:color w:val="auto"/>
              </w:rPr>
            </w:pPr>
          </w:p>
        </w:tc>
        <w:tc>
          <w:tcPr>
            <w:tcW w:w="60" w:type="dxa"/>
            <w:vAlign w:val="bottom"/>
            <w:shd w:val="clear" w:color="auto" w:fill="D8D8D8"/>
          </w:tcPr>
          <w:p>
            <w:pPr>
              <w:spacing w:after="0"/>
              <w:rPr>
                <w:sz w:val="20"/>
                <w:szCs w:val="20"/>
                <w:color w:val="auto"/>
              </w:rPr>
            </w:pPr>
            <w:r>
              <w:rPr>
                <w:rFonts w:ascii="Arial" w:cs="Arial" w:eastAsia="Arial" w:hAnsi="Arial"/>
                <w:sz w:val="20"/>
                <w:szCs w:val="20"/>
                <w:b w:val="1"/>
                <w:bCs w:val="1"/>
                <w:color w:val="1F2668"/>
              </w:rPr>
              <w:t>​</w:t>
            </w:r>
          </w:p>
        </w:tc>
        <w:tc>
          <w:tcPr>
            <w:tcW w:w="1940" w:type="dxa"/>
            <w:vAlign w:val="bottom"/>
            <w:vMerge w:val="restart"/>
            <w:shd w:val="clear" w:color="auto" w:fill="D8D8D8"/>
          </w:tcPr>
          <w:p>
            <w:pPr>
              <w:ind w:left="300"/>
              <w:spacing w:after="0"/>
              <w:rPr>
                <w:sz w:val="20"/>
                <w:szCs w:val="20"/>
                <w:color w:val="auto"/>
              </w:rPr>
            </w:pPr>
            <w:r>
              <w:rPr>
                <w:rFonts w:ascii="Arial" w:cs="Arial" w:eastAsia="Arial" w:hAnsi="Arial"/>
                <w:sz w:val="20"/>
                <w:szCs w:val="20"/>
                <w:b w:val="1"/>
                <w:bCs w:val="1"/>
                <w:color w:val="1F2668"/>
              </w:rPr>
              <w:t>Offered</w:t>
            </w:r>
          </w:p>
        </w:tc>
        <w:tc>
          <w:tcPr>
            <w:tcW w:w="180" w:type="dxa"/>
            <w:vAlign w:val="bottom"/>
            <w:shd w:val="clear" w:color="auto" w:fill="D8D8D8"/>
          </w:tcPr>
          <w:p>
            <w:pPr>
              <w:spacing w:after="0"/>
              <w:rPr>
                <w:sz w:val="23"/>
                <w:szCs w:val="23"/>
                <w:color w:val="auto"/>
              </w:rPr>
            </w:pPr>
          </w:p>
        </w:tc>
        <w:tc>
          <w:tcPr>
            <w:tcW w:w="20" w:type="dxa"/>
            <w:vAlign w:val="bottom"/>
            <w:shd w:val="clear" w:color="auto" w:fill="D8D8D8"/>
          </w:tcPr>
          <w:p>
            <w:pPr>
              <w:spacing w:after="0"/>
              <w:rPr>
                <w:sz w:val="23"/>
                <w:szCs w:val="23"/>
                <w:color w:val="auto"/>
              </w:rPr>
            </w:pPr>
          </w:p>
        </w:tc>
        <w:tc>
          <w:tcPr>
            <w:tcW w:w="500" w:type="dxa"/>
            <w:vAlign w:val="bottom"/>
            <w:tcBorders>
              <w:right w:val="single" w:sz="8" w:color="1F2668"/>
            </w:tcBorders>
            <w:shd w:val="clear" w:color="auto" w:fill="D8D8D8"/>
          </w:tcPr>
          <w:p>
            <w:pPr>
              <w:spacing w:after="0"/>
              <w:rPr>
                <w:sz w:val="23"/>
                <w:szCs w:val="23"/>
                <w:color w:val="auto"/>
              </w:rPr>
            </w:pPr>
          </w:p>
        </w:tc>
        <w:tc>
          <w:tcPr>
            <w:tcW w:w="200" w:type="dxa"/>
            <w:vAlign w:val="bottom"/>
            <w:shd w:val="clear" w:color="auto" w:fill="D8D8D8"/>
          </w:tcPr>
          <w:p>
            <w:pPr>
              <w:spacing w:after="0"/>
              <w:rPr>
                <w:sz w:val="20"/>
                <w:szCs w:val="20"/>
                <w:color w:val="auto"/>
              </w:rPr>
            </w:pPr>
            <w:r>
              <w:rPr>
                <w:rFonts w:ascii="Arial" w:cs="Arial" w:eastAsia="Arial" w:hAnsi="Arial"/>
                <w:sz w:val="20"/>
                <w:szCs w:val="20"/>
                <w:b w:val="1"/>
                <w:bCs w:val="1"/>
                <w:color w:val="1F2668"/>
              </w:rPr>
              <w:t>​</w:t>
            </w:r>
          </w:p>
        </w:tc>
        <w:tc>
          <w:tcPr>
            <w:tcW w:w="2400" w:type="dxa"/>
            <w:vAlign w:val="bottom"/>
            <w:tcBorders>
              <w:right w:val="single" w:sz="8" w:color="1F2668"/>
            </w:tcBorders>
            <w:vMerge w:val="restart"/>
            <w:shd w:val="clear" w:color="auto" w:fill="D8D8D8"/>
          </w:tcPr>
          <w:p>
            <w:pPr>
              <w:ind w:left="160"/>
              <w:spacing w:after="0"/>
              <w:rPr>
                <w:sz w:val="20"/>
                <w:szCs w:val="20"/>
                <w:color w:val="auto"/>
              </w:rPr>
            </w:pPr>
            <w:r>
              <w:rPr>
                <w:rFonts w:ascii="Arial" w:cs="Arial" w:eastAsia="Arial" w:hAnsi="Arial"/>
                <w:sz w:val="20"/>
                <w:szCs w:val="20"/>
                <w:b w:val="1"/>
                <w:bCs w:val="1"/>
                <w:color w:val="1F2668"/>
              </w:rPr>
              <w:t>Had direct</w:t>
            </w:r>
          </w:p>
        </w:tc>
        <w:tc>
          <w:tcPr>
            <w:tcW w:w="200" w:type="dxa"/>
            <w:vAlign w:val="bottom"/>
            <w:shd w:val="clear" w:color="auto" w:fill="D8D8D8"/>
          </w:tcPr>
          <w:p>
            <w:pPr>
              <w:spacing w:after="0"/>
              <w:rPr>
                <w:sz w:val="20"/>
                <w:szCs w:val="20"/>
                <w:color w:val="auto"/>
              </w:rPr>
            </w:pPr>
            <w:r>
              <w:rPr>
                <w:rFonts w:ascii="Arial" w:cs="Arial" w:eastAsia="Arial" w:hAnsi="Arial"/>
                <w:sz w:val="20"/>
                <w:szCs w:val="20"/>
                <w:b w:val="1"/>
                <w:bCs w:val="1"/>
                <w:color w:val="1F2668"/>
              </w:rPr>
              <w:t>​</w:t>
            </w:r>
          </w:p>
        </w:tc>
        <w:tc>
          <w:tcPr>
            <w:tcW w:w="3260" w:type="dxa"/>
            <w:vAlign w:val="bottom"/>
            <w:gridSpan w:val="3"/>
            <w:vMerge w:val="restart"/>
            <w:shd w:val="clear" w:color="auto" w:fill="D8D8D8"/>
          </w:tcPr>
          <w:p>
            <w:pPr>
              <w:ind w:left="160"/>
              <w:spacing w:after="0"/>
              <w:rPr>
                <w:sz w:val="20"/>
                <w:szCs w:val="20"/>
                <w:color w:val="auto"/>
              </w:rPr>
            </w:pPr>
            <w:r>
              <w:rPr>
                <w:rFonts w:ascii="Arial" w:cs="Arial" w:eastAsia="Arial" w:hAnsi="Arial"/>
                <w:sz w:val="20"/>
                <w:szCs w:val="20"/>
                <w:b w:val="1"/>
                <w:bCs w:val="1"/>
                <w:color w:val="1F2668"/>
              </w:rPr>
              <w:t>Directors participated in</w:t>
            </w:r>
          </w:p>
        </w:tc>
        <w:tc>
          <w:tcPr>
            <w:tcW w:w="120" w:type="dxa"/>
            <w:vAlign w:val="bottom"/>
          </w:tcPr>
          <w:p>
            <w:pPr>
              <w:spacing w:after="0"/>
              <w:rPr>
                <w:sz w:val="20"/>
                <w:szCs w:val="20"/>
                <w:color w:val="auto"/>
              </w:rPr>
            </w:pPr>
            <w:r>
              <w:rPr>
                <w:rFonts w:ascii="Arial" w:cs="Arial" w:eastAsia="Arial" w:hAnsi="Arial"/>
                <w:sz w:val="20"/>
                <w:szCs w:val="20"/>
                <w:b w:val="1"/>
                <w:bCs w:val="1"/>
                <w:color w:val="1F2668"/>
              </w:rPr>
              <w:t>​</w:t>
            </w:r>
          </w:p>
        </w:tc>
        <w:tc>
          <w:tcPr>
            <w:tcW w:w="20" w:type="dxa"/>
            <w:vAlign w:val="bottom"/>
            <w:shd w:val="clear" w:color="auto" w:fill="D8D8D8"/>
          </w:tcPr>
          <w:p>
            <w:pPr>
              <w:spacing w:after="0"/>
              <w:rPr>
                <w:sz w:val="23"/>
                <w:szCs w:val="23"/>
                <w:color w:val="auto"/>
              </w:rPr>
            </w:pPr>
          </w:p>
        </w:tc>
        <w:tc>
          <w:tcPr>
            <w:tcW w:w="20" w:type="dxa"/>
            <w:vAlign w:val="bottom"/>
            <w:shd w:val="clear" w:color="auto" w:fill="83AD40"/>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40" w:type="dxa"/>
            <w:vAlign w:val="bottom"/>
            <w:shd w:val="clear" w:color="auto" w:fill="D8D8D8"/>
          </w:tcPr>
          <w:p>
            <w:pPr>
              <w:spacing w:after="0"/>
              <w:rPr>
                <w:sz w:val="4"/>
                <w:szCs w:val="4"/>
                <w:color w:val="auto"/>
              </w:rPr>
            </w:pPr>
          </w:p>
        </w:tc>
        <w:tc>
          <w:tcPr>
            <w:tcW w:w="60" w:type="dxa"/>
            <w:vAlign w:val="bottom"/>
            <w:shd w:val="clear" w:color="auto" w:fill="D8D8D8"/>
          </w:tcPr>
          <w:p>
            <w:pPr>
              <w:spacing w:after="0"/>
              <w:rPr>
                <w:sz w:val="4"/>
                <w:szCs w:val="4"/>
                <w:color w:val="auto"/>
              </w:rPr>
            </w:pPr>
          </w:p>
        </w:tc>
        <w:tc>
          <w:tcPr>
            <w:tcW w:w="1940" w:type="dxa"/>
            <w:vAlign w:val="bottom"/>
            <w:vMerge w:val="continue"/>
            <w:shd w:val="clear" w:color="auto" w:fill="D8D8D8"/>
          </w:tcPr>
          <w:p>
            <w:pPr>
              <w:spacing w:after="0"/>
              <w:rPr>
                <w:sz w:val="4"/>
                <w:szCs w:val="4"/>
                <w:color w:val="auto"/>
              </w:rPr>
            </w:pPr>
          </w:p>
        </w:tc>
        <w:tc>
          <w:tcPr>
            <w:tcW w:w="180" w:type="dxa"/>
            <w:vAlign w:val="bottom"/>
            <w:shd w:val="clear" w:color="auto" w:fill="D8D8D8"/>
          </w:tcPr>
          <w:p>
            <w:pPr>
              <w:spacing w:after="0"/>
              <w:rPr>
                <w:sz w:val="4"/>
                <w:szCs w:val="4"/>
                <w:color w:val="auto"/>
              </w:rPr>
            </w:pPr>
          </w:p>
        </w:tc>
        <w:tc>
          <w:tcPr>
            <w:tcW w:w="20" w:type="dxa"/>
            <w:vAlign w:val="bottom"/>
            <w:shd w:val="clear" w:color="auto" w:fill="D8D8D8"/>
          </w:tcPr>
          <w:p>
            <w:pPr>
              <w:spacing w:after="0"/>
              <w:rPr>
                <w:sz w:val="4"/>
                <w:szCs w:val="4"/>
                <w:color w:val="auto"/>
              </w:rPr>
            </w:pPr>
          </w:p>
        </w:tc>
        <w:tc>
          <w:tcPr>
            <w:tcW w:w="500" w:type="dxa"/>
            <w:vAlign w:val="bottom"/>
            <w:tcBorders>
              <w:right w:val="single" w:sz="8" w:color="1F2668"/>
            </w:tcBorders>
            <w:shd w:val="clear" w:color="auto" w:fill="D8D8D8"/>
          </w:tcPr>
          <w:p>
            <w:pPr>
              <w:spacing w:after="0"/>
              <w:rPr>
                <w:sz w:val="4"/>
                <w:szCs w:val="4"/>
                <w:color w:val="auto"/>
              </w:rPr>
            </w:pPr>
          </w:p>
        </w:tc>
        <w:tc>
          <w:tcPr>
            <w:tcW w:w="200" w:type="dxa"/>
            <w:vAlign w:val="bottom"/>
            <w:shd w:val="clear" w:color="auto" w:fill="D8D8D8"/>
          </w:tcPr>
          <w:p>
            <w:pPr>
              <w:spacing w:after="0"/>
              <w:rPr>
                <w:sz w:val="4"/>
                <w:szCs w:val="4"/>
                <w:color w:val="auto"/>
              </w:rPr>
            </w:pPr>
          </w:p>
        </w:tc>
        <w:tc>
          <w:tcPr>
            <w:tcW w:w="2400" w:type="dxa"/>
            <w:vAlign w:val="bottom"/>
            <w:tcBorders>
              <w:right w:val="single" w:sz="8" w:color="1F2668"/>
            </w:tcBorders>
            <w:vMerge w:val="continue"/>
            <w:shd w:val="clear" w:color="auto" w:fill="D8D8D8"/>
          </w:tcPr>
          <w:p>
            <w:pPr>
              <w:spacing w:after="0"/>
              <w:rPr>
                <w:sz w:val="4"/>
                <w:szCs w:val="4"/>
                <w:color w:val="auto"/>
              </w:rPr>
            </w:pPr>
          </w:p>
        </w:tc>
        <w:tc>
          <w:tcPr>
            <w:tcW w:w="200" w:type="dxa"/>
            <w:vAlign w:val="bottom"/>
            <w:shd w:val="clear" w:color="auto" w:fill="D8D8D8"/>
          </w:tcPr>
          <w:p>
            <w:pPr>
              <w:spacing w:after="0"/>
              <w:rPr>
                <w:sz w:val="4"/>
                <w:szCs w:val="4"/>
                <w:color w:val="auto"/>
              </w:rPr>
            </w:pPr>
          </w:p>
        </w:tc>
        <w:tc>
          <w:tcPr>
            <w:tcW w:w="3260" w:type="dxa"/>
            <w:vAlign w:val="bottom"/>
            <w:gridSpan w:val="3"/>
            <w:vMerge w:val="continue"/>
            <w:shd w:val="clear" w:color="auto" w:fill="D8D8D8"/>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shd w:val="clear" w:color="auto" w:fill="D8D8D8"/>
          </w:tcPr>
          <w:p>
            <w:pPr>
              <w:spacing w:after="0"/>
              <w:rPr>
                <w:sz w:val="4"/>
                <w:szCs w:val="4"/>
                <w:color w:val="auto"/>
              </w:rPr>
            </w:pPr>
          </w:p>
        </w:tc>
        <w:tc>
          <w:tcPr>
            <w:tcW w:w="20" w:type="dxa"/>
            <w:vAlign w:val="bottom"/>
            <w:shd w:val="clear" w:color="auto" w:fill="83AD40"/>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40" w:type="dxa"/>
            <w:vAlign w:val="bottom"/>
            <w:shd w:val="clear" w:color="auto" w:fill="D8D8D8"/>
          </w:tcPr>
          <w:p>
            <w:pPr>
              <w:spacing w:after="0"/>
              <w:rPr>
                <w:sz w:val="19"/>
                <w:szCs w:val="19"/>
                <w:color w:val="auto"/>
              </w:rPr>
            </w:pPr>
          </w:p>
        </w:tc>
        <w:tc>
          <w:tcPr>
            <w:tcW w:w="60" w:type="dxa"/>
            <w:vAlign w:val="bottom"/>
            <w:shd w:val="clear" w:color="auto" w:fill="D8D8D8"/>
          </w:tcPr>
          <w:p>
            <w:pPr>
              <w:spacing w:after="0"/>
              <w:rPr>
                <w:sz w:val="19"/>
                <w:szCs w:val="19"/>
                <w:color w:val="auto"/>
              </w:rPr>
            </w:pPr>
          </w:p>
        </w:tc>
        <w:tc>
          <w:tcPr>
            <w:tcW w:w="1940" w:type="dxa"/>
            <w:vAlign w:val="bottom"/>
            <w:shd w:val="clear" w:color="auto" w:fill="D8D8D8"/>
          </w:tcPr>
          <w:p>
            <w:pPr>
              <w:ind w:left="300"/>
              <w:spacing w:after="0"/>
              <w:rPr>
                <w:sz w:val="20"/>
                <w:szCs w:val="20"/>
                <w:color w:val="auto"/>
              </w:rPr>
            </w:pPr>
            <w:r>
              <w:rPr>
                <w:rFonts w:ascii="Arial" w:cs="Arial" w:eastAsia="Arial" w:hAnsi="Arial"/>
                <w:sz w:val="20"/>
                <w:szCs w:val="20"/>
                <w:b w:val="1"/>
                <w:bCs w:val="1"/>
                <w:color w:val="1F2668"/>
                <w:w w:val="99"/>
              </w:rPr>
              <w:t>engagement with</w:t>
            </w:r>
          </w:p>
        </w:tc>
        <w:tc>
          <w:tcPr>
            <w:tcW w:w="180" w:type="dxa"/>
            <w:vAlign w:val="bottom"/>
            <w:shd w:val="clear" w:color="auto" w:fill="D8D8D8"/>
          </w:tcPr>
          <w:p>
            <w:pPr>
              <w:spacing w:after="0"/>
              <w:rPr>
                <w:sz w:val="19"/>
                <w:szCs w:val="19"/>
                <w:color w:val="auto"/>
              </w:rPr>
            </w:pPr>
          </w:p>
        </w:tc>
        <w:tc>
          <w:tcPr>
            <w:tcW w:w="20" w:type="dxa"/>
            <w:vAlign w:val="bottom"/>
            <w:shd w:val="clear" w:color="auto" w:fill="D8D8D8"/>
          </w:tcPr>
          <w:p>
            <w:pPr>
              <w:spacing w:after="0"/>
              <w:rPr>
                <w:sz w:val="19"/>
                <w:szCs w:val="19"/>
                <w:color w:val="auto"/>
              </w:rPr>
            </w:pPr>
          </w:p>
        </w:tc>
        <w:tc>
          <w:tcPr>
            <w:tcW w:w="500" w:type="dxa"/>
            <w:vAlign w:val="bottom"/>
            <w:tcBorders>
              <w:right w:val="single" w:sz="8" w:color="1F2668"/>
            </w:tcBorders>
            <w:shd w:val="clear" w:color="auto" w:fill="D8D8D8"/>
          </w:tcPr>
          <w:p>
            <w:pPr>
              <w:spacing w:after="0"/>
              <w:rPr>
                <w:sz w:val="19"/>
                <w:szCs w:val="19"/>
                <w:color w:val="auto"/>
              </w:rPr>
            </w:pPr>
          </w:p>
        </w:tc>
        <w:tc>
          <w:tcPr>
            <w:tcW w:w="200" w:type="dxa"/>
            <w:vAlign w:val="bottom"/>
            <w:shd w:val="clear" w:color="auto" w:fill="D8D8D8"/>
          </w:tcPr>
          <w:p>
            <w:pPr>
              <w:spacing w:after="0"/>
              <w:rPr>
                <w:sz w:val="19"/>
                <w:szCs w:val="19"/>
                <w:color w:val="auto"/>
              </w:rPr>
            </w:pPr>
          </w:p>
        </w:tc>
        <w:tc>
          <w:tcPr>
            <w:tcW w:w="2400" w:type="dxa"/>
            <w:vAlign w:val="bottom"/>
            <w:tcBorders>
              <w:right w:val="single" w:sz="8" w:color="1F2668"/>
            </w:tcBorders>
            <w:shd w:val="clear" w:color="auto" w:fill="D8D8D8"/>
          </w:tcPr>
          <w:p>
            <w:pPr>
              <w:ind w:left="160"/>
              <w:spacing w:after="0"/>
              <w:rPr>
                <w:sz w:val="20"/>
                <w:szCs w:val="20"/>
                <w:color w:val="auto"/>
              </w:rPr>
            </w:pPr>
            <w:r>
              <w:rPr>
                <w:rFonts w:ascii="Arial" w:cs="Arial" w:eastAsia="Arial" w:hAnsi="Arial"/>
                <w:sz w:val="20"/>
                <w:szCs w:val="20"/>
                <w:b w:val="1"/>
                <w:bCs w:val="1"/>
                <w:color w:val="1F2668"/>
              </w:rPr>
              <w:t>discussions with</w:t>
            </w:r>
          </w:p>
        </w:tc>
        <w:tc>
          <w:tcPr>
            <w:tcW w:w="200" w:type="dxa"/>
            <w:vAlign w:val="bottom"/>
            <w:shd w:val="clear" w:color="auto" w:fill="D8D8D8"/>
          </w:tcPr>
          <w:p>
            <w:pPr>
              <w:spacing w:after="0"/>
              <w:rPr>
                <w:sz w:val="19"/>
                <w:szCs w:val="19"/>
                <w:color w:val="auto"/>
              </w:rPr>
            </w:pPr>
          </w:p>
        </w:tc>
        <w:tc>
          <w:tcPr>
            <w:tcW w:w="3260" w:type="dxa"/>
            <w:vAlign w:val="bottom"/>
            <w:gridSpan w:val="3"/>
            <w:shd w:val="clear" w:color="auto" w:fill="D8D8D8"/>
          </w:tcPr>
          <w:p>
            <w:pPr>
              <w:ind w:left="160"/>
              <w:spacing w:after="0"/>
              <w:rPr>
                <w:sz w:val="20"/>
                <w:szCs w:val="20"/>
                <w:color w:val="auto"/>
              </w:rPr>
            </w:pPr>
            <w:r>
              <w:rPr>
                <w:rFonts w:ascii="Arial" w:cs="Arial" w:eastAsia="Arial" w:hAnsi="Arial"/>
                <w:sz w:val="20"/>
                <w:szCs w:val="20"/>
                <w:b w:val="1"/>
                <w:bCs w:val="1"/>
                <w:color w:val="1F2668"/>
              </w:rPr>
              <w:t>calls with stockholders</w:t>
            </w:r>
          </w:p>
        </w:tc>
        <w:tc>
          <w:tcPr>
            <w:tcW w:w="120" w:type="dxa"/>
            <w:vAlign w:val="bottom"/>
          </w:tcPr>
          <w:p>
            <w:pPr>
              <w:spacing w:after="0"/>
              <w:rPr>
                <w:sz w:val="19"/>
                <w:szCs w:val="19"/>
                <w:color w:val="auto"/>
              </w:rPr>
            </w:pPr>
          </w:p>
        </w:tc>
        <w:tc>
          <w:tcPr>
            <w:tcW w:w="20" w:type="dxa"/>
            <w:vAlign w:val="bottom"/>
            <w:shd w:val="clear" w:color="auto" w:fill="D8D8D8"/>
          </w:tcPr>
          <w:p>
            <w:pPr>
              <w:spacing w:after="0"/>
              <w:rPr>
                <w:sz w:val="19"/>
                <w:szCs w:val="19"/>
                <w:color w:val="auto"/>
              </w:rPr>
            </w:pPr>
          </w:p>
        </w:tc>
        <w:tc>
          <w:tcPr>
            <w:tcW w:w="20" w:type="dxa"/>
            <w:vAlign w:val="bottom"/>
            <w:shd w:val="clear" w:color="auto" w:fill="83AD40"/>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140" w:type="dxa"/>
            <w:vAlign w:val="bottom"/>
            <w:shd w:val="clear" w:color="auto" w:fill="D8D8D8"/>
          </w:tcPr>
          <w:p>
            <w:pPr>
              <w:spacing w:after="0"/>
              <w:rPr>
                <w:sz w:val="23"/>
                <w:szCs w:val="23"/>
                <w:color w:val="auto"/>
              </w:rPr>
            </w:pPr>
          </w:p>
        </w:tc>
        <w:tc>
          <w:tcPr>
            <w:tcW w:w="60" w:type="dxa"/>
            <w:vAlign w:val="bottom"/>
            <w:shd w:val="clear" w:color="auto" w:fill="D8D8D8"/>
          </w:tcPr>
          <w:p>
            <w:pPr>
              <w:spacing w:after="0"/>
              <w:rPr>
                <w:sz w:val="23"/>
                <w:szCs w:val="23"/>
                <w:color w:val="auto"/>
              </w:rPr>
            </w:pPr>
          </w:p>
        </w:tc>
        <w:tc>
          <w:tcPr>
            <w:tcW w:w="1940" w:type="dxa"/>
            <w:vAlign w:val="bottom"/>
            <w:shd w:val="clear" w:color="auto" w:fill="D8D8D8"/>
          </w:tcPr>
          <w:p>
            <w:pPr>
              <w:ind w:left="300"/>
              <w:spacing w:after="0"/>
              <w:rPr>
                <w:sz w:val="20"/>
                <w:szCs w:val="20"/>
                <w:color w:val="auto"/>
              </w:rPr>
            </w:pPr>
            <w:r>
              <w:rPr>
                <w:rFonts w:ascii="Arial" w:cs="Arial" w:eastAsia="Arial" w:hAnsi="Arial"/>
                <w:sz w:val="20"/>
                <w:szCs w:val="20"/>
                <w:b w:val="1"/>
                <w:bCs w:val="1"/>
                <w:color w:val="1F2668"/>
              </w:rPr>
              <w:t>approximately</w:t>
            </w:r>
            <w:r>
              <w:rPr>
                <w:rFonts w:ascii="Arial" w:cs="Arial" w:eastAsia="Arial" w:hAnsi="Arial"/>
                <w:sz w:val="16"/>
                <w:szCs w:val="16"/>
                <w:color w:val="000000"/>
              </w:rPr>
              <w:t>​</w:t>
            </w:r>
          </w:p>
        </w:tc>
        <w:tc>
          <w:tcPr>
            <w:tcW w:w="180" w:type="dxa"/>
            <w:vAlign w:val="bottom"/>
            <w:shd w:val="clear" w:color="auto" w:fill="D8D8D8"/>
          </w:tcPr>
          <w:p>
            <w:pPr>
              <w:spacing w:after="0"/>
              <w:rPr>
                <w:sz w:val="23"/>
                <w:szCs w:val="23"/>
                <w:color w:val="auto"/>
              </w:rPr>
            </w:pPr>
          </w:p>
        </w:tc>
        <w:tc>
          <w:tcPr>
            <w:tcW w:w="20" w:type="dxa"/>
            <w:vAlign w:val="bottom"/>
            <w:shd w:val="clear" w:color="auto" w:fill="D8D8D8"/>
          </w:tcPr>
          <w:p>
            <w:pPr>
              <w:spacing w:after="0"/>
              <w:rPr>
                <w:sz w:val="23"/>
                <w:szCs w:val="23"/>
                <w:color w:val="auto"/>
              </w:rPr>
            </w:pPr>
          </w:p>
        </w:tc>
        <w:tc>
          <w:tcPr>
            <w:tcW w:w="500" w:type="dxa"/>
            <w:vAlign w:val="bottom"/>
            <w:tcBorders>
              <w:right w:val="single" w:sz="8" w:color="1F2668"/>
            </w:tcBorders>
            <w:shd w:val="clear" w:color="auto" w:fill="D8D8D8"/>
          </w:tcPr>
          <w:p>
            <w:pPr>
              <w:spacing w:after="0"/>
              <w:rPr>
                <w:sz w:val="23"/>
                <w:szCs w:val="23"/>
                <w:color w:val="auto"/>
              </w:rPr>
            </w:pPr>
          </w:p>
        </w:tc>
        <w:tc>
          <w:tcPr>
            <w:tcW w:w="200" w:type="dxa"/>
            <w:vAlign w:val="bottom"/>
            <w:shd w:val="clear" w:color="auto" w:fill="D8D8D8"/>
          </w:tcPr>
          <w:p>
            <w:pPr>
              <w:spacing w:after="0"/>
              <w:rPr>
                <w:sz w:val="23"/>
                <w:szCs w:val="23"/>
                <w:color w:val="auto"/>
              </w:rPr>
            </w:pPr>
          </w:p>
        </w:tc>
        <w:tc>
          <w:tcPr>
            <w:tcW w:w="2400" w:type="dxa"/>
            <w:vAlign w:val="bottom"/>
            <w:tcBorders>
              <w:right w:val="single" w:sz="8" w:color="1F2668"/>
            </w:tcBorders>
            <w:shd w:val="clear" w:color="auto" w:fill="D8D8D8"/>
          </w:tcPr>
          <w:p>
            <w:pPr>
              <w:ind w:left="160"/>
              <w:spacing w:after="0"/>
              <w:rPr>
                <w:sz w:val="20"/>
                <w:szCs w:val="20"/>
                <w:color w:val="auto"/>
              </w:rPr>
            </w:pPr>
            <w:r>
              <w:rPr>
                <w:rFonts w:ascii="Arial" w:cs="Arial" w:eastAsia="Arial" w:hAnsi="Arial"/>
                <w:sz w:val="20"/>
                <w:szCs w:val="20"/>
                <w:b w:val="1"/>
                <w:bCs w:val="1"/>
                <w:color w:val="1F2668"/>
              </w:rPr>
              <w:t>approximately</w:t>
            </w:r>
            <w:r>
              <w:rPr>
                <w:rFonts w:ascii="Arial" w:cs="Arial" w:eastAsia="Arial" w:hAnsi="Arial"/>
                <w:sz w:val="16"/>
                <w:szCs w:val="16"/>
                <w:color w:val="000000"/>
              </w:rPr>
              <w:t>​</w:t>
            </w:r>
          </w:p>
        </w:tc>
        <w:tc>
          <w:tcPr>
            <w:tcW w:w="200" w:type="dxa"/>
            <w:vAlign w:val="bottom"/>
            <w:shd w:val="clear" w:color="auto" w:fill="D8D8D8"/>
          </w:tcPr>
          <w:p>
            <w:pPr>
              <w:spacing w:after="0"/>
              <w:rPr>
                <w:sz w:val="23"/>
                <w:szCs w:val="23"/>
                <w:color w:val="auto"/>
              </w:rPr>
            </w:pPr>
          </w:p>
        </w:tc>
        <w:tc>
          <w:tcPr>
            <w:tcW w:w="3260" w:type="dxa"/>
            <w:vAlign w:val="bottom"/>
            <w:gridSpan w:val="3"/>
            <w:shd w:val="clear" w:color="auto" w:fill="D8D8D8"/>
          </w:tcPr>
          <w:p>
            <w:pPr>
              <w:ind w:left="160"/>
              <w:spacing w:after="0"/>
              <w:rPr>
                <w:sz w:val="20"/>
                <w:szCs w:val="20"/>
                <w:color w:val="auto"/>
              </w:rPr>
            </w:pPr>
            <w:r>
              <w:rPr>
                <w:rFonts w:ascii="Arial" w:cs="Arial" w:eastAsia="Arial" w:hAnsi="Arial"/>
                <w:sz w:val="20"/>
                <w:szCs w:val="20"/>
                <w:b w:val="1"/>
                <w:bCs w:val="1"/>
                <w:color w:val="1F2668"/>
              </w:rPr>
              <w:t>representing approximately</w:t>
            </w:r>
          </w:p>
        </w:tc>
        <w:tc>
          <w:tcPr>
            <w:tcW w:w="120" w:type="dxa"/>
            <w:vAlign w:val="bottom"/>
          </w:tcPr>
          <w:p>
            <w:pPr>
              <w:spacing w:after="0"/>
              <w:rPr>
                <w:sz w:val="23"/>
                <w:szCs w:val="23"/>
                <w:color w:val="auto"/>
              </w:rPr>
            </w:pPr>
          </w:p>
        </w:tc>
        <w:tc>
          <w:tcPr>
            <w:tcW w:w="20" w:type="dxa"/>
            <w:vAlign w:val="bottom"/>
            <w:shd w:val="clear" w:color="auto" w:fill="D8D8D8"/>
          </w:tcPr>
          <w:p>
            <w:pPr>
              <w:spacing w:after="0"/>
              <w:rPr>
                <w:sz w:val="23"/>
                <w:szCs w:val="23"/>
                <w:color w:val="auto"/>
              </w:rPr>
            </w:pPr>
          </w:p>
        </w:tc>
        <w:tc>
          <w:tcPr>
            <w:tcW w:w="20" w:type="dxa"/>
            <w:vAlign w:val="bottom"/>
            <w:shd w:val="clear" w:color="auto" w:fill="83AD40"/>
          </w:tcPr>
          <w:p>
            <w:pPr>
              <w:spacing w:after="0"/>
              <w:rPr>
                <w:sz w:val="23"/>
                <w:szCs w:val="23"/>
                <w:color w:val="auto"/>
              </w:rPr>
            </w:pPr>
          </w:p>
        </w:tc>
        <w:tc>
          <w:tcPr>
            <w:tcW w:w="0" w:type="dxa"/>
            <w:vAlign w:val="bottom"/>
          </w:tcPr>
          <w:p>
            <w:pPr>
              <w:spacing w:after="0"/>
              <w:rPr>
                <w:sz w:val="1"/>
                <w:szCs w:val="1"/>
                <w:color w:val="auto"/>
              </w:rPr>
            </w:pPr>
          </w:p>
        </w:tc>
      </w:tr>
      <w:tr>
        <w:trPr>
          <w:trHeight w:val="523"/>
        </w:trPr>
        <w:tc>
          <w:tcPr>
            <w:tcW w:w="2140" w:type="dxa"/>
            <w:vAlign w:val="bottom"/>
            <w:gridSpan w:val="3"/>
            <w:shd w:val="clear" w:color="auto" w:fill="D8D8D8"/>
          </w:tcPr>
          <w:p>
            <w:pPr>
              <w:ind w:left="140"/>
              <w:spacing w:after="0"/>
              <w:rPr>
                <w:sz w:val="20"/>
                <w:szCs w:val="20"/>
                <w:color w:val="auto"/>
              </w:rPr>
            </w:pPr>
            <w:r>
              <w:rPr>
                <w:rFonts w:ascii="Arial" w:cs="Arial" w:eastAsia="Arial" w:hAnsi="Arial"/>
                <w:sz w:val="32"/>
                <w:szCs w:val="32"/>
                <w:color w:val="000000"/>
                <w:vertAlign w:val="superscript"/>
              </w:rPr>
              <w:t>​</w:t>
            </w:r>
            <w:r>
              <w:rPr>
                <w:rFonts w:ascii="Arial" w:cs="Arial" w:eastAsia="Arial" w:hAnsi="Arial"/>
                <w:sz w:val="32"/>
                <w:szCs w:val="32"/>
                <w:color w:val="1F2668"/>
              </w:rPr>
              <w:t xml:space="preserve">    68%</w:t>
            </w:r>
            <w:r>
              <w:rPr>
                <w:rFonts w:ascii="Arial" w:cs="Arial" w:eastAsia="Arial" w:hAnsi="Arial"/>
                <w:sz w:val="16"/>
                <w:szCs w:val="16"/>
                <w:color w:val="000000"/>
              </w:rPr>
              <w:t>​</w:t>
            </w:r>
          </w:p>
        </w:tc>
        <w:tc>
          <w:tcPr>
            <w:tcW w:w="180" w:type="dxa"/>
            <w:vAlign w:val="bottom"/>
            <w:shd w:val="clear" w:color="auto" w:fill="D8D8D8"/>
          </w:tcPr>
          <w:p>
            <w:pPr>
              <w:spacing w:after="0"/>
              <w:rPr>
                <w:sz w:val="24"/>
                <w:szCs w:val="24"/>
                <w:color w:val="auto"/>
              </w:rPr>
            </w:pPr>
          </w:p>
        </w:tc>
        <w:tc>
          <w:tcPr>
            <w:tcW w:w="20" w:type="dxa"/>
            <w:vAlign w:val="bottom"/>
            <w:shd w:val="clear" w:color="auto" w:fill="D8D8D8"/>
          </w:tcPr>
          <w:p>
            <w:pPr>
              <w:spacing w:after="0"/>
              <w:rPr>
                <w:sz w:val="24"/>
                <w:szCs w:val="24"/>
                <w:color w:val="auto"/>
              </w:rPr>
            </w:pPr>
          </w:p>
        </w:tc>
        <w:tc>
          <w:tcPr>
            <w:tcW w:w="500" w:type="dxa"/>
            <w:vAlign w:val="bottom"/>
            <w:tcBorders>
              <w:right w:val="single" w:sz="8" w:color="1F2668"/>
            </w:tcBorders>
            <w:shd w:val="clear" w:color="auto" w:fill="D8D8D8"/>
          </w:tcPr>
          <w:p>
            <w:pPr>
              <w:spacing w:after="0"/>
              <w:rPr>
                <w:sz w:val="24"/>
                <w:szCs w:val="24"/>
                <w:color w:val="auto"/>
              </w:rPr>
            </w:pPr>
          </w:p>
        </w:tc>
        <w:tc>
          <w:tcPr>
            <w:tcW w:w="200" w:type="dxa"/>
            <w:vAlign w:val="bottom"/>
            <w:shd w:val="clear" w:color="auto" w:fill="D8D8D8"/>
          </w:tcPr>
          <w:p>
            <w:pPr>
              <w:spacing w:after="0"/>
              <w:rPr>
                <w:sz w:val="20"/>
                <w:szCs w:val="20"/>
                <w:color w:val="auto"/>
              </w:rPr>
            </w:pPr>
            <w:r>
              <w:rPr>
                <w:rFonts w:ascii="Arial" w:cs="Arial" w:eastAsia="Arial" w:hAnsi="Arial"/>
                <w:sz w:val="16"/>
                <w:szCs w:val="16"/>
                <w:color w:val="auto"/>
              </w:rPr>
              <w:t>​</w:t>
            </w:r>
          </w:p>
        </w:tc>
        <w:tc>
          <w:tcPr>
            <w:tcW w:w="2400" w:type="dxa"/>
            <w:vAlign w:val="bottom"/>
            <w:tcBorders>
              <w:right w:val="single" w:sz="8" w:color="1F2668"/>
            </w:tcBorders>
            <w:shd w:val="clear" w:color="auto" w:fill="D8D8D8"/>
          </w:tcPr>
          <w:p>
            <w:pPr>
              <w:ind w:left="160"/>
              <w:spacing w:after="0"/>
              <w:rPr>
                <w:sz w:val="20"/>
                <w:szCs w:val="20"/>
                <w:color w:val="auto"/>
              </w:rPr>
            </w:pPr>
            <w:r>
              <w:rPr>
                <w:rFonts w:ascii="Arial" w:cs="Arial" w:eastAsia="Arial" w:hAnsi="Arial"/>
                <w:sz w:val="32"/>
                <w:szCs w:val="32"/>
                <w:color w:val="1F2668"/>
              </w:rPr>
              <w:t>44%</w:t>
            </w:r>
            <w:r>
              <w:rPr>
                <w:rFonts w:ascii="Arial" w:cs="Arial" w:eastAsia="Arial" w:hAnsi="Arial"/>
                <w:sz w:val="16"/>
                <w:szCs w:val="16"/>
                <w:color w:val="000000"/>
              </w:rPr>
              <w:t>​</w:t>
            </w:r>
          </w:p>
        </w:tc>
        <w:tc>
          <w:tcPr>
            <w:tcW w:w="3460" w:type="dxa"/>
            <w:vAlign w:val="bottom"/>
            <w:gridSpan w:val="4"/>
            <w:shd w:val="clear" w:color="auto" w:fill="D8D8D8"/>
          </w:tcPr>
          <w:p>
            <w:pPr>
              <w:spacing w:after="0"/>
              <w:rPr>
                <w:sz w:val="20"/>
                <w:szCs w:val="20"/>
                <w:color w:val="auto"/>
              </w:rPr>
            </w:pPr>
            <w:r>
              <w:rPr>
                <w:rFonts w:ascii="Arial" w:cs="Arial" w:eastAsia="Arial" w:hAnsi="Arial"/>
                <w:sz w:val="32"/>
                <w:szCs w:val="32"/>
                <w:color w:val="000000"/>
                <w:vertAlign w:val="superscript"/>
              </w:rPr>
              <w:t>​</w:t>
            </w:r>
            <w:r>
              <w:rPr>
                <w:rFonts w:ascii="Arial" w:cs="Arial" w:eastAsia="Arial" w:hAnsi="Arial"/>
                <w:sz w:val="32"/>
                <w:szCs w:val="32"/>
                <w:color w:val="1F2668"/>
              </w:rPr>
              <w:t xml:space="preserve">    39%</w:t>
            </w:r>
            <w:r>
              <w:rPr>
                <w:rFonts w:ascii="Arial" w:cs="Arial" w:eastAsia="Arial" w:hAnsi="Arial"/>
                <w:sz w:val="16"/>
                <w:szCs w:val="16"/>
                <w:color w:val="000000"/>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20" w:type="dxa"/>
            <w:vAlign w:val="bottom"/>
            <w:shd w:val="clear" w:color="auto" w:fill="D8D8D8"/>
          </w:tcPr>
          <w:p>
            <w:pPr>
              <w:spacing w:after="0"/>
              <w:rPr>
                <w:sz w:val="24"/>
                <w:szCs w:val="24"/>
                <w:color w:val="auto"/>
              </w:rPr>
            </w:pPr>
          </w:p>
        </w:tc>
        <w:tc>
          <w:tcPr>
            <w:tcW w:w="20" w:type="dxa"/>
            <w:vAlign w:val="bottom"/>
            <w:shd w:val="clear" w:color="auto" w:fill="83AD40"/>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40" w:type="dxa"/>
            <w:vAlign w:val="bottom"/>
            <w:shd w:val="clear" w:color="auto" w:fill="D8D8D8"/>
          </w:tcPr>
          <w:p>
            <w:pPr>
              <w:spacing w:after="0"/>
              <w:rPr>
                <w:sz w:val="24"/>
                <w:szCs w:val="24"/>
                <w:color w:val="auto"/>
              </w:rPr>
            </w:pPr>
          </w:p>
        </w:tc>
        <w:tc>
          <w:tcPr>
            <w:tcW w:w="60" w:type="dxa"/>
            <w:vAlign w:val="bottom"/>
            <w:shd w:val="clear" w:color="auto" w:fill="D8D8D8"/>
          </w:tcPr>
          <w:p>
            <w:pPr>
              <w:spacing w:after="0"/>
              <w:rPr>
                <w:sz w:val="24"/>
                <w:szCs w:val="24"/>
                <w:color w:val="auto"/>
              </w:rPr>
            </w:pPr>
          </w:p>
        </w:tc>
        <w:tc>
          <w:tcPr>
            <w:tcW w:w="2640" w:type="dxa"/>
            <w:vAlign w:val="bottom"/>
            <w:tcBorders>
              <w:right w:val="single" w:sz="8" w:color="1F2668"/>
            </w:tcBorders>
            <w:gridSpan w:val="4"/>
            <w:shd w:val="clear" w:color="auto" w:fill="D8D8D8"/>
          </w:tcPr>
          <w:p>
            <w:pPr>
              <w:ind w:left="300"/>
              <w:spacing w:after="0"/>
              <w:rPr>
                <w:sz w:val="20"/>
                <w:szCs w:val="20"/>
                <w:color w:val="auto"/>
              </w:rPr>
            </w:pPr>
            <w:r>
              <w:rPr>
                <w:rFonts w:ascii="Arial" w:cs="Arial" w:eastAsia="Arial" w:hAnsi="Arial"/>
                <w:sz w:val="16"/>
                <w:szCs w:val="16"/>
                <w:b w:val="1"/>
                <w:bCs w:val="1"/>
                <w:color w:val="1F2668"/>
              </w:rPr>
              <w:t>of Outstanding Shares</w:t>
            </w:r>
          </w:p>
        </w:tc>
        <w:tc>
          <w:tcPr>
            <w:tcW w:w="200" w:type="dxa"/>
            <w:vAlign w:val="bottom"/>
            <w:shd w:val="clear" w:color="auto" w:fill="D8D8D8"/>
          </w:tcPr>
          <w:p>
            <w:pPr>
              <w:spacing w:after="0"/>
              <w:rPr>
                <w:sz w:val="24"/>
                <w:szCs w:val="24"/>
                <w:color w:val="auto"/>
              </w:rPr>
            </w:pPr>
          </w:p>
        </w:tc>
        <w:tc>
          <w:tcPr>
            <w:tcW w:w="2400" w:type="dxa"/>
            <w:vAlign w:val="bottom"/>
            <w:tcBorders>
              <w:right w:val="single" w:sz="8" w:color="1F2668"/>
            </w:tcBorders>
            <w:shd w:val="clear" w:color="auto" w:fill="D8D8D8"/>
          </w:tcPr>
          <w:p>
            <w:pPr>
              <w:ind w:left="160"/>
              <w:spacing w:after="0"/>
              <w:rPr>
                <w:sz w:val="20"/>
                <w:szCs w:val="20"/>
                <w:color w:val="auto"/>
              </w:rPr>
            </w:pPr>
            <w:r>
              <w:rPr>
                <w:rFonts w:ascii="Arial" w:cs="Arial" w:eastAsia="Arial" w:hAnsi="Arial"/>
                <w:sz w:val="16"/>
                <w:szCs w:val="16"/>
                <w:b w:val="1"/>
                <w:bCs w:val="1"/>
                <w:color w:val="1F2668"/>
              </w:rPr>
              <w:t>of Outstanding Shares</w:t>
            </w:r>
          </w:p>
        </w:tc>
        <w:tc>
          <w:tcPr>
            <w:tcW w:w="200" w:type="dxa"/>
            <w:vAlign w:val="bottom"/>
            <w:shd w:val="clear" w:color="auto" w:fill="D8D8D8"/>
          </w:tcPr>
          <w:p>
            <w:pPr>
              <w:spacing w:after="0"/>
              <w:rPr>
                <w:sz w:val="24"/>
                <w:szCs w:val="24"/>
                <w:color w:val="auto"/>
              </w:rPr>
            </w:pPr>
          </w:p>
        </w:tc>
        <w:tc>
          <w:tcPr>
            <w:tcW w:w="3260" w:type="dxa"/>
            <w:vAlign w:val="bottom"/>
            <w:gridSpan w:val="3"/>
            <w:shd w:val="clear" w:color="auto" w:fill="D8D8D8"/>
          </w:tcPr>
          <w:p>
            <w:pPr>
              <w:ind w:left="160"/>
              <w:spacing w:after="0"/>
              <w:rPr>
                <w:sz w:val="20"/>
                <w:szCs w:val="20"/>
                <w:color w:val="auto"/>
              </w:rPr>
            </w:pPr>
            <w:r>
              <w:rPr>
                <w:rFonts w:ascii="Arial" w:cs="Arial" w:eastAsia="Arial" w:hAnsi="Arial"/>
                <w:sz w:val="16"/>
                <w:szCs w:val="16"/>
                <w:b w:val="1"/>
                <w:bCs w:val="1"/>
                <w:color w:val="1F2668"/>
              </w:rPr>
              <w:t>of Outstanding Shares</w:t>
            </w:r>
          </w:p>
        </w:tc>
        <w:tc>
          <w:tcPr>
            <w:tcW w:w="120" w:type="dxa"/>
            <w:vAlign w:val="bottom"/>
          </w:tcPr>
          <w:p>
            <w:pPr>
              <w:spacing w:after="0"/>
              <w:rPr>
                <w:sz w:val="24"/>
                <w:szCs w:val="24"/>
                <w:color w:val="auto"/>
              </w:rPr>
            </w:pPr>
          </w:p>
        </w:tc>
        <w:tc>
          <w:tcPr>
            <w:tcW w:w="20" w:type="dxa"/>
            <w:vAlign w:val="bottom"/>
            <w:shd w:val="clear" w:color="auto" w:fill="D8D8D8"/>
          </w:tcPr>
          <w:p>
            <w:pPr>
              <w:spacing w:after="0"/>
              <w:rPr>
                <w:sz w:val="24"/>
                <w:szCs w:val="24"/>
                <w:color w:val="auto"/>
              </w:rPr>
            </w:pPr>
          </w:p>
        </w:tc>
        <w:tc>
          <w:tcPr>
            <w:tcW w:w="20" w:type="dxa"/>
            <w:vAlign w:val="bottom"/>
            <w:shd w:val="clear" w:color="auto" w:fill="83AD40"/>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140" w:type="dxa"/>
            <w:vAlign w:val="bottom"/>
            <w:shd w:val="clear" w:color="auto" w:fill="D8D8D8"/>
          </w:tcPr>
          <w:p>
            <w:pPr>
              <w:spacing w:after="0"/>
              <w:rPr>
                <w:sz w:val="5"/>
                <w:szCs w:val="5"/>
                <w:color w:val="auto"/>
              </w:rPr>
            </w:pPr>
          </w:p>
        </w:tc>
        <w:tc>
          <w:tcPr>
            <w:tcW w:w="60" w:type="dxa"/>
            <w:vAlign w:val="bottom"/>
            <w:shd w:val="clear" w:color="auto" w:fill="D8D8D8"/>
          </w:tcPr>
          <w:p>
            <w:pPr>
              <w:spacing w:after="0"/>
              <w:rPr>
                <w:sz w:val="5"/>
                <w:szCs w:val="5"/>
                <w:color w:val="auto"/>
              </w:rPr>
            </w:pPr>
          </w:p>
        </w:tc>
        <w:tc>
          <w:tcPr>
            <w:tcW w:w="1940" w:type="dxa"/>
            <w:vAlign w:val="bottom"/>
            <w:shd w:val="clear" w:color="auto" w:fill="D8D8D8"/>
          </w:tcPr>
          <w:p>
            <w:pPr>
              <w:spacing w:after="0"/>
              <w:rPr>
                <w:sz w:val="5"/>
                <w:szCs w:val="5"/>
                <w:color w:val="auto"/>
              </w:rPr>
            </w:pPr>
          </w:p>
        </w:tc>
        <w:tc>
          <w:tcPr>
            <w:tcW w:w="180" w:type="dxa"/>
            <w:vAlign w:val="bottom"/>
            <w:shd w:val="clear" w:color="auto" w:fill="D8D8D8"/>
          </w:tcPr>
          <w:p>
            <w:pPr>
              <w:spacing w:after="0"/>
              <w:rPr>
                <w:sz w:val="5"/>
                <w:szCs w:val="5"/>
                <w:color w:val="auto"/>
              </w:rPr>
            </w:pPr>
          </w:p>
        </w:tc>
        <w:tc>
          <w:tcPr>
            <w:tcW w:w="20" w:type="dxa"/>
            <w:vAlign w:val="bottom"/>
            <w:shd w:val="clear" w:color="auto" w:fill="D8D8D8"/>
          </w:tcPr>
          <w:p>
            <w:pPr>
              <w:spacing w:after="0"/>
              <w:rPr>
                <w:sz w:val="5"/>
                <w:szCs w:val="5"/>
                <w:color w:val="auto"/>
              </w:rPr>
            </w:pPr>
          </w:p>
        </w:tc>
        <w:tc>
          <w:tcPr>
            <w:tcW w:w="500" w:type="dxa"/>
            <w:vAlign w:val="bottom"/>
            <w:tcBorders>
              <w:right w:val="single" w:sz="8" w:color="1F2668"/>
            </w:tcBorders>
            <w:shd w:val="clear" w:color="auto" w:fill="D8D8D8"/>
          </w:tcPr>
          <w:p>
            <w:pPr>
              <w:spacing w:after="0"/>
              <w:rPr>
                <w:sz w:val="5"/>
                <w:szCs w:val="5"/>
                <w:color w:val="auto"/>
              </w:rPr>
            </w:pPr>
          </w:p>
        </w:tc>
        <w:tc>
          <w:tcPr>
            <w:tcW w:w="200" w:type="dxa"/>
            <w:vAlign w:val="bottom"/>
            <w:shd w:val="clear" w:color="auto" w:fill="D8D8D8"/>
          </w:tcPr>
          <w:p>
            <w:pPr>
              <w:spacing w:after="0"/>
              <w:rPr>
                <w:sz w:val="5"/>
                <w:szCs w:val="5"/>
                <w:color w:val="auto"/>
              </w:rPr>
            </w:pPr>
          </w:p>
        </w:tc>
        <w:tc>
          <w:tcPr>
            <w:tcW w:w="2400" w:type="dxa"/>
            <w:vAlign w:val="bottom"/>
            <w:tcBorders>
              <w:right w:val="single" w:sz="8" w:color="1F2668"/>
            </w:tcBorders>
            <w:shd w:val="clear" w:color="auto" w:fill="D8D8D8"/>
          </w:tcPr>
          <w:p>
            <w:pPr>
              <w:spacing w:after="0"/>
              <w:rPr>
                <w:sz w:val="5"/>
                <w:szCs w:val="5"/>
                <w:color w:val="auto"/>
              </w:rPr>
            </w:pPr>
          </w:p>
        </w:tc>
        <w:tc>
          <w:tcPr>
            <w:tcW w:w="200" w:type="dxa"/>
            <w:vAlign w:val="bottom"/>
            <w:shd w:val="clear" w:color="auto" w:fill="D8D8D8"/>
          </w:tcPr>
          <w:p>
            <w:pPr>
              <w:spacing w:after="0"/>
              <w:rPr>
                <w:sz w:val="5"/>
                <w:szCs w:val="5"/>
                <w:color w:val="auto"/>
              </w:rPr>
            </w:pPr>
          </w:p>
        </w:tc>
        <w:tc>
          <w:tcPr>
            <w:tcW w:w="980" w:type="dxa"/>
            <w:vAlign w:val="bottom"/>
            <w:shd w:val="clear" w:color="auto" w:fill="D8D8D8"/>
          </w:tcPr>
          <w:p>
            <w:pPr>
              <w:spacing w:after="0"/>
              <w:rPr>
                <w:sz w:val="5"/>
                <w:szCs w:val="5"/>
                <w:color w:val="auto"/>
              </w:rPr>
            </w:pPr>
          </w:p>
        </w:tc>
        <w:tc>
          <w:tcPr>
            <w:tcW w:w="20" w:type="dxa"/>
            <w:vAlign w:val="bottom"/>
            <w:shd w:val="clear" w:color="auto" w:fill="D8D8D8"/>
          </w:tcPr>
          <w:p>
            <w:pPr>
              <w:spacing w:after="0"/>
              <w:rPr>
                <w:sz w:val="5"/>
                <w:szCs w:val="5"/>
                <w:color w:val="auto"/>
              </w:rPr>
            </w:pPr>
          </w:p>
        </w:tc>
        <w:tc>
          <w:tcPr>
            <w:tcW w:w="2260" w:type="dxa"/>
            <w:vAlign w:val="bottom"/>
            <w:shd w:val="clear" w:color="auto" w:fill="D8D8D8"/>
          </w:tcPr>
          <w:p>
            <w:pPr>
              <w:spacing w:after="0"/>
              <w:rPr>
                <w:sz w:val="5"/>
                <w:szCs w:val="5"/>
                <w:color w:val="auto"/>
              </w:rPr>
            </w:pPr>
          </w:p>
        </w:tc>
        <w:tc>
          <w:tcPr>
            <w:tcW w:w="120" w:type="dxa"/>
            <w:vAlign w:val="bottom"/>
            <w:vMerge w:val="restart"/>
          </w:tcPr>
          <w:p>
            <w:pPr>
              <w:spacing w:after="0"/>
              <w:rPr>
                <w:sz w:val="5"/>
                <w:szCs w:val="5"/>
                <w:color w:val="auto"/>
              </w:rPr>
            </w:pPr>
          </w:p>
        </w:tc>
        <w:tc>
          <w:tcPr>
            <w:tcW w:w="20" w:type="dxa"/>
            <w:vAlign w:val="bottom"/>
            <w:shd w:val="clear" w:color="auto" w:fill="D8D8D8"/>
          </w:tcPr>
          <w:p>
            <w:pPr>
              <w:spacing w:after="0"/>
              <w:rPr>
                <w:sz w:val="5"/>
                <w:szCs w:val="5"/>
                <w:color w:val="auto"/>
              </w:rPr>
            </w:pPr>
          </w:p>
        </w:tc>
        <w:tc>
          <w:tcPr>
            <w:tcW w:w="20" w:type="dxa"/>
            <w:vAlign w:val="bottom"/>
            <w:vMerge w:val="restart"/>
            <w:shd w:val="clear" w:color="auto" w:fill="83AD40"/>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277"/>
        </w:trPr>
        <w:tc>
          <w:tcPr>
            <w:tcW w:w="140" w:type="dxa"/>
            <w:vAlign w:val="bottom"/>
          </w:tcPr>
          <w:p>
            <w:pPr>
              <w:spacing w:after="0"/>
              <w:rPr>
                <w:sz w:val="24"/>
                <w:szCs w:val="24"/>
                <w:color w:val="auto"/>
              </w:rPr>
            </w:pPr>
          </w:p>
        </w:tc>
        <w:tc>
          <w:tcPr>
            <w:tcW w:w="60" w:type="dxa"/>
            <w:vAlign w:val="bottom"/>
            <w:tcBorders>
              <w:bottom w:val="single" w:sz="8" w:color="83AD40"/>
            </w:tcBorders>
            <w:shd w:val="clear" w:color="auto" w:fill="83AD40"/>
          </w:tcPr>
          <w:p>
            <w:pPr>
              <w:spacing w:after="0"/>
              <w:rPr>
                <w:sz w:val="24"/>
                <w:szCs w:val="24"/>
                <w:color w:val="auto"/>
              </w:rPr>
            </w:pPr>
          </w:p>
        </w:tc>
        <w:tc>
          <w:tcPr>
            <w:tcW w:w="1940" w:type="dxa"/>
            <w:vAlign w:val="bottom"/>
            <w:tcBorders>
              <w:bottom w:val="single" w:sz="8" w:color="83AD40"/>
            </w:tcBorders>
          </w:tcPr>
          <w:p>
            <w:pPr>
              <w:spacing w:after="0" w:line="243" w:lineRule="exact"/>
              <w:rPr>
                <w:sz w:val="20"/>
                <w:szCs w:val="20"/>
                <w:color w:val="auto"/>
              </w:rPr>
            </w:pPr>
            <w:r>
              <w:rPr>
                <w:rFonts w:ascii="Arial" w:cs="Arial" w:eastAsia="Arial" w:hAnsi="Arial"/>
                <w:sz w:val="22"/>
                <w:szCs w:val="22"/>
                <w:color w:val="auto"/>
              </w:rPr>
              <w:t>​</w:t>
            </w:r>
          </w:p>
        </w:tc>
        <w:tc>
          <w:tcPr>
            <w:tcW w:w="180" w:type="dxa"/>
            <w:vAlign w:val="bottom"/>
            <w:tcBorders>
              <w:bottom w:val="single" w:sz="8" w:color="83AD40"/>
            </w:tcBorders>
          </w:tcPr>
          <w:p>
            <w:pPr>
              <w:spacing w:after="0"/>
              <w:rPr>
                <w:sz w:val="24"/>
                <w:szCs w:val="24"/>
                <w:color w:val="auto"/>
              </w:rPr>
            </w:pPr>
          </w:p>
        </w:tc>
        <w:tc>
          <w:tcPr>
            <w:tcW w:w="20" w:type="dxa"/>
            <w:vAlign w:val="bottom"/>
            <w:tcBorders>
              <w:bottom w:val="single" w:sz="8" w:color="83AD40"/>
            </w:tcBorders>
          </w:tcPr>
          <w:p>
            <w:pPr>
              <w:spacing w:after="0"/>
              <w:rPr>
                <w:sz w:val="24"/>
                <w:szCs w:val="24"/>
                <w:color w:val="auto"/>
              </w:rPr>
            </w:pPr>
          </w:p>
        </w:tc>
        <w:tc>
          <w:tcPr>
            <w:tcW w:w="500" w:type="dxa"/>
            <w:vAlign w:val="bottom"/>
            <w:tcBorders>
              <w:bottom w:val="single" w:sz="8" w:color="83AD40"/>
            </w:tcBorders>
          </w:tcPr>
          <w:p>
            <w:pPr>
              <w:spacing w:after="0"/>
              <w:rPr>
                <w:sz w:val="24"/>
                <w:szCs w:val="24"/>
                <w:color w:val="auto"/>
              </w:rPr>
            </w:pPr>
          </w:p>
        </w:tc>
        <w:tc>
          <w:tcPr>
            <w:tcW w:w="200" w:type="dxa"/>
            <w:vAlign w:val="bottom"/>
            <w:tcBorders>
              <w:bottom w:val="single" w:sz="8" w:color="83AD40"/>
            </w:tcBorders>
          </w:tcPr>
          <w:p>
            <w:pPr>
              <w:spacing w:after="0"/>
              <w:rPr>
                <w:sz w:val="24"/>
                <w:szCs w:val="24"/>
                <w:color w:val="auto"/>
              </w:rPr>
            </w:pPr>
          </w:p>
        </w:tc>
        <w:tc>
          <w:tcPr>
            <w:tcW w:w="2400" w:type="dxa"/>
            <w:vAlign w:val="bottom"/>
            <w:tcBorders>
              <w:bottom w:val="single" w:sz="8" w:color="83AD40"/>
            </w:tcBorders>
          </w:tcPr>
          <w:p>
            <w:pPr>
              <w:spacing w:after="0"/>
              <w:rPr>
                <w:sz w:val="24"/>
                <w:szCs w:val="24"/>
                <w:color w:val="auto"/>
              </w:rPr>
            </w:pPr>
          </w:p>
        </w:tc>
        <w:tc>
          <w:tcPr>
            <w:tcW w:w="200" w:type="dxa"/>
            <w:vAlign w:val="bottom"/>
            <w:tcBorders>
              <w:bottom w:val="single" w:sz="8" w:color="83AD40"/>
            </w:tcBorders>
          </w:tcPr>
          <w:p>
            <w:pPr>
              <w:spacing w:after="0"/>
              <w:rPr>
                <w:sz w:val="24"/>
                <w:szCs w:val="24"/>
                <w:color w:val="auto"/>
              </w:rPr>
            </w:pPr>
          </w:p>
        </w:tc>
        <w:tc>
          <w:tcPr>
            <w:tcW w:w="980" w:type="dxa"/>
            <w:vAlign w:val="bottom"/>
            <w:tcBorders>
              <w:bottom w:val="single" w:sz="8" w:color="83AD40"/>
            </w:tcBorders>
          </w:tcPr>
          <w:p>
            <w:pPr>
              <w:spacing w:after="0"/>
              <w:rPr>
                <w:sz w:val="24"/>
                <w:szCs w:val="24"/>
                <w:color w:val="auto"/>
              </w:rPr>
            </w:pPr>
          </w:p>
        </w:tc>
        <w:tc>
          <w:tcPr>
            <w:tcW w:w="20" w:type="dxa"/>
            <w:vAlign w:val="bottom"/>
            <w:tcBorders>
              <w:bottom w:val="single" w:sz="8" w:color="83AD40"/>
            </w:tcBorders>
          </w:tcPr>
          <w:p>
            <w:pPr>
              <w:spacing w:after="0"/>
              <w:rPr>
                <w:sz w:val="24"/>
                <w:szCs w:val="24"/>
                <w:color w:val="auto"/>
              </w:rPr>
            </w:pPr>
          </w:p>
        </w:tc>
        <w:tc>
          <w:tcPr>
            <w:tcW w:w="2260" w:type="dxa"/>
            <w:vAlign w:val="bottom"/>
            <w:tcBorders>
              <w:bottom w:val="single" w:sz="8" w:color="83AD40"/>
            </w:tcBorders>
          </w:tcPr>
          <w:p>
            <w:pPr>
              <w:spacing w:after="0"/>
              <w:rPr>
                <w:sz w:val="24"/>
                <w:szCs w:val="24"/>
                <w:color w:val="auto"/>
              </w:rPr>
            </w:pPr>
          </w:p>
        </w:tc>
        <w:tc>
          <w:tcPr>
            <w:tcW w:w="120" w:type="dxa"/>
            <w:vAlign w:val="bottom"/>
            <w:tcBorders>
              <w:bottom w:val="single" w:sz="8" w:color="83AD40"/>
            </w:tcBorders>
            <w:vMerge w:val="continue"/>
          </w:tcPr>
          <w:p>
            <w:pPr>
              <w:spacing w:after="0"/>
              <w:rPr>
                <w:sz w:val="24"/>
                <w:szCs w:val="24"/>
                <w:color w:val="auto"/>
              </w:rPr>
            </w:pPr>
          </w:p>
        </w:tc>
        <w:tc>
          <w:tcPr>
            <w:tcW w:w="20" w:type="dxa"/>
            <w:vAlign w:val="bottom"/>
            <w:tcBorders>
              <w:bottom w:val="single" w:sz="8" w:color="83AD40"/>
            </w:tcBorders>
          </w:tcPr>
          <w:p>
            <w:pPr>
              <w:spacing w:after="0"/>
              <w:rPr>
                <w:sz w:val="24"/>
                <w:szCs w:val="24"/>
                <w:color w:val="auto"/>
              </w:rPr>
            </w:pPr>
          </w:p>
        </w:tc>
        <w:tc>
          <w:tcPr>
            <w:tcW w:w="20" w:type="dxa"/>
            <w:vAlign w:val="bottom"/>
            <w:tcBorders>
              <w:bottom w:val="single" w:sz="8" w:color="83AD40"/>
            </w:tcBorders>
            <w:vMerge w:val="continue"/>
            <w:shd w:val="clear" w:color="auto" w:fill="83AD40"/>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2771775</wp:posOffset>
            </wp:positionH>
            <wp:positionV relativeFrom="paragraph">
              <wp:posOffset>-3059430</wp:posOffset>
            </wp:positionV>
            <wp:extent cx="1191260" cy="119189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191260" cy="1191895"/>
                    </a:xfrm>
                    <a:prstGeom prst="rect">
                      <a:avLst/>
                    </a:prstGeom>
                    <a:noFill/>
                  </pic:spPr>
                </pic:pic>
              </a:graphicData>
            </a:graphic>
          </wp:anchor>
        </w:drawing>
      </w:r>
    </w:p>
    <w:p>
      <w:pPr>
        <w:spacing w:after="0" w:line="118"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2C270"/>
        </w:rPr>
        <w:t>CEO Agreement Extends Our Track Record of Board Responsiveness</w:t>
      </w:r>
    </w:p>
    <w:p>
      <w:pPr>
        <w:spacing w:after="0" w:line="144" w:lineRule="exact"/>
        <w:rPr>
          <w:sz w:val="20"/>
          <w:szCs w:val="20"/>
          <w:color w:val="auto"/>
        </w:rPr>
      </w:pPr>
    </w:p>
    <w:p>
      <w:pPr>
        <w:ind w:left="820" w:right="80"/>
        <w:spacing w:after="0" w:line="288" w:lineRule="auto"/>
        <w:rPr>
          <w:sz w:val="20"/>
          <w:szCs w:val="20"/>
          <w:color w:val="auto"/>
        </w:rPr>
      </w:pPr>
      <w:r>
        <w:rPr>
          <w:rFonts w:ascii="Arial" w:cs="Arial" w:eastAsia="Arial" w:hAnsi="Arial"/>
          <w:sz w:val="16"/>
          <w:szCs w:val="16"/>
          <w:color w:val="auto"/>
        </w:rPr>
        <w:t xml:space="preserve">Our Board has always </w:t>
      </w:r>
      <w:r>
        <w:rPr>
          <w:rFonts w:ascii="Arial" w:cs="Arial" w:eastAsia="Arial" w:hAnsi="Arial"/>
          <w:sz w:val="16"/>
          <w:szCs w:val="16"/>
          <w:b w:val="1"/>
          <w:bCs w:val="1"/>
          <w:color w:val="auto"/>
        </w:rPr>
        <w:t>valued stockholder feedback</w:t>
      </w:r>
      <w:r>
        <w:rPr>
          <w:rFonts w:ascii="Arial" w:cs="Arial" w:eastAsia="Arial" w:hAnsi="Arial"/>
          <w:sz w:val="16"/>
          <w:szCs w:val="16"/>
          <w:color w:val="auto"/>
        </w:rPr>
        <w:t xml:space="preserve"> and has embarked on a </w:t>
      </w:r>
      <w:r>
        <w:rPr>
          <w:rFonts w:ascii="Arial" w:cs="Arial" w:eastAsia="Arial" w:hAnsi="Arial"/>
          <w:sz w:val="16"/>
          <w:szCs w:val="16"/>
          <w:b w:val="1"/>
          <w:bCs w:val="1"/>
          <w:color w:val="auto"/>
        </w:rPr>
        <w:t>robust stockholder outreach</w:t>
      </w:r>
      <w:r>
        <w:rPr>
          <w:rFonts w:ascii="Arial" w:cs="Arial" w:eastAsia="Arial" w:hAnsi="Arial"/>
          <w:sz w:val="16"/>
          <w:szCs w:val="16"/>
          <w:color w:val="auto"/>
        </w:rPr>
        <w:t xml:space="preserve"> program over many years. That feedback has served as a </w:t>
      </w:r>
      <w:r>
        <w:rPr>
          <w:rFonts w:ascii="Arial" w:cs="Arial" w:eastAsia="Arial" w:hAnsi="Arial"/>
          <w:sz w:val="16"/>
          <w:szCs w:val="16"/>
          <w:b w:val="1"/>
          <w:bCs w:val="1"/>
          <w:color w:val="auto"/>
        </w:rPr>
        <w:t>key input</w:t>
      </w:r>
      <w:r>
        <w:rPr>
          <w:rFonts w:ascii="Arial" w:cs="Arial" w:eastAsia="Arial" w:hAnsi="Arial"/>
          <w:sz w:val="16"/>
          <w:szCs w:val="16"/>
          <w:color w:val="auto"/>
        </w:rPr>
        <w:t xml:space="preserve"> to Board composition, corporate governance, and executive compensation, as well as environmental and social discussions and decisions at the Board and committee levels. The Board is proud of our track record of responsiveness to stockholder feedback over the years. In response to the 2024 say-on-pay advisory vote, and to inform the Compensation Committee’s deliberations as it designed elements of our CEO’s new employment agreement, the Board reached out to understand stockholder perspectives and views following the 2024 annual meeting of stockholders.</w:t>
      </w:r>
    </w:p>
    <w:p>
      <w:pPr>
        <w:spacing w:after="0" w:line="214" w:lineRule="exact"/>
        <w:rPr>
          <w:sz w:val="20"/>
          <w:szCs w:val="20"/>
          <w:color w:val="auto"/>
        </w:rPr>
      </w:pPr>
    </w:p>
    <w:tbl>
      <w:tblPr>
        <w:tblLayout w:type="fixed"/>
        <w:tblInd w:w="820" w:type="dxa"/>
        <w:tblCellMar>
          <w:top w:w="0" w:type="dxa"/>
          <w:left w:w="0" w:type="dxa"/>
          <w:bottom w:w="0" w:type="dxa"/>
          <w:right w:w="0" w:type="dxa"/>
        </w:tblCellMar>
      </w:tblPr>
      <w:tr>
        <w:trPr>
          <w:trHeight w:val="225"/>
        </w:trPr>
        <w:tc>
          <w:tcPr>
            <w:tcW w:w="5620" w:type="dxa"/>
            <w:vAlign w:val="bottom"/>
          </w:tcPr>
          <w:p>
            <w:pPr>
              <w:spacing w:after="0"/>
              <w:rPr>
                <w:sz w:val="20"/>
                <w:szCs w:val="20"/>
                <w:color w:val="auto"/>
              </w:rPr>
            </w:pPr>
            <w:r>
              <w:rPr>
                <w:rFonts w:ascii="Arial" w:cs="Arial" w:eastAsia="Arial" w:hAnsi="Arial"/>
                <w:sz w:val="14"/>
                <w:szCs w:val="14"/>
                <w:color w:val="1F2668"/>
              </w:rPr>
              <w:t>​</w:t>
            </w:r>
          </w:p>
        </w:tc>
        <w:tc>
          <w:tcPr>
            <w:tcW w:w="120" w:type="dxa"/>
            <w:vAlign w:val="bottom"/>
          </w:tcPr>
          <w:p>
            <w:pPr>
              <w:spacing w:after="0"/>
              <w:rPr>
                <w:sz w:val="20"/>
                <w:szCs w:val="20"/>
                <w:color w:val="auto"/>
              </w:rPr>
            </w:pPr>
            <w:r>
              <w:rPr>
                <w:rFonts w:ascii="Arial" w:cs="Arial" w:eastAsia="Arial" w:hAnsi="Arial"/>
                <w:sz w:val="14"/>
                <w:szCs w:val="14"/>
                <w:color w:val="1F2668"/>
              </w:rPr>
              <w:t>​​</w:t>
            </w:r>
          </w:p>
        </w:tc>
        <w:tc>
          <w:tcPr>
            <w:tcW w:w="140" w:type="dxa"/>
            <w:vAlign w:val="bottom"/>
            <w:tcBorders>
              <w:bottom w:val="single" w:sz="8" w:color="1F2668"/>
            </w:tcBorders>
          </w:tcPr>
          <w:p>
            <w:pPr>
              <w:spacing w:after="0"/>
              <w:rPr>
                <w:sz w:val="19"/>
                <w:szCs w:val="19"/>
                <w:color w:val="auto"/>
              </w:rPr>
            </w:pPr>
          </w:p>
        </w:tc>
        <w:tc>
          <w:tcPr>
            <w:tcW w:w="3180" w:type="dxa"/>
            <w:vAlign w:val="bottom"/>
            <w:tcBorders>
              <w:bottom w:val="single" w:sz="8" w:color="1F2668"/>
            </w:tcBorders>
            <w:gridSpan w:val="14"/>
          </w:tcPr>
          <w:p>
            <w:pPr>
              <w:jc w:val="right"/>
              <w:spacing w:after="0"/>
              <w:rPr>
                <w:sz w:val="20"/>
                <w:szCs w:val="20"/>
                <w:color w:val="auto"/>
              </w:rPr>
            </w:pPr>
            <w:r>
              <w:rPr>
                <w:rFonts w:ascii="Arial" w:cs="Arial" w:eastAsia="Arial" w:hAnsi="Arial"/>
                <w:sz w:val="14"/>
                <w:szCs w:val="14"/>
                <w:color w:val="1F2668"/>
              </w:rPr>
              <w:t>Stockholder Outreach following Annual Meeting</w:t>
            </w:r>
          </w:p>
        </w:tc>
        <w:tc>
          <w:tcPr>
            <w:tcW w:w="60" w:type="dxa"/>
            <w:vAlign w:val="bottom"/>
          </w:tcPr>
          <w:p>
            <w:pPr>
              <w:jc w:val="right"/>
              <w:spacing w:after="0"/>
              <w:rPr>
                <w:sz w:val="20"/>
                <w:szCs w:val="20"/>
                <w:color w:val="auto"/>
              </w:rPr>
            </w:pPr>
            <w:r>
              <w:rPr>
                <w:rFonts w:ascii="Arial" w:cs="Arial" w:eastAsia="Arial" w:hAnsi="Arial"/>
                <w:sz w:val="14"/>
                <w:szCs w:val="14"/>
                <w:color w:val="1F2668"/>
              </w:rPr>
              <w:t>​</w:t>
            </w:r>
          </w:p>
        </w:tc>
      </w:tr>
      <w:tr>
        <w:trPr>
          <w:trHeight w:val="263"/>
        </w:trPr>
        <w:tc>
          <w:tcPr>
            <w:tcW w:w="5620" w:type="dxa"/>
            <w:vAlign w:val="bottom"/>
          </w:tcPr>
          <w:p>
            <w:pPr>
              <w:spacing w:after="0"/>
              <w:rPr>
                <w:sz w:val="20"/>
                <w:szCs w:val="20"/>
                <w:color w:val="auto"/>
              </w:rPr>
            </w:pPr>
            <w:r>
              <w:rPr>
                <w:rFonts w:ascii="Arial" w:cs="Arial" w:eastAsia="Arial" w:hAnsi="Arial"/>
                <w:sz w:val="14"/>
                <w:szCs w:val="14"/>
                <w:color w:val="1F2668"/>
              </w:rPr>
              <w:t>​</w:t>
            </w:r>
          </w:p>
        </w:tc>
        <w:tc>
          <w:tcPr>
            <w:tcW w:w="260" w:type="dxa"/>
            <w:vAlign w:val="bottom"/>
            <w:gridSpan w:val="2"/>
          </w:tcPr>
          <w:p>
            <w:pPr>
              <w:ind w:left="60"/>
              <w:spacing w:after="0"/>
              <w:rPr>
                <w:sz w:val="20"/>
                <w:szCs w:val="20"/>
                <w:color w:val="auto"/>
              </w:rPr>
            </w:pPr>
            <w:r>
              <w:rPr>
                <w:rFonts w:ascii="Arial" w:cs="Arial" w:eastAsia="Arial" w:hAnsi="Arial"/>
                <w:sz w:val="14"/>
                <w:szCs w:val="14"/>
                <w:color w:val="1F2668"/>
              </w:rPr>
              <w:t>​​</w:t>
            </w:r>
          </w:p>
        </w:tc>
        <w:tc>
          <w:tcPr>
            <w:tcW w:w="680" w:type="dxa"/>
            <w:vAlign w:val="bottom"/>
            <w:gridSpan w:val="3"/>
          </w:tcPr>
          <w:p>
            <w:pPr>
              <w:ind w:left="120"/>
              <w:spacing w:after="0" w:line="263" w:lineRule="exact"/>
              <w:rPr>
                <w:sz w:val="20"/>
                <w:szCs w:val="20"/>
                <w:color w:val="auto"/>
              </w:rPr>
            </w:pPr>
            <w:r>
              <w:rPr>
                <w:rFonts w:ascii="Arial" w:cs="Arial" w:eastAsia="Arial" w:hAnsi="Arial"/>
                <w:sz w:val="14"/>
                <w:szCs w:val="14"/>
                <w:color w:val="1F2668"/>
              </w:rPr>
              <w:t xml:space="preserve">2024 </w:t>
            </w:r>
            <w:r>
              <w:rPr>
                <w:rFonts w:ascii="Arial" w:cs="Arial" w:eastAsia="Arial" w:hAnsi="Arial"/>
                <w:sz w:val="28"/>
                <w:szCs w:val="28"/>
                <w:color w:val="1F2668"/>
                <w:vertAlign w:val="subscript"/>
              </w:rPr>
              <w:t>​​</w:t>
            </w:r>
          </w:p>
        </w:tc>
        <w:tc>
          <w:tcPr>
            <w:tcW w:w="680" w:type="dxa"/>
            <w:vAlign w:val="bottom"/>
            <w:gridSpan w:val="3"/>
          </w:tcPr>
          <w:p>
            <w:pPr>
              <w:ind w:left="120"/>
              <w:spacing w:after="0" w:line="263" w:lineRule="exact"/>
              <w:rPr>
                <w:sz w:val="20"/>
                <w:szCs w:val="20"/>
                <w:color w:val="auto"/>
              </w:rPr>
            </w:pPr>
            <w:r>
              <w:rPr>
                <w:rFonts w:ascii="Arial" w:cs="Arial" w:eastAsia="Arial" w:hAnsi="Arial"/>
                <w:sz w:val="14"/>
                <w:szCs w:val="14"/>
                <w:color w:val="1F2668"/>
              </w:rPr>
              <w:t xml:space="preserve">2023 </w:t>
            </w:r>
            <w:r>
              <w:rPr>
                <w:rFonts w:ascii="Arial" w:cs="Arial" w:eastAsia="Arial" w:hAnsi="Arial"/>
                <w:sz w:val="28"/>
                <w:szCs w:val="28"/>
                <w:color w:val="1F2668"/>
                <w:vertAlign w:val="subscript"/>
              </w:rPr>
              <w:t>​​</w:t>
            </w:r>
          </w:p>
        </w:tc>
        <w:tc>
          <w:tcPr>
            <w:tcW w:w="700" w:type="dxa"/>
            <w:vAlign w:val="bottom"/>
            <w:gridSpan w:val="3"/>
          </w:tcPr>
          <w:p>
            <w:pPr>
              <w:ind w:left="120"/>
              <w:spacing w:after="0" w:line="263" w:lineRule="exact"/>
              <w:rPr>
                <w:sz w:val="20"/>
                <w:szCs w:val="20"/>
                <w:color w:val="auto"/>
              </w:rPr>
            </w:pPr>
            <w:r>
              <w:rPr>
                <w:rFonts w:ascii="Arial" w:cs="Arial" w:eastAsia="Arial" w:hAnsi="Arial"/>
                <w:sz w:val="14"/>
                <w:szCs w:val="14"/>
                <w:color w:val="1F2668"/>
              </w:rPr>
              <w:t xml:space="preserve">2022 </w:t>
            </w:r>
            <w:r>
              <w:rPr>
                <w:rFonts w:ascii="Arial" w:cs="Arial" w:eastAsia="Arial" w:hAnsi="Arial"/>
                <w:sz w:val="28"/>
                <w:szCs w:val="28"/>
                <w:color w:val="1F2668"/>
                <w:vertAlign w:val="subscript"/>
              </w:rPr>
              <w:t>​​</w:t>
            </w:r>
          </w:p>
        </w:tc>
        <w:tc>
          <w:tcPr>
            <w:tcW w:w="680" w:type="dxa"/>
            <w:vAlign w:val="bottom"/>
            <w:gridSpan w:val="4"/>
          </w:tcPr>
          <w:p>
            <w:pPr>
              <w:ind w:left="120"/>
              <w:spacing w:after="0" w:line="263" w:lineRule="exact"/>
              <w:rPr>
                <w:sz w:val="20"/>
                <w:szCs w:val="20"/>
                <w:color w:val="auto"/>
              </w:rPr>
            </w:pPr>
            <w:r>
              <w:rPr>
                <w:rFonts w:ascii="Arial" w:cs="Arial" w:eastAsia="Arial" w:hAnsi="Arial"/>
                <w:sz w:val="14"/>
                <w:szCs w:val="14"/>
                <w:color w:val="1F2668"/>
              </w:rPr>
              <w:t xml:space="preserve">2021 </w:t>
            </w:r>
            <w:r>
              <w:rPr>
                <w:rFonts w:ascii="Arial" w:cs="Arial" w:eastAsia="Arial" w:hAnsi="Arial"/>
                <w:sz w:val="28"/>
                <w:szCs w:val="28"/>
                <w:color w:val="1F2668"/>
                <w:vertAlign w:val="subscript"/>
              </w:rPr>
              <w:t>​​</w:t>
            </w:r>
          </w:p>
        </w:tc>
        <w:tc>
          <w:tcPr>
            <w:tcW w:w="440" w:type="dxa"/>
            <w:vAlign w:val="bottom"/>
          </w:tcPr>
          <w:p>
            <w:pPr>
              <w:jc w:val="right"/>
              <w:spacing w:after="0"/>
              <w:rPr>
                <w:sz w:val="20"/>
                <w:szCs w:val="20"/>
                <w:color w:val="auto"/>
              </w:rPr>
            </w:pPr>
            <w:r>
              <w:rPr>
                <w:rFonts w:ascii="Arial" w:cs="Arial" w:eastAsia="Arial" w:hAnsi="Arial"/>
                <w:sz w:val="14"/>
                <w:szCs w:val="14"/>
                <w:color w:val="1F2668"/>
              </w:rPr>
              <w:t>2020</w:t>
            </w:r>
          </w:p>
        </w:tc>
        <w:tc>
          <w:tcPr>
            <w:tcW w:w="60" w:type="dxa"/>
            <w:vAlign w:val="bottom"/>
          </w:tcPr>
          <w:p>
            <w:pPr>
              <w:jc w:val="right"/>
              <w:spacing w:after="0"/>
              <w:rPr>
                <w:sz w:val="20"/>
                <w:szCs w:val="20"/>
                <w:color w:val="auto"/>
              </w:rPr>
            </w:pPr>
            <w:r>
              <w:rPr>
                <w:rFonts w:ascii="Arial" w:cs="Arial" w:eastAsia="Arial" w:hAnsi="Arial"/>
                <w:sz w:val="14"/>
                <w:szCs w:val="14"/>
                <w:color w:val="1F2668"/>
              </w:rPr>
              <w:t>​</w:t>
            </w: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1F2668"/>
          </w:tcPr>
          <w:p>
            <w:pPr>
              <w:spacing w:after="0" w:line="20" w:lineRule="exact"/>
              <w:rPr>
                <w:sz w:val="1"/>
                <w:szCs w:val="1"/>
                <w:color w:val="auto"/>
              </w:rPr>
            </w:pPr>
          </w:p>
        </w:tc>
        <w:tc>
          <w:tcPr>
            <w:tcW w:w="44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1F2668"/>
          </w:tcPr>
          <w:p>
            <w:pPr>
              <w:spacing w:after="0" w:line="20" w:lineRule="exact"/>
              <w:rPr>
                <w:sz w:val="1"/>
                <w:szCs w:val="1"/>
                <w:color w:val="auto"/>
              </w:rPr>
            </w:pPr>
          </w:p>
        </w:tc>
        <w:tc>
          <w:tcPr>
            <w:tcW w:w="44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1F2668"/>
          </w:tcPr>
          <w:p>
            <w:pPr>
              <w:spacing w:after="0" w:line="20" w:lineRule="exact"/>
              <w:rPr>
                <w:sz w:val="1"/>
                <w:szCs w:val="1"/>
                <w:color w:val="auto"/>
              </w:rPr>
            </w:pPr>
          </w:p>
        </w:tc>
        <w:tc>
          <w:tcPr>
            <w:tcW w:w="440" w:type="dxa"/>
            <w:vAlign w:val="bottom"/>
            <w:shd w:val="clear" w:color="auto" w:fill="1F266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1F2668"/>
          </w:tcPr>
          <w:p>
            <w:pPr>
              <w:spacing w:after="0" w:line="20" w:lineRule="exact"/>
              <w:rPr>
                <w:sz w:val="1"/>
                <w:szCs w:val="1"/>
                <w:color w:val="auto"/>
              </w:rPr>
            </w:pPr>
          </w:p>
        </w:tc>
        <w:tc>
          <w:tcPr>
            <w:tcW w:w="44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shd w:val="clear" w:color="auto" w:fill="1F2668"/>
          </w:tcPr>
          <w:p>
            <w:pPr>
              <w:spacing w:after="0" w:line="20" w:lineRule="exact"/>
              <w:rPr>
                <w:sz w:val="1"/>
                <w:szCs w:val="1"/>
                <w:color w:val="auto"/>
              </w:rPr>
            </w:pPr>
          </w:p>
        </w:tc>
        <w:tc>
          <w:tcPr>
            <w:tcW w:w="440" w:type="dxa"/>
            <w:vAlign w:val="bottom"/>
            <w:shd w:val="clear" w:color="auto" w:fill="1F266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5620" w:type="dxa"/>
            <w:vAlign w:val="bottom"/>
          </w:tcPr>
          <w:p>
            <w:pPr>
              <w:spacing w:after="0"/>
              <w:rPr>
                <w:sz w:val="20"/>
                <w:szCs w:val="20"/>
                <w:color w:val="auto"/>
              </w:rPr>
            </w:pPr>
            <w:r>
              <w:rPr>
                <w:rFonts w:ascii="Arial" w:cs="Arial" w:eastAsia="Arial" w:hAnsi="Arial"/>
                <w:sz w:val="16"/>
                <w:szCs w:val="16"/>
                <w:color w:val="auto"/>
              </w:rPr>
              <w:t>Offered engagement to stockholders representing approx.</w:t>
            </w:r>
          </w:p>
        </w:tc>
        <w:tc>
          <w:tcPr>
            <w:tcW w:w="2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680" w:type="dxa"/>
            <w:vAlign w:val="bottom"/>
            <w:gridSpan w:val="3"/>
          </w:tcPr>
          <w:p>
            <w:pPr>
              <w:ind w:left="10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​68%</w:t>
            </w:r>
            <w:r>
              <w:rPr>
                <w:rFonts w:ascii="Arial" w:cs="Arial" w:eastAsia="Arial" w:hAnsi="Arial"/>
                <w:sz w:val="32"/>
                <w:szCs w:val="32"/>
                <w:color w:val="auto"/>
                <w:vertAlign w:val="subscript"/>
              </w:rPr>
              <w:t>​​​</w:t>
            </w:r>
          </w:p>
        </w:tc>
        <w:tc>
          <w:tcPr>
            <w:tcW w:w="680" w:type="dxa"/>
            <w:vAlign w:val="bottom"/>
            <w:gridSpan w:val="3"/>
          </w:tcPr>
          <w:p>
            <w:pPr>
              <w:ind w:left="10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​75%</w:t>
            </w:r>
            <w:r>
              <w:rPr>
                <w:rFonts w:ascii="Arial" w:cs="Arial" w:eastAsia="Arial" w:hAnsi="Arial"/>
                <w:sz w:val="32"/>
                <w:szCs w:val="32"/>
                <w:color w:val="auto"/>
                <w:vertAlign w:val="subscript"/>
              </w:rPr>
              <w:t>​​​</w:t>
            </w:r>
          </w:p>
        </w:tc>
        <w:tc>
          <w:tcPr>
            <w:tcW w:w="700" w:type="dxa"/>
            <w:vAlign w:val="bottom"/>
            <w:gridSpan w:val="3"/>
          </w:tcPr>
          <w:p>
            <w:pPr>
              <w:ind w:left="10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​66%</w:t>
            </w:r>
            <w:r>
              <w:rPr>
                <w:rFonts w:ascii="Arial" w:cs="Arial" w:eastAsia="Arial" w:hAnsi="Arial"/>
                <w:sz w:val="32"/>
                <w:szCs w:val="32"/>
                <w:color w:val="auto"/>
                <w:vertAlign w:val="subscript"/>
              </w:rPr>
              <w:t>​​​</w:t>
            </w:r>
          </w:p>
        </w:tc>
        <w:tc>
          <w:tcPr>
            <w:tcW w:w="680" w:type="dxa"/>
            <w:vAlign w:val="bottom"/>
            <w:gridSpan w:val="4"/>
          </w:tcPr>
          <w:p>
            <w:pPr>
              <w:ind w:left="10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​65%</w:t>
            </w:r>
            <w:r>
              <w:rPr>
                <w:rFonts w:ascii="Arial" w:cs="Arial" w:eastAsia="Arial" w:hAnsi="Arial"/>
                <w:sz w:val="32"/>
                <w:szCs w:val="32"/>
                <w:color w:val="auto"/>
                <w:vertAlign w:val="subscript"/>
              </w:rPr>
              <w:t>​​​</w:t>
            </w:r>
          </w:p>
        </w:tc>
        <w:tc>
          <w:tcPr>
            <w:tcW w:w="500" w:type="dxa"/>
            <w:vAlign w:val="bottom"/>
            <w:gridSpan w:val="2"/>
          </w:tcPr>
          <w:p>
            <w:pPr>
              <w:jc w:val="right"/>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​65%</w:t>
            </w:r>
            <w:r>
              <w:rPr>
                <w:rFonts w:ascii="Arial" w:cs="Arial" w:eastAsia="Arial" w:hAnsi="Arial"/>
                <w:sz w:val="32"/>
                <w:szCs w:val="32"/>
                <w:color w:val="auto"/>
                <w:vertAlign w:val="subscript"/>
              </w:rPr>
              <w:t>​</w:t>
            </w:r>
          </w:p>
        </w:tc>
      </w:tr>
      <w:tr>
        <w:trPr>
          <w:trHeight w:val="20"/>
        </w:trPr>
        <w:tc>
          <w:tcPr>
            <w:tcW w:w="562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4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4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44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4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4B5088"/>
          </w:tcPr>
          <w:p>
            <w:pPr>
              <w:spacing w:after="0" w:line="20" w:lineRule="exact"/>
              <w:rPr>
                <w:sz w:val="1"/>
                <w:szCs w:val="1"/>
                <w:color w:val="auto"/>
              </w:rPr>
            </w:pPr>
          </w:p>
        </w:tc>
        <w:tc>
          <w:tcPr>
            <w:tcW w:w="440" w:type="dxa"/>
            <w:vAlign w:val="bottom"/>
            <w:shd w:val="clear" w:color="auto" w:fill="4B5088"/>
          </w:tcPr>
          <w:p>
            <w:pPr>
              <w:spacing w:after="0" w:line="20" w:lineRule="exact"/>
              <w:rPr>
                <w:sz w:val="1"/>
                <w:szCs w:val="1"/>
                <w:color w:val="auto"/>
              </w:rPr>
            </w:pPr>
          </w:p>
        </w:tc>
        <w:tc>
          <w:tcPr>
            <w:tcW w:w="60" w:type="dxa"/>
            <w:vAlign w:val="bottom"/>
            <w:tcBorders>
              <w:left w:val="single" w:sz="8" w:color="4B5088"/>
            </w:tcBorders>
          </w:tcPr>
          <w:p>
            <w:pPr>
              <w:spacing w:after="0" w:line="20" w:lineRule="exact"/>
              <w:rPr>
                <w:sz w:val="1"/>
                <w:szCs w:val="1"/>
                <w:color w:val="auto"/>
              </w:rPr>
            </w:pPr>
          </w:p>
        </w:tc>
      </w:tr>
      <w:tr>
        <w:trPr>
          <w:trHeight w:val="277"/>
        </w:trPr>
        <w:tc>
          <w:tcPr>
            <w:tcW w:w="5620" w:type="dxa"/>
            <w:vAlign w:val="bottom"/>
          </w:tcPr>
          <w:p>
            <w:pPr>
              <w:spacing w:after="0"/>
              <w:rPr>
                <w:sz w:val="20"/>
                <w:szCs w:val="20"/>
                <w:color w:val="auto"/>
              </w:rPr>
            </w:pPr>
            <w:r>
              <w:rPr>
                <w:rFonts w:ascii="Arial" w:cs="Arial" w:eastAsia="Arial" w:hAnsi="Arial"/>
                <w:sz w:val="16"/>
                <w:szCs w:val="16"/>
                <w:color w:val="auto"/>
              </w:rPr>
              <w:t>Had one-on-one discussions with stockholders representing approx.</w:t>
            </w:r>
          </w:p>
        </w:tc>
        <w:tc>
          <w:tcPr>
            <w:tcW w:w="2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680" w:type="dxa"/>
            <w:vAlign w:val="bottom"/>
            <w:gridSpan w:val="3"/>
          </w:tcPr>
          <w:p>
            <w:pPr>
              <w:ind w:left="100"/>
              <w:spacing w:after="0" w:line="276"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​44%</w:t>
            </w:r>
            <w:r>
              <w:rPr>
                <w:rFonts w:ascii="Arial" w:cs="Arial" w:eastAsia="Arial" w:hAnsi="Arial"/>
                <w:sz w:val="16"/>
                <w:szCs w:val="16"/>
                <w:color w:val="auto"/>
              </w:rPr>
              <w:t>​​​</w:t>
            </w:r>
          </w:p>
        </w:tc>
        <w:tc>
          <w:tcPr>
            <w:tcW w:w="680" w:type="dxa"/>
            <w:vAlign w:val="bottom"/>
            <w:gridSpan w:val="3"/>
          </w:tcPr>
          <w:p>
            <w:pPr>
              <w:ind w:left="100"/>
              <w:spacing w:after="0" w:line="276"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​69%</w:t>
            </w:r>
            <w:r>
              <w:rPr>
                <w:rFonts w:ascii="Arial" w:cs="Arial" w:eastAsia="Arial" w:hAnsi="Arial"/>
                <w:sz w:val="16"/>
                <w:szCs w:val="16"/>
                <w:color w:val="auto"/>
              </w:rPr>
              <w:t>​​​</w:t>
            </w:r>
          </w:p>
        </w:tc>
        <w:tc>
          <w:tcPr>
            <w:tcW w:w="700" w:type="dxa"/>
            <w:vAlign w:val="bottom"/>
            <w:gridSpan w:val="3"/>
          </w:tcPr>
          <w:p>
            <w:pPr>
              <w:ind w:left="100"/>
              <w:spacing w:after="0" w:line="276"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​30%</w:t>
            </w:r>
            <w:r>
              <w:rPr>
                <w:rFonts w:ascii="Arial" w:cs="Arial" w:eastAsia="Arial" w:hAnsi="Arial"/>
                <w:sz w:val="16"/>
                <w:szCs w:val="16"/>
                <w:color w:val="auto"/>
              </w:rPr>
              <w:t>​​​</w:t>
            </w:r>
          </w:p>
        </w:tc>
        <w:tc>
          <w:tcPr>
            <w:tcW w:w="680" w:type="dxa"/>
            <w:vAlign w:val="bottom"/>
            <w:gridSpan w:val="4"/>
          </w:tcPr>
          <w:p>
            <w:pPr>
              <w:ind w:left="100"/>
              <w:spacing w:after="0" w:line="276"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​50%</w:t>
            </w:r>
            <w:r>
              <w:rPr>
                <w:rFonts w:ascii="Arial" w:cs="Arial" w:eastAsia="Arial" w:hAnsi="Arial"/>
                <w:sz w:val="16"/>
                <w:szCs w:val="16"/>
                <w:color w:val="auto"/>
              </w:rPr>
              <w:t>​​​</w:t>
            </w:r>
          </w:p>
        </w:tc>
        <w:tc>
          <w:tcPr>
            <w:tcW w:w="500" w:type="dxa"/>
            <w:vAlign w:val="bottom"/>
            <w:gridSpan w:val="2"/>
          </w:tcPr>
          <w:p>
            <w:pPr>
              <w:jc w:val="right"/>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​41%</w:t>
            </w:r>
            <w:r>
              <w:rPr>
                <w:rFonts w:ascii="Arial" w:cs="Arial" w:eastAsia="Arial" w:hAnsi="Arial"/>
                <w:sz w:val="32"/>
                <w:szCs w:val="32"/>
                <w:color w:val="auto"/>
                <w:vertAlign w:val="subscript"/>
              </w:rPr>
              <w:t>​</w:t>
            </w:r>
          </w:p>
        </w:tc>
      </w:tr>
      <w:tr>
        <w:trPr>
          <w:trHeight w:val="20"/>
        </w:trPr>
        <w:tc>
          <w:tcPr>
            <w:tcW w:w="562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4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4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44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4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4B5088"/>
          </w:tcPr>
          <w:p>
            <w:pPr>
              <w:spacing w:after="0" w:line="20" w:lineRule="exact"/>
              <w:rPr>
                <w:sz w:val="1"/>
                <w:szCs w:val="1"/>
                <w:color w:val="auto"/>
              </w:rPr>
            </w:pPr>
          </w:p>
        </w:tc>
        <w:tc>
          <w:tcPr>
            <w:tcW w:w="440" w:type="dxa"/>
            <w:vAlign w:val="bottom"/>
            <w:shd w:val="clear" w:color="auto" w:fill="4B5088"/>
          </w:tcPr>
          <w:p>
            <w:pPr>
              <w:spacing w:after="0" w:line="20" w:lineRule="exact"/>
              <w:rPr>
                <w:sz w:val="1"/>
                <w:szCs w:val="1"/>
                <w:color w:val="auto"/>
              </w:rPr>
            </w:pPr>
          </w:p>
        </w:tc>
        <w:tc>
          <w:tcPr>
            <w:tcW w:w="60" w:type="dxa"/>
            <w:vAlign w:val="bottom"/>
            <w:tcBorders>
              <w:left w:val="single" w:sz="8" w:color="4B5088"/>
            </w:tcBorders>
          </w:tcPr>
          <w:p>
            <w:pPr>
              <w:spacing w:after="0" w:line="20" w:lineRule="exact"/>
              <w:rPr>
                <w:sz w:val="1"/>
                <w:szCs w:val="1"/>
                <w:color w:val="auto"/>
              </w:rPr>
            </w:pPr>
          </w:p>
        </w:tc>
      </w:tr>
      <w:tr>
        <w:trPr>
          <w:trHeight w:val="277"/>
        </w:trPr>
        <w:tc>
          <w:tcPr>
            <w:tcW w:w="5620" w:type="dxa"/>
            <w:vAlign w:val="bottom"/>
          </w:tcPr>
          <w:p>
            <w:pPr>
              <w:spacing w:after="0"/>
              <w:rPr>
                <w:sz w:val="20"/>
                <w:szCs w:val="20"/>
                <w:color w:val="auto"/>
              </w:rPr>
            </w:pPr>
            <w:r>
              <w:rPr>
                <w:rFonts w:ascii="Arial" w:cs="Arial" w:eastAsia="Arial" w:hAnsi="Arial"/>
                <w:sz w:val="16"/>
                <w:szCs w:val="16"/>
                <w:color w:val="auto"/>
              </w:rPr>
              <w:t>Directors participated in calls with stockholders representing approx.</w:t>
            </w:r>
          </w:p>
        </w:tc>
        <w:tc>
          <w:tcPr>
            <w:tcW w:w="2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680" w:type="dxa"/>
            <w:vAlign w:val="bottom"/>
            <w:gridSpan w:val="3"/>
          </w:tcPr>
          <w:p>
            <w:pPr>
              <w:ind w:left="100"/>
              <w:spacing w:after="0" w:line="276"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​39%</w:t>
            </w:r>
            <w:r>
              <w:rPr>
                <w:rFonts w:ascii="Arial" w:cs="Arial" w:eastAsia="Arial" w:hAnsi="Arial"/>
                <w:sz w:val="16"/>
                <w:szCs w:val="16"/>
                <w:color w:val="auto"/>
              </w:rPr>
              <w:t>​​​</w:t>
            </w:r>
          </w:p>
        </w:tc>
        <w:tc>
          <w:tcPr>
            <w:tcW w:w="680" w:type="dxa"/>
            <w:vAlign w:val="bottom"/>
            <w:gridSpan w:val="3"/>
          </w:tcPr>
          <w:p>
            <w:pPr>
              <w:ind w:left="100"/>
              <w:spacing w:after="0" w:line="276"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​38%</w:t>
            </w:r>
            <w:r>
              <w:rPr>
                <w:rFonts w:ascii="Arial" w:cs="Arial" w:eastAsia="Arial" w:hAnsi="Arial"/>
                <w:sz w:val="16"/>
                <w:szCs w:val="16"/>
                <w:color w:val="auto"/>
              </w:rPr>
              <w:t>​​​</w:t>
            </w:r>
          </w:p>
        </w:tc>
        <w:tc>
          <w:tcPr>
            <w:tcW w:w="700" w:type="dxa"/>
            <w:vAlign w:val="bottom"/>
            <w:gridSpan w:val="3"/>
          </w:tcPr>
          <w:p>
            <w:pPr>
              <w:ind w:left="100"/>
              <w:spacing w:after="0" w:line="276"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​29%</w:t>
            </w:r>
            <w:r>
              <w:rPr>
                <w:rFonts w:ascii="Arial" w:cs="Arial" w:eastAsia="Arial" w:hAnsi="Arial"/>
                <w:sz w:val="16"/>
                <w:szCs w:val="16"/>
                <w:color w:val="auto"/>
              </w:rPr>
              <w:t>​​​</w:t>
            </w:r>
          </w:p>
        </w:tc>
        <w:tc>
          <w:tcPr>
            <w:tcW w:w="680" w:type="dxa"/>
            <w:vAlign w:val="bottom"/>
            <w:gridSpan w:val="4"/>
          </w:tcPr>
          <w:p>
            <w:pPr>
              <w:ind w:left="100"/>
              <w:spacing w:after="0" w:line="276"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​36%</w:t>
            </w:r>
            <w:r>
              <w:rPr>
                <w:rFonts w:ascii="Arial" w:cs="Arial" w:eastAsia="Arial" w:hAnsi="Arial"/>
                <w:sz w:val="16"/>
                <w:szCs w:val="16"/>
                <w:color w:val="auto"/>
              </w:rPr>
              <w:t>​​​</w:t>
            </w:r>
          </w:p>
        </w:tc>
        <w:tc>
          <w:tcPr>
            <w:tcW w:w="500" w:type="dxa"/>
            <w:vAlign w:val="bottom"/>
            <w:gridSpan w:val="2"/>
          </w:tcPr>
          <w:p>
            <w:pPr>
              <w:jc w:val="right"/>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​41%</w:t>
            </w:r>
            <w:r>
              <w:rPr>
                <w:rFonts w:ascii="Arial" w:cs="Arial" w:eastAsia="Arial" w:hAnsi="Arial"/>
                <w:sz w:val="32"/>
                <w:szCs w:val="32"/>
                <w:color w:val="auto"/>
                <w:vertAlign w:val="subscript"/>
              </w:rPr>
              <w:t>​</w:t>
            </w:r>
          </w:p>
        </w:tc>
      </w:tr>
      <w:tr>
        <w:trPr>
          <w:trHeight w:val="20"/>
        </w:trPr>
        <w:tc>
          <w:tcPr>
            <w:tcW w:w="5620" w:type="dxa"/>
            <w:vAlign w:val="bottom"/>
            <w:shd w:val="clear" w:color="auto" w:fill="1F266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1F2668"/>
          </w:tcPr>
          <w:p>
            <w:pPr>
              <w:spacing w:after="0" w:line="20" w:lineRule="exact"/>
              <w:rPr>
                <w:sz w:val="1"/>
                <w:szCs w:val="1"/>
                <w:color w:val="auto"/>
              </w:rPr>
            </w:pPr>
          </w:p>
        </w:tc>
        <w:tc>
          <w:tcPr>
            <w:tcW w:w="44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1F2668"/>
          </w:tcPr>
          <w:p>
            <w:pPr>
              <w:spacing w:after="0" w:line="20" w:lineRule="exact"/>
              <w:rPr>
                <w:sz w:val="1"/>
                <w:szCs w:val="1"/>
                <w:color w:val="auto"/>
              </w:rPr>
            </w:pPr>
          </w:p>
        </w:tc>
        <w:tc>
          <w:tcPr>
            <w:tcW w:w="44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1F2668"/>
          </w:tcPr>
          <w:p>
            <w:pPr>
              <w:spacing w:after="0" w:line="20" w:lineRule="exact"/>
              <w:rPr>
                <w:sz w:val="1"/>
                <w:szCs w:val="1"/>
                <w:color w:val="auto"/>
              </w:rPr>
            </w:pPr>
          </w:p>
        </w:tc>
        <w:tc>
          <w:tcPr>
            <w:tcW w:w="440" w:type="dxa"/>
            <w:vAlign w:val="bottom"/>
            <w:shd w:val="clear" w:color="auto" w:fill="1F266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1F2668"/>
          </w:tcPr>
          <w:p>
            <w:pPr>
              <w:spacing w:after="0" w:line="20" w:lineRule="exact"/>
              <w:rPr>
                <w:sz w:val="1"/>
                <w:szCs w:val="1"/>
                <w:color w:val="auto"/>
              </w:rPr>
            </w:pPr>
          </w:p>
        </w:tc>
        <w:tc>
          <w:tcPr>
            <w:tcW w:w="44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1F2668"/>
          </w:tcPr>
          <w:p>
            <w:pPr>
              <w:spacing w:after="0" w:line="20" w:lineRule="exact"/>
              <w:rPr>
                <w:sz w:val="1"/>
                <w:szCs w:val="1"/>
                <w:color w:val="auto"/>
              </w:rPr>
            </w:pPr>
          </w:p>
        </w:tc>
        <w:tc>
          <w:tcPr>
            <w:tcW w:w="440" w:type="dxa"/>
            <w:vAlign w:val="bottom"/>
            <w:shd w:val="clear" w:color="auto" w:fill="1F2668"/>
          </w:tcPr>
          <w:p>
            <w:pPr>
              <w:spacing w:after="0" w:line="20" w:lineRule="exact"/>
              <w:rPr>
                <w:sz w:val="1"/>
                <w:szCs w:val="1"/>
                <w:color w:val="auto"/>
              </w:rPr>
            </w:pPr>
          </w:p>
        </w:tc>
        <w:tc>
          <w:tcPr>
            <w:tcW w:w="60" w:type="dxa"/>
            <w:vAlign w:val="bottom"/>
            <w:tcBorders>
              <w:left w:val="single" w:sz="8" w:color="1F2668"/>
            </w:tcBorders>
          </w:tcPr>
          <w:p>
            <w:pPr>
              <w:spacing w:after="0" w:line="20" w:lineRule="exact"/>
              <w:rPr>
                <w:sz w:val="1"/>
                <w:szCs w:val="1"/>
                <w:color w:val="auto"/>
              </w:rPr>
            </w:pPr>
          </w:p>
        </w:tc>
      </w:tr>
    </w:tbl>
    <w:p>
      <w:pPr>
        <w:spacing w:after="0" w:line="269" w:lineRule="exact"/>
        <w:rPr>
          <w:sz w:val="20"/>
          <w:szCs w:val="20"/>
          <w:color w:val="auto"/>
        </w:rPr>
      </w:pPr>
    </w:p>
    <w:p>
      <w:pPr>
        <w:ind w:left="820" w:right="280"/>
        <w:spacing w:after="0" w:line="295" w:lineRule="auto"/>
        <w:rPr>
          <w:sz w:val="20"/>
          <w:szCs w:val="20"/>
          <w:color w:val="auto"/>
        </w:rPr>
      </w:pPr>
      <w:r>
        <w:rPr>
          <w:rFonts w:ascii="Arial" w:cs="Arial" w:eastAsia="Arial" w:hAnsi="Arial"/>
          <w:sz w:val="16"/>
          <w:szCs w:val="16"/>
          <w:color w:val="auto"/>
        </w:rPr>
        <w:t>Informed by stockholder feedback received, and in line with its prior commitment, the Compensation Committee designed the structure of our CEO’s new employment agreement to incorporate elements that appropriately incentivize and reward the CEO based on Company performance against preset goals. The highlights of the CEO’s new agreement can be found in the Compensation Discussion and Analysis section beginning on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656590</wp:posOffset>
            </wp:positionV>
            <wp:extent cx="683196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6260" w:type="dxa"/>
            <w:vAlign w:val="bottom"/>
          </w:tcPr>
          <w:p>
            <w:pPr>
              <w:spacing w:after="0"/>
              <w:rPr>
                <w:sz w:val="20"/>
                <w:szCs w:val="20"/>
                <w:color w:val="auto"/>
              </w:rPr>
            </w:pPr>
            <w:r>
              <w:rPr>
                <w:rFonts w:ascii="Arial" w:cs="Arial" w:eastAsia="Arial" w:hAnsi="Arial"/>
                <w:sz w:val="14"/>
                <w:szCs w:val="14"/>
                <w:b w:val="1"/>
                <w:bCs w:val="1"/>
                <w:color w:val="auto"/>
              </w:rPr>
              <w:t>​</w:t>
            </w:r>
          </w:p>
        </w:tc>
        <w:tc>
          <w:tcPr>
            <w:tcW w:w="2320" w:type="dxa"/>
            <w:vAlign w:val="bottom"/>
          </w:tcPr>
          <w:p>
            <w:pPr>
              <w:ind w:left="1940"/>
              <w:spacing w:after="0"/>
              <w:rPr>
                <w:sz w:val="20"/>
                <w:szCs w:val="20"/>
                <w:color w:val="auto"/>
              </w:rPr>
            </w:pPr>
            <w:r>
              <w:rPr>
                <w:rFonts w:ascii="Arial" w:cs="Arial" w:eastAsia="Arial" w:hAnsi="Arial"/>
                <w:sz w:val="14"/>
                <w:szCs w:val="14"/>
                <w:b w:val="1"/>
                <w:bCs w:val="1"/>
                <w:color w:val="auto"/>
              </w:rPr>
              <w:t>​ ​</w:t>
            </w:r>
          </w:p>
        </w:tc>
        <w:tc>
          <w:tcPr>
            <w:tcW w:w="480" w:type="dxa"/>
            <w:vAlign w:val="bottom"/>
            <w:vMerge w:val="restart"/>
          </w:tcPr>
          <w:p>
            <w:pPr>
              <w:jc w:val="right"/>
              <w:spacing w:after="0"/>
              <w:rPr>
                <w:sz w:val="20"/>
                <w:szCs w:val="20"/>
                <w:color w:val="auto"/>
              </w:rPr>
            </w:pPr>
            <w:r>
              <w:rPr>
                <w:rFonts w:ascii="Arial" w:cs="Arial" w:eastAsia="Arial" w:hAnsi="Arial"/>
                <w:sz w:val="22"/>
                <w:szCs w:val="22"/>
                <w:b w:val="1"/>
                <w:bCs w:val="1"/>
                <w:color w:val="1F2668"/>
              </w:rPr>
              <w:t>33</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6260" w:type="dxa"/>
            <w:vAlign w:val="bottom"/>
          </w:tcPr>
          <w:p>
            <w:pPr>
              <w:spacing w:after="0"/>
              <w:rPr>
                <w:sz w:val="20"/>
                <w:szCs w:val="20"/>
                <w:color w:val="auto"/>
              </w:rPr>
            </w:pPr>
            <w:r>
              <w:rPr>
                <w:rFonts w:ascii="Arial" w:cs="Arial" w:eastAsia="Arial" w:hAnsi="Arial"/>
                <w:sz w:val="14"/>
                <w:szCs w:val="14"/>
                <w:b w:val="1"/>
                <w:bCs w:val="1"/>
                <w:color w:val="auto"/>
              </w:rPr>
              <w:t>OUR BOARD OF DIRECTORS AND CORPORATE GOVERNANCE</w:t>
            </w:r>
          </w:p>
        </w:tc>
        <w:tc>
          <w:tcPr>
            <w:tcW w:w="232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38"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Stockholder Amendments to Bylaws</w:t>
      </w:r>
    </w:p>
    <w:p>
      <w:pPr>
        <w:spacing w:after="0" w:line="133" w:lineRule="exact"/>
        <w:rPr>
          <w:sz w:val="20"/>
          <w:szCs w:val="20"/>
          <w:color w:val="auto"/>
        </w:rPr>
      </w:pPr>
    </w:p>
    <w:p>
      <w:pPr>
        <w:ind w:left="820" w:right="120"/>
        <w:spacing w:after="0" w:line="291" w:lineRule="auto"/>
        <w:rPr>
          <w:sz w:val="20"/>
          <w:szCs w:val="20"/>
          <w:color w:val="auto"/>
        </w:rPr>
      </w:pPr>
      <w:r>
        <w:rPr>
          <w:rFonts w:ascii="Arial" w:cs="Arial" w:eastAsia="Arial" w:hAnsi="Arial"/>
          <w:sz w:val="16"/>
          <w:szCs w:val="16"/>
          <w:color w:val="auto"/>
        </w:rPr>
        <w:t>Our bylaws provide our stockholders the right to amend our bylaws by the affirmative vote of a majority of all the votes entitled to be cast on the matter. As amended, our bylaws do not place any limitations on stockholder proposals to amend our bylaws beyond the advance notice provisions that apply to all stockholder proposals. Accordingly, all of our stockholders now have the right to propose any amendments to our bylaws that are permitted by applicable law and, if any such amendment is approved by the affirmative vote of a majority of the votes entitled to be cast on the matter, it will become effective.</w:t>
      </w:r>
    </w:p>
    <w:p>
      <w:pPr>
        <w:spacing w:after="0" w:line="269"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Declassified Board</w:t>
      </w:r>
    </w:p>
    <w:p>
      <w:pPr>
        <w:spacing w:after="0" w:line="13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Our Board is fully declassified, and our directors are elected for one-year terms as of our 2020 Annual Meeting.</w:t>
      </w:r>
    </w:p>
    <w:p>
      <w:pPr>
        <w:spacing w:after="0" w:line="337"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Proxy Access</w:t>
      </w:r>
    </w:p>
    <w:p>
      <w:pPr>
        <w:spacing w:after="0" w:line="133" w:lineRule="exact"/>
        <w:rPr>
          <w:sz w:val="20"/>
          <w:szCs w:val="20"/>
          <w:color w:val="auto"/>
        </w:rPr>
      </w:pPr>
    </w:p>
    <w:p>
      <w:pPr>
        <w:ind w:left="820" w:right="40"/>
        <w:spacing w:after="0" w:line="295" w:lineRule="auto"/>
        <w:rPr>
          <w:sz w:val="20"/>
          <w:szCs w:val="20"/>
          <w:color w:val="auto"/>
        </w:rPr>
      </w:pPr>
      <w:r>
        <w:rPr>
          <w:rFonts w:ascii="Arial" w:cs="Arial" w:eastAsia="Arial" w:hAnsi="Arial"/>
          <w:sz w:val="16"/>
          <w:szCs w:val="16"/>
          <w:color w:val="auto"/>
        </w:rPr>
        <w:t>We have adopted a proxy access bylaw provision, enabling our stockholders to include their own director nominees in our proxy materials along with candidates nominated by the Board, so long as stockholder-nominees meet certain requirements, as set forth in our bylaws. For more information on our proxy access bylaw, see the section entitled “Other Information—Other​ Matters— Stockholder Proposals and Nominations.”</w:t>
      </w:r>
    </w:p>
    <w:p>
      <w:pPr>
        <w:spacing w:after="0" w:line="264"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Majority Voting Standard and Director Resignation Policy</w:t>
      </w:r>
    </w:p>
    <w:p>
      <w:pPr>
        <w:spacing w:after="0" w:line="133" w:lineRule="exact"/>
        <w:rPr>
          <w:sz w:val="20"/>
          <w:szCs w:val="20"/>
          <w:color w:val="auto"/>
        </w:rPr>
      </w:pPr>
    </w:p>
    <w:p>
      <w:pPr>
        <w:ind w:left="820" w:right="80"/>
        <w:spacing w:after="0" w:line="286" w:lineRule="auto"/>
        <w:rPr>
          <w:sz w:val="20"/>
          <w:szCs w:val="20"/>
          <w:color w:val="auto"/>
        </w:rPr>
      </w:pPr>
      <w:r>
        <w:rPr>
          <w:rFonts w:ascii="Arial" w:cs="Arial" w:eastAsia="Arial" w:hAnsi="Arial"/>
          <w:sz w:val="16"/>
          <w:szCs w:val="16"/>
          <w:color w:val="auto"/>
        </w:rPr>
        <w:t>We have a majority voting standard for director elections. In an uncontested election (as is the case for this Annual Meeting), our bylaws provide that a majority of all the votes cast with respect to a nominee’s election is required for such nominee to be elected to serve on the Board. This means that the number of votes cast “for” a nominee must exceed the number of votes cast “against” such nominee, with abstentions and broker non-votes not counted as a vote cast either “for” or “against” a nominee. With respect to a contested election, a plurality of all of the votes cast is sufficient for the election of directors. For this purpose, a contested election is deemed to occur at any meeting of stockholders for which the Secretary determines that the number of nominees or proposed nominees exceeds the number of directors to be elected at such meeting as of the seventh day preceding the date the Company files its definitive proxy statement for such meeting with the SEC (regardless of whether or not thereafter revised or supplemented).</w:t>
      </w:r>
    </w:p>
    <w:p>
      <w:pPr>
        <w:spacing w:after="0" w:line="187" w:lineRule="exact"/>
        <w:rPr>
          <w:sz w:val="20"/>
          <w:szCs w:val="20"/>
          <w:color w:val="auto"/>
        </w:rPr>
      </w:pPr>
    </w:p>
    <w:p>
      <w:pPr>
        <w:ind w:left="820" w:right="80"/>
        <w:spacing w:after="0" w:line="287" w:lineRule="auto"/>
        <w:rPr>
          <w:sz w:val="20"/>
          <w:szCs w:val="20"/>
          <w:color w:val="auto"/>
        </w:rPr>
      </w:pPr>
      <w:r>
        <w:rPr>
          <w:rFonts w:ascii="Arial" w:cs="Arial" w:eastAsia="Arial" w:hAnsi="Arial"/>
          <w:sz w:val="16"/>
          <w:szCs w:val="16"/>
          <w:color w:val="auto"/>
        </w:rPr>
        <w:t>If a nominee who currently is serving as a director receives a greater number of votes “against” his or her election than votes “for” such election in an uncontested election, Maryland law provides that the director would continue to serve on the Board as a “holdover director.” However, under our Governance Principles, any nominee for election as a director in an uncontested election who receives a greater number of votes “against” his or her election than votes “for” such election must, within ten business days following the certification of the stockholder vote, tender his or her written resignation to the Chairman of the Board for consideration by the Nominating and Corporate Governance Committee. The Nominating and Corporate Governance Committee will consider the resignation and, within 60 days following the date of the stockholders’ meeting at which the election occurred, will make a recommendation to the Board concerning the acceptance or rejection of the resignation.</w:t>
      </w:r>
    </w:p>
    <w:p>
      <w:pPr>
        <w:spacing w:after="0" w:line="184" w:lineRule="exact"/>
        <w:rPr>
          <w:sz w:val="20"/>
          <w:szCs w:val="20"/>
          <w:color w:val="auto"/>
        </w:rPr>
      </w:pPr>
    </w:p>
    <w:p>
      <w:pPr>
        <w:ind w:left="820" w:right="160"/>
        <w:spacing w:after="0" w:line="289" w:lineRule="auto"/>
        <w:rPr>
          <w:sz w:val="20"/>
          <w:szCs w:val="20"/>
          <w:color w:val="auto"/>
        </w:rPr>
      </w:pPr>
      <w:r>
        <w:rPr>
          <w:rFonts w:ascii="Arial" w:cs="Arial" w:eastAsia="Arial" w:hAnsi="Arial"/>
          <w:sz w:val="16"/>
          <w:szCs w:val="16"/>
          <w:color w:val="auto"/>
        </w:rPr>
        <w:t>The Board will then take formal action on the recommendation no later than 90 days following the date of the stockholders’ meeting at which the election occurred. In considering the recommendation, the Board will consider the information, factors and alternatives considered by the Nominating and Corporate Governance Committee and such additional factors, information and alternatives as the Board deems relevant. We will publicly disclose, in a Form 8-K filed with the SEC, the Board’s decision within four business days after the decision is made. The Board also will provide, if applicable, the Board’s reason or reasons for rejecting the tendered resignation.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1501140</wp:posOffset>
            </wp:positionV>
            <wp:extent cx="683196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p>
      <w:pPr>
        <w:ind w:left="820"/>
        <w:spacing w:after="0"/>
        <w:tabs>
          <w:tab w:leader="none" w:pos="1440" w:val="left"/>
          <w:tab w:leader="none" w:pos="9860" w:val="left"/>
        </w:tabs>
        <w:rPr>
          <w:sz w:val="20"/>
          <w:szCs w:val="20"/>
          <w:color w:val="auto"/>
        </w:rPr>
      </w:pPr>
      <w:r>
        <w:rPr>
          <w:rFonts w:ascii="Arial" w:cs="Arial" w:eastAsia="Arial" w:hAnsi="Arial"/>
          <w:sz w:val="22"/>
          <w:szCs w:val="22"/>
          <w:b w:val="1"/>
          <w:bCs w:val="1"/>
          <w:color w:val="1F2668"/>
        </w:rPr>
        <w:t>​34</w:t>
      </w:r>
      <w:r>
        <w:rPr>
          <w:sz w:val="20"/>
          <w:szCs w:val="20"/>
          <w:color w:val="auto"/>
        </w:rPr>
        <w:tab/>
      </w:r>
      <w:r>
        <w:rPr>
          <w:rFonts w:ascii="Arial" w:cs="Arial" w:eastAsia="Arial" w:hAnsi="Arial"/>
          <w:sz w:val="22"/>
          <w:szCs w:val="22"/>
          <w:b w:val="1"/>
          <w:bCs w:val="1"/>
          <w:color w:val="1F2668"/>
        </w:rPr>
        <w:t xml:space="preserve">​ ​ </w:t>
      </w:r>
      <w:r>
        <w:rPr>
          <w:rFonts w:ascii="Arial" w:cs="Arial" w:eastAsia="Arial" w:hAnsi="Arial"/>
          <w:sz w:val="14"/>
          <w:szCs w:val="14"/>
          <w:b w:val="1"/>
          <w:bCs w:val="1"/>
          <w:color w:val="1F2668"/>
        </w:rPr>
        <w:t>SL GREEN REALTY CORP. 2025 PROXY STATEMENT</w:t>
      </w:r>
      <w:r>
        <w:rPr>
          <w:sz w:val="20"/>
          <w:szCs w:val="20"/>
          <w:color w:val="auto"/>
        </w:rPr>
        <w:tab/>
      </w:r>
      <w:r>
        <w:rPr>
          <w:rFonts w:ascii="Arial" w:cs="Arial" w:eastAsia="Arial" w:hAnsi="Arial"/>
          <w:sz w:val="22"/>
          <w:szCs w:val="22"/>
          <w:b w:val="1"/>
          <w:bCs w:val="1"/>
          <w:color w:val="1F2668"/>
        </w:rPr>
        <w:t>​</w:t>
      </w:r>
    </w:p>
    <w:p>
      <w:pPr>
        <w:spacing w:after="0" w:line="200" w:lineRule="exact"/>
        <w:rPr>
          <w:sz w:val="20"/>
          <w:szCs w:val="20"/>
          <w:color w:val="auto"/>
        </w:rPr>
      </w:pPr>
    </w:p>
    <w:p>
      <w:pPr>
        <w:spacing w:after="0" w:line="285"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Environmental Social &amp; Governance (ESG)</w:t>
      </w:r>
    </w:p>
    <w:p>
      <w:pPr>
        <w:spacing w:after="0" w:line="133" w:lineRule="exact"/>
        <w:rPr>
          <w:sz w:val="20"/>
          <w:szCs w:val="20"/>
          <w:color w:val="auto"/>
        </w:rPr>
      </w:pPr>
    </w:p>
    <w:p>
      <w:pPr>
        <w:ind w:left="820" w:right="120"/>
        <w:spacing w:after="0" w:line="320" w:lineRule="auto"/>
        <w:rPr>
          <w:sz w:val="20"/>
          <w:szCs w:val="20"/>
          <w:color w:val="auto"/>
        </w:rPr>
      </w:pPr>
      <w:r>
        <w:rPr>
          <w:rFonts w:ascii="Arial" w:cs="Arial" w:eastAsia="Arial" w:hAnsi="Arial"/>
          <w:sz w:val="15"/>
          <w:szCs w:val="15"/>
          <w:color w:val="auto"/>
        </w:rPr>
        <w:t>Our ultimate sustainability goal is to create long-term social, cultural, financial, and environmental benefits for our stakeholders— our investors, our partners, our tenants, our employees, and our community members. The success of our sustainability program is driven by guidance from our Board of Directors and the leadership of our executive management team. We depend on our best-in-class team to fully integrate and apply the organization’s ESG principles into day-to-day operations.</w:t>
      </w:r>
    </w:p>
    <w:p>
      <w:pPr>
        <w:spacing w:after="0" w:line="70"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83AD40"/>
        </w:rPr>
        <w:t>Delivering Value for All Our Stakeholders</w:t>
      </w:r>
    </w:p>
    <w:p>
      <w:pPr>
        <w:spacing w:after="0" w:line="152" w:lineRule="exact"/>
        <w:rPr>
          <w:sz w:val="20"/>
          <w:szCs w:val="20"/>
          <w:color w:val="auto"/>
        </w:rPr>
      </w:pPr>
    </w:p>
    <w:tbl>
      <w:tblPr>
        <w:tblLayout w:type="fixed"/>
        <w:tblInd w:w="820" w:type="dxa"/>
        <w:tblCellMar>
          <w:top w:w="0" w:type="dxa"/>
          <w:left w:w="0" w:type="dxa"/>
          <w:bottom w:w="0" w:type="dxa"/>
          <w:right w:w="0" w:type="dxa"/>
        </w:tblCellMar>
      </w:tblPr>
      <w:tr>
        <w:trPr>
          <w:trHeight w:val="236"/>
        </w:trPr>
        <w:tc>
          <w:tcPr>
            <w:tcW w:w="1400" w:type="dxa"/>
            <w:vAlign w:val="bottom"/>
            <w:tcBorders>
              <w:top w:val="single" w:sz="8" w:color="83AD40"/>
            </w:tcBorders>
          </w:tcPr>
          <w:p>
            <w:pPr>
              <w:spacing w:after="0"/>
              <w:rPr>
                <w:sz w:val="20"/>
                <w:szCs w:val="20"/>
                <w:color w:val="auto"/>
              </w:rPr>
            </w:pPr>
            <w:r>
              <w:rPr>
                <w:rFonts w:ascii="Arial" w:cs="Arial" w:eastAsia="Arial" w:hAnsi="Arial"/>
                <w:sz w:val="16"/>
                <w:szCs w:val="16"/>
                <w:b w:val="1"/>
                <w:bCs w:val="1"/>
                <w:color w:val="1F2668"/>
              </w:rPr>
              <w:t>​</w:t>
            </w:r>
          </w:p>
        </w:tc>
        <w:tc>
          <w:tcPr>
            <w:tcW w:w="520" w:type="dxa"/>
            <w:vAlign w:val="bottom"/>
            <w:tcBorders>
              <w:top w:val="single" w:sz="8" w:color="83AD40"/>
            </w:tcBorders>
          </w:tcPr>
          <w:p>
            <w:pPr>
              <w:spacing w:after="0"/>
              <w:rPr>
                <w:sz w:val="20"/>
                <w:szCs w:val="20"/>
                <w:color w:val="auto"/>
              </w:rPr>
            </w:pPr>
          </w:p>
        </w:tc>
        <w:tc>
          <w:tcPr>
            <w:tcW w:w="260" w:type="dxa"/>
            <w:vAlign w:val="bottom"/>
            <w:tcBorders>
              <w:top w:val="single" w:sz="8" w:color="83AD40"/>
              <w:right w:val="single" w:sz="8" w:color="83AD40"/>
            </w:tcBorders>
          </w:tcPr>
          <w:p>
            <w:pPr>
              <w:ind w:left="60"/>
              <w:spacing w:after="0"/>
              <w:rPr>
                <w:sz w:val="20"/>
                <w:szCs w:val="20"/>
                <w:color w:val="auto"/>
              </w:rPr>
            </w:pPr>
            <w:r>
              <w:rPr>
                <w:rFonts w:ascii="Arial" w:cs="Arial" w:eastAsia="Arial" w:hAnsi="Arial"/>
                <w:sz w:val="16"/>
                <w:szCs w:val="16"/>
                <w:b w:val="1"/>
                <w:bCs w:val="1"/>
                <w:color w:val="1F2668"/>
              </w:rPr>
              <w:t>​</w:t>
            </w:r>
          </w:p>
        </w:tc>
        <w:tc>
          <w:tcPr>
            <w:tcW w:w="2100" w:type="dxa"/>
            <w:vAlign w:val="bottom"/>
            <w:tcBorders>
              <w:top w:val="single" w:sz="8" w:color="83AD40"/>
            </w:tcBorders>
          </w:tcPr>
          <w:p>
            <w:pPr>
              <w:spacing w:after="0"/>
              <w:rPr>
                <w:sz w:val="20"/>
                <w:szCs w:val="20"/>
                <w:color w:val="auto"/>
              </w:rPr>
            </w:pPr>
            <w:r>
              <w:rPr>
                <w:rFonts w:ascii="Arial" w:cs="Arial" w:eastAsia="Arial" w:hAnsi="Arial"/>
                <w:sz w:val="16"/>
                <w:szCs w:val="16"/>
                <w:b w:val="1"/>
                <w:bCs w:val="1"/>
                <w:color w:val="1F2668"/>
              </w:rPr>
              <w:t>​</w:t>
            </w:r>
          </w:p>
        </w:tc>
        <w:tc>
          <w:tcPr>
            <w:tcW w:w="220" w:type="dxa"/>
            <w:vAlign w:val="bottom"/>
            <w:tcBorders>
              <w:top w:val="single" w:sz="8" w:color="83AD40"/>
              <w:right w:val="single" w:sz="8" w:color="83AD40"/>
            </w:tcBorders>
          </w:tcPr>
          <w:p>
            <w:pPr>
              <w:ind w:left="20"/>
              <w:spacing w:after="0"/>
              <w:rPr>
                <w:sz w:val="20"/>
                <w:szCs w:val="20"/>
                <w:color w:val="auto"/>
              </w:rPr>
            </w:pPr>
            <w:r>
              <w:rPr>
                <w:rFonts w:ascii="Arial" w:cs="Arial" w:eastAsia="Arial" w:hAnsi="Arial"/>
                <w:sz w:val="16"/>
                <w:szCs w:val="16"/>
                <w:b w:val="1"/>
                <w:bCs w:val="1"/>
                <w:color w:val="1F2668"/>
              </w:rPr>
              <w:t>​</w:t>
            </w:r>
          </w:p>
        </w:tc>
        <w:tc>
          <w:tcPr>
            <w:tcW w:w="100" w:type="dxa"/>
            <w:vAlign w:val="bottom"/>
            <w:tcBorders>
              <w:top w:val="single" w:sz="8" w:color="83AD40"/>
            </w:tcBorders>
          </w:tcPr>
          <w:p>
            <w:pPr>
              <w:spacing w:after="0"/>
              <w:rPr>
                <w:sz w:val="20"/>
                <w:szCs w:val="20"/>
                <w:color w:val="auto"/>
              </w:rPr>
            </w:pPr>
            <w:r>
              <w:rPr>
                <w:rFonts w:ascii="Arial" w:cs="Arial" w:eastAsia="Arial" w:hAnsi="Arial"/>
                <w:sz w:val="16"/>
                <w:szCs w:val="16"/>
                <w:b w:val="1"/>
                <w:bCs w:val="1"/>
                <w:color w:val="1F2668"/>
              </w:rPr>
              <w:t>​</w:t>
            </w:r>
          </w:p>
        </w:tc>
        <w:tc>
          <w:tcPr>
            <w:tcW w:w="2220" w:type="dxa"/>
            <w:vAlign w:val="bottom"/>
            <w:tcBorders>
              <w:top w:val="single" w:sz="8" w:color="83AD40"/>
              <w:right w:val="single" w:sz="8" w:color="83AD40"/>
            </w:tcBorders>
          </w:tcPr>
          <w:p>
            <w:pPr>
              <w:ind w:left="2020"/>
              <w:spacing w:after="0"/>
              <w:rPr>
                <w:sz w:val="20"/>
                <w:szCs w:val="20"/>
                <w:color w:val="auto"/>
              </w:rPr>
            </w:pPr>
            <w:r>
              <w:rPr>
                <w:rFonts w:ascii="Arial" w:cs="Arial" w:eastAsia="Arial" w:hAnsi="Arial"/>
                <w:sz w:val="16"/>
                <w:szCs w:val="16"/>
                <w:b w:val="1"/>
                <w:bCs w:val="1"/>
                <w:color w:val="1F2668"/>
              </w:rPr>
              <w:t>​</w:t>
            </w:r>
          </w:p>
        </w:tc>
        <w:tc>
          <w:tcPr>
            <w:tcW w:w="100" w:type="dxa"/>
            <w:vAlign w:val="bottom"/>
            <w:tcBorders>
              <w:top w:val="single" w:sz="8" w:color="83AD40"/>
            </w:tcBorders>
          </w:tcPr>
          <w:p>
            <w:pPr>
              <w:spacing w:after="0"/>
              <w:rPr>
                <w:sz w:val="20"/>
                <w:szCs w:val="20"/>
                <w:color w:val="auto"/>
              </w:rPr>
            </w:pPr>
            <w:r>
              <w:rPr>
                <w:rFonts w:ascii="Arial" w:cs="Arial" w:eastAsia="Arial" w:hAnsi="Arial"/>
                <w:sz w:val="16"/>
                <w:szCs w:val="16"/>
                <w:b w:val="1"/>
                <w:bCs w:val="1"/>
                <w:color w:val="1F2668"/>
              </w:rPr>
              <w:t>​</w:t>
            </w:r>
          </w:p>
        </w:tc>
        <w:tc>
          <w:tcPr>
            <w:tcW w:w="2140" w:type="dxa"/>
            <w:vAlign w:val="bottom"/>
            <w:tcBorders>
              <w:top w:val="single" w:sz="8" w:color="83AD40"/>
            </w:tcBorders>
          </w:tcPr>
          <w:p>
            <w:pPr>
              <w:ind w:left="2020"/>
              <w:spacing w:after="0"/>
              <w:rPr>
                <w:sz w:val="20"/>
                <w:szCs w:val="20"/>
                <w:color w:val="auto"/>
              </w:rPr>
            </w:pPr>
            <w:r>
              <w:rPr>
                <w:rFonts w:ascii="Arial" w:cs="Arial" w:eastAsia="Arial" w:hAnsi="Arial"/>
                <w:sz w:val="16"/>
                <w:szCs w:val="16"/>
                <w:b w:val="1"/>
                <w:bCs w:val="1"/>
                <w:color w:val="1F2668"/>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400" w:type="dxa"/>
            <w:vAlign w:val="bottom"/>
          </w:tcPr>
          <w:p>
            <w:pPr>
              <w:ind w:left="40"/>
              <w:spacing w:after="0" w:line="169" w:lineRule="exact"/>
              <w:rPr>
                <w:sz w:val="20"/>
                <w:szCs w:val="20"/>
                <w:color w:val="auto"/>
              </w:rPr>
            </w:pPr>
            <w:r>
              <w:rPr>
                <w:rFonts w:ascii="Arial" w:cs="Arial" w:eastAsia="Arial" w:hAnsi="Arial"/>
                <w:sz w:val="16"/>
                <w:szCs w:val="16"/>
                <w:b w:val="1"/>
                <w:bCs w:val="1"/>
                <w:color w:val="1F2668"/>
              </w:rPr>
              <w:t>Employees</w:t>
            </w:r>
          </w:p>
        </w:tc>
        <w:tc>
          <w:tcPr>
            <w:tcW w:w="520" w:type="dxa"/>
            <w:vAlign w:val="bottom"/>
          </w:tcPr>
          <w:p>
            <w:pPr>
              <w:spacing w:after="0"/>
              <w:rPr>
                <w:sz w:val="14"/>
                <w:szCs w:val="14"/>
                <w:color w:val="auto"/>
              </w:rPr>
            </w:pPr>
          </w:p>
        </w:tc>
        <w:tc>
          <w:tcPr>
            <w:tcW w:w="260" w:type="dxa"/>
            <w:vAlign w:val="bottom"/>
            <w:tcBorders>
              <w:right w:val="single" w:sz="8" w:color="83AD40"/>
            </w:tcBorders>
            <w:vMerge w:val="restart"/>
          </w:tcPr>
          <w:p>
            <w:pPr>
              <w:ind w:left="60"/>
              <w:spacing w:after="0"/>
              <w:rPr>
                <w:sz w:val="20"/>
                <w:szCs w:val="20"/>
                <w:color w:val="auto"/>
              </w:rPr>
            </w:pPr>
            <w:r>
              <w:rPr>
                <w:rFonts w:ascii="Arial" w:cs="Arial" w:eastAsia="Arial" w:hAnsi="Arial"/>
                <w:sz w:val="16"/>
                <w:szCs w:val="16"/>
                <w:color w:val="auto"/>
              </w:rPr>
              <w:t>​</w:t>
            </w:r>
          </w:p>
        </w:tc>
        <w:tc>
          <w:tcPr>
            <w:tcW w:w="2100" w:type="dxa"/>
            <w:vAlign w:val="bottom"/>
          </w:tcPr>
          <w:p>
            <w:pPr>
              <w:ind w:left="160"/>
              <w:spacing w:after="0" w:line="169" w:lineRule="exact"/>
              <w:rPr>
                <w:sz w:val="20"/>
                <w:szCs w:val="20"/>
                <w:color w:val="auto"/>
              </w:rPr>
            </w:pPr>
            <w:r>
              <w:rPr>
                <w:rFonts w:ascii="Arial" w:cs="Arial" w:eastAsia="Arial" w:hAnsi="Arial"/>
                <w:sz w:val="16"/>
                <w:szCs w:val="16"/>
                <w:b w:val="1"/>
                <w:bCs w:val="1"/>
                <w:color w:val="1F2668"/>
              </w:rPr>
              <w:t>Tenants</w:t>
            </w:r>
          </w:p>
        </w:tc>
        <w:tc>
          <w:tcPr>
            <w:tcW w:w="220" w:type="dxa"/>
            <w:vAlign w:val="bottom"/>
            <w:tcBorders>
              <w:right w:val="single" w:sz="8" w:color="83AD40"/>
            </w:tcBorders>
            <w:vMerge w:val="restart"/>
          </w:tcPr>
          <w:p>
            <w:pPr>
              <w:ind w:left="2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2220" w:type="dxa"/>
            <w:vAlign w:val="bottom"/>
            <w:tcBorders>
              <w:right w:val="single" w:sz="8" w:color="83AD40"/>
            </w:tcBorders>
          </w:tcPr>
          <w:p>
            <w:pPr>
              <w:ind w:left="60"/>
              <w:spacing w:after="0" w:line="169" w:lineRule="exact"/>
              <w:rPr>
                <w:sz w:val="20"/>
                <w:szCs w:val="20"/>
                <w:color w:val="auto"/>
              </w:rPr>
            </w:pPr>
            <w:r>
              <w:rPr>
                <w:rFonts w:ascii="Arial" w:cs="Arial" w:eastAsia="Arial" w:hAnsi="Arial"/>
                <w:sz w:val="16"/>
                <w:szCs w:val="16"/>
                <w:b w:val="1"/>
                <w:bCs w:val="1"/>
                <w:color w:val="1F2668"/>
              </w:rPr>
              <w:t>Community</w:t>
            </w: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2180" w:type="dxa"/>
            <w:vAlign w:val="bottom"/>
            <w:gridSpan w:val="2"/>
          </w:tcPr>
          <w:p>
            <w:pPr>
              <w:ind w:left="60"/>
              <w:spacing w:after="0" w:line="169" w:lineRule="exact"/>
              <w:rPr>
                <w:sz w:val="20"/>
                <w:szCs w:val="20"/>
                <w:color w:val="auto"/>
              </w:rPr>
            </w:pPr>
            <w:r>
              <w:rPr>
                <w:rFonts w:ascii="Arial" w:cs="Arial" w:eastAsia="Arial" w:hAnsi="Arial"/>
                <w:sz w:val="16"/>
                <w:szCs w:val="16"/>
                <w:b w:val="1"/>
                <w:bCs w:val="1"/>
                <w:color w:val="1F2668"/>
              </w:rPr>
              <w:t>Stockholders</w:t>
            </w:r>
          </w:p>
        </w:tc>
        <w:tc>
          <w:tcPr>
            <w:tcW w:w="0" w:type="dxa"/>
            <w:vAlign w:val="bottom"/>
          </w:tcPr>
          <w:p>
            <w:pPr>
              <w:spacing w:after="0"/>
              <w:rPr>
                <w:sz w:val="1"/>
                <w:szCs w:val="1"/>
                <w:color w:val="auto"/>
              </w:rPr>
            </w:pPr>
          </w:p>
        </w:tc>
      </w:tr>
      <w:tr>
        <w:trPr>
          <w:trHeight w:val="162"/>
        </w:trPr>
        <w:tc>
          <w:tcPr>
            <w:tcW w:w="1400" w:type="dxa"/>
            <w:vAlign w:val="bottom"/>
          </w:tcPr>
          <w:p>
            <w:pPr>
              <w:spacing w:after="0" w:line="162" w:lineRule="exact"/>
              <w:rPr>
                <w:sz w:val="20"/>
                <w:szCs w:val="20"/>
                <w:color w:val="auto"/>
              </w:rPr>
            </w:pPr>
            <w:r>
              <w:rPr>
                <w:rFonts w:ascii="Arial" w:cs="Arial" w:eastAsia="Arial" w:hAnsi="Arial"/>
                <w:sz w:val="16"/>
                <w:szCs w:val="16"/>
                <w:color w:val="auto"/>
              </w:rPr>
              <w:t>​</w:t>
            </w:r>
          </w:p>
        </w:tc>
        <w:tc>
          <w:tcPr>
            <w:tcW w:w="520" w:type="dxa"/>
            <w:vAlign w:val="bottom"/>
          </w:tcPr>
          <w:p>
            <w:pPr>
              <w:spacing w:after="0"/>
              <w:rPr>
                <w:sz w:val="14"/>
                <w:szCs w:val="14"/>
                <w:color w:val="auto"/>
              </w:rPr>
            </w:pPr>
          </w:p>
        </w:tc>
        <w:tc>
          <w:tcPr>
            <w:tcW w:w="260" w:type="dxa"/>
            <w:vAlign w:val="bottom"/>
            <w:tcBorders>
              <w:right w:val="single" w:sz="8" w:color="83AD40"/>
            </w:tcBorders>
            <w:vMerge w:val="continue"/>
          </w:tcPr>
          <w:p>
            <w:pPr>
              <w:spacing w:after="0"/>
              <w:rPr>
                <w:sz w:val="14"/>
                <w:szCs w:val="14"/>
                <w:color w:val="auto"/>
              </w:rPr>
            </w:pPr>
          </w:p>
        </w:tc>
        <w:tc>
          <w:tcPr>
            <w:tcW w:w="2100" w:type="dxa"/>
            <w:vAlign w:val="bottom"/>
          </w:tcPr>
          <w:p>
            <w:pPr>
              <w:spacing w:after="0" w:line="162" w:lineRule="exact"/>
              <w:rPr>
                <w:sz w:val="20"/>
                <w:szCs w:val="20"/>
                <w:color w:val="auto"/>
              </w:rPr>
            </w:pPr>
            <w:r>
              <w:rPr>
                <w:rFonts w:ascii="Arial" w:cs="Arial" w:eastAsia="Arial" w:hAnsi="Arial"/>
                <w:sz w:val="16"/>
                <w:szCs w:val="16"/>
                <w:color w:val="auto"/>
              </w:rPr>
              <w:t>​</w:t>
            </w:r>
          </w:p>
        </w:tc>
        <w:tc>
          <w:tcPr>
            <w:tcW w:w="220" w:type="dxa"/>
            <w:vAlign w:val="bottom"/>
            <w:tcBorders>
              <w:right w:val="single" w:sz="8" w:color="83AD40"/>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220" w:type="dxa"/>
            <w:vAlign w:val="bottom"/>
            <w:tcBorders>
              <w:right w:val="single" w:sz="8" w:color="83AD40"/>
            </w:tcBorders>
          </w:tcPr>
          <w:p>
            <w:pPr>
              <w:ind w:left="2020"/>
              <w:spacing w:after="0" w:line="162" w:lineRule="exact"/>
              <w:rPr>
                <w:sz w:val="20"/>
                <w:szCs w:val="20"/>
                <w:color w:val="auto"/>
              </w:rPr>
            </w:pPr>
            <w:r>
              <w:rPr>
                <w:rFonts w:ascii="Arial" w:cs="Arial" w:eastAsia="Arial" w:hAnsi="Arial"/>
                <w:sz w:val="16"/>
                <w:szCs w:val="16"/>
                <w:color w:val="auto"/>
              </w:rPr>
              <w:t>​</w:t>
            </w:r>
          </w:p>
        </w:tc>
        <w:tc>
          <w:tcPr>
            <w:tcW w:w="100" w:type="dxa"/>
            <w:vAlign w:val="bottom"/>
            <w:vMerge w:val="continue"/>
          </w:tcPr>
          <w:p>
            <w:pPr>
              <w:spacing w:after="0"/>
              <w:rPr>
                <w:sz w:val="14"/>
                <w:szCs w:val="14"/>
                <w:color w:val="auto"/>
              </w:rPr>
            </w:pPr>
          </w:p>
        </w:tc>
        <w:tc>
          <w:tcPr>
            <w:tcW w:w="2180" w:type="dxa"/>
            <w:vAlign w:val="bottom"/>
            <w:gridSpan w:val="2"/>
          </w:tcPr>
          <w:p>
            <w:pPr>
              <w:ind w:left="202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1"/>
        </w:trPr>
        <w:tc>
          <w:tcPr>
            <w:tcW w:w="1920" w:type="dxa"/>
            <w:vAlign w:val="bottom"/>
            <w:gridSpan w:val="2"/>
          </w:tcPr>
          <w:p>
            <w:pPr>
              <w:ind w:left="40"/>
              <w:spacing w:after="0" w:line="161" w:lineRule="exact"/>
              <w:rPr>
                <w:sz w:val="20"/>
                <w:szCs w:val="20"/>
                <w:color w:val="auto"/>
              </w:rPr>
            </w:pPr>
            <w:r>
              <w:rPr>
                <w:rFonts w:ascii="Arial" w:cs="Arial" w:eastAsia="Arial" w:hAnsi="Arial"/>
                <w:sz w:val="16"/>
                <w:szCs w:val="16"/>
                <w:color w:val="auto"/>
              </w:rPr>
              <w:t>We feel that an equitable</w:t>
            </w:r>
          </w:p>
        </w:tc>
        <w:tc>
          <w:tcPr>
            <w:tcW w:w="260" w:type="dxa"/>
            <w:vAlign w:val="bottom"/>
            <w:tcBorders>
              <w:right w:val="single" w:sz="8" w:color="83AD40"/>
            </w:tcBorders>
          </w:tcPr>
          <w:p>
            <w:pPr>
              <w:spacing w:after="0"/>
              <w:rPr>
                <w:sz w:val="14"/>
                <w:szCs w:val="14"/>
                <w:color w:val="auto"/>
              </w:rPr>
            </w:pPr>
          </w:p>
        </w:tc>
        <w:tc>
          <w:tcPr>
            <w:tcW w:w="2100" w:type="dxa"/>
            <w:vAlign w:val="bottom"/>
          </w:tcPr>
          <w:p>
            <w:pPr>
              <w:ind w:left="160"/>
              <w:spacing w:after="0" w:line="161" w:lineRule="exact"/>
              <w:rPr>
                <w:sz w:val="20"/>
                <w:szCs w:val="20"/>
                <w:color w:val="auto"/>
              </w:rPr>
            </w:pPr>
            <w:r>
              <w:rPr>
                <w:rFonts w:ascii="Arial" w:cs="Arial" w:eastAsia="Arial" w:hAnsi="Arial"/>
                <w:sz w:val="16"/>
                <w:szCs w:val="16"/>
                <w:color w:val="auto"/>
              </w:rPr>
              <w:t>Our long-standing</w:t>
            </w:r>
          </w:p>
        </w:tc>
        <w:tc>
          <w:tcPr>
            <w:tcW w:w="220" w:type="dxa"/>
            <w:vAlign w:val="bottom"/>
            <w:tcBorders>
              <w:right w:val="single" w:sz="8" w:color="83AD40"/>
            </w:tcBorders>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Borders>
              <w:right w:val="single" w:sz="8" w:color="83AD40"/>
            </w:tcBorders>
          </w:tcPr>
          <w:p>
            <w:pPr>
              <w:ind w:left="60"/>
              <w:spacing w:after="0" w:line="161" w:lineRule="exact"/>
              <w:rPr>
                <w:sz w:val="20"/>
                <w:szCs w:val="20"/>
                <w:color w:val="auto"/>
              </w:rPr>
            </w:pPr>
            <w:r>
              <w:rPr>
                <w:rFonts w:ascii="Arial" w:cs="Arial" w:eastAsia="Arial" w:hAnsi="Arial"/>
                <w:sz w:val="16"/>
                <w:szCs w:val="16"/>
                <w:color w:val="auto"/>
              </w:rPr>
              <w:t>SL Green’s success is</w:t>
            </w:r>
          </w:p>
        </w:tc>
        <w:tc>
          <w:tcPr>
            <w:tcW w:w="100" w:type="dxa"/>
            <w:vAlign w:val="bottom"/>
          </w:tcPr>
          <w:p>
            <w:pPr>
              <w:spacing w:after="0"/>
              <w:rPr>
                <w:sz w:val="14"/>
                <w:szCs w:val="14"/>
                <w:color w:val="auto"/>
              </w:rPr>
            </w:pPr>
          </w:p>
        </w:tc>
        <w:tc>
          <w:tcPr>
            <w:tcW w:w="2180" w:type="dxa"/>
            <w:vAlign w:val="bottom"/>
            <w:gridSpan w:val="2"/>
          </w:tcPr>
          <w:p>
            <w:pPr>
              <w:ind w:left="60"/>
              <w:spacing w:after="0" w:line="161" w:lineRule="exact"/>
              <w:rPr>
                <w:sz w:val="20"/>
                <w:szCs w:val="20"/>
                <w:color w:val="auto"/>
              </w:rPr>
            </w:pPr>
            <w:r>
              <w:rPr>
                <w:rFonts w:ascii="Arial" w:cs="Arial" w:eastAsia="Arial" w:hAnsi="Arial"/>
                <w:sz w:val="16"/>
                <w:szCs w:val="16"/>
                <w:color w:val="auto"/>
              </w:rPr>
              <w:t>Our ongoing efforts help</w:t>
            </w:r>
          </w:p>
        </w:tc>
        <w:tc>
          <w:tcPr>
            <w:tcW w:w="0" w:type="dxa"/>
            <w:vAlign w:val="bottom"/>
          </w:tcPr>
          <w:p>
            <w:pPr>
              <w:spacing w:after="0"/>
              <w:rPr>
                <w:sz w:val="1"/>
                <w:szCs w:val="1"/>
                <w:color w:val="auto"/>
              </w:rPr>
            </w:pPr>
          </w:p>
        </w:tc>
      </w:tr>
      <w:tr>
        <w:trPr>
          <w:trHeight w:val="189"/>
        </w:trPr>
        <w:tc>
          <w:tcPr>
            <w:tcW w:w="1920" w:type="dxa"/>
            <w:vAlign w:val="bottom"/>
            <w:gridSpan w:val="2"/>
          </w:tcPr>
          <w:p>
            <w:pPr>
              <w:ind w:left="40"/>
              <w:spacing w:after="0"/>
              <w:rPr>
                <w:sz w:val="20"/>
                <w:szCs w:val="20"/>
                <w:color w:val="auto"/>
              </w:rPr>
            </w:pPr>
            <w:r>
              <w:rPr>
                <w:rFonts w:ascii="Arial" w:cs="Arial" w:eastAsia="Arial" w:hAnsi="Arial"/>
                <w:sz w:val="16"/>
                <w:szCs w:val="16"/>
                <w:color w:val="auto"/>
              </w:rPr>
              <w:t>and inclusive workplace is</w:t>
            </w:r>
          </w:p>
        </w:tc>
        <w:tc>
          <w:tcPr>
            <w:tcW w:w="260" w:type="dxa"/>
            <w:vAlign w:val="bottom"/>
            <w:tcBorders>
              <w:right w:val="single" w:sz="8" w:color="83AD40"/>
            </w:tcBorders>
          </w:tcPr>
          <w:p>
            <w:pPr>
              <w:spacing w:after="0"/>
              <w:rPr>
                <w:sz w:val="16"/>
                <w:szCs w:val="16"/>
                <w:color w:val="auto"/>
              </w:rPr>
            </w:pPr>
          </w:p>
        </w:tc>
        <w:tc>
          <w:tcPr>
            <w:tcW w:w="2100" w:type="dxa"/>
            <w:vAlign w:val="bottom"/>
          </w:tcPr>
          <w:p>
            <w:pPr>
              <w:ind w:left="160"/>
              <w:spacing w:after="0"/>
              <w:rPr>
                <w:sz w:val="20"/>
                <w:szCs w:val="20"/>
                <w:color w:val="auto"/>
              </w:rPr>
            </w:pPr>
            <w:r>
              <w:rPr>
                <w:rFonts w:ascii="Arial" w:cs="Arial" w:eastAsia="Arial" w:hAnsi="Arial"/>
                <w:sz w:val="16"/>
                <w:szCs w:val="16"/>
                <w:color w:val="auto"/>
                <w:w w:val="98"/>
              </w:rPr>
              <w:t>relationships and continued</w:t>
            </w:r>
          </w:p>
        </w:tc>
        <w:tc>
          <w:tcPr>
            <w:tcW w:w="220" w:type="dxa"/>
            <w:vAlign w:val="bottom"/>
            <w:tcBorders>
              <w:right w:val="single" w:sz="8" w:color="83AD40"/>
            </w:tcBorders>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Borders>
              <w:right w:val="single" w:sz="8" w:color="83AD40"/>
            </w:tcBorders>
          </w:tcPr>
          <w:p>
            <w:pPr>
              <w:ind w:left="60"/>
              <w:spacing w:after="0"/>
              <w:rPr>
                <w:sz w:val="20"/>
                <w:szCs w:val="20"/>
                <w:color w:val="auto"/>
              </w:rPr>
            </w:pPr>
            <w:r>
              <w:rPr>
                <w:rFonts w:ascii="Arial" w:cs="Arial" w:eastAsia="Arial" w:hAnsi="Arial"/>
                <w:sz w:val="16"/>
                <w:szCs w:val="16"/>
                <w:color w:val="auto"/>
              </w:rPr>
              <w:t>linked to a thriving New</w:t>
            </w:r>
          </w:p>
        </w:tc>
        <w:tc>
          <w:tcPr>
            <w:tcW w:w="100" w:type="dxa"/>
            <w:vAlign w:val="bottom"/>
          </w:tcPr>
          <w:p>
            <w:pPr>
              <w:spacing w:after="0"/>
              <w:rPr>
                <w:sz w:val="16"/>
                <w:szCs w:val="16"/>
                <w:color w:val="auto"/>
              </w:rPr>
            </w:pPr>
          </w:p>
        </w:tc>
        <w:tc>
          <w:tcPr>
            <w:tcW w:w="2180" w:type="dxa"/>
            <w:vAlign w:val="bottom"/>
            <w:gridSpan w:val="2"/>
          </w:tcPr>
          <w:p>
            <w:pPr>
              <w:ind w:left="60"/>
              <w:spacing w:after="0"/>
              <w:rPr>
                <w:sz w:val="20"/>
                <w:szCs w:val="20"/>
                <w:color w:val="auto"/>
              </w:rPr>
            </w:pPr>
            <w:r>
              <w:rPr>
                <w:rFonts w:ascii="Arial" w:cs="Arial" w:eastAsia="Arial" w:hAnsi="Arial"/>
                <w:sz w:val="16"/>
                <w:szCs w:val="16"/>
                <w:color w:val="auto"/>
              </w:rPr>
              <w:t>attract and retain high-</w:t>
            </w:r>
          </w:p>
        </w:tc>
        <w:tc>
          <w:tcPr>
            <w:tcW w:w="0" w:type="dxa"/>
            <w:vAlign w:val="bottom"/>
          </w:tcPr>
          <w:p>
            <w:pPr>
              <w:spacing w:after="0"/>
              <w:rPr>
                <w:sz w:val="1"/>
                <w:szCs w:val="1"/>
                <w:color w:val="auto"/>
              </w:rPr>
            </w:pPr>
          </w:p>
        </w:tc>
      </w:tr>
      <w:tr>
        <w:trPr>
          <w:trHeight w:val="176"/>
        </w:trPr>
        <w:tc>
          <w:tcPr>
            <w:tcW w:w="1400" w:type="dxa"/>
            <w:vAlign w:val="bottom"/>
          </w:tcPr>
          <w:p>
            <w:pPr>
              <w:ind w:left="40"/>
              <w:spacing w:after="0" w:line="175" w:lineRule="exact"/>
              <w:rPr>
                <w:sz w:val="20"/>
                <w:szCs w:val="20"/>
                <w:color w:val="auto"/>
              </w:rPr>
            </w:pPr>
            <w:r>
              <w:rPr>
                <w:rFonts w:ascii="Arial" w:cs="Arial" w:eastAsia="Arial" w:hAnsi="Arial"/>
                <w:sz w:val="16"/>
                <w:szCs w:val="16"/>
                <w:color w:val="auto"/>
              </w:rPr>
              <w:t>positively linked to</w:t>
            </w:r>
          </w:p>
        </w:tc>
        <w:tc>
          <w:tcPr>
            <w:tcW w:w="520" w:type="dxa"/>
            <w:vAlign w:val="bottom"/>
          </w:tcPr>
          <w:p>
            <w:pPr>
              <w:spacing w:after="0"/>
              <w:rPr>
                <w:sz w:val="15"/>
                <w:szCs w:val="15"/>
                <w:color w:val="auto"/>
              </w:rPr>
            </w:pPr>
          </w:p>
        </w:tc>
        <w:tc>
          <w:tcPr>
            <w:tcW w:w="260" w:type="dxa"/>
            <w:vAlign w:val="bottom"/>
            <w:tcBorders>
              <w:right w:val="single" w:sz="8" w:color="83AD40"/>
            </w:tcBorders>
          </w:tcPr>
          <w:p>
            <w:pPr>
              <w:spacing w:after="0"/>
              <w:rPr>
                <w:sz w:val="15"/>
                <w:szCs w:val="15"/>
                <w:color w:val="auto"/>
              </w:rPr>
            </w:pPr>
          </w:p>
        </w:tc>
        <w:tc>
          <w:tcPr>
            <w:tcW w:w="2100" w:type="dxa"/>
            <w:vAlign w:val="bottom"/>
          </w:tcPr>
          <w:p>
            <w:pPr>
              <w:ind w:left="160"/>
              <w:spacing w:after="0" w:line="175" w:lineRule="exact"/>
              <w:rPr>
                <w:sz w:val="20"/>
                <w:szCs w:val="20"/>
                <w:color w:val="auto"/>
              </w:rPr>
            </w:pPr>
            <w:r>
              <w:rPr>
                <w:rFonts w:ascii="Arial" w:cs="Arial" w:eastAsia="Arial" w:hAnsi="Arial"/>
                <w:sz w:val="16"/>
                <w:szCs w:val="16"/>
                <w:color w:val="auto"/>
              </w:rPr>
              <w:t>collaboration with our</w:t>
            </w:r>
          </w:p>
        </w:tc>
        <w:tc>
          <w:tcPr>
            <w:tcW w:w="220" w:type="dxa"/>
            <w:vAlign w:val="bottom"/>
            <w:tcBorders>
              <w:right w:val="single" w:sz="8" w:color="83AD40"/>
            </w:tcBorders>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tcBorders>
              <w:right w:val="single" w:sz="8" w:color="83AD40"/>
            </w:tcBorders>
          </w:tcPr>
          <w:p>
            <w:pPr>
              <w:ind w:left="60"/>
              <w:spacing w:after="0" w:line="175" w:lineRule="exact"/>
              <w:rPr>
                <w:sz w:val="20"/>
                <w:szCs w:val="20"/>
                <w:color w:val="auto"/>
              </w:rPr>
            </w:pPr>
            <w:r>
              <w:rPr>
                <w:rFonts w:ascii="Arial" w:cs="Arial" w:eastAsia="Arial" w:hAnsi="Arial"/>
                <w:sz w:val="16"/>
                <w:szCs w:val="16"/>
                <w:color w:val="auto"/>
              </w:rPr>
              <w:t>York City. We support a</w:t>
            </w:r>
          </w:p>
        </w:tc>
        <w:tc>
          <w:tcPr>
            <w:tcW w:w="100" w:type="dxa"/>
            <w:vAlign w:val="bottom"/>
          </w:tcPr>
          <w:p>
            <w:pPr>
              <w:spacing w:after="0"/>
              <w:rPr>
                <w:sz w:val="15"/>
                <w:szCs w:val="15"/>
                <w:color w:val="auto"/>
              </w:rPr>
            </w:pPr>
          </w:p>
        </w:tc>
        <w:tc>
          <w:tcPr>
            <w:tcW w:w="2180" w:type="dxa"/>
            <w:vAlign w:val="bottom"/>
            <w:gridSpan w:val="2"/>
          </w:tcPr>
          <w:p>
            <w:pPr>
              <w:ind w:left="60"/>
              <w:spacing w:after="0" w:line="175" w:lineRule="exact"/>
              <w:rPr>
                <w:sz w:val="20"/>
                <w:szCs w:val="20"/>
                <w:color w:val="auto"/>
              </w:rPr>
            </w:pPr>
            <w:r>
              <w:rPr>
                <w:rFonts w:ascii="Arial" w:cs="Arial" w:eastAsia="Arial" w:hAnsi="Arial"/>
                <w:sz w:val="16"/>
                <w:szCs w:val="16"/>
                <w:color w:val="auto"/>
              </w:rPr>
              <w:t>performing talent,</w:t>
            </w:r>
          </w:p>
        </w:tc>
        <w:tc>
          <w:tcPr>
            <w:tcW w:w="0" w:type="dxa"/>
            <w:vAlign w:val="bottom"/>
          </w:tcPr>
          <w:p>
            <w:pPr>
              <w:spacing w:after="0"/>
              <w:rPr>
                <w:sz w:val="1"/>
                <w:szCs w:val="1"/>
                <w:color w:val="auto"/>
              </w:rPr>
            </w:pPr>
          </w:p>
        </w:tc>
      </w:tr>
      <w:tr>
        <w:trPr>
          <w:trHeight w:val="176"/>
        </w:trPr>
        <w:tc>
          <w:tcPr>
            <w:tcW w:w="1920" w:type="dxa"/>
            <w:vAlign w:val="bottom"/>
            <w:gridSpan w:val="2"/>
          </w:tcPr>
          <w:p>
            <w:pPr>
              <w:ind w:left="40"/>
              <w:spacing w:after="0" w:line="175" w:lineRule="exact"/>
              <w:rPr>
                <w:sz w:val="20"/>
                <w:szCs w:val="20"/>
                <w:color w:val="auto"/>
              </w:rPr>
            </w:pPr>
            <w:r>
              <w:rPr>
                <w:rFonts w:ascii="Arial" w:cs="Arial" w:eastAsia="Arial" w:hAnsi="Arial"/>
                <w:sz w:val="16"/>
                <w:szCs w:val="16"/>
                <w:color w:val="auto"/>
              </w:rPr>
              <w:t>performance. We are</w:t>
            </w:r>
          </w:p>
        </w:tc>
        <w:tc>
          <w:tcPr>
            <w:tcW w:w="260" w:type="dxa"/>
            <w:vAlign w:val="bottom"/>
            <w:tcBorders>
              <w:right w:val="single" w:sz="8" w:color="83AD40"/>
            </w:tcBorders>
          </w:tcPr>
          <w:p>
            <w:pPr>
              <w:spacing w:after="0"/>
              <w:rPr>
                <w:sz w:val="15"/>
                <w:szCs w:val="15"/>
                <w:color w:val="auto"/>
              </w:rPr>
            </w:pPr>
          </w:p>
        </w:tc>
        <w:tc>
          <w:tcPr>
            <w:tcW w:w="2100" w:type="dxa"/>
            <w:vAlign w:val="bottom"/>
          </w:tcPr>
          <w:p>
            <w:pPr>
              <w:ind w:left="160"/>
              <w:spacing w:after="0" w:line="175" w:lineRule="exact"/>
              <w:rPr>
                <w:sz w:val="20"/>
                <w:szCs w:val="20"/>
                <w:color w:val="auto"/>
              </w:rPr>
            </w:pPr>
            <w:r>
              <w:rPr>
                <w:rFonts w:ascii="Arial" w:cs="Arial" w:eastAsia="Arial" w:hAnsi="Arial"/>
                <w:sz w:val="16"/>
                <w:szCs w:val="16"/>
                <w:color w:val="auto"/>
              </w:rPr>
              <w:t>tenants are essential to</w:t>
            </w:r>
          </w:p>
        </w:tc>
        <w:tc>
          <w:tcPr>
            <w:tcW w:w="220" w:type="dxa"/>
            <w:vAlign w:val="bottom"/>
            <w:tcBorders>
              <w:right w:val="single" w:sz="8" w:color="83AD40"/>
            </w:tcBorders>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tcBorders>
              <w:right w:val="single" w:sz="8" w:color="83AD40"/>
            </w:tcBorders>
          </w:tcPr>
          <w:p>
            <w:pPr>
              <w:ind w:left="60"/>
              <w:spacing w:after="0" w:line="175" w:lineRule="exact"/>
              <w:rPr>
                <w:sz w:val="20"/>
                <w:szCs w:val="20"/>
                <w:color w:val="auto"/>
              </w:rPr>
            </w:pPr>
            <w:r>
              <w:rPr>
                <w:rFonts w:ascii="Arial" w:cs="Arial" w:eastAsia="Arial" w:hAnsi="Arial"/>
                <w:sz w:val="16"/>
                <w:szCs w:val="16"/>
                <w:color w:val="auto"/>
              </w:rPr>
              <w:t>variety of causes that</w:t>
            </w:r>
          </w:p>
        </w:tc>
        <w:tc>
          <w:tcPr>
            <w:tcW w:w="100" w:type="dxa"/>
            <w:vAlign w:val="bottom"/>
          </w:tcPr>
          <w:p>
            <w:pPr>
              <w:spacing w:after="0"/>
              <w:rPr>
                <w:sz w:val="15"/>
                <w:szCs w:val="15"/>
                <w:color w:val="auto"/>
              </w:rPr>
            </w:pPr>
          </w:p>
        </w:tc>
        <w:tc>
          <w:tcPr>
            <w:tcW w:w="2180" w:type="dxa"/>
            <w:vAlign w:val="bottom"/>
            <w:gridSpan w:val="2"/>
          </w:tcPr>
          <w:p>
            <w:pPr>
              <w:ind w:left="60"/>
              <w:spacing w:after="0" w:line="175" w:lineRule="exact"/>
              <w:rPr>
                <w:sz w:val="20"/>
                <w:szCs w:val="20"/>
                <w:color w:val="auto"/>
              </w:rPr>
            </w:pPr>
            <w:r>
              <w:rPr>
                <w:rFonts w:ascii="Arial" w:cs="Arial" w:eastAsia="Arial" w:hAnsi="Arial"/>
                <w:sz w:val="16"/>
                <w:szCs w:val="16"/>
                <w:color w:val="auto"/>
              </w:rPr>
              <w:t>maximize our portfolio and</w:t>
            </w:r>
          </w:p>
        </w:tc>
        <w:tc>
          <w:tcPr>
            <w:tcW w:w="0" w:type="dxa"/>
            <w:vAlign w:val="bottom"/>
          </w:tcPr>
          <w:p>
            <w:pPr>
              <w:spacing w:after="0"/>
              <w:rPr>
                <w:sz w:val="1"/>
                <w:szCs w:val="1"/>
                <w:color w:val="auto"/>
              </w:rPr>
            </w:pPr>
          </w:p>
        </w:tc>
      </w:tr>
      <w:tr>
        <w:trPr>
          <w:trHeight w:val="189"/>
        </w:trPr>
        <w:tc>
          <w:tcPr>
            <w:tcW w:w="1920" w:type="dxa"/>
            <w:vAlign w:val="bottom"/>
            <w:gridSpan w:val="2"/>
          </w:tcPr>
          <w:p>
            <w:pPr>
              <w:ind w:left="40"/>
              <w:spacing w:after="0"/>
              <w:rPr>
                <w:sz w:val="20"/>
                <w:szCs w:val="20"/>
                <w:color w:val="auto"/>
              </w:rPr>
            </w:pPr>
            <w:r>
              <w:rPr>
                <w:rFonts w:ascii="Arial" w:cs="Arial" w:eastAsia="Arial" w:hAnsi="Arial"/>
                <w:sz w:val="16"/>
                <w:szCs w:val="16"/>
                <w:color w:val="auto"/>
              </w:rPr>
              <w:t>committed to fostering a</w:t>
            </w:r>
          </w:p>
        </w:tc>
        <w:tc>
          <w:tcPr>
            <w:tcW w:w="260" w:type="dxa"/>
            <w:vAlign w:val="bottom"/>
            <w:tcBorders>
              <w:right w:val="single" w:sz="8" w:color="83AD40"/>
            </w:tcBorders>
          </w:tcPr>
          <w:p>
            <w:pPr>
              <w:spacing w:after="0"/>
              <w:rPr>
                <w:sz w:val="16"/>
                <w:szCs w:val="16"/>
                <w:color w:val="auto"/>
              </w:rPr>
            </w:pPr>
          </w:p>
        </w:tc>
        <w:tc>
          <w:tcPr>
            <w:tcW w:w="2100" w:type="dxa"/>
            <w:vAlign w:val="bottom"/>
          </w:tcPr>
          <w:p>
            <w:pPr>
              <w:ind w:left="160"/>
              <w:spacing w:after="0"/>
              <w:rPr>
                <w:sz w:val="20"/>
                <w:szCs w:val="20"/>
                <w:color w:val="auto"/>
              </w:rPr>
            </w:pPr>
            <w:r>
              <w:rPr>
                <w:rFonts w:ascii="Arial" w:cs="Arial" w:eastAsia="Arial" w:hAnsi="Arial"/>
                <w:sz w:val="16"/>
                <w:szCs w:val="16"/>
                <w:color w:val="auto"/>
              </w:rPr>
              <w:t>long-term improvement of</w:t>
            </w:r>
          </w:p>
        </w:tc>
        <w:tc>
          <w:tcPr>
            <w:tcW w:w="220" w:type="dxa"/>
            <w:vAlign w:val="bottom"/>
            <w:tcBorders>
              <w:right w:val="single" w:sz="8" w:color="83AD40"/>
            </w:tcBorders>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Borders>
              <w:right w:val="single" w:sz="8" w:color="83AD40"/>
            </w:tcBorders>
          </w:tcPr>
          <w:p>
            <w:pPr>
              <w:ind w:left="60"/>
              <w:spacing w:after="0"/>
              <w:rPr>
                <w:sz w:val="20"/>
                <w:szCs w:val="20"/>
                <w:color w:val="auto"/>
              </w:rPr>
            </w:pPr>
            <w:r>
              <w:rPr>
                <w:rFonts w:ascii="Arial" w:cs="Arial" w:eastAsia="Arial" w:hAnsi="Arial"/>
                <w:sz w:val="16"/>
                <w:szCs w:val="16"/>
                <w:color w:val="auto"/>
              </w:rPr>
              <w:t>address the physical,</w:t>
            </w:r>
          </w:p>
        </w:tc>
        <w:tc>
          <w:tcPr>
            <w:tcW w:w="100" w:type="dxa"/>
            <w:vAlign w:val="bottom"/>
          </w:tcPr>
          <w:p>
            <w:pPr>
              <w:spacing w:after="0"/>
              <w:rPr>
                <w:sz w:val="16"/>
                <w:szCs w:val="16"/>
                <w:color w:val="auto"/>
              </w:rPr>
            </w:pPr>
          </w:p>
        </w:tc>
        <w:tc>
          <w:tcPr>
            <w:tcW w:w="2180" w:type="dxa"/>
            <w:vAlign w:val="bottom"/>
            <w:gridSpan w:val="2"/>
          </w:tcPr>
          <w:p>
            <w:pPr>
              <w:ind w:left="60"/>
              <w:spacing w:after="0"/>
              <w:rPr>
                <w:sz w:val="20"/>
                <w:szCs w:val="20"/>
                <w:color w:val="auto"/>
              </w:rPr>
            </w:pPr>
            <w:r>
              <w:rPr>
                <w:rFonts w:ascii="Arial" w:cs="Arial" w:eastAsia="Arial" w:hAnsi="Arial"/>
                <w:sz w:val="16"/>
                <w:szCs w:val="16"/>
                <w:color w:val="auto"/>
              </w:rPr>
              <w:t>give back to our NYC</w:t>
            </w:r>
          </w:p>
        </w:tc>
        <w:tc>
          <w:tcPr>
            <w:tcW w:w="0" w:type="dxa"/>
            <w:vAlign w:val="bottom"/>
          </w:tcPr>
          <w:p>
            <w:pPr>
              <w:spacing w:after="0"/>
              <w:rPr>
                <w:sz w:val="1"/>
                <w:szCs w:val="1"/>
                <w:color w:val="auto"/>
              </w:rPr>
            </w:pPr>
          </w:p>
        </w:tc>
      </w:tr>
      <w:tr>
        <w:trPr>
          <w:trHeight w:val="176"/>
        </w:trPr>
        <w:tc>
          <w:tcPr>
            <w:tcW w:w="1920" w:type="dxa"/>
            <w:vAlign w:val="bottom"/>
            <w:gridSpan w:val="2"/>
          </w:tcPr>
          <w:p>
            <w:pPr>
              <w:ind w:left="40"/>
              <w:spacing w:after="0" w:line="175" w:lineRule="exact"/>
              <w:rPr>
                <w:sz w:val="20"/>
                <w:szCs w:val="20"/>
                <w:color w:val="auto"/>
              </w:rPr>
            </w:pPr>
            <w:r>
              <w:rPr>
                <w:rFonts w:ascii="Arial" w:cs="Arial" w:eastAsia="Arial" w:hAnsi="Arial"/>
                <w:sz w:val="16"/>
                <w:szCs w:val="16"/>
                <w:color w:val="auto"/>
              </w:rPr>
              <w:t>corporate culture that</w:t>
            </w:r>
          </w:p>
        </w:tc>
        <w:tc>
          <w:tcPr>
            <w:tcW w:w="260" w:type="dxa"/>
            <w:vAlign w:val="bottom"/>
            <w:tcBorders>
              <w:right w:val="single" w:sz="8" w:color="83AD40"/>
            </w:tcBorders>
          </w:tcPr>
          <w:p>
            <w:pPr>
              <w:spacing w:after="0"/>
              <w:rPr>
                <w:sz w:val="15"/>
                <w:szCs w:val="15"/>
                <w:color w:val="auto"/>
              </w:rPr>
            </w:pPr>
          </w:p>
        </w:tc>
        <w:tc>
          <w:tcPr>
            <w:tcW w:w="2100" w:type="dxa"/>
            <w:vAlign w:val="bottom"/>
          </w:tcPr>
          <w:p>
            <w:pPr>
              <w:ind w:left="160"/>
              <w:spacing w:after="0" w:line="175" w:lineRule="exact"/>
              <w:rPr>
                <w:sz w:val="20"/>
                <w:szCs w:val="20"/>
                <w:color w:val="auto"/>
              </w:rPr>
            </w:pPr>
            <w:r>
              <w:rPr>
                <w:rFonts w:ascii="Arial" w:cs="Arial" w:eastAsia="Arial" w:hAnsi="Arial"/>
                <w:sz w:val="16"/>
                <w:szCs w:val="16"/>
                <w:color w:val="auto"/>
              </w:rPr>
              <w:t>our portfolio’s energy</w:t>
            </w:r>
          </w:p>
        </w:tc>
        <w:tc>
          <w:tcPr>
            <w:tcW w:w="220" w:type="dxa"/>
            <w:vAlign w:val="bottom"/>
            <w:tcBorders>
              <w:right w:val="single" w:sz="8" w:color="83AD40"/>
            </w:tcBorders>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tcBorders>
              <w:right w:val="single" w:sz="8" w:color="83AD40"/>
            </w:tcBorders>
          </w:tcPr>
          <w:p>
            <w:pPr>
              <w:ind w:left="60"/>
              <w:spacing w:after="0" w:line="175" w:lineRule="exact"/>
              <w:rPr>
                <w:sz w:val="20"/>
                <w:szCs w:val="20"/>
                <w:color w:val="auto"/>
              </w:rPr>
            </w:pPr>
            <w:r>
              <w:rPr>
                <w:rFonts w:ascii="Arial" w:cs="Arial" w:eastAsia="Arial" w:hAnsi="Arial"/>
                <w:sz w:val="16"/>
                <w:szCs w:val="16"/>
                <w:color w:val="auto"/>
              </w:rPr>
              <w:t>mental, and emotional</w:t>
            </w:r>
          </w:p>
        </w:tc>
        <w:tc>
          <w:tcPr>
            <w:tcW w:w="100" w:type="dxa"/>
            <w:vAlign w:val="bottom"/>
          </w:tcPr>
          <w:p>
            <w:pPr>
              <w:spacing w:after="0"/>
              <w:rPr>
                <w:sz w:val="15"/>
                <w:szCs w:val="15"/>
                <w:color w:val="auto"/>
              </w:rPr>
            </w:pPr>
          </w:p>
        </w:tc>
        <w:tc>
          <w:tcPr>
            <w:tcW w:w="2180" w:type="dxa"/>
            <w:vAlign w:val="bottom"/>
            <w:gridSpan w:val="2"/>
          </w:tcPr>
          <w:p>
            <w:pPr>
              <w:ind w:left="60"/>
              <w:spacing w:after="0" w:line="175" w:lineRule="exact"/>
              <w:rPr>
                <w:sz w:val="20"/>
                <w:szCs w:val="20"/>
                <w:color w:val="auto"/>
              </w:rPr>
            </w:pPr>
            <w:r>
              <w:rPr>
                <w:rFonts w:ascii="Arial" w:cs="Arial" w:eastAsia="Arial" w:hAnsi="Arial"/>
                <w:sz w:val="16"/>
                <w:szCs w:val="16"/>
                <w:color w:val="auto"/>
              </w:rPr>
              <w:t>community, elements which</w:t>
            </w:r>
          </w:p>
        </w:tc>
        <w:tc>
          <w:tcPr>
            <w:tcW w:w="0" w:type="dxa"/>
            <w:vAlign w:val="bottom"/>
          </w:tcPr>
          <w:p>
            <w:pPr>
              <w:spacing w:after="0"/>
              <w:rPr>
                <w:sz w:val="1"/>
                <w:szCs w:val="1"/>
                <w:color w:val="auto"/>
              </w:rPr>
            </w:pPr>
          </w:p>
        </w:tc>
      </w:tr>
      <w:tr>
        <w:trPr>
          <w:trHeight w:val="175"/>
        </w:trPr>
        <w:tc>
          <w:tcPr>
            <w:tcW w:w="1920" w:type="dxa"/>
            <w:vAlign w:val="bottom"/>
            <w:gridSpan w:val="2"/>
          </w:tcPr>
          <w:p>
            <w:pPr>
              <w:ind w:left="40"/>
              <w:spacing w:after="0" w:line="175" w:lineRule="exact"/>
              <w:rPr>
                <w:sz w:val="20"/>
                <w:szCs w:val="20"/>
                <w:color w:val="auto"/>
              </w:rPr>
            </w:pPr>
            <w:r>
              <w:rPr>
                <w:rFonts w:ascii="Arial" w:cs="Arial" w:eastAsia="Arial" w:hAnsi="Arial"/>
                <w:sz w:val="16"/>
                <w:szCs w:val="16"/>
                <w:color w:val="auto"/>
              </w:rPr>
              <w:t>enables our employees to</w:t>
            </w:r>
          </w:p>
        </w:tc>
        <w:tc>
          <w:tcPr>
            <w:tcW w:w="260" w:type="dxa"/>
            <w:vAlign w:val="bottom"/>
            <w:tcBorders>
              <w:right w:val="single" w:sz="8" w:color="83AD40"/>
            </w:tcBorders>
          </w:tcPr>
          <w:p>
            <w:pPr>
              <w:spacing w:after="0"/>
              <w:rPr>
                <w:sz w:val="15"/>
                <w:szCs w:val="15"/>
                <w:color w:val="auto"/>
              </w:rPr>
            </w:pPr>
          </w:p>
        </w:tc>
        <w:tc>
          <w:tcPr>
            <w:tcW w:w="2100" w:type="dxa"/>
            <w:vAlign w:val="bottom"/>
          </w:tcPr>
          <w:p>
            <w:pPr>
              <w:ind w:left="160"/>
              <w:spacing w:after="0" w:line="175" w:lineRule="exact"/>
              <w:rPr>
                <w:sz w:val="20"/>
                <w:szCs w:val="20"/>
                <w:color w:val="auto"/>
              </w:rPr>
            </w:pPr>
            <w:r>
              <w:rPr>
                <w:rFonts w:ascii="Arial" w:cs="Arial" w:eastAsia="Arial" w:hAnsi="Arial"/>
                <w:sz w:val="16"/>
                <w:szCs w:val="16"/>
                <w:color w:val="auto"/>
              </w:rPr>
              <w:t>performance, while</w:t>
            </w:r>
          </w:p>
        </w:tc>
        <w:tc>
          <w:tcPr>
            <w:tcW w:w="220" w:type="dxa"/>
            <w:vAlign w:val="bottom"/>
            <w:tcBorders>
              <w:right w:val="single" w:sz="8" w:color="83AD40"/>
            </w:tcBorders>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tcBorders>
              <w:right w:val="single" w:sz="8" w:color="83AD40"/>
            </w:tcBorders>
          </w:tcPr>
          <w:p>
            <w:pPr>
              <w:ind w:left="60"/>
              <w:spacing w:after="0" w:line="175" w:lineRule="exact"/>
              <w:rPr>
                <w:sz w:val="20"/>
                <w:szCs w:val="20"/>
                <w:color w:val="auto"/>
              </w:rPr>
            </w:pPr>
            <w:r>
              <w:rPr>
                <w:rFonts w:ascii="Arial" w:cs="Arial" w:eastAsia="Arial" w:hAnsi="Arial"/>
                <w:sz w:val="16"/>
                <w:szCs w:val="16"/>
                <w:color w:val="auto"/>
              </w:rPr>
              <w:t>needs of our community.</w:t>
            </w:r>
          </w:p>
        </w:tc>
        <w:tc>
          <w:tcPr>
            <w:tcW w:w="100" w:type="dxa"/>
            <w:vAlign w:val="bottom"/>
          </w:tcPr>
          <w:p>
            <w:pPr>
              <w:spacing w:after="0"/>
              <w:rPr>
                <w:sz w:val="15"/>
                <w:szCs w:val="15"/>
                <w:color w:val="auto"/>
              </w:rPr>
            </w:pPr>
          </w:p>
        </w:tc>
        <w:tc>
          <w:tcPr>
            <w:tcW w:w="2180" w:type="dxa"/>
            <w:vAlign w:val="bottom"/>
            <w:gridSpan w:val="2"/>
          </w:tcPr>
          <w:p>
            <w:pPr>
              <w:ind w:left="60"/>
              <w:spacing w:after="0" w:line="175" w:lineRule="exact"/>
              <w:rPr>
                <w:sz w:val="20"/>
                <w:szCs w:val="20"/>
                <w:color w:val="auto"/>
              </w:rPr>
            </w:pPr>
            <w:r>
              <w:rPr>
                <w:rFonts w:ascii="Arial" w:cs="Arial" w:eastAsia="Arial" w:hAnsi="Arial"/>
                <w:sz w:val="16"/>
                <w:szCs w:val="16"/>
                <w:color w:val="auto"/>
              </w:rPr>
              <w:t>are essential to delivering</w:t>
            </w:r>
          </w:p>
        </w:tc>
        <w:tc>
          <w:tcPr>
            <w:tcW w:w="0" w:type="dxa"/>
            <w:vAlign w:val="bottom"/>
          </w:tcPr>
          <w:p>
            <w:pPr>
              <w:spacing w:after="0"/>
              <w:rPr>
                <w:sz w:val="1"/>
                <w:szCs w:val="1"/>
                <w:color w:val="auto"/>
              </w:rPr>
            </w:pPr>
          </w:p>
        </w:tc>
      </w:tr>
      <w:tr>
        <w:trPr>
          <w:trHeight w:val="189"/>
        </w:trPr>
        <w:tc>
          <w:tcPr>
            <w:tcW w:w="1920" w:type="dxa"/>
            <w:vAlign w:val="bottom"/>
            <w:gridSpan w:val="2"/>
          </w:tcPr>
          <w:p>
            <w:pPr>
              <w:ind w:left="40"/>
              <w:spacing w:after="0"/>
              <w:rPr>
                <w:sz w:val="20"/>
                <w:szCs w:val="20"/>
                <w:color w:val="auto"/>
              </w:rPr>
            </w:pPr>
            <w:r>
              <w:rPr>
                <w:rFonts w:ascii="Arial" w:cs="Arial" w:eastAsia="Arial" w:hAnsi="Arial"/>
                <w:sz w:val="16"/>
                <w:szCs w:val="16"/>
                <w:color w:val="auto"/>
              </w:rPr>
              <w:t>meet their full potential.</w:t>
            </w:r>
          </w:p>
        </w:tc>
        <w:tc>
          <w:tcPr>
            <w:tcW w:w="260" w:type="dxa"/>
            <w:vAlign w:val="bottom"/>
            <w:tcBorders>
              <w:right w:val="single" w:sz="8" w:color="83AD40"/>
            </w:tcBorders>
          </w:tcPr>
          <w:p>
            <w:pPr>
              <w:spacing w:after="0"/>
              <w:rPr>
                <w:sz w:val="16"/>
                <w:szCs w:val="16"/>
                <w:color w:val="auto"/>
              </w:rPr>
            </w:pPr>
          </w:p>
        </w:tc>
        <w:tc>
          <w:tcPr>
            <w:tcW w:w="2100" w:type="dxa"/>
            <w:vAlign w:val="bottom"/>
          </w:tcPr>
          <w:p>
            <w:pPr>
              <w:ind w:left="160"/>
              <w:spacing w:after="0"/>
              <w:rPr>
                <w:sz w:val="20"/>
                <w:szCs w:val="20"/>
                <w:color w:val="auto"/>
              </w:rPr>
            </w:pPr>
            <w:r>
              <w:rPr>
                <w:rFonts w:ascii="Arial" w:cs="Arial" w:eastAsia="Arial" w:hAnsi="Arial"/>
                <w:sz w:val="16"/>
                <w:szCs w:val="16"/>
                <w:color w:val="auto"/>
              </w:rPr>
              <w:t>providing our tenants with</w:t>
            </w:r>
          </w:p>
        </w:tc>
        <w:tc>
          <w:tcPr>
            <w:tcW w:w="220" w:type="dxa"/>
            <w:vAlign w:val="bottom"/>
            <w:tcBorders>
              <w:right w:val="single" w:sz="8" w:color="83AD40"/>
            </w:tcBorders>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Borders>
              <w:right w:val="single" w:sz="8" w:color="83AD40"/>
            </w:tcBorders>
          </w:tcPr>
          <w:p>
            <w:pPr>
              <w:ind w:left="60"/>
              <w:spacing w:after="0"/>
              <w:rPr>
                <w:sz w:val="20"/>
                <w:szCs w:val="20"/>
                <w:color w:val="auto"/>
              </w:rPr>
            </w:pPr>
            <w:r>
              <w:rPr>
                <w:rFonts w:ascii="Arial" w:cs="Arial" w:eastAsia="Arial" w:hAnsi="Arial"/>
                <w:sz w:val="16"/>
                <w:szCs w:val="16"/>
                <w:color w:val="auto"/>
              </w:rPr>
              <w:t>We also create thousands</w:t>
            </w:r>
          </w:p>
        </w:tc>
        <w:tc>
          <w:tcPr>
            <w:tcW w:w="100" w:type="dxa"/>
            <w:vAlign w:val="bottom"/>
          </w:tcPr>
          <w:p>
            <w:pPr>
              <w:spacing w:after="0"/>
              <w:rPr>
                <w:sz w:val="16"/>
                <w:szCs w:val="16"/>
                <w:color w:val="auto"/>
              </w:rPr>
            </w:pPr>
          </w:p>
        </w:tc>
        <w:tc>
          <w:tcPr>
            <w:tcW w:w="2180" w:type="dxa"/>
            <w:vAlign w:val="bottom"/>
            <w:gridSpan w:val="2"/>
          </w:tcPr>
          <w:p>
            <w:pPr>
              <w:ind w:left="60"/>
              <w:spacing w:after="0"/>
              <w:rPr>
                <w:sz w:val="20"/>
                <w:szCs w:val="20"/>
                <w:color w:val="auto"/>
              </w:rPr>
            </w:pPr>
            <w:r>
              <w:rPr>
                <w:rFonts w:ascii="Arial" w:cs="Arial" w:eastAsia="Arial" w:hAnsi="Arial"/>
                <w:sz w:val="16"/>
                <w:szCs w:val="16"/>
                <w:color w:val="auto"/>
              </w:rPr>
              <w:t>long-term stockholder</w:t>
            </w:r>
          </w:p>
        </w:tc>
        <w:tc>
          <w:tcPr>
            <w:tcW w:w="0" w:type="dxa"/>
            <w:vAlign w:val="bottom"/>
          </w:tcPr>
          <w:p>
            <w:pPr>
              <w:spacing w:after="0"/>
              <w:rPr>
                <w:sz w:val="1"/>
                <w:szCs w:val="1"/>
                <w:color w:val="auto"/>
              </w:rPr>
            </w:pPr>
          </w:p>
        </w:tc>
      </w:tr>
      <w:tr>
        <w:trPr>
          <w:trHeight w:val="176"/>
        </w:trPr>
        <w:tc>
          <w:tcPr>
            <w:tcW w:w="1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Borders>
              <w:right w:val="single" w:sz="8" w:color="83AD40"/>
            </w:tcBorders>
          </w:tcPr>
          <w:p>
            <w:pPr>
              <w:spacing w:after="0"/>
              <w:rPr>
                <w:sz w:val="15"/>
                <w:szCs w:val="15"/>
                <w:color w:val="auto"/>
              </w:rPr>
            </w:pPr>
          </w:p>
        </w:tc>
        <w:tc>
          <w:tcPr>
            <w:tcW w:w="2100" w:type="dxa"/>
            <w:vAlign w:val="bottom"/>
          </w:tcPr>
          <w:p>
            <w:pPr>
              <w:ind w:left="160"/>
              <w:spacing w:after="0" w:line="175" w:lineRule="exact"/>
              <w:rPr>
                <w:sz w:val="20"/>
                <w:szCs w:val="20"/>
                <w:color w:val="auto"/>
              </w:rPr>
            </w:pPr>
            <w:r>
              <w:rPr>
                <w:rFonts w:ascii="Arial" w:cs="Arial" w:eastAsia="Arial" w:hAnsi="Arial"/>
                <w:sz w:val="16"/>
                <w:szCs w:val="16"/>
                <w:color w:val="auto"/>
              </w:rPr>
              <w:t>unique offerings to track</w:t>
            </w:r>
          </w:p>
        </w:tc>
        <w:tc>
          <w:tcPr>
            <w:tcW w:w="220" w:type="dxa"/>
            <w:vAlign w:val="bottom"/>
            <w:tcBorders>
              <w:right w:val="single" w:sz="8" w:color="83AD40"/>
            </w:tcBorders>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tcBorders>
              <w:right w:val="single" w:sz="8" w:color="83AD40"/>
            </w:tcBorders>
          </w:tcPr>
          <w:p>
            <w:pPr>
              <w:ind w:left="60"/>
              <w:spacing w:after="0" w:line="175" w:lineRule="exact"/>
              <w:rPr>
                <w:sz w:val="20"/>
                <w:szCs w:val="20"/>
                <w:color w:val="auto"/>
              </w:rPr>
            </w:pPr>
            <w:r>
              <w:rPr>
                <w:rFonts w:ascii="Arial" w:cs="Arial" w:eastAsia="Arial" w:hAnsi="Arial"/>
                <w:sz w:val="16"/>
                <w:szCs w:val="16"/>
                <w:color w:val="auto"/>
              </w:rPr>
              <w:t>of jobs and positive</w:t>
            </w:r>
          </w:p>
        </w:tc>
        <w:tc>
          <w:tcPr>
            <w:tcW w:w="100" w:type="dxa"/>
            <w:vAlign w:val="bottom"/>
          </w:tcPr>
          <w:p>
            <w:pPr>
              <w:spacing w:after="0"/>
              <w:rPr>
                <w:sz w:val="15"/>
                <w:szCs w:val="15"/>
                <w:color w:val="auto"/>
              </w:rPr>
            </w:pPr>
          </w:p>
        </w:tc>
        <w:tc>
          <w:tcPr>
            <w:tcW w:w="2180" w:type="dxa"/>
            <w:vAlign w:val="bottom"/>
            <w:gridSpan w:val="2"/>
          </w:tcPr>
          <w:p>
            <w:pPr>
              <w:ind w:left="60"/>
              <w:spacing w:after="0" w:line="175" w:lineRule="exact"/>
              <w:rPr>
                <w:sz w:val="20"/>
                <w:szCs w:val="20"/>
                <w:color w:val="auto"/>
              </w:rPr>
            </w:pPr>
            <w:r>
              <w:rPr>
                <w:rFonts w:ascii="Arial" w:cs="Arial" w:eastAsia="Arial" w:hAnsi="Arial"/>
                <w:sz w:val="16"/>
                <w:szCs w:val="16"/>
                <w:color w:val="auto"/>
              </w:rPr>
              <w:t>value.</w:t>
            </w:r>
          </w:p>
        </w:tc>
        <w:tc>
          <w:tcPr>
            <w:tcW w:w="0" w:type="dxa"/>
            <w:vAlign w:val="bottom"/>
          </w:tcPr>
          <w:p>
            <w:pPr>
              <w:spacing w:after="0"/>
              <w:rPr>
                <w:sz w:val="1"/>
                <w:szCs w:val="1"/>
                <w:color w:val="auto"/>
              </w:rPr>
            </w:pPr>
          </w:p>
        </w:tc>
      </w:tr>
      <w:tr>
        <w:trPr>
          <w:trHeight w:val="215"/>
        </w:trPr>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Borders>
              <w:right w:val="single" w:sz="8" w:color="83AD40"/>
            </w:tcBorders>
          </w:tcPr>
          <w:p>
            <w:pPr>
              <w:spacing w:after="0"/>
              <w:rPr>
                <w:sz w:val="18"/>
                <w:szCs w:val="18"/>
                <w:color w:val="auto"/>
              </w:rPr>
            </w:pPr>
          </w:p>
        </w:tc>
        <w:tc>
          <w:tcPr>
            <w:tcW w:w="2100" w:type="dxa"/>
            <w:vAlign w:val="bottom"/>
          </w:tcPr>
          <w:p>
            <w:pPr>
              <w:ind w:left="160"/>
              <w:spacing w:after="0"/>
              <w:rPr>
                <w:sz w:val="20"/>
                <w:szCs w:val="20"/>
                <w:color w:val="auto"/>
              </w:rPr>
            </w:pPr>
            <w:r>
              <w:rPr>
                <w:rFonts w:ascii="Arial" w:cs="Arial" w:eastAsia="Arial" w:hAnsi="Arial"/>
                <w:sz w:val="16"/>
                <w:szCs w:val="16"/>
                <w:color w:val="auto"/>
              </w:rPr>
              <w:t>and foster sustainability.</w:t>
            </w:r>
          </w:p>
        </w:tc>
        <w:tc>
          <w:tcPr>
            <w:tcW w:w="220" w:type="dxa"/>
            <w:vAlign w:val="bottom"/>
            <w:tcBorders>
              <w:right w:val="single" w:sz="8" w:color="83AD40"/>
            </w:tcBorders>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Borders>
              <w:right w:val="single" w:sz="8" w:color="83AD40"/>
            </w:tcBorders>
          </w:tcPr>
          <w:p>
            <w:pPr>
              <w:ind w:left="60"/>
              <w:spacing w:after="0"/>
              <w:rPr>
                <w:sz w:val="20"/>
                <w:szCs w:val="20"/>
                <w:color w:val="auto"/>
              </w:rPr>
            </w:pPr>
            <w:r>
              <w:rPr>
                <w:rFonts w:ascii="Arial" w:cs="Arial" w:eastAsia="Arial" w:hAnsi="Arial"/>
                <w:sz w:val="16"/>
                <w:szCs w:val="16"/>
                <w:color w:val="auto"/>
              </w:rPr>
              <w:t>community impact.</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1400" w:type="dxa"/>
            <w:vAlign w:val="bottom"/>
            <w:tcBorders>
              <w:bottom w:val="single" w:sz="8" w:color="83AD40"/>
            </w:tcBorders>
          </w:tcPr>
          <w:p>
            <w:pPr>
              <w:spacing w:after="0"/>
              <w:rPr>
                <w:sz w:val="22"/>
                <w:szCs w:val="22"/>
                <w:color w:val="auto"/>
              </w:rPr>
            </w:pPr>
          </w:p>
        </w:tc>
        <w:tc>
          <w:tcPr>
            <w:tcW w:w="780" w:type="dxa"/>
            <w:vAlign w:val="bottom"/>
            <w:tcBorders>
              <w:bottom w:val="single" w:sz="8" w:color="83AD40"/>
              <w:right w:val="single" w:sz="8" w:color="83AD40"/>
            </w:tcBorders>
            <w:gridSpan w:val="2"/>
          </w:tcPr>
          <w:p>
            <w:pPr>
              <w:spacing w:after="0"/>
              <w:rPr>
                <w:sz w:val="22"/>
                <w:szCs w:val="22"/>
                <w:color w:val="auto"/>
              </w:rPr>
            </w:pPr>
          </w:p>
        </w:tc>
        <w:tc>
          <w:tcPr>
            <w:tcW w:w="2100" w:type="dxa"/>
            <w:vAlign w:val="bottom"/>
            <w:tcBorders>
              <w:bottom w:val="single" w:sz="8" w:color="83AD40"/>
            </w:tcBorders>
          </w:tcPr>
          <w:p>
            <w:pPr>
              <w:spacing w:after="0"/>
              <w:rPr>
                <w:sz w:val="22"/>
                <w:szCs w:val="22"/>
                <w:color w:val="auto"/>
              </w:rPr>
            </w:pPr>
          </w:p>
        </w:tc>
        <w:tc>
          <w:tcPr>
            <w:tcW w:w="220" w:type="dxa"/>
            <w:vAlign w:val="bottom"/>
            <w:tcBorders>
              <w:bottom w:val="single" w:sz="8" w:color="83AD40"/>
              <w:right w:val="single" w:sz="8" w:color="83AD40"/>
            </w:tcBorders>
          </w:tcPr>
          <w:p>
            <w:pPr>
              <w:spacing w:after="0"/>
              <w:rPr>
                <w:sz w:val="22"/>
                <w:szCs w:val="22"/>
                <w:color w:val="auto"/>
              </w:rPr>
            </w:pPr>
          </w:p>
        </w:tc>
        <w:tc>
          <w:tcPr>
            <w:tcW w:w="100" w:type="dxa"/>
            <w:vAlign w:val="bottom"/>
            <w:tcBorders>
              <w:bottom w:val="single" w:sz="8" w:color="83AD40"/>
            </w:tcBorders>
          </w:tcPr>
          <w:p>
            <w:pPr>
              <w:spacing w:after="0"/>
              <w:rPr>
                <w:sz w:val="22"/>
                <w:szCs w:val="22"/>
                <w:color w:val="auto"/>
              </w:rPr>
            </w:pPr>
          </w:p>
        </w:tc>
        <w:tc>
          <w:tcPr>
            <w:tcW w:w="2220" w:type="dxa"/>
            <w:vAlign w:val="bottom"/>
            <w:tcBorders>
              <w:bottom w:val="single" w:sz="8" w:color="83AD40"/>
              <w:right w:val="single" w:sz="8" w:color="83AD40"/>
            </w:tcBorders>
          </w:tcPr>
          <w:p>
            <w:pPr>
              <w:spacing w:after="0"/>
              <w:rPr>
                <w:sz w:val="22"/>
                <w:szCs w:val="22"/>
                <w:color w:val="auto"/>
              </w:rPr>
            </w:pPr>
          </w:p>
        </w:tc>
        <w:tc>
          <w:tcPr>
            <w:tcW w:w="100" w:type="dxa"/>
            <w:vAlign w:val="bottom"/>
            <w:tcBorders>
              <w:bottom w:val="single" w:sz="8" w:color="83AD40"/>
            </w:tcBorders>
          </w:tcPr>
          <w:p>
            <w:pPr>
              <w:spacing w:after="0"/>
              <w:rPr>
                <w:sz w:val="22"/>
                <w:szCs w:val="22"/>
                <w:color w:val="auto"/>
              </w:rPr>
            </w:pPr>
          </w:p>
        </w:tc>
        <w:tc>
          <w:tcPr>
            <w:tcW w:w="2140" w:type="dxa"/>
            <w:vAlign w:val="bottom"/>
            <w:tcBorders>
              <w:bottom w:val="single" w:sz="8" w:color="83AD40"/>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1"/>
        </w:trPr>
        <w:tc>
          <w:tcPr>
            <w:tcW w:w="1400" w:type="dxa"/>
            <w:vAlign w:val="bottom"/>
          </w:tcPr>
          <w:p>
            <w:pPr>
              <w:spacing w:after="0"/>
              <w:rPr>
                <w:sz w:val="20"/>
                <w:szCs w:val="20"/>
                <w:color w:val="auto"/>
              </w:rPr>
            </w:pPr>
            <w:r>
              <w:rPr>
                <w:rFonts w:ascii="Arial" w:cs="Arial" w:eastAsia="Arial" w:hAnsi="Arial"/>
                <w:sz w:val="16"/>
                <w:szCs w:val="16"/>
                <w:color w:val="auto"/>
              </w:rPr>
              <w:t>​</w:t>
            </w:r>
          </w:p>
        </w:tc>
        <w:tc>
          <w:tcPr>
            <w:tcW w:w="2880" w:type="dxa"/>
            <w:vAlign w:val="bottom"/>
            <w:gridSpan w:val="3"/>
          </w:tcPr>
          <w:p>
            <w:pPr>
              <w:ind w:left="60"/>
              <w:spacing w:after="0"/>
              <w:rPr>
                <w:sz w:val="20"/>
                <w:szCs w:val="20"/>
                <w:color w:val="auto"/>
              </w:rPr>
            </w:pPr>
            <w:r>
              <w:rPr>
                <w:rFonts w:ascii="Arial" w:cs="Arial" w:eastAsia="Arial" w:hAnsi="Arial"/>
                <w:sz w:val="32"/>
                <w:szCs w:val="32"/>
                <w:color w:val="000000"/>
                <w:vertAlign w:val="superscript"/>
              </w:rPr>
              <w:t>​ ​</w:t>
            </w:r>
            <w:r>
              <w:rPr>
                <w:rFonts w:ascii="Arial" w:cs="Arial" w:eastAsia="Arial" w:hAnsi="Arial"/>
                <w:sz w:val="20"/>
                <w:szCs w:val="20"/>
                <w:b w:val="1"/>
                <w:bCs w:val="1"/>
                <w:color w:val="83AD40"/>
              </w:rPr>
              <w:t xml:space="preserve"> ESG Oversight</w:t>
            </w:r>
            <w:r>
              <w:rPr>
                <w:rFonts w:ascii="Arial" w:cs="Arial" w:eastAsia="Arial" w:hAnsi="Arial"/>
                <w:sz w:val="16"/>
                <w:szCs w:val="16"/>
                <w:color w:val="000000"/>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2"/>
          </w:tcPr>
          <w:p>
            <w:pPr>
              <w:ind w:left="2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-180340</wp:posOffset>
            </wp:positionV>
            <wp:extent cx="865505" cy="8655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65505" cy="865505"/>
                    </a:xfrm>
                    <a:prstGeom prst="rect">
                      <a:avLst/>
                    </a:prstGeom>
                    <a:noFill/>
                  </pic:spPr>
                </pic:pic>
              </a:graphicData>
            </a:graphic>
          </wp:anchor>
        </w:drawing>
      </w:r>
    </w:p>
    <w:p>
      <w:pPr>
        <w:spacing w:after="0" w:line="31" w:lineRule="exact"/>
        <w:rPr>
          <w:sz w:val="20"/>
          <w:szCs w:val="20"/>
          <w:color w:val="auto"/>
        </w:rPr>
      </w:pPr>
    </w:p>
    <w:p>
      <w:pPr>
        <w:ind w:left="2660" w:right="380" w:hanging="156"/>
        <w:spacing w:after="0" w:line="248" w:lineRule="auto"/>
        <w:tabs>
          <w:tab w:leader="none" w:pos="2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Reflecting its importance to our long-term strategic plan, the Board has designated the oversight of ESG matters, including related strategy and risk, to the Nominating and Corporate Governance Committee.</w:t>
      </w:r>
    </w:p>
    <w:p>
      <w:pPr>
        <w:spacing w:after="0" w:line="37" w:lineRule="exact"/>
        <w:rPr>
          <w:rFonts w:ascii="Arial" w:cs="Arial" w:eastAsia="Arial" w:hAnsi="Arial"/>
          <w:sz w:val="16"/>
          <w:szCs w:val="16"/>
          <w:color w:val="auto"/>
        </w:rPr>
      </w:pPr>
    </w:p>
    <w:p>
      <w:pPr>
        <w:ind w:left="2660" w:right="180" w:hanging="156"/>
        <w:spacing w:after="0" w:line="268" w:lineRule="auto"/>
        <w:tabs>
          <w:tab w:leader="none" w:pos="2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At the management level, ESG and human capital initiatives are overseen by Edward V. Piccinich, SL Green’s Chief Operating Officer.</w:t>
      </w:r>
    </w:p>
    <w:p>
      <w:pPr>
        <w:spacing w:after="0" w:line="21" w:lineRule="exact"/>
        <w:rPr>
          <w:rFonts w:ascii="Arial" w:cs="Arial" w:eastAsia="Arial" w:hAnsi="Arial"/>
          <w:sz w:val="16"/>
          <w:szCs w:val="16"/>
          <w:color w:val="auto"/>
        </w:rPr>
      </w:pPr>
    </w:p>
    <w:p>
      <w:pPr>
        <w:ind w:left="2660" w:right="740" w:hanging="156"/>
        <w:spacing w:after="0" w:line="268" w:lineRule="auto"/>
        <w:tabs>
          <w:tab w:leader="none" w:pos="2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Annual ESG reporting is conducted in accordance with GRI, CDP, GRESB, SASB, and TCFD frameworks.</w:t>
      </w:r>
    </w:p>
    <w:p>
      <w:pPr>
        <w:spacing w:after="0" w:line="21" w:lineRule="exact"/>
        <w:rPr>
          <w:rFonts w:ascii="Arial" w:cs="Arial" w:eastAsia="Arial" w:hAnsi="Arial"/>
          <w:sz w:val="16"/>
          <w:szCs w:val="16"/>
          <w:color w:val="auto"/>
        </w:rPr>
      </w:pPr>
    </w:p>
    <w:p>
      <w:pPr>
        <w:ind w:left="2660" w:hanging="156"/>
        <w:spacing w:after="0"/>
        <w:tabs>
          <w:tab w:leader="none" w:pos="2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Environmental performance data is assured by a third party.</w:t>
      </w:r>
    </w:p>
    <w:p>
      <w:pPr>
        <w:spacing w:after="0" w:line="45" w:lineRule="exact"/>
        <w:rPr>
          <w:rFonts w:ascii="Arial" w:cs="Arial" w:eastAsia="Arial" w:hAnsi="Arial"/>
          <w:sz w:val="16"/>
          <w:szCs w:val="16"/>
          <w:color w:val="auto"/>
        </w:rPr>
      </w:pPr>
    </w:p>
    <w:p>
      <w:pPr>
        <w:ind w:left="2660" w:right="560" w:hanging="156"/>
        <w:spacing w:after="0" w:line="257" w:lineRule="auto"/>
        <w:tabs>
          <w:tab w:leader="none" w:pos="2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Physical environmental risk factors and transition risks related to environmental legislation are mitigated by energy management, long-term capital investments in energy efficiency, and tenant programs focused on sustainability.</w:t>
      </w:r>
    </w:p>
    <w:p>
      <w:pPr>
        <w:spacing w:after="0" w:line="29" w:lineRule="exact"/>
        <w:rPr>
          <w:rFonts w:ascii="Arial" w:cs="Arial" w:eastAsia="Arial" w:hAnsi="Arial"/>
          <w:sz w:val="16"/>
          <w:szCs w:val="16"/>
          <w:color w:val="auto"/>
        </w:rPr>
      </w:pPr>
    </w:p>
    <w:p>
      <w:pPr>
        <w:ind w:left="2660" w:hanging="156"/>
        <w:spacing w:after="0"/>
        <w:tabs>
          <w:tab w:leader="none" w:pos="2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More information can be found in the 2024 ESG Report.</w:t>
      </w:r>
    </w:p>
    <w:p>
      <w:pPr>
        <w:spacing w:after="0" w:line="194" w:lineRule="exact"/>
        <w:rPr>
          <w:sz w:val="20"/>
          <w:szCs w:val="20"/>
          <w:color w:val="auto"/>
        </w:rPr>
      </w:pPr>
    </w:p>
    <w:p>
      <w:pPr>
        <w:ind w:left="820"/>
        <w:spacing w:after="0"/>
        <w:tabs>
          <w:tab w:leader="none" w:pos="2260" w:val="left"/>
          <w:tab w:leader="none" w:pos="98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 ​</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-115570</wp:posOffset>
            </wp:positionV>
            <wp:extent cx="57607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43"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83AD40"/>
        </w:rPr>
        <w:t>Emission Management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-130175</wp:posOffset>
            </wp:positionV>
            <wp:extent cx="608330" cy="8229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08330" cy="822960"/>
                    </a:xfrm>
                    <a:prstGeom prst="rect">
                      <a:avLst/>
                    </a:prstGeom>
                    <a:noFill/>
                  </pic:spPr>
                </pic:pic>
              </a:graphicData>
            </a:graphic>
          </wp:anchor>
        </w:drawing>
      </w:r>
    </w:p>
    <w:p>
      <w:pPr>
        <w:spacing w:after="0" w:line="70" w:lineRule="exact"/>
        <w:rPr>
          <w:sz w:val="20"/>
          <w:szCs w:val="20"/>
          <w:color w:val="auto"/>
        </w:rPr>
      </w:pPr>
    </w:p>
    <w:p>
      <w:pPr>
        <w:ind w:left="2840" w:hanging="174"/>
        <w:spacing w:after="0"/>
        <w:tabs>
          <w:tab w:leader="none" w:pos="28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Operational Efficiency</w:t>
      </w:r>
    </w:p>
    <w:p>
      <w:pPr>
        <w:spacing w:after="0" w:line="113" w:lineRule="exact"/>
        <w:rPr>
          <w:rFonts w:ascii="Arial" w:cs="Arial" w:eastAsia="Arial" w:hAnsi="Arial"/>
          <w:sz w:val="16"/>
          <w:szCs w:val="16"/>
          <w:color w:val="auto"/>
        </w:rPr>
      </w:pPr>
    </w:p>
    <w:p>
      <w:pPr>
        <w:ind w:left="2840" w:hanging="174"/>
        <w:spacing w:after="0"/>
        <w:tabs>
          <w:tab w:leader="none" w:pos="28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Capital Improvements</w:t>
      </w:r>
    </w:p>
    <w:p>
      <w:pPr>
        <w:spacing w:after="0" w:line="99" w:lineRule="exact"/>
        <w:rPr>
          <w:rFonts w:ascii="Arial" w:cs="Arial" w:eastAsia="Arial" w:hAnsi="Arial"/>
          <w:sz w:val="16"/>
          <w:szCs w:val="16"/>
          <w:color w:val="auto"/>
        </w:rPr>
      </w:pPr>
    </w:p>
    <w:p>
      <w:pPr>
        <w:ind w:left="2840" w:hanging="174"/>
        <w:spacing w:after="0"/>
        <w:tabs>
          <w:tab w:leader="none" w:pos="28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Energy Demand Management</w:t>
      </w:r>
    </w:p>
    <w:p>
      <w:pPr>
        <w:spacing w:after="0" w:line="99" w:lineRule="exact"/>
        <w:rPr>
          <w:rFonts w:ascii="Arial" w:cs="Arial" w:eastAsia="Arial" w:hAnsi="Arial"/>
          <w:sz w:val="16"/>
          <w:szCs w:val="16"/>
          <w:color w:val="auto"/>
        </w:rPr>
      </w:pPr>
    </w:p>
    <w:p>
      <w:pPr>
        <w:ind w:left="2840" w:hanging="174"/>
        <w:spacing w:after="0"/>
        <w:tabs>
          <w:tab w:leader="none" w:pos="28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Training &amp; Development</w:t>
      </w:r>
    </w:p>
    <w:p>
      <w:pPr>
        <w:spacing w:after="0" w:line="113" w:lineRule="exact"/>
        <w:rPr>
          <w:rFonts w:ascii="Arial" w:cs="Arial" w:eastAsia="Arial" w:hAnsi="Arial"/>
          <w:sz w:val="16"/>
          <w:szCs w:val="16"/>
          <w:color w:val="auto"/>
        </w:rPr>
      </w:pPr>
    </w:p>
    <w:p>
      <w:pPr>
        <w:ind w:left="2840" w:hanging="174"/>
        <w:spacing w:after="0"/>
        <w:tabs>
          <w:tab w:leader="none" w:pos="28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Tenant Engagement</w:t>
      </w:r>
    </w:p>
    <w:p>
      <w:pPr>
        <w:spacing w:after="0" w:line="99" w:lineRule="exact"/>
        <w:rPr>
          <w:rFonts w:ascii="Arial" w:cs="Arial" w:eastAsia="Arial" w:hAnsi="Arial"/>
          <w:sz w:val="16"/>
          <w:szCs w:val="16"/>
          <w:color w:val="auto"/>
        </w:rPr>
      </w:pPr>
    </w:p>
    <w:p>
      <w:pPr>
        <w:ind w:left="2840" w:hanging="174"/>
        <w:spacing w:after="0"/>
        <w:tabs>
          <w:tab w:leader="none" w:pos="28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Embodied Carbon Reduction</w:t>
      </w:r>
    </w:p>
    <w:p>
      <w:pPr>
        <w:spacing w:after="0" w:line="99" w:lineRule="exact"/>
        <w:rPr>
          <w:rFonts w:ascii="Arial" w:cs="Arial" w:eastAsia="Arial" w:hAnsi="Arial"/>
          <w:sz w:val="16"/>
          <w:szCs w:val="16"/>
          <w:color w:val="auto"/>
        </w:rPr>
      </w:pPr>
    </w:p>
    <w:p>
      <w:pPr>
        <w:ind w:left="2840" w:hanging="174"/>
        <w:spacing w:after="0"/>
        <w:tabs>
          <w:tab w:leader="none" w:pos="28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Supply Chain Management</w:t>
      </w:r>
    </w:p>
    <w:p>
      <w:pPr>
        <w:spacing w:after="0" w:line="113" w:lineRule="exact"/>
        <w:rPr>
          <w:rFonts w:ascii="Arial" w:cs="Arial" w:eastAsia="Arial" w:hAnsi="Arial"/>
          <w:sz w:val="16"/>
          <w:szCs w:val="16"/>
          <w:color w:val="auto"/>
        </w:rPr>
      </w:pPr>
    </w:p>
    <w:p>
      <w:pPr>
        <w:ind w:left="2840" w:hanging="174"/>
        <w:spacing w:after="0"/>
        <w:tabs>
          <w:tab w:leader="none" w:pos="28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Renewables, Credits &amp; Offsets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1268095</wp:posOffset>
            </wp:positionV>
            <wp:extent cx="683196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6260" w:type="dxa"/>
            <w:vAlign w:val="bottom"/>
          </w:tcPr>
          <w:p>
            <w:pPr>
              <w:spacing w:after="0"/>
              <w:rPr>
                <w:sz w:val="20"/>
                <w:szCs w:val="20"/>
                <w:color w:val="auto"/>
              </w:rPr>
            </w:pPr>
            <w:r>
              <w:rPr>
                <w:rFonts w:ascii="Arial" w:cs="Arial" w:eastAsia="Arial" w:hAnsi="Arial"/>
                <w:sz w:val="14"/>
                <w:szCs w:val="14"/>
                <w:b w:val="1"/>
                <w:bCs w:val="1"/>
                <w:color w:val="auto"/>
              </w:rPr>
              <w:t>​</w:t>
            </w:r>
          </w:p>
        </w:tc>
        <w:tc>
          <w:tcPr>
            <w:tcW w:w="2320" w:type="dxa"/>
            <w:vAlign w:val="bottom"/>
          </w:tcPr>
          <w:p>
            <w:pPr>
              <w:ind w:left="1940"/>
              <w:spacing w:after="0"/>
              <w:rPr>
                <w:sz w:val="20"/>
                <w:szCs w:val="20"/>
                <w:color w:val="auto"/>
              </w:rPr>
            </w:pPr>
            <w:r>
              <w:rPr>
                <w:rFonts w:ascii="Arial" w:cs="Arial" w:eastAsia="Arial" w:hAnsi="Arial"/>
                <w:sz w:val="14"/>
                <w:szCs w:val="14"/>
                <w:b w:val="1"/>
                <w:bCs w:val="1"/>
                <w:color w:val="auto"/>
              </w:rPr>
              <w:t>​ ​</w:t>
            </w:r>
          </w:p>
        </w:tc>
        <w:tc>
          <w:tcPr>
            <w:tcW w:w="480" w:type="dxa"/>
            <w:vAlign w:val="bottom"/>
            <w:vMerge w:val="restart"/>
          </w:tcPr>
          <w:p>
            <w:pPr>
              <w:jc w:val="right"/>
              <w:spacing w:after="0"/>
              <w:rPr>
                <w:sz w:val="20"/>
                <w:szCs w:val="20"/>
                <w:color w:val="auto"/>
              </w:rPr>
            </w:pPr>
            <w:r>
              <w:rPr>
                <w:rFonts w:ascii="Arial" w:cs="Arial" w:eastAsia="Arial" w:hAnsi="Arial"/>
                <w:sz w:val="22"/>
                <w:szCs w:val="22"/>
                <w:b w:val="1"/>
                <w:bCs w:val="1"/>
                <w:color w:val="1F2668"/>
              </w:rPr>
              <w:t>35</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6260" w:type="dxa"/>
            <w:vAlign w:val="bottom"/>
          </w:tcPr>
          <w:p>
            <w:pPr>
              <w:spacing w:after="0"/>
              <w:rPr>
                <w:sz w:val="20"/>
                <w:szCs w:val="20"/>
                <w:color w:val="auto"/>
              </w:rPr>
            </w:pPr>
            <w:r>
              <w:rPr>
                <w:rFonts w:ascii="Arial" w:cs="Arial" w:eastAsia="Arial" w:hAnsi="Arial"/>
                <w:sz w:val="14"/>
                <w:szCs w:val="14"/>
                <w:b w:val="1"/>
                <w:bCs w:val="1"/>
                <w:color w:val="auto"/>
              </w:rPr>
              <w:t>OUR BOARD OF DIRECTORS AND CORPORATE GOVERNANCE</w:t>
            </w:r>
          </w:p>
        </w:tc>
        <w:tc>
          <w:tcPr>
            <w:tcW w:w="232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226695</wp:posOffset>
            </wp:positionV>
            <wp:extent cx="17145" cy="162877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7145" cy="1628775"/>
                    </a:xfrm>
                    <a:prstGeom prst="rect">
                      <a:avLst/>
                    </a:prstGeom>
                    <a:noFill/>
                  </pic:spPr>
                </pic:pic>
              </a:graphicData>
            </a:graphic>
          </wp:anchor>
        </w:drawing>
        <w:drawing>
          <wp:anchor simplePos="0" relativeHeight="251657728" behindDoc="1" locked="0" layoutInCell="0" allowOverlap="1">
            <wp:simplePos x="0" y="0"/>
            <wp:positionH relativeFrom="column">
              <wp:posOffset>1605915</wp:posOffset>
            </wp:positionH>
            <wp:positionV relativeFrom="paragraph">
              <wp:posOffset>226695</wp:posOffset>
            </wp:positionV>
            <wp:extent cx="17145" cy="162877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7145" cy="162877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920" w:hanging="104"/>
        <w:spacing w:after="0"/>
        <w:tabs>
          <w:tab w:leader="none" w:pos="920" w:val="left"/>
        </w:tabs>
        <w:numPr>
          <w:ilvl w:val="0"/>
          <w:numId w:val="40"/>
        </w:numPr>
        <w:rPr>
          <w:rFonts w:ascii="Arial" w:cs="Arial" w:eastAsia="Arial" w:hAnsi="Arial"/>
          <w:sz w:val="9"/>
          <w:szCs w:val="9"/>
          <w:color w:val="auto"/>
        </w:rPr>
      </w:pPr>
      <w:r>
        <w:rPr>
          <w:rFonts w:ascii="Arial" w:cs="Arial" w:eastAsia="Arial" w:hAnsi="Arial"/>
          <w:sz w:val="10"/>
          <w:szCs w:val="10"/>
          <w:color w:val="auto"/>
          <w:vertAlign w:val="subscript"/>
        </w:rPr>
        <w:t> </w:t>
      </w:r>
    </w:p>
    <w:p>
      <w:pPr>
        <w:spacing w:after="0" w:line="200" w:lineRule="exact"/>
        <w:rPr>
          <w:rFonts w:ascii="Arial" w:cs="Arial" w:eastAsia="Arial" w:hAnsi="Arial"/>
          <w:sz w:val="9"/>
          <w:szCs w:val="9"/>
          <w:color w:val="auto"/>
        </w:rPr>
      </w:pPr>
    </w:p>
    <w:p>
      <w:pPr>
        <w:spacing w:after="0" w:line="269" w:lineRule="exact"/>
        <w:rPr>
          <w:rFonts w:ascii="Arial" w:cs="Arial" w:eastAsia="Arial" w:hAnsi="Arial"/>
          <w:sz w:val="9"/>
          <w:szCs w:val="9"/>
          <w:color w:val="auto"/>
        </w:rPr>
      </w:pPr>
    </w:p>
    <w:p>
      <w:pPr>
        <w:ind w:left="920" w:hanging="104"/>
        <w:spacing w:after="0"/>
        <w:tabs>
          <w:tab w:leader="none" w:pos="9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41"/>
        </w:trPr>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top w:val="single" w:sz="8" w:color="83AD40"/>
            </w:tcBorders>
          </w:tcPr>
          <w:p>
            <w:pPr>
              <w:spacing w:after="0"/>
              <w:rPr>
                <w:sz w:val="24"/>
                <w:szCs w:val="24"/>
                <w:color w:val="auto"/>
              </w:rPr>
            </w:pPr>
          </w:p>
        </w:tc>
        <w:tc>
          <w:tcPr>
            <w:tcW w:w="460" w:type="dxa"/>
            <w:vAlign w:val="bottom"/>
            <w:tcBorders>
              <w:top w:val="single" w:sz="8" w:color="83AD40"/>
            </w:tcBorders>
          </w:tcPr>
          <w:p>
            <w:pPr>
              <w:ind w:left="20"/>
              <w:spacing w:after="0"/>
              <w:rPr>
                <w:sz w:val="20"/>
                <w:szCs w:val="20"/>
                <w:color w:val="auto"/>
              </w:rPr>
            </w:pPr>
            <w:r>
              <w:rPr>
                <w:rFonts w:ascii="Arial" w:cs="Arial" w:eastAsia="Arial" w:hAnsi="Arial"/>
                <w:sz w:val="20"/>
                <w:szCs w:val="20"/>
                <w:b w:val="1"/>
                <w:bCs w:val="1"/>
                <w:color w:val="auto"/>
              </w:rPr>
              <w:t>​</w:t>
            </w:r>
          </w:p>
        </w:tc>
        <w:tc>
          <w:tcPr>
            <w:tcW w:w="5620" w:type="dxa"/>
            <w:vAlign w:val="bottom"/>
            <w:tcBorders>
              <w:top w:val="single" w:sz="8" w:color="83AD40"/>
            </w:tcBorders>
            <w:gridSpan w:val="2"/>
          </w:tcPr>
          <w:p>
            <w:pPr>
              <w:jc w:val="center"/>
              <w:ind w:right="179"/>
              <w:spacing w:after="0"/>
              <w:rPr>
                <w:sz w:val="20"/>
                <w:szCs w:val="20"/>
                <w:color w:val="auto"/>
              </w:rPr>
            </w:pPr>
            <w:r>
              <w:rPr>
                <w:rFonts w:ascii="Arial" w:cs="Arial" w:eastAsia="Arial" w:hAnsi="Arial"/>
                <w:sz w:val="20"/>
                <w:szCs w:val="20"/>
                <w:b w:val="1"/>
                <w:bCs w:val="1"/>
                <w:color w:val="auto"/>
                <w:w w:val="96"/>
              </w:rPr>
              <w:t>SCOPE 1, 2, AND 3—CAPITAL GOODS TARGETS:</w:t>
            </w:r>
          </w:p>
        </w:tc>
        <w:tc>
          <w:tcPr>
            <w:tcW w:w="240" w:type="dxa"/>
            <w:vAlign w:val="bottom"/>
            <w:tcBorders>
              <w:top w:val="single" w:sz="8" w:color="83AD40"/>
            </w:tcBorders>
          </w:tcPr>
          <w:p>
            <w:pPr>
              <w:ind w:left="180"/>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620" w:type="dxa"/>
            <w:vAlign w:val="bottom"/>
            <w:gridSpan w:val="2"/>
          </w:tcPr>
          <w:p>
            <w:pPr>
              <w:jc w:val="center"/>
              <w:ind w:right="139"/>
              <w:spacing w:after="0"/>
              <w:rPr>
                <w:sz w:val="20"/>
                <w:szCs w:val="20"/>
                <w:color w:val="auto"/>
              </w:rPr>
            </w:pPr>
            <w:r>
              <w:rPr>
                <w:rFonts w:ascii="Arial" w:cs="Arial" w:eastAsia="Arial" w:hAnsi="Arial"/>
                <w:sz w:val="20"/>
                <w:szCs w:val="20"/>
                <w:b w:val="1"/>
                <w:bCs w:val="1"/>
                <w:color w:val="83AD40"/>
                <w:w w:val="99"/>
              </w:rPr>
              <w:t>Validated by SBTi</w:t>
            </w:r>
            <w:r>
              <w:rPr>
                <w:rFonts w:ascii="Arial" w:cs="Arial" w:eastAsia="Arial" w:hAnsi="Arial"/>
                <w:sz w:val="16"/>
                <w:szCs w:val="16"/>
                <w:color w:val="000000"/>
                <w:w w:val="99"/>
              </w:rPr>
              <w:t>​</w:t>
            </w: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Borders>
              <w:bottom w:val="single" w:sz="8" w:color="83AD40"/>
            </w:tcBorders>
          </w:tcPr>
          <w:p>
            <w:pPr>
              <w:spacing w:after="0"/>
              <w:rPr>
                <w:sz w:val="8"/>
                <w:szCs w:val="8"/>
                <w:color w:val="auto"/>
              </w:rPr>
            </w:pPr>
          </w:p>
        </w:tc>
        <w:tc>
          <w:tcPr>
            <w:tcW w:w="460" w:type="dxa"/>
            <w:vAlign w:val="bottom"/>
            <w:tcBorders>
              <w:bottom w:val="single" w:sz="8" w:color="83AD40"/>
            </w:tcBorders>
          </w:tcPr>
          <w:p>
            <w:pPr>
              <w:spacing w:after="0"/>
              <w:rPr>
                <w:sz w:val="8"/>
                <w:szCs w:val="8"/>
                <w:color w:val="auto"/>
              </w:rPr>
            </w:pPr>
          </w:p>
        </w:tc>
        <w:tc>
          <w:tcPr>
            <w:tcW w:w="2640" w:type="dxa"/>
            <w:vAlign w:val="bottom"/>
            <w:tcBorders>
              <w:bottom w:val="single" w:sz="8" w:color="83AD40"/>
            </w:tcBorders>
          </w:tcPr>
          <w:p>
            <w:pPr>
              <w:spacing w:after="0"/>
              <w:rPr>
                <w:sz w:val="8"/>
                <w:szCs w:val="8"/>
                <w:color w:val="auto"/>
              </w:rPr>
            </w:pPr>
          </w:p>
        </w:tc>
        <w:tc>
          <w:tcPr>
            <w:tcW w:w="2980" w:type="dxa"/>
            <w:vAlign w:val="bottom"/>
            <w:tcBorders>
              <w:bottom w:val="single" w:sz="8" w:color="83AD40"/>
            </w:tcBorders>
          </w:tcPr>
          <w:p>
            <w:pPr>
              <w:spacing w:after="0"/>
              <w:rPr>
                <w:sz w:val="8"/>
                <w:szCs w:val="8"/>
                <w:color w:val="auto"/>
              </w:rPr>
            </w:pPr>
          </w:p>
        </w:tc>
        <w:tc>
          <w:tcPr>
            <w:tcW w:w="240" w:type="dxa"/>
            <w:vAlign w:val="bottom"/>
            <w:tcBorders>
              <w:bottom w:val="single" w:sz="8" w:color="83AD40"/>
            </w:tcBorders>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6"/>
                <w:szCs w:val="16"/>
                <w:color w:val="auto"/>
              </w:rPr>
              <w:t>​</w:t>
            </w:r>
          </w:p>
        </w:tc>
        <w:tc>
          <w:tcPr>
            <w:tcW w:w="26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40" w:type="dxa"/>
            <w:vAlign w:val="bottom"/>
          </w:tcPr>
          <w:p>
            <w:pPr>
              <w:ind w:left="16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80" w:type="dxa"/>
            <w:vAlign w:val="bottom"/>
            <w:gridSpan w:val="3"/>
          </w:tcPr>
          <w:p>
            <w:pPr>
              <w:ind w:left="40"/>
              <w:spacing w:after="0"/>
              <w:rPr>
                <w:sz w:val="20"/>
                <w:szCs w:val="20"/>
                <w:color w:val="auto"/>
              </w:rPr>
            </w:pPr>
            <w:r>
              <w:rPr>
                <w:rFonts w:ascii="Arial" w:cs="Arial" w:eastAsia="Arial" w:hAnsi="Arial"/>
                <w:sz w:val="16"/>
                <w:szCs w:val="16"/>
                <w:b w:val="1"/>
                <w:bCs w:val="1"/>
                <w:color w:val="83AD40"/>
              </w:rPr>
              <w:t>2023</w:t>
            </w:r>
            <w:r>
              <w:rPr>
                <w:rFonts w:ascii="Arial" w:cs="Arial" w:eastAsia="Arial" w:hAnsi="Arial"/>
                <w:sz w:val="16"/>
                <w:szCs w:val="16"/>
                <w:color w:val="000000"/>
              </w:rPr>
              <w:t>: SLG emissions reduction targets were validated by SBTi.</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80" w:type="dxa"/>
            <w:vAlign w:val="bottom"/>
            <w:gridSpan w:val="3"/>
          </w:tcPr>
          <w:p>
            <w:pPr>
              <w:ind w:left="40"/>
              <w:spacing w:after="0"/>
              <w:rPr>
                <w:sz w:val="20"/>
                <w:szCs w:val="20"/>
                <w:color w:val="auto"/>
              </w:rPr>
            </w:pPr>
            <w:r>
              <w:rPr>
                <w:rFonts w:ascii="Arial" w:cs="Arial" w:eastAsia="Arial" w:hAnsi="Arial"/>
                <w:sz w:val="16"/>
                <w:szCs w:val="16"/>
                <w:color w:val="auto"/>
              </w:rPr>
              <w:t>SLG is committed to reduce absolute Scope 1 and Scope 2 emissions 50.4%</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80" w:type="dxa"/>
            <w:vAlign w:val="bottom"/>
            <w:gridSpan w:val="3"/>
          </w:tcPr>
          <w:p>
            <w:pPr>
              <w:ind w:left="40"/>
              <w:spacing w:after="0"/>
              <w:rPr>
                <w:sz w:val="20"/>
                <w:szCs w:val="20"/>
                <w:color w:val="auto"/>
              </w:rPr>
            </w:pPr>
            <w:r>
              <w:rPr>
                <w:rFonts w:ascii="Arial" w:cs="Arial" w:eastAsia="Arial" w:hAnsi="Arial"/>
                <w:sz w:val="16"/>
                <w:szCs w:val="16"/>
                <w:color w:val="auto"/>
              </w:rPr>
              <w:t>and Scope 3 (Capital Goods) emissions 30% by 2031 from a 2019 base year.</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80" w:type="dxa"/>
            <w:vAlign w:val="bottom"/>
            <w:gridSpan w:val="3"/>
          </w:tcPr>
          <w:p>
            <w:pPr>
              <w:ind w:left="40"/>
              <w:spacing w:after="0"/>
              <w:rPr>
                <w:sz w:val="20"/>
                <w:szCs w:val="20"/>
                <w:color w:val="auto"/>
              </w:rPr>
            </w:pPr>
            <w:r>
              <w:rPr>
                <w:rFonts w:ascii="Arial" w:cs="Arial" w:eastAsia="Arial" w:hAnsi="Arial"/>
                <w:sz w:val="16"/>
                <w:szCs w:val="16"/>
                <w:b w:val="1"/>
                <w:bCs w:val="1"/>
                <w:color w:val="83AD40"/>
              </w:rPr>
              <w:t>2025</w:t>
            </w:r>
            <w:r>
              <w:rPr>
                <w:rFonts w:ascii="Arial" w:cs="Arial" w:eastAsia="Arial" w:hAnsi="Arial"/>
                <w:sz w:val="16"/>
                <w:szCs w:val="16"/>
                <w:color w:val="000000"/>
              </w:rPr>
              <w:t>: We will be reevaluating our targets based on SBTi’s recent release of Building</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80" w:type="dxa"/>
            <w:vAlign w:val="bottom"/>
            <w:gridSpan w:val="3"/>
          </w:tcPr>
          <w:p>
            <w:pPr>
              <w:ind w:left="40"/>
              <w:spacing w:after="0"/>
              <w:rPr>
                <w:sz w:val="20"/>
                <w:szCs w:val="20"/>
                <w:color w:val="auto"/>
              </w:rPr>
            </w:pPr>
            <w:r>
              <w:rPr>
                <w:rFonts w:ascii="Arial" w:cs="Arial" w:eastAsia="Arial" w:hAnsi="Arial"/>
                <w:sz w:val="16"/>
                <w:szCs w:val="16"/>
                <w:color w:val="auto"/>
              </w:rPr>
              <w:t>Sector guidance, which includes target-setting methodologies and tools that were</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280" w:type="dxa"/>
            <w:vAlign w:val="bottom"/>
            <w:gridSpan w:val="3"/>
          </w:tcPr>
          <w:p>
            <w:pPr>
              <w:spacing w:after="0"/>
              <w:rPr>
                <w:sz w:val="20"/>
                <w:szCs w:val="20"/>
                <w:color w:val="auto"/>
              </w:rPr>
            </w:pPr>
            <w:r>
              <w:rPr>
                <w:rFonts w:ascii="Arial" w:cs="Arial" w:eastAsia="Arial" w:hAnsi="Arial"/>
                <w:sz w:val="16"/>
                <w:szCs w:val="16"/>
                <w:color w:val="auto"/>
              </w:rPr>
              <w:t>​ ​ ​</w:t>
            </w:r>
          </w:p>
        </w:tc>
        <w:tc>
          <w:tcPr>
            <w:tcW w:w="3100" w:type="dxa"/>
            <w:vAlign w:val="bottom"/>
            <w:gridSpan w:val="2"/>
          </w:tcPr>
          <w:p>
            <w:pPr>
              <w:ind w:left="40"/>
              <w:spacing w:after="0"/>
              <w:rPr>
                <w:sz w:val="20"/>
                <w:szCs w:val="20"/>
                <w:color w:val="auto"/>
              </w:rPr>
            </w:pPr>
            <w:r>
              <w:rPr>
                <w:rFonts w:ascii="Arial" w:cs="Arial" w:eastAsia="Arial" w:hAnsi="Arial"/>
                <w:sz w:val="16"/>
                <w:szCs w:val="16"/>
                <w:color w:val="auto"/>
              </w:rPr>
              <w:t>not previously tailored to our industry.</w:t>
            </w:r>
          </w:p>
        </w:tc>
        <w:tc>
          <w:tcPr>
            <w:tcW w:w="2980" w:type="dxa"/>
            <w:vAlign w:val="bottom"/>
          </w:tcPr>
          <w:p>
            <w:pPr>
              <w:ind w:left="420"/>
              <w:spacing w:after="0"/>
              <w:rPr>
                <w:sz w:val="20"/>
                <w:szCs w:val="20"/>
                <w:color w:val="auto"/>
              </w:rPr>
            </w:pPr>
            <w:r>
              <w:rPr>
                <w:rFonts w:ascii="Arial" w:cs="Arial" w:eastAsia="Arial" w:hAnsi="Arial"/>
                <w:sz w:val="16"/>
                <w:szCs w:val="16"/>
                <w:color w:val="auto"/>
              </w:rPr>
              <w:t>​ ​ ​</w:t>
            </w:r>
          </w:p>
        </w:tc>
        <w:tc>
          <w:tcPr>
            <w:tcW w:w="240" w:type="dxa"/>
            <w:vAlign w:val="bottom"/>
          </w:tcPr>
          <w:p>
            <w:pPr>
              <w:spacing w:after="0"/>
              <w:rPr>
                <w:sz w:val="24"/>
                <w:szCs w:val="24"/>
                <w:color w:val="auto"/>
              </w:rPr>
            </w:pPr>
          </w:p>
        </w:tc>
        <w:tc>
          <w:tcPr>
            <w:tcW w:w="104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83AD40"/>
            </w:tcBorders>
          </w:tcPr>
          <w:p>
            <w:pPr>
              <w:spacing w:after="0"/>
              <w:rPr>
                <w:sz w:val="22"/>
                <w:szCs w:val="22"/>
                <w:color w:val="auto"/>
              </w:rPr>
            </w:pPr>
          </w:p>
        </w:tc>
        <w:tc>
          <w:tcPr>
            <w:tcW w:w="6120" w:type="dxa"/>
            <w:vAlign w:val="bottom"/>
            <w:tcBorders>
              <w:top w:val="single" w:sz="8" w:color="83AD40"/>
              <w:bottom w:val="single" w:sz="8" w:color="83AD40"/>
            </w:tcBorders>
            <w:gridSpan w:val="4"/>
          </w:tcPr>
          <w:p>
            <w:pPr>
              <w:spacing w:after="0"/>
              <w:rPr>
                <w:sz w:val="22"/>
                <w:szCs w:val="22"/>
                <w:color w:val="auto"/>
              </w:rPr>
            </w:pPr>
          </w:p>
        </w:tc>
        <w:tc>
          <w:tcPr>
            <w:tcW w:w="240" w:type="dxa"/>
            <w:vAlign w:val="bottom"/>
            <w:tcBorders>
              <w:top w:val="single" w:sz="8" w:color="83AD40"/>
              <w:bottom w:val="single" w:sz="8" w:color="83AD40"/>
            </w:tcBorders>
          </w:tcPr>
          <w:p>
            <w:pPr>
              <w:spacing w:after="0"/>
              <w:rPr>
                <w:sz w:val="22"/>
                <w:szCs w:val="22"/>
                <w:color w:val="auto"/>
              </w:rPr>
            </w:pPr>
          </w:p>
        </w:tc>
        <w:tc>
          <w:tcPr>
            <w:tcW w:w="1000" w:type="dxa"/>
            <w:vAlign w:val="bottom"/>
            <w:tcBorders>
              <w:bottom w:val="single" w:sz="8" w:color="83AD40"/>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8"/>
        </w:trPr>
        <w:tc>
          <w:tcPr>
            <w:tcW w:w="120" w:type="dxa"/>
            <w:vAlign w:val="bottom"/>
            <w:vMerge w:val="continue"/>
          </w:tcPr>
          <w:p>
            <w:pPr>
              <w:spacing w:after="0"/>
              <w:rPr>
                <w:sz w:val="24"/>
                <w:szCs w:val="24"/>
                <w:color w:val="auto"/>
              </w:rPr>
            </w:pPr>
          </w:p>
        </w:tc>
        <w:tc>
          <w:tcPr>
            <w:tcW w:w="6240" w:type="dxa"/>
            <w:vAlign w:val="bottom"/>
            <w:gridSpan w:val="5"/>
          </w:tcPr>
          <w:p>
            <w:pPr>
              <w:spacing w:after="0"/>
              <w:rPr>
                <w:sz w:val="20"/>
                <w:szCs w:val="20"/>
                <w:color w:val="auto"/>
              </w:rPr>
            </w:pPr>
            <w:r>
              <w:rPr>
                <w:rFonts w:ascii="Arial" w:cs="Arial" w:eastAsia="Arial" w:hAnsi="Arial"/>
                <w:sz w:val="32"/>
                <w:szCs w:val="32"/>
                <w:color w:val="000000"/>
                <w:vertAlign w:val="superscript"/>
              </w:rPr>
              <w:t>​</w:t>
            </w:r>
            <w:r>
              <w:rPr>
                <w:rFonts w:ascii="Arial" w:cs="Arial" w:eastAsia="Arial" w:hAnsi="Arial"/>
                <w:sz w:val="20"/>
                <w:szCs w:val="20"/>
                <w:b w:val="1"/>
                <w:bCs w:val="1"/>
                <w:color w:val="83AD40"/>
              </w:rPr>
              <w:t xml:space="preserve"> NYC Climate Regulation—Local Law 97 (LL97)—Response</w:t>
            </w:r>
          </w:p>
        </w:tc>
        <w:tc>
          <w:tcPr>
            <w:tcW w:w="240" w:type="dxa"/>
            <w:vAlign w:val="bottom"/>
          </w:tcPr>
          <w:p>
            <w:pPr>
              <w:spacing w:after="0"/>
              <w:rPr>
                <w:sz w:val="24"/>
                <w:szCs w:val="24"/>
                <w:color w:val="auto"/>
              </w:rPr>
            </w:pPr>
          </w:p>
        </w:tc>
        <w:tc>
          <w:tcPr>
            <w:tcW w:w="104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380" w:right="120" w:hanging="156"/>
        <w:spacing w:after="0" w:line="304" w:lineRule="auto"/>
        <w:tabs>
          <w:tab w:leader="none" w:pos="3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New York City’s Climate Mobilization Act’s Local Law 97 (LL97) requires buildings greater than 25,000 square feet to meet strict emissions limits.</w:t>
      </w:r>
    </w:p>
    <w:p>
      <w:pPr>
        <w:spacing w:after="0" w:line="19" w:lineRule="exact"/>
        <w:rPr>
          <w:rFonts w:ascii="Arial" w:cs="Arial" w:eastAsia="Arial" w:hAnsi="Arial"/>
          <w:sz w:val="16"/>
          <w:szCs w:val="16"/>
          <w:color w:val="auto"/>
        </w:rPr>
      </w:pPr>
    </w:p>
    <w:p>
      <w:pPr>
        <w:ind w:left="380" w:right="320" w:hanging="156"/>
        <w:spacing w:after="0" w:line="284" w:lineRule="auto"/>
        <w:tabs>
          <w:tab w:leader="none" w:pos="3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SL Green expects to be fully compliant with LL97 in the first compliance period through 2029 and is taking critical steps to manage and further reduce emissions in anticipation of the more stringent compliance requirements starting in 2030. These steps include: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jc w:val="right"/>
              <w:spacing w:after="0"/>
              <w:rPr>
                <w:sz w:val="20"/>
                <w:szCs w:val="20"/>
                <w:color w:val="auto"/>
              </w:rPr>
            </w:pPr>
            <w:r>
              <w:rPr>
                <w:rFonts w:ascii="Arial" w:cs="Arial" w:eastAsia="Arial" w:hAnsi="Arial"/>
                <w:sz w:val="16"/>
                <w:szCs w:val="16"/>
                <w:color w:val="auto"/>
              </w:rPr>
              <w:t>​ ​   •</w:t>
            </w:r>
          </w:p>
        </w:tc>
        <w:tc>
          <w:tcPr>
            <w:tcW w:w="3160" w:type="dxa"/>
            <w:vAlign w:val="bottom"/>
          </w:tcPr>
          <w:p>
            <w:pPr>
              <w:ind w:left="40"/>
              <w:spacing w:after="0"/>
              <w:rPr>
                <w:sz w:val="20"/>
                <w:szCs w:val="20"/>
                <w:color w:val="auto"/>
              </w:rPr>
            </w:pPr>
            <w:r>
              <w:rPr>
                <w:rFonts w:ascii="Arial" w:cs="Arial" w:eastAsia="Arial" w:hAnsi="Arial"/>
                <w:sz w:val="16"/>
                <w:szCs w:val="16"/>
                <w:color w:val="auto"/>
              </w:rPr>
              <w:t>Ongoing Retro Commissioning</w:t>
            </w:r>
          </w:p>
        </w:tc>
        <w:tc>
          <w:tcPr>
            <w:tcW w:w="460" w:type="dxa"/>
            <w:vAlign w:val="bottom"/>
          </w:tcPr>
          <w:p>
            <w:pPr>
              <w:jc w:val="right"/>
              <w:spacing w:after="0"/>
              <w:rPr>
                <w:sz w:val="20"/>
                <w:szCs w:val="20"/>
                <w:color w:val="auto"/>
              </w:rPr>
            </w:pPr>
            <w:r>
              <w:rPr>
                <w:rFonts w:ascii="Arial" w:cs="Arial" w:eastAsia="Arial" w:hAnsi="Arial"/>
                <w:sz w:val="16"/>
                <w:szCs w:val="16"/>
                <w:color w:val="auto"/>
              </w:rPr>
              <w:t>​ ​ •</w:t>
            </w:r>
          </w:p>
        </w:tc>
        <w:tc>
          <w:tcPr>
            <w:tcW w:w="3420" w:type="dxa"/>
            <w:vAlign w:val="bottom"/>
          </w:tcPr>
          <w:p>
            <w:pPr>
              <w:ind w:left="60"/>
              <w:spacing w:after="0"/>
              <w:rPr>
                <w:sz w:val="20"/>
                <w:szCs w:val="20"/>
                <w:color w:val="auto"/>
              </w:rPr>
            </w:pPr>
            <w:r>
              <w:rPr>
                <w:rFonts w:ascii="Arial" w:cs="Arial" w:eastAsia="Arial" w:hAnsi="Arial"/>
                <w:sz w:val="16"/>
                <w:szCs w:val="16"/>
                <w:color w:val="auto"/>
              </w:rPr>
              <w:t>Educating Stakeholders on Compliance</w:t>
            </w:r>
          </w:p>
        </w:tc>
        <w:tc>
          <w:tcPr>
            <w:tcW w:w="100" w:type="dxa"/>
            <w:vAlign w:val="bottom"/>
          </w:tcPr>
          <w:p>
            <w:pPr>
              <w:ind w:left="60"/>
              <w:spacing w:after="0"/>
              <w:rPr>
                <w:sz w:val="20"/>
                <w:szCs w:val="20"/>
                <w:color w:val="auto"/>
              </w:rPr>
            </w:pPr>
            <w:r>
              <w:rPr>
                <w:rFonts w:ascii="Arial" w:cs="Arial" w:eastAsia="Arial" w:hAnsi="Arial"/>
                <w:sz w:val="16"/>
                <w:szCs w:val="16"/>
                <w:color w:val="auto"/>
              </w:rPr>
              <w:t>​</w:t>
            </w:r>
          </w:p>
        </w:tc>
      </w:tr>
      <w:tr>
        <w:trPr>
          <w:trHeight w:val="256"/>
        </w:trPr>
        <w:tc>
          <w:tcPr>
            <w:tcW w:w="3660" w:type="dxa"/>
            <w:vAlign w:val="bottom"/>
            <w:gridSpan w:val="2"/>
          </w:tcPr>
          <w:p>
            <w:pPr>
              <w:ind w:left="380"/>
              <w:spacing w:after="0"/>
              <w:rPr>
                <w:sz w:val="20"/>
                <w:szCs w:val="20"/>
                <w:color w:val="auto"/>
              </w:rPr>
            </w:pPr>
            <w:r>
              <w:rPr>
                <w:rFonts w:ascii="Arial" w:cs="Arial" w:eastAsia="Arial" w:hAnsi="Arial"/>
                <w:sz w:val="16"/>
                <w:szCs w:val="16"/>
                <w:color w:val="auto"/>
              </w:rPr>
              <w:t>• Identified Energy Conservation Measures</w:t>
            </w:r>
          </w:p>
        </w:tc>
        <w:tc>
          <w:tcPr>
            <w:tcW w:w="460" w:type="dxa"/>
            <w:vAlign w:val="bottom"/>
          </w:tcPr>
          <w:p>
            <w:pPr>
              <w:spacing w:after="0"/>
              <w:rPr>
                <w:sz w:val="22"/>
                <w:szCs w:val="22"/>
                <w:color w:val="auto"/>
              </w:rPr>
            </w:pPr>
          </w:p>
        </w:tc>
        <w:tc>
          <w:tcPr>
            <w:tcW w:w="3420" w:type="dxa"/>
            <w:vAlign w:val="bottom"/>
          </w:tcPr>
          <w:p>
            <w:pPr>
              <w:ind w:left="60"/>
              <w:spacing w:after="0"/>
              <w:rPr>
                <w:sz w:val="20"/>
                <w:szCs w:val="20"/>
                <w:color w:val="auto"/>
              </w:rPr>
            </w:pPr>
            <w:r>
              <w:rPr>
                <w:rFonts w:ascii="Arial" w:cs="Arial" w:eastAsia="Arial" w:hAnsi="Arial"/>
                <w:sz w:val="16"/>
                <w:szCs w:val="16"/>
                <w:color w:val="auto"/>
              </w:rPr>
              <w:t>Requirements</w:t>
            </w:r>
          </w:p>
        </w:tc>
        <w:tc>
          <w:tcPr>
            <w:tcW w:w="100" w:type="dxa"/>
            <w:vAlign w:val="bottom"/>
          </w:tcPr>
          <w:p>
            <w:pPr>
              <w:spacing w:after="0"/>
              <w:rPr>
                <w:sz w:val="22"/>
                <w:szCs w:val="22"/>
                <w:color w:val="auto"/>
              </w:rPr>
            </w:pPr>
          </w:p>
        </w:tc>
      </w:tr>
      <w:tr>
        <w:trPr>
          <w:trHeight w:val="230"/>
        </w:trPr>
        <w:tc>
          <w:tcPr>
            <w:tcW w:w="500" w:type="dxa"/>
            <w:vAlign w:val="bottom"/>
          </w:tcPr>
          <w:p>
            <w:pPr>
              <w:spacing w:after="0"/>
              <w:rPr>
                <w:sz w:val="19"/>
                <w:szCs w:val="19"/>
                <w:color w:val="auto"/>
              </w:rPr>
            </w:pPr>
          </w:p>
        </w:tc>
        <w:tc>
          <w:tcPr>
            <w:tcW w:w="3160" w:type="dxa"/>
            <w:vAlign w:val="bottom"/>
          </w:tcPr>
          <w:p>
            <w:pPr>
              <w:ind w:left="40"/>
              <w:spacing w:after="0"/>
              <w:rPr>
                <w:sz w:val="20"/>
                <w:szCs w:val="20"/>
                <w:color w:val="auto"/>
              </w:rPr>
            </w:pPr>
            <w:r>
              <w:rPr>
                <w:rFonts w:ascii="Arial" w:cs="Arial" w:eastAsia="Arial" w:hAnsi="Arial"/>
                <w:sz w:val="16"/>
                <w:szCs w:val="16"/>
                <w:color w:val="auto"/>
              </w:rPr>
              <w:t>(ECMs)</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3420" w:type="dxa"/>
            <w:vAlign w:val="bottom"/>
          </w:tcPr>
          <w:p>
            <w:pPr>
              <w:ind w:left="60"/>
              <w:spacing w:after="0"/>
              <w:rPr>
                <w:sz w:val="20"/>
                <w:szCs w:val="20"/>
                <w:color w:val="auto"/>
              </w:rPr>
            </w:pPr>
            <w:r>
              <w:rPr>
                <w:rFonts w:ascii="Arial" w:cs="Arial" w:eastAsia="Arial" w:hAnsi="Arial"/>
                <w:sz w:val="16"/>
                <w:szCs w:val="16"/>
                <w:color w:val="auto"/>
              </w:rPr>
              <w:t>Participating in Industry Committees to Provide</w:t>
            </w:r>
          </w:p>
        </w:tc>
        <w:tc>
          <w:tcPr>
            <w:tcW w:w="100" w:type="dxa"/>
            <w:vAlign w:val="bottom"/>
          </w:tcPr>
          <w:p>
            <w:pPr>
              <w:spacing w:after="0"/>
              <w:rPr>
                <w:sz w:val="19"/>
                <w:szCs w:val="19"/>
                <w:color w:val="auto"/>
              </w:rPr>
            </w:pPr>
          </w:p>
        </w:tc>
      </w:tr>
      <w:tr>
        <w:trPr>
          <w:trHeight w:val="256"/>
        </w:trPr>
        <w:tc>
          <w:tcPr>
            <w:tcW w:w="3660" w:type="dxa"/>
            <w:vAlign w:val="bottom"/>
            <w:gridSpan w:val="2"/>
          </w:tcPr>
          <w:p>
            <w:pPr>
              <w:ind w:left="380"/>
              <w:spacing w:after="0"/>
              <w:rPr>
                <w:sz w:val="20"/>
                <w:szCs w:val="20"/>
                <w:color w:val="auto"/>
              </w:rPr>
            </w:pPr>
            <w:r>
              <w:rPr>
                <w:rFonts w:ascii="Arial" w:cs="Arial" w:eastAsia="Arial" w:hAnsi="Arial"/>
                <w:sz w:val="16"/>
                <w:szCs w:val="16"/>
                <w:color w:val="auto"/>
              </w:rPr>
              <w:t>• Semi-annually reprioritizing 5- and 10-year</w:t>
            </w:r>
          </w:p>
        </w:tc>
        <w:tc>
          <w:tcPr>
            <w:tcW w:w="460" w:type="dxa"/>
            <w:vAlign w:val="bottom"/>
          </w:tcPr>
          <w:p>
            <w:pPr>
              <w:spacing w:after="0"/>
              <w:rPr>
                <w:sz w:val="22"/>
                <w:szCs w:val="22"/>
                <w:color w:val="auto"/>
              </w:rPr>
            </w:pPr>
          </w:p>
        </w:tc>
        <w:tc>
          <w:tcPr>
            <w:tcW w:w="3420" w:type="dxa"/>
            <w:vAlign w:val="bottom"/>
          </w:tcPr>
          <w:p>
            <w:pPr>
              <w:ind w:left="60"/>
              <w:spacing w:after="0"/>
              <w:rPr>
                <w:sz w:val="20"/>
                <w:szCs w:val="20"/>
                <w:color w:val="auto"/>
              </w:rPr>
            </w:pPr>
            <w:r>
              <w:rPr>
                <w:rFonts w:ascii="Arial" w:cs="Arial" w:eastAsia="Arial" w:hAnsi="Arial"/>
                <w:sz w:val="16"/>
                <w:szCs w:val="16"/>
                <w:color w:val="auto"/>
              </w:rPr>
              <w:t>Feedback on Proposed Rulemaking</w:t>
            </w:r>
          </w:p>
        </w:tc>
        <w:tc>
          <w:tcPr>
            <w:tcW w:w="100" w:type="dxa"/>
            <w:vAlign w:val="bottom"/>
          </w:tcPr>
          <w:p>
            <w:pPr>
              <w:spacing w:after="0"/>
              <w:rPr>
                <w:sz w:val="22"/>
                <w:szCs w:val="22"/>
                <w:color w:val="auto"/>
              </w:rPr>
            </w:pPr>
          </w:p>
        </w:tc>
      </w:tr>
      <w:tr>
        <w:trPr>
          <w:trHeight w:val="230"/>
        </w:trPr>
        <w:tc>
          <w:tcPr>
            <w:tcW w:w="500" w:type="dxa"/>
            <w:vAlign w:val="bottom"/>
          </w:tcPr>
          <w:p>
            <w:pPr>
              <w:spacing w:after="0"/>
              <w:rPr>
                <w:sz w:val="19"/>
                <w:szCs w:val="19"/>
                <w:color w:val="auto"/>
              </w:rPr>
            </w:pPr>
          </w:p>
        </w:tc>
        <w:tc>
          <w:tcPr>
            <w:tcW w:w="3160" w:type="dxa"/>
            <w:vAlign w:val="bottom"/>
          </w:tcPr>
          <w:p>
            <w:pPr>
              <w:ind w:left="40"/>
              <w:spacing w:after="0"/>
              <w:rPr>
                <w:sz w:val="20"/>
                <w:szCs w:val="20"/>
                <w:color w:val="auto"/>
              </w:rPr>
            </w:pPr>
            <w:r>
              <w:rPr>
                <w:rFonts w:ascii="Arial" w:cs="Arial" w:eastAsia="Arial" w:hAnsi="Arial"/>
                <w:sz w:val="16"/>
                <w:szCs w:val="16"/>
                <w:color w:val="auto"/>
              </w:rPr>
              <w:t>Capital Plans</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3420" w:type="dxa"/>
            <w:vAlign w:val="bottom"/>
          </w:tcPr>
          <w:p>
            <w:pPr>
              <w:ind w:left="60"/>
              <w:spacing w:after="0"/>
              <w:rPr>
                <w:sz w:val="20"/>
                <w:szCs w:val="20"/>
                <w:color w:val="auto"/>
              </w:rPr>
            </w:pPr>
            <w:r>
              <w:rPr>
                <w:rFonts w:ascii="Arial" w:cs="Arial" w:eastAsia="Arial" w:hAnsi="Arial"/>
                <w:sz w:val="16"/>
                <w:szCs w:val="16"/>
                <w:color w:val="auto"/>
              </w:rPr>
              <w:t>Analyzing Building Composition to Identify</w:t>
            </w:r>
          </w:p>
        </w:tc>
        <w:tc>
          <w:tcPr>
            <w:tcW w:w="100" w:type="dxa"/>
            <w:vAlign w:val="bottom"/>
          </w:tcPr>
          <w:p>
            <w:pPr>
              <w:spacing w:after="0"/>
              <w:rPr>
                <w:sz w:val="19"/>
                <w:szCs w:val="19"/>
                <w:color w:val="auto"/>
              </w:rPr>
            </w:pPr>
          </w:p>
        </w:tc>
      </w:tr>
      <w:tr>
        <w:trPr>
          <w:trHeight w:val="255"/>
        </w:trPr>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3160" w:type="dxa"/>
            <w:vAlign w:val="bottom"/>
          </w:tcPr>
          <w:p>
            <w:pPr>
              <w:ind w:left="40"/>
              <w:spacing w:after="0"/>
              <w:rPr>
                <w:sz w:val="20"/>
                <w:szCs w:val="20"/>
                <w:color w:val="auto"/>
              </w:rPr>
            </w:pPr>
            <w:r>
              <w:rPr>
                <w:rFonts w:ascii="Arial" w:cs="Arial" w:eastAsia="Arial" w:hAnsi="Arial"/>
                <w:sz w:val="16"/>
                <w:szCs w:val="16"/>
                <w:color w:val="auto"/>
              </w:rPr>
              <w:t>Evaluating Incentive Opportunities</w:t>
            </w:r>
          </w:p>
        </w:tc>
        <w:tc>
          <w:tcPr>
            <w:tcW w:w="460" w:type="dxa"/>
            <w:vAlign w:val="bottom"/>
          </w:tcPr>
          <w:p>
            <w:pPr>
              <w:spacing w:after="0"/>
              <w:rPr>
                <w:sz w:val="22"/>
                <w:szCs w:val="22"/>
                <w:color w:val="auto"/>
              </w:rPr>
            </w:pPr>
          </w:p>
        </w:tc>
        <w:tc>
          <w:tcPr>
            <w:tcW w:w="3420" w:type="dxa"/>
            <w:vAlign w:val="bottom"/>
          </w:tcPr>
          <w:p>
            <w:pPr>
              <w:ind w:left="60"/>
              <w:spacing w:after="0"/>
              <w:rPr>
                <w:sz w:val="20"/>
                <w:szCs w:val="20"/>
                <w:color w:val="auto"/>
              </w:rPr>
            </w:pPr>
            <w:r>
              <w:rPr>
                <w:rFonts w:ascii="Arial" w:cs="Arial" w:eastAsia="Arial" w:hAnsi="Arial"/>
                <w:sz w:val="16"/>
                <w:szCs w:val="16"/>
                <w:color w:val="auto"/>
              </w:rPr>
              <w:t>Energy-Intensive Spaces</w:t>
            </w:r>
          </w:p>
        </w:tc>
        <w:tc>
          <w:tcPr>
            <w:tcW w:w="100" w:type="dxa"/>
            <w:vAlign w:val="bottom"/>
          </w:tcPr>
          <w:p>
            <w:pPr>
              <w:spacing w:after="0"/>
              <w:rPr>
                <w:sz w:val="22"/>
                <w:szCs w:val="22"/>
                <w:color w:val="auto"/>
              </w:rPr>
            </w:pPr>
          </w:p>
        </w:tc>
      </w:tr>
      <w:tr>
        <w:trPr>
          <w:trHeight w:val="256"/>
        </w:trPr>
        <w:tc>
          <w:tcPr>
            <w:tcW w:w="3660" w:type="dxa"/>
            <w:vAlign w:val="bottom"/>
            <w:gridSpan w:val="2"/>
          </w:tcPr>
          <w:p>
            <w:pPr>
              <w:ind w:left="380"/>
              <w:spacing w:after="0"/>
              <w:rPr>
                <w:sz w:val="20"/>
                <w:szCs w:val="20"/>
                <w:color w:val="auto"/>
              </w:rPr>
            </w:pPr>
            <w:r>
              <w:rPr>
                <w:rFonts w:ascii="Arial" w:cs="Arial" w:eastAsia="Arial" w:hAnsi="Arial"/>
                <w:sz w:val="16"/>
                <w:szCs w:val="16"/>
                <w:color w:val="auto"/>
              </w:rPr>
              <w:t>• Facilitating Tenant Energy Incentives</w:t>
            </w:r>
          </w:p>
        </w:tc>
        <w:tc>
          <w:tcPr>
            <w:tcW w:w="46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336"/>
        </w:trPr>
        <w:tc>
          <w:tcPr>
            <w:tcW w:w="500" w:type="dxa"/>
            <w:vAlign w:val="bottom"/>
          </w:tcPr>
          <w:p>
            <w:pPr>
              <w:spacing w:after="0"/>
              <w:rPr>
                <w:sz w:val="20"/>
                <w:szCs w:val="20"/>
                <w:color w:val="auto"/>
              </w:rPr>
            </w:pPr>
            <w:r>
              <w:rPr>
                <w:rFonts w:ascii="Arial" w:cs="Arial" w:eastAsia="Arial" w:hAnsi="Arial"/>
                <w:sz w:val="16"/>
                <w:szCs w:val="16"/>
                <w:color w:val="auto"/>
              </w:rPr>
              <w:t>​ ​</w:t>
            </w:r>
          </w:p>
        </w:tc>
        <w:tc>
          <w:tcPr>
            <w:tcW w:w="3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 w:type="dxa"/>
            <w:vAlign w:val="bottom"/>
          </w:tcPr>
          <w:p>
            <w:pPr>
              <w:ind w:left="6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-930275</wp:posOffset>
            </wp:positionH>
            <wp:positionV relativeFrom="paragraph">
              <wp:posOffset>-133985</wp:posOffset>
            </wp:positionV>
            <wp:extent cx="576072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560" w:space="720"/>
            <w:col w:w="7640"/>
          </w:cols>
          <w:pgMar w:left="580" w:top="97" w:right="1399" w:bottom="1440" w:gutter="0" w:footer="0" w:header="0"/>
          <w:type w:val="continuous"/>
        </w:sectPr>
      </w:pPr>
    </w:p>
    <w:p>
      <w:pPr>
        <w:ind w:left="2500"/>
        <w:spacing w:after="0"/>
        <w:rPr>
          <w:sz w:val="20"/>
          <w:szCs w:val="20"/>
          <w:color w:val="auto"/>
        </w:rPr>
      </w:pPr>
      <w:r>
        <w:rPr>
          <w:rFonts w:ascii="Arial" w:cs="Arial" w:eastAsia="Arial" w:hAnsi="Arial"/>
          <w:sz w:val="20"/>
          <w:szCs w:val="20"/>
          <w:b w:val="1"/>
          <w:bCs w:val="1"/>
          <w:color w:val="83AD40"/>
        </w:rPr>
        <w:t>Human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-134620</wp:posOffset>
            </wp:positionV>
            <wp:extent cx="857250" cy="7626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57250" cy="762635"/>
                    </a:xfrm>
                    <a:prstGeom prst="rect">
                      <a:avLst/>
                    </a:prstGeom>
                    <a:noFill/>
                  </pic:spPr>
                </pic:pic>
              </a:graphicData>
            </a:graphic>
          </wp:anchor>
        </w:drawing>
      </w:r>
    </w:p>
    <w:p>
      <w:pPr>
        <w:spacing w:after="0" w:line="104" w:lineRule="exact"/>
        <w:rPr>
          <w:sz w:val="20"/>
          <w:szCs w:val="20"/>
          <w:color w:val="auto"/>
        </w:rPr>
      </w:pPr>
    </w:p>
    <w:p>
      <w:pPr>
        <w:ind w:left="2660" w:hanging="156"/>
        <w:spacing w:after="0"/>
        <w:tabs>
          <w:tab w:leader="none" w:pos="2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Proud to be recognized as a Great Place to Work for the third consecutive year</w:t>
      </w:r>
    </w:p>
    <w:p>
      <w:pPr>
        <w:spacing w:after="0" w:line="86" w:lineRule="exact"/>
        <w:rPr>
          <w:rFonts w:ascii="Arial" w:cs="Arial" w:eastAsia="Arial" w:hAnsi="Arial"/>
          <w:sz w:val="16"/>
          <w:szCs w:val="16"/>
          <w:color w:val="auto"/>
        </w:rPr>
      </w:pPr>
    </w:p>
    <w:p>
      <w:pPr>
        <w:ind w:left="2660" w:right="240" w:hanging="156"/>
        <w:spacing w:after="0" w:line="304" w:lineRule="auto"/>
        <w:tabs>
          <w:tab w:leader="none" w:pos="2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33% of employees have worked at SL Green for &gt;7 years, and 61% of open corporate management positions were filled by internal promotions</w:t>
      </w:r>
    </w:p>
    <w:p>
      <w:pPr>
        <w:spacing w:after="0" w:line="19" w:lineRule="exact"/>
        <w:rPr>
          <w:rFonts w:ascii="Arial" w:cs="Arial" w:eastAsia="Arial" w:hAnsi="Arial"/>
          <w:sz w:val="16"/>
          <w:szCs w:val="16"/>
          <w:color w:val="auto"/>
        </w:rPr>
      </w:pPr>
    </w:p>
    <w:p>
      <w:pPr>
        <w:ind w:left="2660" w:right="220" w:hanging="156"/>
        <w:spacing w:after="0" w:line="304" w:lineRule="auto"/>
        <w:tabs>
          <w:tab w:leader="none" w:pos="2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Market-leading benefits program spanning healthcare, 401(k) match, employee stock purchase plan, disability and advanced fertility coverage, wellness and life insurance</w:t>
      </w:r>
    </w:p>
    <w:p>
      <w:pPr>
        <w:spacing w:after="0" w:line="19" w:lineRule="exact"/>
        <w:rPr>
          <w:rFonts w:ascii="Arial" w:cs="Arial" w:eastAsia="Arial" w:hAnsi="Arial"/>
          <w:sz w:val="16"/>
          <w:szCs w:val="16"/>
          <w:color w:val="auto"/>
        </w:rPr>
      </w:pPr>
    </w:p>
    <w:p>
      <w:pPr>
        <w:ind w:left="2660" w:right="460" w:hanging="156"/>
        <w:spacing w:after="0" w:line="304" w:lineRule="auto"/>
        <w:tabs>
          <w:tab w:leader="none" w:pos="2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Investments in human capital development through training programs, tuition reimbursement and ongoing education</w:t>
      </w:r>
    </w:p>
    <w:p>
      <w:pPr>
        <w:spacing w:after="0" w:line="6" w:lineRule="exact"/>
        <w:rPr>
          <w:rFonts w:ascii="Arial" w:cs="Arial" w:eastAsia="Arial" w:hAnsi="Arial"/>
          <w:sz w:val="16"/>
          <w:szCs w:val="16"/>
          <w:color w:val="auto"/>
        </w:rPr>
      </w:pPr>
    </w:p>
    <w:p>
      <w:pPr>
        <w:ind w:left="2660" w:hanging="156"/>
        <w:spacing w:after="0"/>
        <w:tabs>
          <w:tab w:leader="none" w:pos="2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Zero tolerance, anti-discrimination and anti-harassment policies and training</w:t>
      </w:r>
    </w:p>
    <w:p>
      <w:pPr>
        <w:spacing w:after="0" w:line="154" w:lineRule="exact"/>
        <w:rPr>
          <w:sz w:val="20"/>
          <w:szCs w:val="20"/>
          <w:color w:val="auto"/>
        </w:rPr>
      </w:pPr>
    </w:p>
    <w:p>
      <w:pPr>
        <w:ind w:left="820"/>
        <w:spacing w:after="0"/>
        <w:tabs>
          <w:tab w:leader="none" w:pos="2260" w:val="left"/>
          <w:tab w:leader="none" w:pos="98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 ​</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-115570</wp:posOffset>
            </wp:positionV>
            <wp:extent cx="576072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9"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83AD40"/>
        </w:rPr>
        <w:t>Corporate Philanthropy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-134620</wp:posOffset>
            </wp:positionV>
            <wp:extent cx="865505" cy="84836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65505" cy="848360"/>
                    </a:xfrm>
                    <a:prstGeom prst="rect">
                      <a:avLst/>
                    </a:prstGeom>
                    <a:noFill/>
                  </pic:spPr>
                </pic:pic>
              </a:graphicData>
            </a:graphic>
          </wp:anchor>
        </w:drawing>
      </w:r>
    </w:p>
    <w:p>
      <w:pPr>
        <w:spacing w:after="0" w:line="118" w:lineRule="exact"/>
        <w:rPr>
          <w:sz w:val="20"/>
          <w:szCs w:val="20"/>
          <w:color w:val="auto"/>
        </w:rPr>
      </w:pPr>
    </w:p>
    <w:p>
      <w:pPr>
        <w:ind w:left="2660" w:right="220" w:hanging="156"/>
        <w:spacing w:after="0" w:line="304" w:lineRule="auto"/>
        <w:tabs>
          <w:tab w:leader="none" w:pos="2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Over $20M in financial support contributed to over 500 charitable organizations in New York City and beyond over the past 11 years</w:t>
      </w:r>
    </w:p>
    <w:p>
      <w:pPr>
        <w:spacing w:after="0" w:line="19" w:lineRule="exact"/>
        <w:rPr>
          <w:rFonts w:ascii="Arial" w:cs="Arial" w:eastAsia="Arial" w:hAnsi="Arial"/>
          <w:sz w:val="16"/>
          <w:szCs w:val="16"/>
          <w:color w:val="auto"/>
        </w:rPr>
      </w:pPr>
    </w:p>
    <w:p>
      <w:pPr>
        <w:ind w:left="2660" w:right="760" w:hanging="156"/>
        <w:spacing w:after="0" w:line="304" w:lineRule="auto"/>
        <w:tabs>
          <w:tab w:leader="none" w:pos="2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Co-founded FOOD1st to address NYC food insecurity; delivered over 1,000,000 meals since April 2020</w:t>
      </w:r>
    </w:p>
    <w:p>
      <w:pPr>
        <w:spacing w:after="0" w:line="19" w:lineRule="exact"/>
        <w:rPr>
          <w:rFonts w:ascii="Arial" w:cs="Arial" w:eastAsia="Arial" w:hAnsi="Arial"/>
          <w:sz w:val="16"/>
          <w:szCs w:val="16"/>
          <w:color w:val="auto"/>
        </w:rPr>
      </w:pPr>
    </w:p>
    <w:p>
      <w:pPr>
        <w:ind w:left="2660" w:right="100" w:hanging="156"/>
        <w:spacing w:after="0" w:line="271" w:lineRule="auto"/>
        <w:tabs>
          <w:tab w:leader="none" w:pos="2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Under the Governor’s Committee on Scholastic Achievement, a non-for-profit that connects high school students from underperforming New York communities with corporate mentors, SL Green employees volunteer as mentors, intended to provide local high school students with the knowledge of what is required to succeed in the “real world”</w:t>
      </w:r>
    </w:p>
    <w:p>
      <w:pPr>
        <w:spacing w:after="0" w:line="59" w:lineRule="exact"/>
        <w:rPr>
          <w:rFonts w:ascii="Arial" w:cs="Arial" w:eastAsia="Arial" w:hAnsi="Arial"/>
          <w:sz w:val="16"/>
          <w:szCs w:val="16"/>
          <w:color w:val="auto"/>
        </w:rPr>
      </w:pPr>
    </w:p>
    <w:p>
      <w:pPr>
        <w:ind w:left="2660" w:right="680" w:hanging="156"/>
        <w:spacing w:after="0" w:line="321" w:lineRule="auto"/>
        <w:tabs>
          <w:tab w:leader="none" w:pos="26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Ongoing donation of one percent of gross ticket sales at SUMMIT, One Vanderbilt’s immersive observatory experience, to New York focused charities through the SUMMIT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59055</wp:posOffset>
            </wp:positionV>
            <wp:extent cx="57607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320675</wp:posOffset>
            </wp:positionV>
            <wp:extent cx="683196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p>
      <w:pPr>
        <w:ind w:left="820"/>
        <w:spacing w:after="0"/>
        <w:tabs>
          <w:tab w:leader="none" w:pos="1440" w:val="left"/>
          <w:tab w:leader="none" w:pos="9860" w:val="left"/>
        </w:tabs>
        <w:rPr>
          <w:sz w:val="20"/>
          <w:szCs w:val="20"/>
          <w:color w:val="auto"/>
        </w:rPr>
      </w:pPr>
      <w:r>
        <w:rPr>
          <w:rFonts w:ascii="Arial" w:cs="Arial" w:eastAsia="Arial" w:hAnsi="Arial"/>
          <w:sz w:val="22"/>
          <w:szCs w:val="22"/>
          <w:b w:val="1"/>
          <w:bCs w:val="1"/>
          <w:color w:val="1F2668"/>
        </w:rPr>
        <w:t>​36</w:t>
      </w:r>
      <w:r>
        <w:rPr>
          <w:sz w:val="20"/>
          <w:szCs w:val="20"/>
          <w:color w:val="auto"/>
        </w:rPr>
        <w:tab/>
      </w:r>
      <w:r>
        <w:rPr>
          <w:rFonts w:ascii="Arial" w:cs="Arial" w:eastAsia="Arial" w:hAnsi="Arial"/>
          <w:sz w:val="22"/>
          <w:szCs w:val="22"/>
          <w:b w:val="1"/>
          <w:bCs w:val="1"/>
          <w:color w:val="1F2668"/>
        </w:rPr>
        <w:t xml:space="preserve">​ ​ </w:t>
      </w:r>
      <w:r>
        <w:rPr>
          <w:rFonts w:ascii="Arial" w:cs="Arial" w:eastAsia="Arial" w:hAnsi="Arial"/>
          <w:sz w:val="14"/>
          <w:szCs w:val="14"/>
          <w:b w:val="1"/>
          <w:bCs w:val="1"/>
          <w:color w:val="1F2668"/>
        </w:rPr>
        <w:t>SL GREEN REALTY CORP. 2025 PROXY STATEMENT</w:t>
      </w:r>
      <w:r>
        <w:rPr>
          <w:sz w:val="20"/>
          <w:szCs w:val="20"/>
          <w:color w:val="auto"/>
        </w:rPr>
        <w:tab/>
      </w:r>
      <w:r>
        <w:rPr>
          <w:rFonts w:ascii="Arial" w:cs="Arial" w:eastAsia="Arial" w:hAnsi="Arial"/>
          <w:sz w:val="22"/>
          <w:szCs w:val="22"/>
          <w:b w:val="1"/>
          <w:bCs w:val="1"/>
          <w:color w:val="1F2668"/>
        </w:rPr>
        <w:t>​</w:t>
      </w:r>
    </w:p>
    <w:p>
      <w:pPr>
        <w:spacing w:after="0" w:line="200" w:lineRule="exact"/>
        <w:rPr>
          <w:sz w:val="20"/>
          <w:szCs w:val="20"/>
          <w:color w:val="auto"/>
        </w:rPr>
      </w:pPr>
    </w:p>
    <w:p>
      <w:pPr>
        <w:spacing w:after="0" w:line="285"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Governance Principles</w:t>
      </w:r>
    </w:p>
    <w:p>
      <w:pPr>
        <w:spacing w:after="0" w:line="133" w:lineRule="exact"/>
        <w:rPr>
          <w:sz w:val="20"/>
          <w:szCs w:val="20"/>
          <w:color w:val="auto"/>
        </w:rPr>
      </w:pPr>
    </w:p>
    <w:p>
      <w:pPr>
        <w:ind w:left="820" w:right="140"/>
        <w:spacing w:after="0" w:line="286" w:lineRule="auto"/>
        <w:rPr>
          <w:sz w:val="20"/>
          <w:szCs w:val="20"/>
          <w:color w:val="auto"/>
        </w:rPr>
      </w:pPr>
      <w:r>
        <w:rPr>
          <w:rFonts w:ascii="Arial" w:cs="Arial" w:eastAsia="Arial" w:hAnsi="Arial"/>
          <w:sz w:val="16"/>
          <w:szCs w:val="16"/>
          <w:color w:val="auto"/>
        </w:rPr>
        <w:t>The Board adopted Governance Principles that address significant issues of corporate governance and set forth procedures by which the Board carries out its responsibilities. A copy of the Governance Principles is available on our website at https://slgreen.gcs-web.com/corporate-governance. Among the areas addressed by the Governance Principles are director qualification standards, director responsibilities, director access to management and independent advisors, director compensation, director orientation and continuing education, management succession, annual performance evaluation of the Board and management responsibilities. Our Nominating and Corporate Governance Committee is responsible for, among other things, assessing and periodically reviewing the adequacy of the Governance Principles and will recommend, as appropriate, proposed changes to the Board. Although there is no one-size-fits all approach to corporate governance, we believe that our Governance Principles are aligned with the expectations of our stockholders.</w:t>
      </w:r>
    </w:p>
    <w:p>
      <w:pPr>
        <w:spacing w:after="0" w:line="276"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Code of Ethics</w:t>
      </w:r>
    </w:p>
    <w:p>
      <w:pPr>
        <w:spacing w:after="0" w:line="133" w:lineRule="exact"/>
        <w:rPr>
          <w:sz w:val="20"/>
          <w:szCs w:val="20"/>
          <w:color w:val="auto"/>
        </w:rPr>
      </w:pPr>
    </w:p>
    <w:p>
      <w:pPr>
        <w:ind w:left="820" w:right="120"/>
        <w:spacing w:after="0" w:line="287" w:lineRule="auto"/>
        <w:rPr>
          <w:sz w:val="20"/>
          <w:szCs w:val="20"/>
          <w:color w:val="auto"/>
        </w:rPr>
      </w:pPr>
      <w:r>
        <w:rPr>
          <w:rFonts w:ascii="Arial" w:cs="Arial" w:eastAsia="Arial" w:hAnsi="Arial"/>
          <w:sz w:val="16"/>
          <w:szCs w:val="16"/>
          <w:color w:val="auto"/>
        </w:rPr>
        <w:t>The Board adopted a Code of Ethics that applies to our directors, executive officers and employees. The Code of Ethics is available on our website at https://slgreen.gcs-web.com/corporate-governance. The Code of Ethics is designed to assist our directors, executive officers and employees in complying with legal requirements and in resolving moral and ethical issues that may arise, and in complying with our policies and procedures. Among the areas addressed by the Code of Ethics are legal compliance, conflicts of interest, use and protection of the Company’s assets, confidentiality, communications with the public, accounting matters, records retention, fair dealing, discrimination, harassment and health and safety. We intend to disclose on our corporate website, at the address listed above, any amendment to, or waiver of, any provisions of this Code applicable to our directors and executive officers that would otherwise be required to be disclosed under the rules of the SEC or the NYSE.</w:t>
      </w:r>
    </w:p>
    <w:p>
      <w:pPr>
        <w:spacing w:after="0" w:line="273"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Whistleblowing and Whistleblower Protection Policy</w:t>
      </w:r>
    </w:p>
    <w:p>
      <w:pPr>
        <w:spacing w:after="0" w:line="133" w:lineRule="exact"/>
        <w:rPr>
          <w:sz w:val="20"/>
          <w:szCs w:val="20"/>
          <w:color w:val="auto"/>
        </w:rPr>
      </w:pPr>
    </w:p>
    <w:p>
      <w:pPr>
        <w:ind w:left="820" w:right="100"/>
        <w:spacing w:after="0" w:line="287" w:lineRule="auto"/>
        <w:rPr>
          <w:sz w:val="20"/>
          <w:szCs w:val="20"/>
          <w:color w:val="auto"/>
        </w:rPr>
      </w:pPr>
      <w:r>
        <w:rPr>
          <w:rFonts w:ascii="Arial" w:cs="Arial" w:eastAsia="Arial" w:hAnsi="Arial"/>
          <w:sz w:val="16"/>
          <w:szCs w:val="16"/>
          <w:color w:val="auto"/>
        </w:rPr>
        <w:t>We have adopted a Whistleblowing and Whistleblower Protection Policy pursuant to which our employees must report if they observe, suspect or become aware of a violation of applicable laws, regulations, or business ethics standards, and pursuant to which the Audit Committee established procedures for (1) the receipt, retention and treatment of complaints received by the Company regarding accounting, internal accounting controls or auditing matters, and (2) the confidential and anonymous submission by our employees of concerns regarding questionable accounting or auditing matters. If you wish to contact our Audit Committee to report complaints or concerns relating to the financial reporting of the Company, you may do so in writing to the Chair of our Audit Committee, c/o Andrew S. Levine, Secretary, SL Green Realty Corp., One Vanderbilt Avenue, New York, New York 10017-3852. Any such communications may be made anonymously.</w:t>
      </w:r>
    </w:p>
    <w:p>
      <w:pPr>
        <w:spacing w:after="0" w:line="273"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Additional Information</w:t>
      </w:r>
    </w:p>
    <w:p>
      <w:pPr>
        <w:spacing w:after="0" w:line="133" w:lineRule="exact"/>
        <w:rPr>
          <w:sz w:val="20"/>
          <w:szCs w:val="20"/>
          <w:color w:val="auto"/>
        </w:rPr>
      </w:pPr>
    </w:p>
    <w:p>
      <w:pPr>
        <w:ind w:left="820" w:right="60"/>
        <w:spacing w:after="0" w:line="289" w:lineRule="auto"/>
        <w:rPr>
          <w:sz w:val="20"/>
          <w:szCs w:val="20"/>
          <w:color w:val="auto"/>
        </w:rPr>
      </w:pPr>
      <w:r>
        <w:rPr>
          <w:rFonts w:ascii="Arial" w:cs="Arial" w:eastAsia="Arial" w:hAnsi="Arial"/>
          <w:sz w:val="16"/>
          <w:szCs w:val="16"/>
          <w:color w:val="auto"/>
        </w:rPr>
        <w:t>You are encouraged to visit the “Investors—Corporate Governance” section of our corporate website at www.slgreen.com to view or obtain copies of our committee charters, Code of Ethics, Governance Principles and director independence standards. The information found on, or accessible through, our website is not incorporated into, and does not form a part of, this proxy statement or any other report or document we file with, or furnish to, the SEC. You also may obtain, free of charge, a copy of the respective charters of our committees, Code of Ethics, Governance Principles and director independence standards by directing your request in writing to SL Green Realty Corp., One Vanderbilt Avenue, New York, New York 10017-3852.</w:t>
      </w:r>
    </w:p>
    <w:p>
      <w:pPr>
        <w:spacing w:after="0" w:line="272"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Lobbying, Political Contributions and Trade Associations</w:t>
      </w:r>
    </w:p>
    <w:p>
      <w:pPr>
        <w:spacing w:after="0" w:line="133" w:lineRule="exact"/>
        <w:rPr>
          <w:sz w:val="20"/>
          <w:szCs w:val="20"/>
          <w:color w:val="auto"/>
        </w:rPr>
      </w:pPr>
    </w:p>
    <w:p>
      <w:pPr>
        <w:ind w:left="820" w:right="100"/>
        <w:spacing w:after="0" w:line="301" w:lineRule="auto"/>
        <w:rPr>
          <w:sz w:val="20"/>
          <w:szCs w:val="20"/>
          <w:color w:val="auto"/>
        </w:rPr>
      </w:pPr>
      <w:r>
        <w:rPr>
          <w:rFonts w:ascii="Arial" w:cs="Arial" w:eastAsia="Arial" w:hAnsi="Arial"/>
          <w:sz w:val="16"/>
          <w:szCs w:val="16"/>
          <w:color w:val="auto"/>
        </w:rPr>
        <w:t>The Company believes that participation in the public policy process is an important and essential means of enhancing stockholder value. Our efforts in this area are directly overseen by our CEO and reviewed periodically by the full Board and on an ongoing basis by our legal department to ensure compliance with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1185545</wp:posOffset>
            </wp:positionV>
            <wp:extent cx="683196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6260" w:type="dxa"/>
            <w:vAlign w:val="bottom"/>
          </w:tcPr>
          <w:p>
            <w:pPr>
              <w:spacing w:after="0"/>
              <w:rPr>
                <w:sz w:val="20"/>
                <w:szCs w:val="20"/>
                <w:color w:val="auto"/>
              </w:rPr>
            </w:pPr>
            <w:r>
              <w:rPr>
                <w:rFonts w:ascii="Arial" w:cs="Arial" w:eastAsia="Arial" w:hAnsi="Arial"/>
                <w:sz w:val="14"/>
                <w:szCs w:val="14"/>
                <w:b w:val="1"/>
                <w:bCs w:val="1"/>
                <w:color w:val="auto"/>
              </w:rPr>
              <w:t>​</w:t>
            </w:r>
          </w:p>
        </w:tc>
        <w:tc>
          <w:tcPr>
            <w:tcW w:w="2320" w:type="dxa"/>
            <w:vAlign w:val="bottom"/>
          </w:tcPr>
          <w:p>
            <w:pPr>
              <w:ind w:left="1940"/>
              <w:spacing w:after="0"/>
              <w:rPr>
                <w:sz w:val="20"/>
                <w:szCs w:val="20"/>
                <w:color w:val="auto"/>
              </w:rPr>
            </w:pPr>
            <w:r>
              <w:rPr>
                <w:rFonts w:ascii="Arial" w:cs="Arial" w:eastAsia="Arial" w:hAnsi="Arial"/>
                <w:sz w:val="14"/>
                <w:szCs w:val="14"/>
                <w:b w:val="1"/>
                <w:bCs w:val="1"/>
                <w:color w:val="auto"/>
              </w:rPr>
              <w:t>​ ​</w:t>
            </w:r>
          </w:p>
        </w:tc>
        <w:tc>
          <w:tcPr>
            <w:tcW w:w="480" w:type="dxa"/>
            <w:vAlign w:val="bottom"/>
            <w:vMerge w:val="restart"/>
          </w:tcPr>
          <w:p>
            <w:pPr>
              <w:jc w:val="right"/>
              <w:spacing w:after="0"/>
              <w:rPr>
                <w:sz w:val="20"/>
                <w:szCs w:val="20"/>
                <w:color w:val="auto"/>
              </w:rPr>
            </w:pPr>
            <w:r>
              <w:rPr>
                <w:rFonts w:ascii="Arial" w:cs="Arial" w:eastAsia="Arial" w:hAnsi="Arial"/>
                <w:sz w:val="22"/>
                <w:szCs w:val="22"/>
                <w:b w:val="1"/>
                <w:bCs w:val="1"/>
                <w:color w:val="1F2668"/>
              </w:rPr>
              <w:t>37</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6260" w:type="dxa"/>
            <w:vAlign w:val="bottom"/>
          </w:tcPr>
          <w:p>
            <w:pPr>
              <w:spacing w:after="0"/>
              <w:rPr>
                <w:sz w:val="20"/>
                <w:szCs w:val="20"/>
                <w:color w:val="auto"/>
              </w:rPr>
            </w:pPr>
            <w:r>
              <w:rPr>
                <w:rFonts w:ascii="Arial" w:cs="Arial" w:eastAsia="Arial" w:hAnsi="Arial"/>
                <w:sz w:val="14"/>
                <w:szCs w:val="14"/>
                <w:b w:val="1"/>
                <w:bCs w:val="1"/>
                <w:color w:val="auto"/>
              </w:rPr>
              <w:t>OUR BOARD OF DIRECTORS AND CORPORATE GOVERNANCE</w:t>
            </w:r>
          </w:p>
        </w:tc>
        <w:tc>
          <w:tcPr>
            <w:tcW w:w="232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820"/>
        <w:spacing w:after="0"/>
        <w:rPr>
          <w:sz w:val="20"/>
          <w:szCs w:val="20"/>
          <w:color w:val="auto"/>
        </w:rPr>
      </w:pPr>
      <w:r>
        <w:rPr>
          <w:rFonts w:ascii="Arial" w:cs="Arial" w:eastAsia="Arial" w:hAnsi="Arial"/>
          <w:sz w:val="29"/>
          <w:szCs w:val="29"/>
          <w:b w:val="1"/>
          <w:bCs w:val="1"/>
          <w:color w:val="83AD40"/>
        </w:rPr>
        <w:t>DIRECTOR COMPENSATION</w:t>
      </w:r>
    </w:p>
    <w:p>
      <w:pPr>
        <w:spacing w:after="0" w:line="302"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Director Compensation Process</w:t>
      </w:r>
    </w:p>
    <w:p>
      <w:pPr>
        <w:spacing w:after="0" w:line="133" w:lineRule="exact"/>
        <w:rPr>
          <w:sz w:val="20"/>
          <w:szCs w:val="20"/>
          <w:color w:val="auto"/>
        </w:rPr>
      </w:pPr>
    </w:p>
    <w:p>
      <w:pPr>
        <w:ind w:left="820" w:right="160"/>
        <w:spacing w:after="0" w:line="291" w:lineRule="auto"/>
        <w:rPr>
          <w:sz w:val="20"/>
          <w:szCs w:val="20"/>
          <w:color w:val="auto"/>
        </w:rPr>
      </w:pPr>
      <w:r>
        <w:rPr>
          <w:rFonts w:ascii="Arial" w:cs="Arial" w:eastAsia="Arial" w:hAnsi="Arial"/>
          <w:sz w:val="16"/>
          <w:szCs w:val="16"/>
          <w:color w:val="auto"/>
        </w:rPr>
        <w:t>We review our director compensation annually, including engagement of our compensation consultants to evaluate the structure and competitiveness of our non-employee director compensation and recommend changes as appropriate. Based on these reviews, since 2019, we have reduced the value of the annual stock grant to directors by $65,000, or 21.7%, from $300,000 to $235,000, and reduced the cash retainer paid for serving as our Lead Independent Director by $15,000, or 17.6%, from $85,000 to $70,000.</w:t>
      </w:r>
    </w:p>
    <w:p>
      <w:pPr>
        <w:spacing w:after="0" w:line="181" w:lineRule="exact"/>
        <w:rPr>
          <w:sz w:val="20"/>
          <w:szCs w:val="20"/>
          <w:color w:val="auto"/>
        </w:rPr>
      </w:pPr>
    </w:p>
    <w:p>
      <w:pPr>
        <w:ind w:left="820" w:right="320"/>
        <w:spacing w:after="0" w:line="321" w:lineRule="auto"/>
        <w:rPr>
          <w:sz w:val="20"/>
          <w:szCs w:val="20"/>
          <w:color w:val="auto"/>
        </w:rPr>
      </w:pPr>
      <w:r>
        <w:rPr>
          <w:rFonts w:ascii="Arial" w:cs="Arial" w:eastAsia="Arial" w:hAnsi="Arial"/>
          <w:sz w:val="16"/>
          <w:szCs w:val="16"/>
          <w:color w:val="auto"/>
        </w:rPr>
        <w:t>Most recently, in December 2024, the Compensation Committee again conducted a full review of our director compensation in consultation with Ferguson Partners and FTI Consulting. No changes were implemented as a result of that review.</w:t>
      </w:r>
    </w:p>
    <w:p>
      <w:pPr>
        <w:spacing w:after="0" w:line="245"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Elements of Director Compensation</w:t>
      </w:r>
    </w:p>
    <w:p>
      <w:pPr>
        <w:spacing w:after="0" w:line="133" w:lineRule="exact"/>
        <w:rPr>
          <w:sz w:val="20"/>
          <w:szCs w:val="20"/>
          <w:color w:val="auto"/>
        </w:rPr>
      </w:pPr>
    </w:p>
    <w:p>
      <w:pPr>
        <w:ind w:left="820" w:right="260"/>
        <w:spacing w:after="0" w:line="321" w:lineRule="auto"/>
        <w:rPr>
          <w:sz w:val="20"/>
          <w:szCs w:val="20"/>
          <w:color w:val="auto"/>
        </w:rPr>
      </w:pPr>
      <w:r>
        <w:rPr>
          <w:rFonts w:ascii="Arial" w:cs="Arial" w:eastAsia="Arial" w:hAnsi="Arial"/>
          <w:sz w:val="16"/>
          <w:szCs w:val="16"/>
          <w:color w:val="auto"/>
        </w:rPr>
        <w:t>Only non-employee Directors are compensated for service on the Board. During the fiscal year ended December 31, 2024, the fees for non-employee Directors were:</w:t>
      </w:r>
    </w:p>
    <w:p>
      <w:pPr>
        <w:sectPr>
          <w:pgSz w:w="11900" w:h="16838" w:orient="portrait"/>
          <w:cols w:equalWidth="0" w:num="1">
            <w:col w:w="9940"/>
          </w:cols>
          <w:pgMar w:left="580" w:top="97" w:right="1379" w:bottom="1440" w:gutter="0" w:footer="0" w:header="0"/>
        </w:sectPr>
      </w:pPr>
    </w:p>
    <w:p>
      <w:pPr>
        <w:spacing w:after="0" w:line="188"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1F2668"/>
        </w:rPr>
        <w:t>Annual cash retainers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40640</wp:posOffset>
            </wp:positionV>
            <wp:extent cx="518604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186045" cy="8255"/>
                    </a:xfrm>
                    <a:prstGeom prst="rect">
                      <a:avLst/>
                    </a:prstGeom>
                    <a:noFill/>
                  </pic:spPr>
                </pic:pic>
              </a:graphicData>
            </a:graphic>
          </wp:anchor>
        </w:drawing>
      </w:r>
    </w:p>
    <w:p>
      <w:pPr>
        <w:spacing w:after="0" w:line="98" w:lineRule="exact"/>
        <w:rPr>
          <w:sz w:val="20"/>
          <w:szCs w:val="20"/>
          <w:color w:val="auto"/>
        </w:rPr>
      </w:pPr>
    </w:p>
    <w:p>
      <w:pPr>
        <w:ind w:left="820"/>
        <w:spacing w:after="0"/>
        <w:rPr>
          <w:sz w:val="20"/>
          <w:szCs w:val="20"/>
          <w:color w:val="auto"/>
        </w:rPr>
      </w:pPr>
      <w:r>
        <w:rPr>
          <w:rFonts w:ascii="Arial" w:cs="Arial" w:eastAsia="Arial" w:hAnsi="Arial"/>
          <w:sz w:val="16"/>
          <w:szCs w:val="16"/>
          <w:color w:val="auto"/>
        </w:rPr>
        <w:t>Cash retainer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38100</wp:posOffset>
            </wp:positionV>
            <wp:extent cx="518604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186045" cy="8255"/>
                    </a:xfrm>
                    <a:prstGeom prst="rect">
                      <a:avLst/>
                    </a:prstGeom>
                    <a:noFill/>
                  </pic:spPr>
                </pic:pic>
              </a:graphicData>
            </a:graphic>
          </wp:anchor>
        </w:drawing>
      </w:r>
    </w:p>
    <w:p>
      <w:pPr>
        <w:spacing w:after="0" w:line="9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Additional cash retainer if serving as the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38100</wp:posOffset>
            </wp:positionV>
            <wp:extent cx="518604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186045" cy="8255"/>
                    </a:xfrm>
                    <a:prstGeom prst="rect">
                      <a:avLst/>
                    </a:prstGeom>
                    <a:noFill/>
                  </pic:spPr>
                </pic:pic>
              </a:graphicData>
            </a:graphic>
          </wp:anchor>
        </w:drawing>
      </w:r>
    </w:p>
    <w:p>
      <w:pPr>
        <w:spacing w:after="0" w:line="9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Additional cash retainer if serving as a chair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38100</wp:posOffset>
            </wp:positionV>
            <wp:extent cx="518604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186045" cy="8255"/>
                    </a:xfrm>
                    <a:prstGeom prst="rect">
                      <a:avLst/>
                    </a:prstGeom>
                    <a:noFill/>
                  </pic:spPr>
                </pic:pic>
              </a:graphicData>
            </a:graphic>
          </wp:anchor>
        </w:drawing>
      </w:r>
    </w:p>
    <w:p>
      <w:pPr>
        <w:spacing w:after="0" w:line="9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Additional cash retainer if serving as a chair of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38100</wp:posOffset>
            </wp:positionV>
            <wp:extent cx="518604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186045" cy="8890"/>
                    </a:xfrm>
                    <a:prstGeom prst="rect">
                      <a:avLst/>
                    </a:prstGeom>
                    <a:noFill/>
                  </pic:spPr>
                </pic:pic>
              </a:graphicData>
            </a:graphic>
          </wp:anchor>
        </w:drawing>
      </w:r>
    </w:p>
    <w:p>
      <w:pPr>
        <w:spacing w:after="0" w:line="9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Additional cash retainer if serving as a chair of the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38100</wp:posOffset>
            </wp:positionV>
            <wp:extent cx="518604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186045" cy="8890"/>
                    </a:xfrm>
                    <a:prstGeom prst="rect">
                      <a:avLst/>
                    </a:prstGeom>
                    <a:noFill/>
                  </pic:spPr>
                </pic:pic>
              </a:graphicData>
            </a:graphic>
          </wp:anchor>
        </w:drawing>
      </w:r>
    </w:p>
    <w:p>
      <w:pPr>
        <w:spacing w:after="0" w:line="93"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1F2668"/>
        </w:rPr>
        <w:t>Meeting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38100</wp:posOffset>
            </wp:positionV>
            <wp:extent cx="518604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186045" cy="8255"/>
                    </a:xfrm>
                    <a:prstGeom prst="rect">
                      <a:avLst/>
                    </a:prstGeom>
                    <a:noFill/>
                  </pic:spPr>
                </pic:pic>
              </a:graphicData>
            </a:graphic>
          </wp:anchor>
        </w:drawing>
      </w:r>
    </w:p>
    <w:p>
      <w:pPr>
        <w:spacing w:after="0" w:line="9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For each meeting of the Board or a committee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38100</wp:posOffset>
            </wp:positionV>
            <wp:extent cx="518604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186045" cy="8255"/>
                    </a:xfrm>
                    <a:prstGeom prst="rect">
                      <a:avLst/>
                    </a:prstGeom>
                    <a:noFill/>
                  </pic:spPr>
                </pic:pic>
              </a:graphicData>
            </a:graphic>
          </wp:anchor>
        </w:drawing>
      </w:r>
    </w:p>
    <w:p>
      <w:pPr>
        <w:spacing w:after="0" w:line="93" w:lineRule="exact"/>
        <w:rPr>
          <w:sz w:val="20"/>
          <w:szCs w:val="20"/>
          <w:color w:val="auto"/>
        </w:rPr>
      </w:pPr>
    </w:p>
    <w:p>
      <w:pPr>
        <w:ind w:left="820"/>
        <w:spacing w:after="0"/>
        <w:rPr>
          <w:sz w:val="20"/>
          <w:szCs w:val="20"/>
          <w:color w:val="auto"/>
        </w:rPr>
      </w:pPr>
      <w:r>
        <w:rPr>
          <w:rFonts w:ascii="Arial" w:cs="Arial" w:eastAsia="Arial" w:hAnsi="Arial"/>
          <w:sz w:val="15"/>
          <w:szCs w:val="15"/>
          <w:color w:val="auto"/>
        </w:rPr>
        <w:t>For each special meeting of the Audit Committee held independently of Board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45085</wp:posOffset>
            </wp:positionV>
            <wp:extent cx="518604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186045" cy="8890"/>
                    </a:xfrm>
                    <a:prstGeom prst="rect">
                      <a:avLst/>
                    </a:prstGeom>
                    <a:noFill/>
                  </pic:spPr>
                </pic:pic>
              </a:graphicData>
            </a:graphic>
          </wp:anchor>
        </w:drawing>
      </w:r>
    </w:p>
    <w:p>
      <w:pPr>
        <w:spacing w:after="0" w:line="105"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1F2668"/>
        </w:rPr>
        <w:t>Stock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38100</wp:posOffset>
            </wp:positionV>
            <wp:extent cx="518604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186045" cy="8890"/>
                    </a:xfrm>
                    <a:prstGeom prst="rect">
                      <a:avLst/>
                    </a:prstGeom>
                    <a:noFill/>
                  </pic:spPr>
                </pic:pic>
              </a:graphicData>
            </a:graphic>
          </wp:anchor>
        </w:drawing>
      </w:r>
    </w:p>
    <w:p>
      <w:pPr>
        <w:spacing w:after="0" w:line="9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Valued at the grant date with shares fully vested on such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38100</wp:posOffset>
            </wp:positionV>
            <wp:extent cx="518604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1860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left="29"/>
        <w:spacing w:after="0"/>
        <w:tabs>
          <w:tab w:leader="none" w:pos="849" w:val="left"/>
        </w:tabs>
        <w:rPr>
          <w:sz w:val="20"/>
          <w:szCs w:val="20"/>
          <w:color w:val="auto"/>
        </w:rPr>
      </w:pPr>
      <w:r>
        <w:rPr>
          <w:rFonts w:ascii="Arial" w:cs="Arial" w:eastAsia="Arial" w:hAnsi="Arial"/>
          <w:sz w:val="14"/>
          <w:szCs w:val="14"/>
          <w:b w:val="1"/>
          <w:bCs w:val="1"/>
          <w:color w:val="1F2668"/>
        </w:rPr>
        <w:t>​​ ​ ​</w:t>
      </w:r>
      <w:r>
        <w:rPr>
          <w:sz w:val="20"/>
          <w:szCs w:val="20"/>
          <w:color w:val="auto"/>
        </w:rPr>
        <w:tab/>
      </w:r>
      <w:r>
        <w:rPr>
          <w:rFonts w:ascii="Arial" w:cs="Arial" w:eastAsia="Arial" w:hAnsi="Arial"/>
          <w:sz w:val="14"/>
          <w:szCs w:val="14"/>
          <w:b w:val="1"/>
          <w:bCs w:val="1"/>
          <w:color w:val="1F2668"/>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15240</wp:posOffset>
            </wp:positionV>
            <wp:extent cx="50609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06095" cy="8255"/>
                    </a:xfrm>
                    <a:prstGeom prst="rect">
                      <a:avLst/>
                    </a:prstGeom>
                    <a:noFill/>
                  </pic:spPr>
                </pic:pic>
              </a:graphicData>
            </a:graphic>
          </wp:anchor>
        </w:drawing>
      </w:r>
    </w:p>
    <w:p>
      <w:pPr>
        <w:ind w:left="129" w:hanging="129"/>
        <w:spacing w:after="0" w:line="225" w:lineRule="auto"/>
        <w:tabs>
          <w:tab w:leader="none" w:pos="129" w:val="left"/>
        </w:tabs>
        <w:numPr>
          <w:ilvl w:val="0"/>
          <w:numId w:val="44"/>
        </w:numPr>
        <w:rPr>
          <w:rFonts w:ascii="Arial" w:cs="Arial" w:eastAsia="Arial" w:hAnsi="Arial"/>
          <w:sz w:val="32"/>
          <w:szCs w:val="32"/>
          <w:color w:val="auto"/>
          <w:vertAlign w:val="subscript"/>
        </w:rPr>
      </w:pPr>
      <w:r>
        <w:rPr>
          <w:rFonts w:ascii="Arial" w:cs="Arial" w:eastAsia="Arial" w:hAnsi="Arial"/>
          <w:sz w:val="32"/>
          <w:szCs w:val="32"/>
          <w:color w:val="auto"/>
          <w:vertAlign w:val="subscript"/>
        </w:rPr>
        <w:t>​</w:t>
      </w:r>
      <w:r>
        <w:rPr>
          <w:rFonts w:ascii="Arial" w:cs="Arial" w:eastAsia="Arial" w:hAnsi="Arial"/>
          <w:sz w:val="16"/>
          <w:szCs w:val="16"/>
          <w:color w:val="auto"/>
        </w:rPr>
        <w:t>$ 50,000</w:t>
      </w:r>
      <w:r>
        <w:rPr>
          <w:rFonts w:ascii="Arial" w:cs="Arial" w:eastAsia="Arial" w:hAnsi="Arial"/>
          <w:sz w:val="32"/>
          <w:szCs w:val="32"/>
          <w:color w:val="auto"/>
          <w:vertAlign w:val="subscript"/>
        </w:rPr>
        <w:t>​</w:t>
      </w:r>
    </w:p>
    <w:p>
      <w:pPr>
        <w:ind w:left="129" w:hanging="129"/>
        <w:spacing w:after="0" w:line="193" w:lineRule="auto"/>
        <w:tabs>
          <w:tab w:leader="none" w:pos="129" w:val="left"/>
        </w:tabs>
        <w:numPr>
          <w:ilvl w:val="0"/>
          <w:numId w:val="44"/>
        </w:numPr>
        <w:rPr>
          <w:rFonts w:ascii="Arial" w:cs="Arial" w:eastAsia="Arial" w:hAnsi="Arial"/>
          <w:sz w:val="32"/>
          <w:szCs w:val="32"/>
          <w:color w:val="auto"/>
          <w:vertAlign w:val="subscript"/>
        </w:rPr>
      </w:pPr>
      <w:r>
        <w:rPr>
          <w:rFonts w:ascii="Arial" w:cs="Arial" w:eastAsia="Arial" w:hAnsi="Arial"/>
          <w:sz w:val="32"/>
          <w:szCs w:val="32"/>
          <w:color w:val="auto"/>
          <w:vertAlign w:val="subscript"/>
        </w:rPr>
        <w:t>​</w:t>
      </w:r>
      <w:r>
        <w:rPr>
          <w:rFonts w:ascii="Arial" w:cs="Arial" w:eastAsia="Arial" w:hAnsi="Arial"/>
          <w:sz w:val="16"/>
          <w:szCs w:val="16"/>
          <w:color w:val="auto"/>
        </w:rPr>
        <w:t>$ 70,000</w:t>
      </w:r>
      <w:r>
        <w:rPr>
          <w:rFonts w:ascii="Arial" w:cs="Arial" w:eastAsia="Arial" w:hAnsi="Arial"/>
          <w:sz w:val="32"/>
          <w:szCs w:val="32"/>
          <w:color w:val="auto"/>
          <w:vertAlign w:val="subscript"/>
        </w:rPr>
        <w:t>​</w:t>
      </w:r>
    </w:p>
    <w:p>
      <w:pPr>
        <w:spacing w:after="0" w:line="1" w:lineRule="exact"/>
        <w:rPr>
          <w:rFonts w:ascii="Arial" w:cs="Arial" w:eastAsia="Arial" w:hAnsi="Arial"/>
          <w:sz w:val="32"/>
          <w:szCs w:val="32"/>
          <w:color w:val="auto"/>
          <w:vertAlign w:val="subscript"/>
        </w:rPr>
      </w:pPr>
    </w:p>
    <w:p>
      <w:pPr>
        <w:ind w:left="129" w:hanging="129"/>
        <w:spacing w:after="0" w:line="193" w:lineRule="auto"/>
        <w:tabs>
          <w:tab w:leader="none" w:pos="129" w:val="left"/>
        </w:tabs>
        <w:numPr>
          <w:ilvl w:val="0"/>
          <w:numId w:val="44"/>
        </w:numPr>
        <w:rPr>
          <w:rFonts w:ascii="Arial" w:cs="Arial" w:eastAsia="Arial" w:hAnsi="Arial"/>
          <w:sz w:val="32"/>
          <w:szCs w:val="32"/>
          <w:color w:val="auto"/>
          <w:vertAlign w:val="subscript"/>
        </w:rPr>
      </w:pPr>
      <w:r>
        <w:rPr>
          <w:rFonts w:ascii="Arial" w:cs="Arial" w:eastAsia="Arial" w:hAnsi="Arial"/>
          <w:sz w:val="32"/>
          <w:szCs w:val="32"/>
          <w:color w:val="auto"/>
          <w:vertAlign w:val="subscript"/>
        </w:rPr>
        <w:t>​</w:t>
      </w:r>
      <w:r>
        <w:rPr>
          <w:rFonts w:ascii="Arial" w:cs="Arial" w:eastAsia="Arial" w:hAnsi="Arial"/>
          <w:sz w:val="16"/>
          <w:szCs w:val="16"/>
          <w:color w:val="auto"/>
        </w:rPr>
        <w:t>$ 25,000</w:t>
      </w:r>
      <w:r>
        <w:rPr>
          <w:rFonts w:ascii="Arial" w:cs="Arial" w:eastAsia="Arial" w:hAnsi="Arial"/>
          <w:sz w:val="32"/>
          <w:szCs w:val="32"/>
          <w:color w:val="auto"/>
          <w:vertAlign w:val="subscript"/>
        </w:rPr>
        <w:t>​</w:t>
      </w:r>
    </w:p>
    <w:p>
      <w:pPr>
        <w:spacing w:after="0" w:line="1" w:lineRule="exact"/>
        <w:rPr>
          <w:rFonts w:ascii="Arial" w:cs="Arial" w:eastAsia="Arial" w:hAnsi="Arial"/>
          <w:sz w:val="32"/>
          <w:szCs w:val="32"/>
          <w:color w:val="auto"/>
          <w:vertAlign w:val="subscript"/>
        </w:rPr>
      </w:pPr>
    </w:p>
    <w:p>
      <w:pPr>
        <w:ind w:left="129" w:hanging="129"/>
        <w:spacing w:after="0" w:line="193" w:lineRule="auto"/>
        <w:tabs>
          <w:tab w:leader="none" w:pos="129" w:val="left"/>
        </w:tabs>
        <w:numPr>
          <w:ilvl w:val="0"/>
          <w:numId w:val="44"/>
        </w:numPr>
        <w:rPr>
          <w:rFonts w:ascii="Arial" w:cs="Arial" w:eastAsia="Arial" w:hAnsi="Arial"/>
          <w:sz w:val="32"/>
          <w:szCs w:val="32"/>
          <w:color w:val="auto"/>
          <w:vertAlign w:val="subscript"/>
        </w:rPr>
      </w:pPr>
      <w:r>
        <w:rPr>
          <w:rFonts w:ascii="Arial" w:cs="Arial" w:eastAsia="Arial" w:hAnsi="Arial"/>
          <w:sz w:val="32"/>
          <w:szCs w:val="32"/>
          <w:color w:val="auto"/>
          <w:vertAlign w:val="subscript"/>
        </w:rPr>
        <w:t>​</w:t>
      </w:r>
      <w:r>
        <w:rPr>
          <w:rFonts w:ascii="Arial" w:cs="Arial" w:eastAsia="Arial" w:hAnsi="Arial"/>
          <w:sz w:val="16"/>
          <w:szCs w:val="16"/>
          <w:color w:val="auto"/>
        </w:rPr>
        <w:t>$ 20,000</w:t>
      </w:r>
      <w:r>
        <w:rPr>
          <w:rFonts w:ascii="Arial" w:cs="Arial" w:eastAsia="Arial" w:hAnsi="Arial"/>
          <w:sz w:val="32"/>
          <w:szCs w:val="32"/>
          <w:color w:val="auto"/>
          <w:vertAlign w:val="subscript"/>
        </w:rPr>
        <w:t>​</w:t>
      </w:r>
    </w:p>
    <w:p>
      <w:pPr>
        <w:spacing w:after="0" w:line="1" w:lineRule="exact"/>
        <w:rPr>
          <w:rFonts w:ascii="Arial" w:cs="Arial" w:eastAsia="Arial" w:hAnsi="Arial"/>
          <w:sz w:val="32"/>
          <w:szCs w:val="32"/>
          <w:color w:val="auto"/>
          <w:vertAlign w:val="subscript"/>
        </w:rPr>
      </w:pPr>
    </w:p>
    <w:p>
      <w:pPr>
        <w:ind w:left="129" w:hanging="129"/>
        <w:spacing w:after="0" w:line="193" w:lineRule="auto"/>
        <w:tabs>
          <w:tab w:leader="none" w:pos="129" w:val="left"/>
        </w:tabs>
        <w:numPr>
          <w:ilvl w:val="0"/>
          <w:numId w:val="44"/>
        </w:numPr>
        <w:rPr>
          <w:rFonts w:ascii="Arial" w:cs="Arial" w:eastAsia="Arial" w:hAnsi="Arial"/>
          <w:sz w:val="32"/>
          <w:szCs w:val="32"/>
          <w:color w:val="auto"/>
          <w:vertAlign w:val="subscript"/>
        </w:rPr>
      </w:pPr>
      <w:r>
        <w:rPr>
          <w:rFonts w:ascii="Arial" w:cs="Arial" w:eastAsia="Arial" w:hAnsi="Arial"/>
          <w:sz w:val="32"/>
          <w:szCs w:val="32"/>
          <w:color w:val="auto"/>
          <w:vertAlign w:val="subscript"/>
        </w:rPr>
        <w:t>​</w:t>
      </w:r>
      <w:r>
        <w:rPr>
          <w:rFonts w:ascii="Arial" w:cs="Arial" w:eastAsia="Arial" w:hAnsi="Arial"/>
          <w:sz w:val="16"/>
          <w:szCs w:val="16"/>
          <w:color w:val="auto"/>
        </w:rPr>
        <w:t>$  5,000</w:t>
      </w:r>
      <w:r>
        <w:rPr>
          <w:rFonts w:ascii="Arial" w:cs="Arial" w:eastAsia="Arial" w:hAnsi="Arial"/>
          <w:sz w:val="32"/>
          <w:szCs w:val="32"/>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-14605</wp:posOffset>
            </wp:positionV>
            <wp:extent cx="50609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50165</wp:posOffset>
            </wp:positionH>
            <wp:positionV relativeFrom="paragraph">
              <wp:posOffset>-203200</wp:posOffset>
            </wp:positionV>
            <wp:extent cx="50609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50165</wp:posOffset>
            </wp:positionH>
            <wp:positionV relativeFrom="paragraph">
              <wp:posOffset>-391795</wp:posOffset>
            </wp:positionV>
            <wp:extent cx="50609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06095" cy="8255"/>
                    </a:xfrm>
                    <a:prstGeom prst="rect">
                      <a:avLst/>
                    </a:prstGeom>
                    <a:noFill/>
                  </pic:spPr>
                </pic:pic>
              </a:graphicData>
            </a:graphic>
          </wp:anchor>
        </w:drawing>
        <w:drawing>
          <wp:anchor simplePos="0" relativeHeight="251657728" behindDoc="1" locked="0" layoutInCell="0" allowOverlap="1">
            <wp:simplePos x="0" y="0"/>
            <wp:positionH relativeFrom="column">
              <wp:posOffset>50165</wp:posOffset>
            </wp:positionH>
            <wp:positionV relativeFrom="paragraph">
              <wp:posOffset>-580390</wp:posOffset>
            </wp:positionV>
            <wp:extent cx="50609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06095" cy="8255"/>
                    </a:xfrm>
                    <a:prstGeom prst="rect">
                      <a:avLst/>
                    </a:prstGeom>
                    <a:noFill/>
                  </pic:spPr>
                </pic:pic>
              </a:graphicData>
            </a:graphic>
          </wp:anchor>
        </w:drawing>
        <w:drawing>
          <wp:anchor simplePos="0" relativeHeight="251657728" behindDoc="1" locked="0" layoutInCell="0" allowOverlap="1">
            <wp:simplePos x="0" y="0"/>
            <wp:positionH relativeFrom="column">
              <wp:posOffset>50165</wp:posOffset>
            </wp:positionH>
            <wp:positionV relativeFrom="paragraph">
              <wp:posOffset>-768985</wp:posOffset>
            </wp:positionV>
            <wp:extent cx="50609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06095" cy="8255"/>
                    </a:xfrm>
                    <a:prstGeom prst="rect">
                      <a:avLst/>
                    </a:prstGeom>
                    <a:noFill/>
                  </pic:spPr>
                </pic:pic>
              </a:graphicData>
            </a:graphic>
          </wp:anchor>
        </w:drawing>
      </w:r>
    </w:p>
    <w:tbl>
      <w:tblPr>
        <w:tblLayout w:type="fixed"/>
        <w:tblInd w:w="9" w:type="dxa"/>
        <w:tblCellMar>
          <w:top w:w="0" w:type="dxa"/>
          <w:left w:w="0" w:type="dxa"/>
          <w:bottom w:w="0" w:type="dxa"/>
          <w:right w:w="0" w:type="dxa"/>
        </w:tblCellMar>
      </w:tblPr>
      <w:tr>
        <w:trPr>
          <w:trHeight w:val="184"/>
        </w:trPr>
        <w:tc>
          <w:tcPr>
            <w:tcW w:w="220" w:type="dxa"/>
            <w:vAlign w:val="bottom"/>
            <w:gridSpan w:val="2"/>
            <w:vMerge w:val="restart"/>
          </w:tcPr>
          <w:p>
            <w:pPr>
              <w:spacing w:after="0"/>
              <w:rPr>
                <w:sz w:val="20"/>
                <w:szCs w:val="20"/>
                <w:color w:val="auto"/>
              </w:rPr>
            </w:pPr>
            <w:r>
              <w:rPr>
                <w:rFonts w:ascii="Arial" w:cs="Arial" w:eastAsia="Arial" w:hAnsi="Arial"/>
                <w:sz w:val="16"/>
                <w:szCs w:val="16"/>
                <w:b w:val="1"/>
                <w:bCs w:val="1"/>
                <w:color w:val="1F2668"/>
              </w:rPr>
              <w:t>​​ ​</w:t>
            </w:r>
          </w:p>
        </w:tc>
        <w:tc>
          <w:tcPr>
            <w:tcW w:w="640" w:type="dxa"/>
            <w:vAlign w:val="bottom"/>
          </w:tcPr>
          <w:p>
            <w:pPr>
              <w:ind w:left="60"/>
              <w:spacing w:after="0"/>
              <w:rPr>
                <w:sz w:val="20"/>
                <w:szCs w:val="20"/>
                <w:color w:val="auto"/>
              </w:rPr>
            </w:pPr>
            <w:r>
              <w:rPr>
                <w:rFonts w:ascii="Arial" w:cs="Arial" w:eastAsia="Arial" w:hAnsi="Arial"/>
                <w:sz w:val="16"/>
                <w:szCs w:val="16"/>
                <w:b w:val="1"/>
                <w:bCs w:val="1"/>
                <w:color w:val="1F2668"/>
              </w:rPr>
              <w:t>​</w:t>
            </w:r>
          </w:p>
        </w:tc>
        <w:tc>
          <w:tcPr>
            <w:tcW w:w="60" w:type="dxa"/>
            <w:vAlign w:val="bottom"/>
          </w:tcPr>
          <w:p>
            <w:pPr>
              <w:spacing w:after="0"/>
              <w:rPr>
                <w:sz w:val="20"/>
                <w:szCs w:val="20"/>
                <w:color w:val="auto"/>
              </w:rPr>
            </w:pPr>
            <w:r>
              <w:rPr>
                <w:rFonts w:ascii="Arial" w:cs="Arial" w:eastAsia="Arial" w:hAnsi="Arial"/>
                <w:sz w:val="16"/>
                <w:szCs w:val="16"/>
                <w:b w:val="1"/>
                <w:bCs w:val="1"/>
                <w:color w:val="1F2668"/>
              </w:rPr>
              <w:t>​</w:t>
            </w:r>
          </w:p>
        </w:tc>
        <w:tc>
          <w:tcPr>
            <w:tcW w:w="0" w:type="dxa"/>
            <w:vAlign w:val="bottom"/>
          </w:tcPr>
          <w:p>
            <w:pPr>
              <w:spacing w:after="0"/>
              <w:rPr>
                <w:sz w:val="1"/>
                <w:szCs w:val="1"/>
                <w:color w:val="auto"/>
              </w:rPr>
            </w:pPr>
          </w:p>
        </w:tc>
      </w:tr>
      <w:tr>
        <w:trPr>
          <w:trHeight w:val="81"/>
        </w:trPr>
        <w:tc>
          <w:tcPr>
            <w:tcW w:w="22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line="81" w:lineRule="exact"/>
              <w:rPr>
                <w:sz w:val="20"/>
                <w:szCs w:val="20"/>
                <w:color w:val="auto"/>
              </w:rPr>
            </w:pPr>
            <w:r>
              <w:rPr>
                <w:rFonts w:ascii="Arial" w:cs="Arial" w:eastAsia="Arial" w:hAnsi="Arial"/>
                <w:sz w:val="9"/>
                <w:szCs w:val="9"/>
                <w:b w:val="1"/>
                <w:bCs w:val="1"/>
                <w:color w:val="1F2668"/>
              </w:rPr>
              <w:t>​</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640" w:type="dxa"/>
            <w:vAlign w:val="bottom"/>
            <w:shd w:val="clear" w:color="auto" w:fill="4B50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29" w:hanging="129"/>
        <w:spacing w:after="0" w:line="201" w:lineRule="auto"/>
        <w:tabs>
          <w:tab w:leader="none" w:pos="129" w:val="left"/>
        </w:tabs>
        <w:numPr>
          <w:ilvl w:val="0"/>
          <w:numId w:val="45"/>
        </w:numPr>
        <w:rPr>
          <w:rFonts w:ascii="Arial" w:cs="Arial" w:eastAsia="Arial" w:hAnsi="Arial"/>
          <w:sz w:val="32"/>
          <w:szCs w:val="32"/>
          <w:color w:val="auto"/>
          <w:vertAlign w:val="subscript"/>
        </w:rPr>
      </w:pPr>
      <w:r>
        <w:rPr>
          <w:rFonts w:ascii="Arial" w:cs="Arial" w:eastAsia="Arial" w:hAnsi="Arial"/>
          <w:sz w:val="32"/>
          <w:szCs w:val="32"/>
          <w:color w:val="auto"/>
          <w:vertAlign w:val="subscript"/>
        </w:rPr>
        <w:t>​</w:t>
      </w:r>
      <w:r>
        <w:rPr>
          <w:rFonts w:ascii="Arial" w:cs="Arial" w:eastAsia="Arial" w:hAnsi="Arial"/>
          <w:sz w:val="16"/>
          <w:szCs w:val="16"/>
          <w:color w:val="auto"/>
        </w:rPr>
        <w:t>$  1,500</w:t>
      </w:r>
      <w:r>
        <w:rPr>
          <w:rFonts w:ascii="Arial" w:cs="Arial" w:eastAsia="Arial" w:hAnsi="Arial"/>
          <w:sz w:val="32"/>
          <w:szCs w:val="32"/>
          <w:color w:val="auto"/>
          <w:vertAlign w:val="subscript"/>
        </w:rPr>
        <w:t>​</w:t>
      </w:r>
    </w:p>
    <w:p>
      <w:pPr>
        <w:ind w:left="129" w:hanging="129"/>
        <w:spacing w:after="0" w:line="193" w:lineRule="auto"/>
        <w:tabs>
          <w:tab w:leader="none" w:pos="129" w:val="left"/>
        </w:tabs>
        <w:numPr>
          <w:ilvl w:val="0"/>
          <w:numId w:val="45"/>
        </w:numPr>
        <w:rPr>
          <w:rFonts w:ascii="Arial" w:cs="Arial" w:eastAsia="Arial" w:hAnsi="Arial"/>
          <w:sz w:val="32"/>
          <w:szCs w:val="32"/>
          <w:color w:val="auto"/>
          <w:vertAlign w:val="subscript"/>
        </w:rPr>
      </w:pPr>
      <w:r>
        <w:rPr>
          <w:rFonts w:ascii="Arial" w:cs="Arial" w:eastAsia="Arial" w:hAnsi="Arial"/>
          <w:sz w:val="32"/>
          <w:szCs w:val="32"/>
          <w:color w:val="auto"/>
          <w:vertAlign w:val="subscript"/>
        </w:rPr>
        <w:t>​</w:t>
      </w:r>
      <w:r>
        <w:rPr>
          <w:rFonts w:ascii="Arial" w:cs="Arial" w:eastAsia="Arial" w:hAnsi="Arial"/>
          <w:sz w:val="16"/>
          <w:szCs w:val="16"/>
          <w:color w:val="auto"/>
        </w:rPr>
        <w:t>$  4,000</w:t>
      </w:r>
      <w:r>
        <w:rPr>
          <w:rFonts w:ascii="Arial" w:cs="Arial" w:eastAsia="Arial" w:hAnsi="Arial"/>
          <w:sz w:val="32"/>
          <w:szCs w:val="32"/>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-14605</wp:posOffset>
            </wp:positionV>
            <wp:extent cx="50609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50165</wp:posOffset>
            </wp:positionH>
            <wp:positionV relativeFrom="paragraph">
              <wp:posOffset>-203200</wp:posOffset>
            </wp:positionV>
            <wp:extent cx="50609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06095" cy="8255"/>
                    </a:xfrm>
                    <a:prstGeom prst="rect">
                      <a:avLst/>
                    </a:prstGeom>
                    <a:noFill/>
                  </pic:spPr>
                </pic:pic>
              </a:graphicData>
            </a:graphic>
          </wp:anchor>
        </w:drawing>
      </w:r>
    </w:p>
    <w:tbl>
      <w:tblPr>
        <w:tblLayout w:type="fixed"/>
        <w:tblInd w:w="9" w:type="dxa"/>
        <w:tblCellMar>
          <w:top w:w="0" w:type="dxa"/>
          <w:left w:w="0" w:type="dxa"/>
          <w:bottom w:w="0" w:type="dxa"/>
          <w:right w:w="0" w:type="dxa"/>
        </w:tblCellMar>
      </w:tblPr>
      <w:tr>
        <w:trPr>
          <w:trHeight w:val="184"/>
        </w:trPr>
        <w:tc>
          <w:tcPr>
            <w:tcW w:w="220" w:type="dxa"/>
            <w:vAlign w:val="bottom"/>
            <w:gridSpan w:val="2"/>
            <w:vMerge w:val="restart"/>
          </w:tcPr>
          <w:p>
            <w:pPr>
              <w:spacing w:after="0"/>
              <w:rPr>
                <w:sz w:val="20"/>
                <w:szCs w:val="20"/>
                <w:color w:val="auto"/>
              </w:rPr>
            </w:pPr>
            <w:r>
              <w:rPr>
                <w:rFonts w:ascii="Arial" w:cs="Arial" w:eastAsia="Arial" w:hAnsi="Arial"/>
                <w:sz w:val="16"/>
                <w:szCs w:val="16"/>
                <w:b w:val="1"/>
                <w:bCs w:val="1"/>
                <w:color w:val="1F2668"/>
              </w:rPr>
              <w:t>​​ ​</w:t>
            </w:r>
          </w:p>
        </w:tc>
        <w:tc>
          <w:tcPr>
            <w:tcW w:w="640" w:type="dxa"/>
            <w:vAlign w:val="bottom"/>
          </w:tcPr>
          <w:p>
            <w:pPr>
              <w:ind w:left="60"/>
              <w:spacing w:after="0"/>
              <w:rPr>
                <w:sz w:val="20"/>
                <w:szCs w:val="20"/>
                <w:color w:val="auto"/>
              </w:rPr>
            </w:pPr>
            <w:r>
              <w:rPr>
                <w:rFonts w:ascii="Arial" w:cs="Arial" w:eastAsia="Arial" w:hAnsi="Arial"/>
                <w:sz w:val="16"/>
                <w:szCs w:val="16"/>
                <w:b w:val="1"/>
                <w:bCs w:val="1"/>
                <w:color w:val="1F2668"/>
              </w:rPr>
              <w:t>​</w:t>
            </w:r>
          </w:p>
        </w:tc>
        <w:tc>
          <w:tcPr>
            <w:tcW w:w="60" w:type="dxa"/>
            <w:vAlign w:val="bottom"/>
          </w:tcPr>
          <w:p>
            <w:pPr>
              <w:spacing w:after="0"/>
              <w:rPr>
                <w:sz w:val="20"/>
                <w:szCs w:val="20"/>
                <w:color w:val="auto"/>
              </w:rPr>
            </w:pPr>
            <w:r>
              <w:rPr>
                <w:rFonts w:ascii="Arial" w:cs="Arial" w:eastAsia="Arial" w:hAnsi="Arial"/>
                <w:sz w:val="16"/>
                <w:szCs w:val="16"/>
                <w:b w:val="1"/>
                <w:bCs w:val="1"/>
                <w:color w:val="1F2668"/>
              </w:rPr>
              <w:t>​</w:t>
            </w:r>
          </w:p>
        </w:tc>
        <w:tc>
          <w:tcPr>
            <w:tcW w:w="0" w:type="dxa"/>
            <w:vAlign w:val="bottom"/>
          </w:tcPr>
          <w:p>
            <w:pPr>
              <w:spacing w:after="0"/>
              <w:rPr>
                <w:sz w:val="1"/>
                <w:szCs w:val="1"/>
                <w:color w:val="auto"/>
              </w:rPr>
            </w:pPr>
          </w:p>
        </w:tc>
      </w:tr>
      <w:tr>
        <w:trPr>
          <w:trHeight w:val="81"/>
        </w:trPr>
        <w:tc>
          <w:tcPr>
            <w:tcW w:w="22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line="81" w:lineRule="exact"/>
              <w:rPr>
                <w:sz w:val="20"/>
                <w:szCs w:val="20"/>
                <w:color w:val="auto"/>
              </w:rPr>
            </w:pPr>
            <w:r>
              <w:rPr>
                <w:rFonts w:ascii="Arial" w:cs="Arial" w:eastAsia="Arial" w:hAnsi="Arial"/>
                <w:sz w:val="9"/>
                <w:szCs w:val="9"/>
                <w:b w:val="1"/>
                <w:bCs w:val="1"/>
                <w:color w:val="1F2668"/>
              </w:rPr>
              <w:t>​</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640" w:type="dxa"/>
            <w:vAlign w:val="bottom"/>
            <w:shd w:val="clear" w:color="auto" w:fill="4B50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9"/>
        <w:spacing w:after="0" w:line="201" w:lineRule="auto"/>
        <w:rPr>
          <w:sz w:val="20"/>
          <w:szCs w:val="20"/>
          <w:color w:val="auto"/>
        </w:rPr>
      </w:pPr>
      <w:r>
        <w:rPr>
          <w:rFonts w:ascii="Arial" w:cs="Arial" w:eastAsia="Arial" w:hAnsi="Arial"/>
          <w:sz w:val="32"/>
          <w:szCs w:val="32"/>
          <w:color w:val="auto"/>
          <w:vertAlign w:val="subscript"/>
        </w:rPr>
        <w:t>​​ ​</w:t>
      </w:r>
      <w:r>
        <w:rPr>
          <w:rFonts w:ascii="Arial" w:cs="Arial" w:eastAsia="Arial" w:hAnsi="Arial"/>
          <w:sz w:val="16"/>
          <w:szCs w:val="16"/>
          <w:color w:val="auto"/>
        </w:rPr>
        <w:t>$235,000</w:t>
      </w:r>
      <w:r>
        <w:rPr>
          <w:rFonts w:ascii="Arial" w:cs="Arial" w:eastAsia="Arial" w:hAnsi="Arial"/>
          <w:sz w:val="32"/>
          <w:szCs w:val="32"/>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-15240</wp:posOffset>
            </wp:positionV>
            <wp:extent cx="50609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0609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91" w:space="720"/>
            <w:col w:w="929"/>
          </w:cols>
          <w:pgMar w:left="580" w:top="97" w:right="1379" w:bottom="1440" w:gutter="0" w:footer="0" w:header="0"/>
          <w:type w:val="continuous"/>
        </w:sectPr>
      </w:pPr>
    </w:p>
    <w:p>
      <w:pPr>
        <w:spacing w:after="0" w:line="58" w:lineRule="exact"/>
        <w:rPr>
          <w:sz w:val="20"/>
          <w:szCs w:val="20"/>
          <w:color w:val="auto"/>
        </w:rPr>
      </w:pPr>
    </w:p>
    <w:p>
      <w:pPr>
        <w:ind w:left="820" w:right="60"/>
        <w:spacing w:after="0" w:line="321" w:lineRule="auto"/>
        <w:rPr>
          <w:sz w:val="20"/>
          <w:szCs w:val="20"/>
          <w:color w:val="auto"/>
        </w:rPr>
      </w:pPr>
      <w:r>
        <w:rPr>
          <w:rFonts w:ascii="Arial" w:cs="Arial" w:eastAsia="Arial" w:hAnsi="Arial"/>
          <w:sz w:val="16"/>
          <w:szCs w:val="16"/>
          <w:color w:val="auto"/>
        </w:rPr>
        <w:t>The annual fees and meeting fees generally are payable quarterly in cash. Each director may elect to receive some or all of these fees in stock and, as noted below, may elect to defer some or all of these fees.</w:t>
      </w:r>
    </w:p>
    <w:p>
      <w:pPr>
        <w:spacing w:after="0" w:line="156" w:lineRule="exact"/>
        <w:rPr>
          <w:sz w:val="20"/>
          <w:szCs w:val="20"/>
          <w:color w:val="auto"/>
        </w:rPr>
      </w:pPr>
    </w:p>
    <w:p>
      <w:pPr>
        <w:ind w:left="820" w:right="60"/>
        <w:spacing w:after="0" w:line="284" w:lineRule="auto"/>
        <w:rPr>
          <w:sz w:val="20"/>
          <w:szCs w:val="20"/>
          <w:color w:val="auto"/>
        </w:rPr>
      </w:pPr>
      <w:r>
        <w:rPr>
          <w:rFonts w:ascii="Arial" w:cs="Arial" w:eastAsia="Arial" w:hAnsi="Arial"/>
          <w:sz w:val="16"/>
          <w:szCs w:val="16"/>
          <w:color w:val="auto"/>
        </w:rPr>
        <w:t>Under our Non-Employee Directors’ Deferral Program, our non-employee directors were entitled to elect to defer up to 100% of their annual fees, meeting fees and annual stock grant. At each director’s election, cash fees deferred under the program could be credited in the form of either phantom stock units, account credits that accrue earnings or losses based on a 30-day SOFR-based rate at the beginning of each month plus 2.10% (or based on such other rate or the performance of such investments as may be determined in advance by the Board) or measurement fund credits that track the performance of one or more open-ended mutual funds selected by the director. Stock grants deferred under the program are credited in the form of phantom stock units. Subject to limitations contained in the program, on a fixed date each quarter, a director may convert phantom stock units into account credits or measurement fund credits or vice versa or change the mutual funds that some or all of the director’s measurement fund credits track. All cash fees credited as, and conversions of or into, phantom stock units or measurement fund credits are based on the fair market value of our common stock or the applicable mutual fund on the date the cash fees otherwise would have been paid or the date of the conversion, as applicable. Unless otherwise elected by a director, a director’s phantom stock units, account credits and measurement fund credits are payable on the earlier of the January 1st coincident with or next following the director’s termination of service from the Board, or a change in control of the Company, as defined by the program. Phantom stock units are payable in an equal number of shares of our common stock; provided that we may elect to instead settle a director’s phantom stock units by paying the director cash in an amount equal to the value of such shares of common stock. Account credits and measurement fund credits are payable in cash. Under the program, each director is entitled to receive dividend equivalents that are paid currently on the director’s phantom stock units, unless the director elected to defer payment of such dividend equivalents and have them concurrently reinvested into additional phantom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53975</wp:posOffset>
            </wp:positionV>
            <wp:extent cx="683196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p>
      <w:pPr>
        <w:ind w:left="820"/>
        <w:spacing w:after="0"/>
        <w:tabs>
          <w:tab w:leader="none" w:pos="1440" w:val="left"/>
          <w:tab w:leader="none" w:pos="9860" w:val="left"/>
        </w:tabs>
        <w:rPr>
          <w:sz w:val="20"/>
          <w:szCs w:val="20"/>
          <w:color w:val="auto"/>
        </w:rPr>
      </w:pPr>
      <w:r>
        <w:rPr>
          <w:rFonts w:ascii="Arial" w:cs="Arial" w:eastAsia="Arial" w:hAnsi="Arial"/>
          <w:sz w:val="22"/>
          <w:szCs w:val="22"/>
          <w:b w:val="1"/>
          <w:bCs w:val="1"/>
          <w:color w:val="1F2668"/>
        </w:rPr>
        <w:t>​38</w:t>
      </w:r>
      <w:r>
        <w:rPr>
          <w:sz w:val="20"/>
          <w:szCs w:val="20"/>
          <w:color w:val="auto"/>
        </w:rPr>
        <w:tab/>
      </w:r>
      <w:r>
        <w:rPr>
          <w:rFonts w:ascii="Arial" w:cs="Arial" w:eastAsia="Arial" w:hAnsi="Arial"/>
          <w:sz w:val="22"/>
          <w:szCs w:val="22"/>
          <w:b w:val="1"/>
          <w:bCs w:val="1"/>
          <w:color w:val="1F2668"/>
        </w:rPr>
        <w:t xml:space="preserve">​ ​ </w:t>
      </w:r>
      <w:r>
        <w:rPr>
          <w:rFonts w:ascii="Arial" w:cs="Arial" w:eastAsia="Arial" w:hAnsi="Arial"/>
          <w:sz w:val="14"/>
          <w:szCs w:val="14"/>
          <w:b w:val="1"/>
          <w:bCs w:val="1"/>
          <w:color w:val="1F2668"/>
        </w:rPr>
        <w:t>SL GREEN REALTY CORP. 2025 PROXY STATEMENT</w:t>
      </w:r>
      <w:r>
        <w:rPr>
          <w:sz w:val="20"/>
          <w:szCs w:val="20"/>
          <w:color w:val="auto"/>
        </w:rPr>
        <w:tab/>
      </w:r>
      <w:r>
        <w:rPr>
          <w:rFonts w:ascii="Arial" w:cs="Arial" w:eastAsia="Arial" w:hAnsi="Arial"/>
          <w:sz w:val="22"/>
          <w:szCs w:val="22"/>
          <w:b w:val="1"/>
          <w:bCs w:val="1"/>
          <w:color w:val="1F2668"/>
        </w:rPr>
        <w:t>​</w:t>
      </w:r>
    </w:p>
    <w:p>
      <w:pPr>
        <w:spacing w:after="0" w:line="200" w:lineRule="exact"/>
        <w:rPr>
          <w:sz w:val="20"/>
          <w:szCs w:val="20"/>
          <w:color w:val="auto"/>
        </w:rPr>
      </w:pPr>
    </w:p>
    <w:p>
      <w:pPr>
        <w:spacing w:after="0" w:line="285"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2024 Director Compensation</w:t>
      </w:r>
    </w:p>
    <w:p>
      <w:pPr>
        <w:spacing w:after="0" w:line="133" w:lineRule="exact"/>
        <w:rPr>
          <w:sz w:val="20"/>
          <w:szCs w:val="20"/>
          <w:color w:val="auto"/>
        </w:rPr>
      </w:pPr>
    </w:p>
    <w:p>
      <w:pPr>
        <w:ind w:left="820" w:right="220"/>
        <w:spacing w:after="0" w:line="301" w:lineRule="auto"/>
        <w:rPr>
          <w:sz w:val="20"/>
          <w:szCs w:val="20"/>
          <w:color w:val="auto"/>
        </w:rPr>
      </w:pPr>
      <w:r>
        <w:rPr>
          <w:rFonts w:ascii="Arial" w:cs="Arial" w:eastAsia="Arial" w:hAnsi="Arial"/>
          <w:sz w:val="16"/>
          <w:szCs w:val="16"/>
          <w:color w:val="auto"/>
        </w:rPr>
        <w:t>Directors of the Company who are also employees receive no additional compensation for their services as directors. The following table sets forth information regarding the compensation paid to our non-employee directors for their service during the fiscal year ended December 31, 2024.</w:t>
      </w:r>
    </w:p>
    <w:p>
      <w:pPr>
        <w:spacing w:after="0" w:line="21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1F2668"/>
                <w:w w:val="93"/>
              </w:rPr>
              <w:t>Fees Earned or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1F2668"/>
              </w:rPr>
              <w:t>Option</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3"/>
          </w:tcPr>
          <w:p>
            <w:pPr>
              <w:jc w:val="right"/>
              <w:ind w:right="154"/>
              <w:spacing w:after="0"/>
              <w:rPr>
                <w:sz w:val="20"/>
                <w:szCs w:val="20"/>
                <w:color w:val="auto"/>
              </w:rPr>
            </w:pPr>
            <w:r>
              <w:rPr>
                <w:rFonts w:ascii="Arial" w:cs="Arial" w:eastAsia="Arial" w:hAnsi="Arial"/>
                <w:sz w:val="14"/>
                <w:szCs w:val="14"/>
                <w:color w:val="1F2668"/>
              </w:rPr>
              <w:t>All Other</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5"/>
          </w:tcPr>
          <w:p>
            <w:pPr>
              <w:spacing w:after="0" w:line="162" w:lineRule="exact"/>
              <w:rPr>
                <w:sz w:val="20"/>
                <w:szCs w:val="20"/>
                <w:color w:val="auto"/>
              </w:rPr>
            </w:pPr>
            <w:r>
              <w:rPr>
                <w:rFonts w:ascii="Arial" w:cs="Arial" w:eastAsia="Arial" w:hAnsi="Arial"/>
                <w:sz w:val="14"/>
                <w:szCs w:val="14"/>
                <w:color w:val="1F2668"/>
                <w:w w:val="99"/>
              </w:rPr>
              <w:t>Paid in Cash</w:t>
            </w:r>
            <w:r>
              <w:rPr>
                <w:rFonts w:ascii="Arial" w:cs="Arial" w:eastAsia="Arial" w:hAnsi="Arial"/>
                <w:sz w:val="17"/>
                <w:szCs w:val="17"/>
                <w:b w:val="1"/>
                <w:bCs w:val="1"/>
                <w:color w:val="1F2668"/>
                <w:w w:val="99"/>
                <w:vertAlign w:val="superscript"/>
              </w:rPr>
              <w:t>(1)</w:t>
            </w:r>
            <w:r>
              <w:rPr>
                <w:rFonts w:ascii="Arial" w:cs="Arial" w:eastAsia="Arial" w:hAnsi="Arial"/>
                <w:sz w:val="14"/>
                <w:szCs w:val="14"/>
                <w:color w:val="1F2668"/>
                <w:w w:val="99"/>
              </w:rPr>
              <w:t xml:space="preserve">    Stock Awards</w:t>
            </w:r>
            <w:r>
              <w:rPr>
                <w:rFonts w:ascii="Arial" w:cs="Arial" w:eastAsia="Arial" w:hAnsi="Arial"/>
                <w:sz w:val="17"/>
                <w:szCs w:val="17"/>
                <w:b w:val="1"/>
                <w:bCs w:val="1"/>
                <w:color w:val="1F2668"/>
                <w:w w:val="99"/>
                <w:vertAlign w:val="superscript"/>
              </w:rPr>
              <w:t>(2)</w:t>
            </w:r>
          </w:p>
        </w:tc>
        <w:tc>
          <w:tcPr>
            <w:tcW w:w="16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4"/>
                <w:szCs w:val="14"/>
                <w:color w:val="1F2668"/>
                <w:w w:val="95"/>
              </w:rPr>
              <w:t>Awards</w:t>
            </w:r>
            <w:r>
              <w:rPr>
                <w:rFonts w:ascii="Arial" w:cs="Arial" w:eastAsia="Arial" w:hAnsi="Arial"/>
                <w:sz w:val="17"/>
                <w:szCs w:val="17"/>
                <w:b w:val="1"/>
                <w:bCs w:val="1"/>
                <w:color w:val="1F2668"/>
                <w:w w:val="95"/>
                <w:vertAlign w:val="superscript"/>
              </w:rPr>
              <w:t>(3)</w:t>
            </w:r>
          </w:p>
        </w:tc>
        <w:tc>
          <w:tcPr>
            <w:tcW w:w="100" w:type="dxa"/>
            <w:vAlign w:val="bottom"/>
          </w:tcPr>
          <w:p>
            <w:pPr>
              <w:spacing w:after="0"/>
              <w:rPr>
                <w:sz w:val="14"/>
                <w:szCs w:val="14"/>
                <w:color w:val="auto"/>
              </w:rPr>
            </w:pPr>
          </w:p>
        </w:tc>
        <w:tc>
          <w:tcPr>
            <w:tcW w:w="1120" w:type="dxa"/>
            <w:vAlign w:val="bottom"/>
            <w:gridSpan w:val="4"/>
          </w:tcPr>
          <w:p>
            <w:pPr>
              <w:jc w:val="right"/>
              <w:ind w:right="154"/>
              <w:spacing w:after="0"/>
              <w:rPr>
                <w:sz w:val="20"/>
                <w:szCs w:val="20"/>
                <w:color w:val="auto"/>
              </w:rPr>
            </w:pPr>
            <w:r>
              <w:rPr>
                <w:rFonts w:ascii="Arial" w:cs="Arial" w:eastAsia="Arial" w:hAnsi="Arial"/>
                <w:sz w:val="14"/>
                <w:szCs w:val="14"/>
                <w:color w:val="1F2668"/>
                <w:w w:val="99"/>
              </w:rPr>
              <w:t>Compensation</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1F2668"/>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000" w:type="dxa"/>
            <w:vAlign w:val="bottom"/>
          </w:tcPr>
          <w:p>
            <w:pPr>
              <w:spacing w:after="0"/>
              <w:rPr>
                <w:sz w:val="20"/>
                <w:szCs w:val="20"/>
                <w:color w:val="auto"/>
              </w:rPr>
            </w:pPr>
            <w:r>
              <w:rPr>
                <w:rFonts w:ascii="Arial" w:cs="Arial" w:eastAsia="Arial" w:hAnsi="Arial"/>
                <w:sz w:val="14"/>
                <w:szCs w:val="14"/>
                <w:color w:val="1F2668"/>
              </w:rPr>
              <w:t>Name</w:t>
            </w:r>
          </w:p>
        </w:tc>
        <w:tc>
          <w:tcPr>
            <w:tcW w:w="180" w:type="dxa"/>
            <w:vAlign w:val="bottom"/>
          </w:tcPr>
          <w:p>
            <w:pPr>
              <w:jc w:val="right"/>
              <w:spacing w:after="0"/>
              <w:rPr>
                <w:sz w:val="20"/>
                <w:szCs w:val="20"/>
                <w:color w:val="auto"/>
              </w:rPr>
            </w:pPr>
            <w:r>
              <w:rPr>
                <w:rFonts w:ascii="Arial" w:cs="Arial" w:eastAsia="Arial" w:hAnsi="Arial"/>
                <w:sz w:val="14"/>
                <w:szCs w:val="14"/>
                <w:color w:val="1F2668"/>
              </w:rPr>
              <w:t>​​</w:t>
            </w:r>
          </w:p>
        </w:tc>
        <w:tc>
          <w:tcPr>
            <w:tcW w:w="400" w:type="dxa"/>
            <w:vAlign w:val="bottom"/>
          </w:tcPr>
          <w:p>
            <w:pPr>
              <w:spacing w:after="0"/>
              <w:rPr>
                <w:sz w:val="19"/>
                <w:szCs w:val="19"/>
                <w:color w:val="auto"/>
              </w:rPr>
            </w:pPr>
          </w:p>
        </w:tc>
        <w:tc>
          <w:tcPr>
            <w:tcW w:w="860" w:type="dxa"/>
            <w:vAlign w:val="bottom"/>
            <w:gridSpan w:val="3"/>
          </w:tcPr>
          <w:p>
            <w:pPr>
              <w:jc w:val="right"/>
              <w:ind w:right="160"/>
              <w:spacing w:after="0" w:line="225" w:lineRule="exact"/>
              <w:rPr>
                <w:sz w:val="20"/>
                <w:szCs w:val="20"/>
                <w:color w:val="auto"/>
              </w:rPr>
            </w:pPr>
            <w:r>
              <w:rPr>
                <w:rFonts w:ascii="Arial" w:cs="Arial" w:eastAsia="Arial" w:hAnsi="Arial"/>
                <w:sz w:val="14"/>
                <w:szCs w:val="14"/>
                <w:color w:val="1F2668"/>
              </w:rPr>
              <w:t xml:space="preserve">($) </w:t>
            </w:r>
            <w:r>
              <w:rPr>
                <w:rFonts w:ascii="Arial" w:cs="Arial" w:eastAsia="Arial" w:hAnsi="Arial"/>
                <w:sz w:val="26"/>
                <w:szCs w:val="26"/>
                <w:color w:val="1F2668"/>
                <w:vertAlign w:val="subscript"/>
              </w:rPr>
              <w:t>​​</w:t>
            </w:r>
          </w:p>
        </w:tc>
        <w:tc>
          <w:tcPr>
            <w:tcW w:w="1000" w:type="dxa"/>
            <w:vAlign w:val="bottom"/>
            <w:gridSpan w:val="2"/>
          </w:tcPr>
          <w:p>
            <w:pPr>
              <w:jc w:val="right"/>
              <w:spacing w:after="0" w:line="225" w:lineRule="exact"/>
              <w:rPr>
                <w:sz w:val="20"/>
                <w:szCs w:val="20"/>
                <w:color w:val="auto"/>
              </w:rPr>
            </w:pPr>
            <w:r>
              <w:rPr>
                <w:rFonts w:ascii="Arial" w:cs="Arial" w:eastAsia="Arial" w:hAnsi="Arial"/>
                <w:sz w:val="14"/>
                <w:szCs w:val="14"/>
                <w:color w:val="1F2668"/>
              </w:rPr>
              <w:t xml:space="preserve">($) </w:t>
            </w:r>
            <w:r>
              <w:rPr>
                <w:rFonts w:ascii="Arial" w:cs="Arial" w:eastAsia="Arial" w:hAnsi="Arial"/>
                <w:sz w:val="26"/>
                <w:szCs w:val="26"/>
                <w:color w:val="1F2668"/>
                <w:vertAlign w:val="subscript"/>
              </w:rPr>
              <w:t>​​</w:t>
            </w:r>
          </w:p>
        </w:tc>
        <w:tc>
          <w:tcPr>
            <w:tcW w:w="960" w:type="dxa"/>
            <w:vAlign w:val="bottom"/>
            <w:gridSpan w:val="3"/>
          </w:tcPr>
          <w:p>
            <w:pPr>
              <w:jc w:val="right"/>
              <w:ind w:right="88"/>
              <w:spacing w:after="0" w:line="225" w:lineRule="exact"/>
              <w:rPr>
                <w:sz w:val="20"/>
                <w:szCs w:val="20"/>
                <w:color w:val="auto"/>
              </w:rPr>
            </w:pPr>
            <w:r>
              <w:rPr>
                <w:rFonts w:ascii="Arial" w:cs="Arial" w:eastAsia="Arial" w:hAnsi="Arial"/>
                <w:sz w:val="14"/>
                <w:szCs w:val="14"/>
                <w:color w:val="1F2668"/>
              </w:rPr>
              <w:t xml:space="preserve">($) </w:t>
            </w:r>
            <w:r>
              <w:rPr>
                <w:rFonts w:ascii="Arial" w:cs="Arial" w:eastAsia="Arial" w:hAnsi="Arial"/>
                <w:sz w:val="26"/>
                <w:szCs w:val="26"/>
                <w:color w:val="1F2668"/>
                <w:vertAlign w:val="subscript"/>
              </w:rPr>
              <w:t>​​</w:t>
            </w:r>
          </w:p>
        </w:tc>
        <w:tc>
          <w:tcPr>
            <w:tcW w:w="440" w:type="dxa"/>
            <w:vAlign w:val="bottom"/>
          </w:tcPr>
          <w:p>
            <w:pPr>
              <w:spacing w:after="0"/>
              <w:rPr>
                <w:sz w:val="19"/>
                <w:szCs w:val="19"/>
                <w:color w:val="auto"/>
              </w:rPr>
            </w:pPr>
          </w:p>
        </w:tc>
        <w:tc>
          <w:tcPr>
            <w:tcW w:w="460" w:type="dxa"/>
            <w:vAlign w:val="bottom"/>
            <w:gridSpan w:val="2"/>
          </w:tcPr>
          <w:p>
            <w:pPr>
              <w:jc w:val="right"/>
              <w:spacing w:after="0" w:line="225" w:lineRule="exact"/>
              <w:rPr>
                <w:sz w:val="20"/>
                <w:szCs w:val="20"/>
                <w:color w:val="auto"/>
              </w:rPr>
            </w:pPr>
            <w:r>
              <w:rPr>
                <w:rFonts w:ascii="Arial" w:cs="Arial" w:eastAsia="Arial" w:hAnsi="Arial"/>
                <w:sz w:val="14"/>
                <w:szCs w:val="14"/>
                <w:color w:val="1F2668"/>
              </w:rPr>
              <w:t xml:space="preserve">($)  </w:t>
            </w:r>
            <w:r>
              <w:rPr>
                <w:rFonts w:ascii="Arial" w:cs="Arial" w:eastAsia="Arial" w:hAnsi="Arial"/>
                <w:sz w:val="26"/>
                <w:szCs w:val="26"/>
                <w:color w:val="1F2668"/>
                <w:vertAlign w:val="subscript"/>
              </w:rPr>
              <w:t>​</w:t>
            </w:r>
          </w:p>
        </w:tc>
        <w:tc>
          <w:tcPr>
            <w:tcW w:w="60" w:type="dxa"/>
            <w:vAlign w:val="bottom"/>
          </w:tcPr>
          <w:p>
            <w:pPr>
              <w:spacing w:after="0"/>
              <w:rPr>
                <w:sz w:val="19"/>
                <w:szCs w:val="19"/>
                <w:color w:val="auto"/>
              </w:rPr>
            </w:pPr>
          </w:p>
        </w:tc>
        <w:tc>
          <w:tcPr>
            <w:tcW w:w="220" w:type="dxa"/>
            <w:vAlign w:val="bottom"/>
          </w:tcPr>
          <w:p>
            <w:pPr>
              <w:jc w:val="right"/>
              <w:ind w:right="108"/>
              <w:spacing w:after="0"/>
              <w:rPr>
                <w:sz w:val="20"/>
                <w:szCs w:val="20"/>
                <w:color w:val="auto"/>
              </w:rPr>
            </w:pPr>
            <w:r>
              <w:rPr>
                <w:rFonts w:ascii="Arial" w:cs="Arial" w:eastAsia="Arial" w:hAnsi="Arial"/>
                <w:sz w:val="14"/>
                <w:szCs w:val="14"/>
                <w:color w:val="1F2668"/>
              </w:rPr>
              <w:t>​</w:t>
            </w:r>
          </w:p>
        </w:tc>
        <w:tc>
          <w:tcPr>
            <w:tcW w:w="540" w:type="dxa"/>
            <w:vAlign w:val="bottom"/>
            <w:gridSpan w:val="3"/>
          </w:tcPr>
          <w:p>
            <w:pPr>
              <w:jc w:val="right"/>
              <w:spacing w:after="0" w:line="225" w:lineRule="exact"/>
              <w:rPr>
                <w:sz w:val="20"/>
                <w:szCs w:val="20"/>
                <w:color w:val="auto"/>
              </w:rPr>
            </w:pPr>
            <w:r>
              <w:rPr>
                <w:rFonts w:ascii="Arial" w:cs="Arial" w:eastAsia="Arial" w:hAnsi="Arial"/>
                <w:sz w:val="14"/>
                <w:szCs w:val="14"/>
                <w:color w:val="1F2668"/>
              </w:rPr>
              <w:t>($)</w:t>
            </w:r>
            <w:r>
              <w:rPr>
                <w:rFonts w:ascii="Arial" w:cs="Arial" w:eastAsia="Arial" w:hAnsi="Arial"/>
                <w:sz w:val="26"/>
                <w:szCs w:val="26"/>
                <w:color w:val="1F2668"/>
                <w:vertAlign w:val="subscript"/>
              </w:rPr>
              <w:t>​</w:t>
            </w:r>
          </w:p>
        </w:tc>
        <w:tc>
          <w:tcPr>
            <w:tcW w:w="0" w:type="dxa"/>
            <w:vAlign w:val="bottom"/>
          </w:tcPr>
          <w:p>
            <w:pPr>
              <w:spacing w:after="0"/>
              <w:rPr>
                <w:sz w:val="1"/>
                <w:szCs w:val="1"/>
                <w:color w:val="auto"/>
              </w:rPr>
            </w:pPr>
          </w:p>
        </w:tc>
      </w:tr>
      <w:tr>
        <w:trPr>
          <w:trHeight w:val="20"/>
        </w:trPr>
        <w:tc>
          <w:tcPr>
            <w:tcW w:w="4000" w:type="dxa"/>
            <w:vAlign w:val="bottom"/>
            <w:shd w:val="clear" w:color="auto" w:fill="1F2668"/>
          </w:tcPr>
          <w:p>
            <w:pPr>
              <w:spacing w:after="0" w:line="20" w:lineRule="exact"/>
              <w:rPr>
                <w:sz w:val="1"/>
                <w:szCs w:val="1"/>
                <w:color w:val="auto"/>
              </w:rPr>
            </w:pPr>
          </w:p>
        </w:tc>
        <w:tc>
          <w:tcPr>
            <w:tcW w:w="180" w:type="dxa"/>
            <w:vAlign w:val="bottom"/>
            <w:tcBorders>
              <w:right w:val="single" w:sz="8" w:color="1F2668"/>
            </w:tcBorders>
          </w:tcPr>
          <w:p>
            <w:pPr>
              <w:spacing w:after="0" w:line="20" w:lineRule="exact"/>
              <w:rPr>
                <w:sz w:val="1"/>
                <w:szCs w:val="1"/>
                <w:color w:val="auto"/>
              </w:rPr>
            </w:pPr>
          </w:p>
        </w:tc>
        <w:tc>
          <w:tcPr>
            <w:tcW w:w="960" w:type="dxa"/>
            <w:vAlign w:val="bottom"/>
            <w:gridSpan w:val="2"/>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1F2668"/>
          </w:tcPr>
          <w:p>
            <w:pPr>
              <w:spacing w:after="0" w:line="20" w:lineRule="exact"/>
              <w:rPr>
                <w:sz w:val="1"/>
                <w:szCs w:val="1"/>
                <w:color w:val="auto"/>
              </w:rPr>
            </w:pPr>
          </w:p>
        </w:tc>
        <w:tc>
          <w:tcPr>
            <w:tcW w:w="840" w:type="dxa"/>
            <w:vAlign w:val="bottom"/>
            <w:shd w:val="clear" w:color="auto" w:fill="1F2668"/>
          </w:tcPr>
          <w:p>
            <w:pPr>
              <w:spacing w:after="0" w:line="20" w:lineRule="exact"/>
              <w:rPr>
                <w:sz w:val="1"/>
                <w:szCs w:val="1"/>
                <w:color w:val="auto"/>
              </w:rPr>
            </w:pPr>
          </w:p>
        </w:tc>
        <w:tc>
          <w:tcPr>
            <w:tcW w:w="160" w:type="dxa"/>
            <w:vAlign w:val="bottom"/>
            <w:tcBorders>
              <w:right w:val="single" w:sz="8" w:color="1F2668"/>
            </w:tcBorders>
          </w:tcPr>
          <w:p>
            <w:pPr>
              <w:spacing w:after="0" w:line="20" w:lineRule="exact"/>
              <w:rPr>
                <w:sz w:val="1"/>
                <w:szCs w:val="1"/>
                <w:color w:val="auto"/>
              </w:rPr>
            </w:pPr>
          </w:p>
        </w:tc>
        <w:tc>
          <w:tcPr>
            <w:tcW w:w="64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1F2668"/>
          </w:tcPr>
          <w:p>
            <w:pPr>
              <w:spacing w:after="0" w:line="20" w:lineRule="exact"/>
              <w:rPr>
                <w:sz w:val="1"/>
                <w:szCs w:val="1"/>
                <w:color w:val="auto"/>
              </w:rPr>
            </w:pPr>
          </w:p>
        </w:tc>
        <w:tc>
          <w:tcPr>
            <w:tcW w:w="440" w:type="dxa"/>
            <w:vAlign w:val="bottom"/>
            <w:shd w:val="clear" w:color="auto" w:fill="1F2668"/>
          </w:tcPr>
          <w:p>
            <w:pPr>
              <w:spacing w:after="0" w:line="20" w:lineRule="exact"/>
              <w:rPr>
                <w:sz w:val="1"/>
                <w:szCs w:val="1"/>
                <w:color w:val="auto"/>
              </w:rPr>
            </w:pPr>
          </w:p>
        </w:tc>
        <w:tc>
          <w:tcPr>
            <w:tcW w:w="300" w:type="dxa"/>
            <w:vAlign w:val="bottom"/>
            <w:shd w:val="clear" w:color="auto" w:fill="1F266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shd w:val="clear" w:color="auto" w:fill="1F266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000" w:type="dxa"/>
            <w:vAlign w:val="bottom"/>
          </w:tcPr>
          <w:p>
            <w:pPr>
              <w:spacing w:after="0"/>
              <w:rPr>
                <w:sz w:val="20"/>
                <w:szCs w:val="20"/>
                <w:color w:val="auto"/>
              </w:rPr>
            </w:pPr>
            <w:r>
              <w:rPr>
                <w:rFonts w:ascii="Arial" w:cs="Arial" w:eastAsia="Arial" w:hAnsi="Arial"/>
                <w:sz w:val="16"/>
                <w:szCs w:val="16"/>
                <w:b w:val="1"/>
                <w:bCs w:val="1"/>
                <w:color w:val="1F2668"/>
              </w:rPr>
              <w:t>John H. Alschuler</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4"/>
          </w:tcPr>
          <w:p>
            <w:pPr>
              <w:jc w:val="right"/>
              <w:ind w:right="18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$ 132,000</w:t>
            </w:r>
            <w:r>
              <w:rPr>
                <w:rFonts w:ascii="Arial" w:cs="Arial" w:eastAsia="Arial" w:hAnsi="Arial"/>
                <w:sz w:val="32"/>
                <w:szCs w:val="32"/>
                <w:color w:val="auto"/>
                <w:vertAlign w:val="subscript"/>
              </w:rPr>
              <w:t>​​​</w:t>
            </w:r>
          </w:p>
        </w:tc>
        <w:tc>
          <w:tcPr>
            <w:tcW w:w="1000" w:type="dxa"/>
            <w:vAlign w:val="bottom"/>
            <w:gridSpan w:val="2"/>
          </w:tcPr>
          <w:p>
            <w:pPr>
              <w:jc w:val="right"/>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$235,000</w:t>
            </w:r>
            <w:r>
              <w:rPr>
                <w:rFonts w:ascii="Arial" w:cs="Arial" w:eastAsia="Arial" w:hAnsi="Arial"/>
                <w:sz w:val="32"/>
                <w:szCs w:val="32"/>
                <w:color w:val="auto"/>
                <w:vertAlign w:val="subscript"/>
              </w:rPr>
              <w:t>​​​</w:t>
            </w:r>
          </w:p>
        </w:tc>
        <w:tc>
          <w:tcPr>
            <w:tcW w:w="640" w:type="dxa"/>
            <w:vAlign w:val="bottom"/>
          </w:tcPr>
          <w:p>
            <w:pPr>
              <w:ind w:left="480"/>
              <w:spacing w:after="0" w:line="276" w:lineRule="exact"/>
              <w:rPr>
                <w:sz w:val="20"/>
                <w:szCs w:val="20"/>
                <w:color w:val="auto"/>
              </w:rPr>
            </w:pPr>
            <w:r>
              <w:rPr>
                <w:rFonts w:ascii="Arial" w:cs="Arial" w:eastAsia="Arial" w:hAnsi="Arial"/>
                <w:sz w:val="32"/>
                <w:szCs w:val="32"/>
                <w:color w:val="auto"/>
                <w:w w:val="87"/>
                <w:vertAlign w:val="subscript"/>
              </w:rPr>
              <w:t>​</w:t>
            </w:r>
            <w:r>
              <w:rPr>
                <w:rFonts w:ascii="Arial" w:cs="Arial" w:eastAsia="Arial" w:hAnsi="Arial"/>
                <w:sz w:val="16"/>
                <w:szCs w:val="16"/>
                <w:color w:val="auto"/>
                <w:w w:val="87"/>
              </w:rPr>
              <w:t>—​</w:t>
            </w:r>
          </w:p>
        </w:tc>
        <w:tc>
          <w:tcPr>
            <w:tcW w:w="320" w:type="dxa"/>
            <w:vAlign w:val="bottom"/>
            <w:gridSpan w:val="2"/>
          </w:tcPr>
          <w:p>
            <w:pPr>
              <w:jc w:val="right"/>
              <w:ind w:right="128"/>
              <w:spacing w:after="0"/>
              <w:rPr>
                <w:sz w:val="20"/>
                <w:szCs w:val="20"/>
                <w:color w:val="auto"/>
              </w:rPr>
            </w:pPr>
            <w:r>
              <w:rPr>
                <w:rFonts w:ascii="Arial" w:cs="Arial" w:eastAsia="Arial" w:hAnsi="Arial"/>
                <w:sz w:val="16"/>
                <w:szCs w:val="16"/>
                <w:color w:val="auto"/>
              </w:rPr>
              <w:t>​​​</w:t>
            </w:r>
          </w:p>
        </w:tc>
        <w:tc>
          <w:tcPr>
            <w:tcW w:w="440" w:type="dxa"/>
            <w:vAlign w:val="bottom"/>
          </w:tcPr>
          <w:p>
            <w:pPr>
              <w:ind w:left="160"/>
              <w:spacing w:after="0" w:line="276" w:lineRule="exact"/>
              <w:rPr>
                <w:sz w:val="20"/>
                <w:szCs w:val="20"/>
                <w:color w:val="auto"/>
              </w:rPr>
            </w:pPr>
            <w:r>
              <w:rPr>
                <w:rFonts w:ascii="Arial" w:cs="Arial" w:eastAsia="Arial" w:hAnsi="Arial"/>
                <w:sz w:val="16"/>
                <w:szCs w:val="16"/>
                <w:color w:val="auto"/>
              </w:rPr>
              <w:t xml:space="preserve">​ </w:t>
            </w:r>
            <w:r>
              <w:rPr>
                <w:rFonts w:ascii="Arial" w:cs="Arial" w:eastAsia="Arial" w:hAnsi="Arial"/>
                <w:sz w:val="32"/>
                <w:szCs w:val="32"/>
                <w:color w:val="auto"/>
                <w:vertAlign w:val="superscript"/>
              </w:rPr>
              <w:t>​</w:t>
            </w:r>
          </w:p>
        </w:tc>
        <w:tc>
          <w:tcPr>
            <w:tcW w:w="460" w:type="dxa"/>
            <w:vAlign w:val="bottom"/>
            <w:gridSpan w:val="2"/>
          </w:tcPr>
          <w:p>
            <w:pPr>
              <w:jc w:val="right"/>
              <w:ind w:right="14"/>
              <w:spacing w:after="0" w:line="276"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w:t>
            </w:r>
          </w:p>
        </w:tc>
        <w:tc>
          <w:tcPr>
            <w:tcW w:w="820" w:type="dxa"/>
            <w:vAlign w:val="bottom"/>
            <w:gridSpan w:val="5"/>
          </w:tcPr>
          <w:p>
            <w:pPr>
              <w:jc w:val="right"/>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$367,000</w:t>
            </w:r>
            <w:r>
              <w:rPr>
                <w:rFonts w:ascii="Arial" w:cs="Arial" w:eastAsia="Arial" w:hAnsi="Arial"/>
                <w:sz w:val="32"/>
                <w:szCs w:val="32"/>
                <w:color w:val="auto"/>
                <w:vertAlign w:val="subscript"/>
              </w:rPr>
              <w:t>​</w:t>
            </w:r>
          </w:p>
        </w:tc>
        <w:tc>
          <w:tcPr>
            <w:tcW w:w="0" w:type="dxa"/>
            <w:vAlign w:val="bottom"/>
          </w:tcPr>
          <w:p>
            <w:pPr>
              <w:spacing w:after="0"/>
              <w:rPr>
                <w:sz w:val="1"/>
                <w:szCs w:val="1"/>
                <w:color w:val="auto"/>
              </w:rPr>
            </w:pPr>
          </w:p>
        </w:tc>
      </w:tr>
      <w:tr>
        <w:trPr>
          <w:trHeight w:val="20"/>
        </w:trPr>
        <w:tc>
          <w:tcPr>
            <w:tcW w:w="4000" w:type="dxa"/>
            <w:vAlign w:val="bottom"/>
            <w:shd w:val="clear" w:color="auto" w:fill="4B5088"/>
          </w:tcPr>
          <w:p>
            <w:pPr>
              <w:spacing w:after="0" w:line="20" w:lineRule="exact"/>
              <w:rPr>
                <w:sz w:val="1"/>
                <w:szCs w:val="1"/>
                <w:color w:val="auto"/>
              </w:rPr>
            </w:pPr>
          </w:p>
        </w:tc>
        <w:tc>
          <w:tcPr>
            <w:tcW w:w="180" w:type="dxa"/>
            <w:vAlign w:val="bottom"/>
            <w:tcBorders>
              <w:right w:val="single" w:sz="8" w:color="4B5088"/>
            </w:tcBorders>
          </w:tcPr>
          <w:p>
            <w:pPr>
              <w:spacing w:after="0" w:line="20" w:lineRule="exact"/>
              <w:rPr>
                <w:sz w:val="1"/>
                <w:szCs w:val="1"/>
                <w:color w:val="auto"/>
              </w:rPr>
            </w:pPr>
          </w:p>
        </w:tc>
        <w:tc>
          <w:tcPr>
            <w:tcW w:w="400" w:type="dxa"/>
            <w:vAlign w:val="bottom"/>
            <w:shd w:val="clear" w:color="auto" w:fill="4B5088"/>
          </w:tcPr>
          <w:p>
            <w:pPr>
              <w:spacing w:after="0" w:line="20" w:lineRule="exact"/>
              <w:rPr>
                <w:sz w:val="1"/>
                <w:szCs w:val="1"/>
                <w:color w:val="auto"/>
              </w:rPr>
            </w:pPr>
          </w:p>
        </w:tc>
        <w:tc>
          <w:tcPr>
            <w:tcW w:w="56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4B5088"/>
          </w:tcPr>
          <w:p>
            <w:pPr>
              <w:spacing w:after="0" w:line="20" w:lineRule="exact"/>
              <w:rPr>
                <w:sz w:val="1"/>
                <w:szCs w:val="1"/>
                <w:color w:val="auto"/>
              </w:rPr>
            </w:pPr>
          </w:p>
        </w:tc>
        <w:tc>
          <w:tcPr>
            <w:tcW w:w="840" w:type="dxa"/>
            <w:vAlign w:val="bottom"/>
            <w:shd w:val="clear" w:color="auto" w:fill="4B5088"/>
          </w:tcPr>
          <w:p>
            <w:pPr>
              <w:spacing w:after="0" w:line="20" w:lineRule="exact"/>
              <w:rPr>
                <w:sz w:val="1"/>
                <w:szCs w:val="1"/>
                <w:color w:val="auto"/>
              </w:rPr>
            </w:pPr>
          </w:p>
        </w:tc>
        <w:tc>
          <w:tcPr>
            <w:tcW w:w="160" w:type="dxa"/>
            <w:vAlign w:val="bottom"/>
            <w:tcBorders>
              <w:right w:val="single" w:sz="8" w:color="4B5088"/>
            </w:tcBorders>
          </w:tcPr>
          <w:p>
            <w:pPr>
              <w:spacing w:after="0" w:line="20" w:lineRule="exact"/>
              <w:rPr>
                <w:sz w:val="1"/>
                <w:szCs w:val="1"/>
                <w:color w:val="auto"/>
              </w:rPr>
            </w:pPr>
          </w:p>
        </w:tc>
        <w:tc>
          <w:tcPr>
            <w:tcW w:w="6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4B5088"/>
          </w:tcPr>
          <w:p>
            <w:pPr>
              <w:spacing w:after="0" w:line="20" w:lineRule="exact"/>
              <w:rPr>
                <w:sz w:val="1"/>
                <w:szCs w:val="1"/>
                <w:color w:val="auto"/>
              </w:rPr>
            </w:pPr>
          </w:p>
        </w:tc>
        <w:tc>
          <w:tcPr>
            <w:tcW w:w="440" w:type="dxa"/>
            <w:vAlign w:val="bottom"/>
            <w:shd w:val="clear" w:color="auto" w:fill="4B5088"/>
          </w:tcPr>
          <w:p>
            <w:pPr>
              <w:spacing w:after="0" w:line="20" w:lineRule="exact"/>
              <w:rPr>
                <w:sz w:val="1"/>
                <w:szCs w:val="1"/>
                <w:color w:val="auto"/>
              </w:rPr>
            </w:pPr>
          </w:p>
        </w:tc>
        <w:tc>
          <w:tcPr>
            <w:tcW w:w="300" w:type="dxa"/>
            <w:vAlign w:val="bottom"/>
            <w:shd w:val="clear" w:color="auto" w:fill="4B50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3"/>
            <w:shd w:val="clear" w:color="auto" w:fill="4B508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00" w:type="dxa"/>
            <w:vAlign w:val="bottom"/>
          </w:tcPr>
          <w:p>
            <w:pPr>
              <w:spacing w:after="0"/>
              <w:rPr>
                <w:sz w:val="20"/>
                <w:szCs w:val="20"/>
                <w:color w:val="auto"/>
              </w:rPr>
            </w:pPr>
            <w:r>
              <w:rPr>
                <w:rFonts w:ascii="Arial" w:cs="Arial" w:eastAsia="Arial" w:hAnsi="Arial"/>
                <w:sz w:val="16"/>
                <w:szCs w:val="16"/>
                <w:b w:val="1"/>
                <w:bCs w:val="1"/>
                <w:color w:val="1F2668"/>
              </w:rPr>
              <w:t>Betsy S. Atkins</w:t>
            </w:r>
            <w:r>
              <w:rPr>
                <w:rFonts w:ascii="Arial" w:cs="Arial" w:eastAsia="Arial" w:hAnsi="Arial"/>
                <w:sz w:val="19"/>
                <w:szCs w:val="19"/>
                <w:b w:val="1"/>
                <w:bCs w:val="1"/>
                <w:color w:val="1F2668"/>
                <w:vertAlign w:val="superscript"/>
              </w:rPr>
              <w:t>(4)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4"/>
              <w:spacing w:after="0" w:line="304"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w:t>
            </w:r>
          </w:p>
        </w:tc>
        <w:tc>
          <w:tcPr>
            <w:tcW w:w="860" w:type="dxa"/>
            <w:vAlign w:val="bottom"/>
            <w:gridSpan w:val="3"/>
          </w:tcPr>
          <w:p>
            <w:pPr>
              <w:jc w:val="right"/>
              <w:ind w:right="180"/>
              <w:spacing w:after="0" w:line="304" w:lineRule="exact"/>
              <w:rPr>
                <w:sz w:val="20"/>
                <w:szCs w:val="20"/>
                <w:color w:val="auto"/>
              </w:rPr>
            </w:pPr>
            <w:r>
              <w:rPr>
                <w:rFonts w:ascii="Arial" w:cs="Arial" w:eastAsia="Arial" w:hAnsi="Arial"/>
                <w:sz w:val="16"/>
                <w:szCs w:val="16"/>
                <w:color w:val="auto"/>
              </w:rPr>
              <w:t>29,500</w:t>
            </w:r>
            <w:r>
              <w:rPr>
                <w:rFonts w:ascii="Arial" w:cs="Arial" w:eastAsia="Arial" w:hAnsi="Arial"/>
                <w:sz w:val="32"/>
                <w:szCs w:val="32"/>
                <w:color w:val="auto"/>
                <w:vertAlign w:val="subscript"/>
              </w:rPr>
              <w:t>​​​</w:t>
            </w:r>
          </w:p>
        </w:tc>
        <w:tc>
          <w:tcPr>
            <w:tcW w:w="1000" w:type="dxa"/>
            <w:vAlign w:val="bottom"/>
            <w:gridSpan w:val="2"/>
          </w:tcPr>
          <w:p>
            <w:pPr>
              <w:jc w:val="right"/>
              <w:spacing w:after="0" w:line="304"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$235,000</w:t>
            </w:r>
            <w:r>
              <w:rPr>
                <w:rFonts w:ascii="Arial" w:cs="Arial" w:eastAsia="Arial" w:hAnsi="Arial"/>
                <w:sz w:val="32"/>
                <w:szCs w:val="32"/>
                <w:color w:val="auto"/>
                <w:vertAlign w:val="subscript"/>
              </w:rPr>
              <w:t>​​​</w:t>
            </w:r>
          </w:p>
        </w:tc>
        <w:tc>
          <w:tcPr>
            <w:tcW w:w="640" w:type="dxa"/>
            <w:vAlign w:val="bottom"/>
          </w:tcPr>
          <w:p>
            <w:pPr>
              <w:ind w:left="480"/>
              <w:spacing w:after="0" w:line="304" w:lineRule="exact"/>
              <w:rPr>
                <w:sz w:val="20"/>
                <w:szCs w:val="20"/>
                <w:color w:val="auto"/>
              </w:rPr>
            </w:pPr>
            <w:r>
              <w:rPr>
                <w:rFonts w:ascii="Arial" w:cs="Arial" w:eastAsia="Arial" w:hAnsi="Arial"/>
                <w:sz w:val="32"/>
                <w:szCs w:val="32"/>
                <w:color w:val="auto"/>
                <w:w w:val="87"/>
                <w:vertAlign w:val="subscript"/>
              </w:rPr>
              <w:t>​</w:t>
            </w:r>
            <w:r>
              <w:rPr>
                <w:rFonts w:ascii="Arial" w:cs="Arial" w:eastAsia="Arial" w:hAnsi="Arial"/>
                <w:sz w:val="16"/>
                <w:szCs w:val="16"/>
                <w:color w:val="auto"/>
                <w:w w:val="87"/>
              </w:rPr>
              <w:t>—​</w:t>
            </w:r>
          </w:p>
        </w:tc>
        <w:tc>
          <w:tcPr>
            <w:tcW w:w="320" w:type="dxa"/>
            <w:vAlign w:val="bottom"/>
            <w:gridSpan w:val="2"/>
          </w:tcPr>
          <w:p>
            <w:pPr>
              <w:jc w:val="right"/>
              <w:ind w:right="128"/>
              <w:spacing w:after="0"/>
              <w:rPr>
                <w:sz w:val="20"/>
                <w:szCs w:val="20"/>
                <w:color w:val="auto"/>
              </w:rPr>
            </w:pPr>
            <w:r>
              <w:rPr>
                <w:rFonts w:ascii="Arial" w:cs="Arial" w:eastAsia="Arial" w:hAnsi="Arial"/>
                <w:sz w:val="16"/>
                <w:szCs w:val="16"/>
                <w:color w:val="auto"/>
              </w:rPr>
              <w:t>​​​</w:t>
            </w:r>
          </w:p>
        </w:tc>
        <w:tc>
          <w:tcPr>
            <w:tcW w:w="440" w:type="dxa"/>
            <w:vAlign w:val="bottom"/>
          </w:tcPr>
          <w:p>
            <w:pPr>
              <w:ind w:left="160"/>
              <w:spacing w:after="0" w:line="304"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 xml:space="preserve"> ​</w:t>
            </w:r>
          </w:p>
        </w:tc>
        <w:tc>
          <w:tcPr>
            <w:tcW w:w="460" w:type="dxa"/>
            <w:vAlign w:val="bottom"/>
            <w:gridSpan w:val="2"/>
          </w:tcPr>
          <w:p>
            <w:pPr>
              <w:jc w:val="right"/>
              <w:ind w:right="14"/>
              <w:spacing w:after="0" w:line="304"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w:t>
            </w:r>
          </w:p>
        </w:tc>
        <w:tc>
          <w:tcPr>
            <w:tcW w:w="820" w:type="dxa"/>
            <w:vAlign w:val="bottom"/>
            <w:gridSpan w:val="5"/>
          </w:tcPr>
          <w:p>
            <w:pPr>
              <w:jc w:val="right"/>
              <w:spacing w:after="0" w:line="304"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$264,500</w:t>
            </w:r>
            <w:r>
              <w:rPr>
                <w:rFonts w:ascii="Arial" w:cs="Arial" w:eastAsia="Arial" w:hAnsi="Arial"/>
                <w:sz w:val="32"/>
                <w:szCs w:val="32"/>
                <w:color w:val="auto"/>
                <w:vertAlign w:val="subscript"/>
              </w:rPr>
              <w:t>​</w:t>
            </w:r>
          </w:p>
        </w:tc>
        <w:tc>
          <w:tcPr>
            <w:tcW w:w="0" w:type="dxa"/>
            <w:vAlign w:val="bottom"/>
          </w:tcPr>
          <w:p>
            <w:pPr>
              <w:spacing w:after="0"/>
              <w:rPr>
                <w:sz w:val="1"/>
                <w:szCs w:val="1"/>
                <w:color w:val="auto"/>
              </w:rPr>
            </w:pPr>
          </w:p>
        </w:tc>
      </w:tr>
      <w:tr>
        <w:trPr>
          <w:trHeight w:val="20"/>
        </w:trPr>
        <w:tc>
          <w:tcPr>
            <w:tcW w:w="4000" w:type="dxa"/>
            <w:vAlign w:val="bottom"/>
            <w:shd w:val="clear" w:color="auto" w:fill="4B5088"/>
          </w:tcPr>
          <w:p>
            <w:pPr>
              <w:spacing w:after="0" w:line="20" w:lineRule="exact"/>
              <w:rPr>
                <w:sz w:val="1"/>
                <w:szCs w:val="1"/>
                <w:color w:val="auto"/>
              </w:rPr>
            </w:pPr>
          </w:p>
        </w:tc>
        <w:tc>
          <w:tcPr>
            <w:tcW w:w="180" w:type="dxa"/>
            <w:vAlign w:val="bottom"/>
            <w:tcBorders>
              <w:right w:val="single" w:sz="8" w:color="4B5088"/>
            </w:tcBorders>
          </w:tcPr>
          <w:p>
            <w:pPr>
              <w:spacing w:after="0" w:line="20" w:lineRule="exact"/>
              <w:rPr>
                <w:sz w:val="1"/>
                <w:szCs w:val="1"/>
                <w:color w:val="auto"/>
              </w:rPr>
            </w:pPr>
          </w:p>
        </w:tc>
        <w:tc>
          <w:tcPr>
            <w:tcW w:w="400" w:type="dxa"/>
            <w:vAlign w:val="bottom"/>
            <w:shd w:val="clear" w:color="auto" w:fill="4B5088"/>
          </w:tcPr>
          <w:p>
            <w:pPr>
              <w:spacing w:after="0" w:line="20" w:lineRule="exact"/>
              <w:rPr>
                <w:sz w:val="1"/>
                <w:szCs w:val="1"/>
                <w:color w:val="auto"/>
              </w:rPr>
            </w:pPr>
          </w:p>
        </w:tc>
        <w:tc>
          <w:tcPr>
            <w:tcW w:w="56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4B5088"/>
          </w:tcPr>
          <w:p>
            <w:pPr>
              <w:spacing w:after="0" w:line="20" w:lineRule="exact"/>
              <w:rPr>
                <w:sz w:val="1"/>
                <w:szCs w:val="1"/>
                <w:color w:val="auto"/>
              </w:rPr>
            </w:pPr>
          </w:p>
        </w:tc>
        <w:tc>
          <w:tcPr>
            <w:tcW w:w="840" w:type="dxa"/>
            <w:vAlign w:val="bottom"/>
            <w:shd w:val="clear" w:color="auto" w:fill="4B5088"/>
          </w:tcPr>
          <w:p>
            <w:pPr>
              <w:spacing w:after="0" w:line="20" w:lineRule="exact"/>
              <w:rPr>
                <w:sz w:val="1"/>
                <w:szCs w:val="1"/>
                <w:color w:val="auto"/>
              </w:rPr>
            </w:pPr>
          </w:p>
        </w:tc>
        <w:tc>
          <w:tcPr>
            <w:tcW w:w="160" w:type="dxa"/>
            <w:vAlign w:val="bottom"/>
            <w:tcBorders>
              <w:right w:val="single" w:sz="8" w:color="4B5088"/>
            </w:tcBorders>
          </w:tcPr>
          <w:p>
            <w:pPr>
              <w:spacing w:after="0" w:line="20" w:lineRule="exact"/>
              <w:rPr>
                <w:sz w:val="1"/>
                <w:szCs w:val="1"/>
                <w:color w:val="auto"/>
              </w:rPr>
            </w:pPr>
          </w:p>
        </w:tc>
        <w:tc>
          <w:tcPr>
            <w:tcW w:w="6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4B5088"/>
          </w:tcPr>
          <w:p>
            <w:pPr>
              <w:spacing w:after="0" w:line="20" w:lineRule="exact"/>
              <w:rPr>
                <w:sz w:val="1"/>
                <w:szCs w:val="1"/>
                <w:color w:val="auto"/>
              </w:rPr>
            </w:pPr>
          </w:p>
        </w:tc>
        <w:tc>
          <w:tcPr>
            <w:tcW w:w="440" w:type="dxa"/>
            <w:vAlign w:val="bottom"/>
            <w:shd w:val="clear" w:color="auto" w:fill="4B5088"/>
          </w:tcPr>
          <w:p>
            <w:pPr>
              <w:spacing w:after="0" w:line="20" w:lineRule="exact"/>
              <w:rPr>
                <w:sz w:val="1"/>
                <w:szCs w:val="1"/>
                <w:color w:val="auto"/>
              </w:rPr>
            </w:pPr>
          </w:p>
        </w:tc>
        <w:tc>
          <w:tcPr>
            <w:tcW w:w="300" w:type="dxa"/>
            <w:vAlign w:val="bottom"/>
            <w:shd w:val="clear" w:color="auto" w:fill="4B50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3"/>
            <w:shd w:val="clear" w:color="auto" w:fill="4B508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000" w:type="dxa"/>
            <w:vAlign w:val="bottom"/>
          </w:tcPr>
          <w:p>
            <w:pPr>
              <w:spacing w:after="0"/>
              <w:rPr>
                <w:sz w:val="20"/>
                <w:szCs w:val="20"/>
                <w:color w:val="auto"/>
              </w:rPr>
            </w:pPr>
            <w:r>
              <w:rPr>
                <w:rFonts w:ascii="Arial" w:cs="Arial" w:eastAsia="Arial" w:hAnsi="Arial"/>
                <w:sz w:val="16"/>
                <w:szCs w:val="16"/>
                <w:b w:val="1"/>
                <w:bCs w:val="1"/>
                <w:color w:val="1F2668"/>
              </w:rPr>
              <w:t>Carol N. Brown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4"/>
              <w:spacing w:after="0" w:line="276"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860" w:type="dxa"/>
            <w:vAlign w:val="bottom"/>
            <w:gridSpan w:val="3"/>
          </w:tcPr>
          <w:p>
            <w:pPr>
              <w:jc w:val="right"/>
              <w:ind w:right="180"/>
              <w:spacing w:after="0" w:line="276" w:lineRule="exact"/>
              <w:rPr>
                <w:sz w:val="20"/>
                <w:szCs w:val="20"/>
                <w:color w:val="auto"/>
              </w:rPr>
            </w:pPr>
            <w:r>
              <w:rPr>
                <w:rFonts w:ascii="Arial" w:cs="Arial" w:eastAsia="Arial" w:hAnsi="Arial"/>
                <w:sz w:val="16"/>
                <w:szCs w:val="16"/>
                <w:color w:val="auto"/>
              </w:rPr>
              <w:t>74,000</w:t>
            </w:r>
            <w:r>
              <w:rPr>
                <w:rFonts w:ascii="Arial" w:cs="Arial" w:eastAsia="Arial" w:hAnsi="Arial"/>
                <w:sz w:val="32"/>
                <w:szCs w:val="32"/>
                <w:color w:val="auto"/>
                <w:vertAlign w:val="subscript"/>
              </w:rPr>
              <w:t>​​​</w:t>
            </w:r>
          </w:p>
        </w:tc>
        <w:tc>
          <w:tcPr>
            <w:tcW w:w="1000" w:type="dxa"/>
            <w:vAlign w:val="bottom"/>
            <w:gridSpan w:val="2"/>
          </w:tcPr>
          <w:p>
            <w:pPr>
              <w:jc w:val="right"/>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$235,000</w:t>
            </w:r>
            <w:r>
              <w:rPr>
                <w:rFonts w:ascii="Arial" w:cs="Arial" w:eastAsia="Arial" w:hAnsi="Arial"/>
                <w:sz w:val="32"/>
                <w:szCs w:val="32"/>
                <w:color w:val="auto"/>
                <w:vertAlign w:val="subscript"/>
              </w:rPr>
              <w:t>​​​</w:t>
            </w:r>
          </w:p>
        </w:tc>
        <w:tc>
          <w:tcPr>
            <w:tcW w:w="640" w:type="dxa"/>
            <w:vAlign w:val="bottom"/>
          </w:tcPr>
          <w:p>
            <w:pPr>
              <w:ind w:left="480"/>
              <w:spacing w:after="0" w:line="276" w:lineRule="exact"/>
              <w:rPr>
                <w:sz w:val="20"/>
                <w:szCs w:val="20"/>
                <w:color w:val="auto"/>
              </w:rPr>
            </w:pPr>
            <w:r>
              <w:rPr>
                <w:rFonts w:ascii="Arial" w:cs="Arial" w:eastAsia="Arial" w:hAnsi="Arial"/>
                <w:sz w:val="32"/>
                <w:szCs w:val="32"/>
                <w:color w:val="auto"/>
                <w:w w:val="87"/>
                <w:vertAlign w:val="subscript"/>
              </w:rPr>
              <w:t>​</w:t>
            </w:r>
            <w:r>
              <w:rPr>
                <w:rFonts w:ascii="Arial" w:cs="Arial" w:eastAsia="Arial" w:hAnsi="Arial"/>
                <w:sz w:val="16"/>
                <w:szCs w:val="16"/>
                <w:color w:val="auto"/>
                <w:w w:val="87"/>
              </w:rPr>
              <w:t>—​</w:t>
            </w:r>
          </w:p>
        </w:tc>
        <w:tc>
          <w:tcPr>
            <w:tcW w:w="320" w:type="dxa"/>
            <w:vAlign w:val="bottom"/>
            <w:gridSpan w:val="2"/>
          </w:tcPr>
          <w:p>
            <w:pPr>
              <w:jc w:val="right"/>
              <w:ind w:right="128"/>
              <w:spacing w:after="0"/>
              <w:rPr>
                <w:sz w:val="20"/>
                <w:szCs w:val="20"/>
                <w:color w:val="auto"/>
              </w:rPr>
            </w:pPr>
            <w:r>
              <w:rPr>
                <w:rFonts w:ascii="Arial" w:cs="Arial" w:eastAsia="Arial" w:hAnsi="Arial"/>
                <w:sz w:val="16"/>
                <w:szCs w:val="16"/>
                <w:color w:val="auto"/>
              </w:rPr>
              <w:t>​​​</w:t>
            </w:r>
          </w:p>
        </w:tc>
        <w:tc>
          <w:tcPr>
            <w:tcW w:w="440" w:type="dxa"/>
            <w:vAlign w:val="bottom"/>
          </w:tcPr>
          <w:p>
            <w:pPr>
              <w:ind w:left="160"/>
              <w:spacing w:after="0" w:line="276" w:lineRule="exact"/>
              <w:rPr>
                <w:sz w:val="20"/>
                <w:szCs w:val="20"/>
                <w:color w:val="auto"/>
              </w:rPr>
            </w:pPr>
            <w:r>
              <w:rPr>
                <w:rFonts w:ascii="Arial" w:cs="Arial" w:eastAsia="Arial" w:hAnsi="Arial"/>
                <w:sz w:val="16"/>
                <w:szCs w:val="16"/>
                <w:color w:val="auto"/>
              </w:rPr>
              <w:t xml:space="preserve">​ </w:t>
            </w:r>
            <w:r>
              <w:rPr>
                <w:rFonts w:ascii="Arial" w:cs="Arial" w:eastAsia="Arial" w:hAnsi="Arial"/>
                <w:sz w:val="32"/>
                <w:szCs w:val="32"/>
                <w:color w:val="auto"/>
                <w:vertAlign w:val="superscript"/>
              </w:rPr>
              <w:t>​</w:t>
            </w:r>
          </w:p>
        </w:tc>
        <w:tc>
          <w:tcPr>
            <w:tcW w:w="460" w:type="dxa"/>
            <w:vAlign w:val="bottom"/>
            <w:gridSpan w:val="2"/>
          </w:tcPr>
          <w:p>
            <w:pPr>
              <w:jc w:val="right"/>
              <w:ind w:right="14"/>
              <w:spacing w:after="0" w:line="276"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w:t>
            </w:r>
          </w:p>
        </w:tc>
        <w:tc>
          <w:tcPr>
            <w:tcW w:w="820" w:type="dxa"/>
            <w:vAlign w:val="bottom"/>
            <w:gridSpan w:val="5"/>
          </w:tcPr>
          <w:p>
            <w:pPr>
              <w:jc w:val="right"/>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$309,000</w:t>
            </w:r>
            <w:r>
              <w:rPr>
                <w:rFonts w:ascii="Arial" w:cs="Arial" w:eastAsia="Arial" w:hAnsi="Arial"/>
                <w:sz w:val="32"/>
                <w:szCs w:val="32"/>
                <w:color w:val="auto"/>
                <w:vertAlign w:val="subscript"/>
              </w:rPr>
              <w:t>​</w:t>
            </w:r>
          </w:p>
        </w:tc>
        <w:tc>
          <w:tcPr>
            <w:tcW w:w="0" w:type="dxa"/>
            <w:vAlign w:val="bottom"/>
          </w:tcPr>
          <w:p>
            <w:pPr>
              <w:spacing w:after="0"/>
              <w:rPr>
                <w:sz w:val="1"/>
                <w:szCs w:val="1"/>
                <w:color w:val="auto"/>
              </w:rPr>
            </w:pPr>
          </w:p>
        </w:tc>
      </w:tr>
      <w:tr>
        <w:trPr>
          <w:trHeight w:val="20"/>
        </w:trPr>
        <w:tc>
          <w:tcPr>
            <w:tcW w:w="4000" w:type="dxa"/>
            <w:vAlign w:val="bottom"/>
            <w:shd w:val="clear" w:color="auto" w:fill="4B5088"/>
          </w:tcPr>
          <w:p>
            <w:pPr>
              <w:spacing w:after="0" w:line="20" w:lineRule="exact"/>
              <w:rPr>
                <w:sz w:val="1"/>
                <w:szCs w:val="1"/>
                <w:color w:val="auto"/>
              </w:rPr>
            </w:pPr>
          </w:p>
        </w:tc>
        <w:tc>
          <w:tcPr>
            <w:tcW w:w="180" w:type="dxa"/>
            <w:vAlign w:val="bottom"/>
            <w:tcBorders>
              <w:right w:val="single" w:sz="8" w:color="4B5088"/>
            </w:tcBorders>
          </w:tcPr>
          <w:p>
            <w:pPr>
              <w:spacing w:after="0" w:line="20" w:lineRule="exact"/>
              <w:rPr>
                <w:sz w:val="1"/>
                <w:szCs w:val="1"/>
                <w:color w:val="auto"/>
              </w:rPr>
            </w:pPr>
          </w:p>
        </w:tc>
        <w:tc>
          <w:tcPr>
            <w:tcW w:w="400" w:type="dxa"/>
            <w:vAlign w:val="bottom"/>
            <w:shd w:val="clear" w:color="auto" w:fill="4B5088"/>
          </w:tcPr>
          <w:p>
            <w:pPr>
              <w:spacing w:after="0" w:line="20" w:lineRule="exact"/>
              <w:rPr>
                <w:sz w:val="1"/>
                <w:szCs w:val="1"/>
                <w:color w:val="auto"/>
              </w:rPr>
            </w:pPr>
          </w:p>
        </w:tc>
        <w:tc>
          <w:tcPr>
            <w:tcW w:w="56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4B5088"/>
          </w:tcPr>
          <w:p>
            <w:pPr>
              <w:spacing w:after="0" w:line="20" w:lineRule="exact"/>
              <w:rPr>
                <w:sz w:val="1"/>
                <w:szCs w:val="1"/>
                <w:color w:val="auto"/>
              </w:rPr>
            </w:pPr>
          </w:p>
        </w:tc>
        <w:tc>
          <w:tcPr>
            <w:tcW w:w="840" w:type="dxa"/>
            <w:vAlign w:val="bottom"/>
            <w:shd w:val="clear" w:color="auto" w:fill="4B5088"/>
          </w:tcPr>
          <w:p>
            <w:pPr>
              <w:spacing w:after="0" w:line="20" w:lineRule="exact"/>
              <w:rPr>
                <w:sz w:val="1"/>
                <w:szCs w:val="1"/>
                <w:color w:val="auto"/>
              </w:rPr>
            </w:pPr>
          </w:p>
        </w:tc>
        <w:tc>
          <w:tcPr>
            <w:tcW w:w="160" w:type="dxa"/>
            <w:vAlign w:val="bottom"/>
            <w:tcBorders>
              <w:right w:val="single" w:sz="8" w:color="4B5088"/>
            </w:tcBorders>
          </w:tcPr>
          <w:p>
            <w:pPr>
              <w:spacing w:after="0" w:line="20" w:lineRule="exact"/>
              <w:rPr>
                <w:sz w:val="1"/>
                <w:szCs w:val="1"/>
                <w:color w:val="auto"/>
              </w:rPr>
            </w:pPr>
          </w:p>
        </w:tc>
        <w:tc>
          <w:tcPr>
            <w:tcW w:w="6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4B5088"/>
          </w:tcPr>
          <w:p>
            <w:pPr>
              <w:spacing w:after="0" w:line="20" w:lineRule="exact"/>
              <w:rPr>
                <w:sz w:val="1"/>
                <w:szCs w:val="1"/>
                <w:color w:val="auto"/>
              </w:rPr>
            </w:pPr>
          </w:p>
        </w:tc>
        <w:tc>
          <w:tcPr>
            <w:tcW w:w="440" w:type="dxa"/>
            <w:vAlign w:val="bottom"/>
            <w:shd w:val="clear" w:color="auto" w:fill="4B5088"/>
          </w:tcPr>
          <w:p>
            <w:pPr>
              <w:spacing w:after="0" w:line="20" w:lineRule="exact"/>
              <w:rPr>
                <w:sz w:val="1"/>
                <w:szCs w:val="1"/>
                <w:color w:val="auto"/>
              </w:rPr>
            </w:pPr>
          </w:p>
        </w:tc>
        <w:tc>
          <w:tcPr>
            <w:tcW w:w="300" w:type="dxa"/>
            <w:vAlign w:val="bottom"/>
            <w:shd w:val="clear" w:color="auto" w:fill="4B50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3"/>
            <w:shd w:val="clear" w:color="auto" w:fill="4B508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00" w:type="dxa"/>
            <w:vAlign w:val="bottom"/>
          </w:tcPr>
          <w:p>
            <w:pPr>
              <w:spacing w:after="0"/>
              <w:rPr>
                <w:sz w:val="20"/>
                <w:szCs w:val="20"/>
                <w:color w:val="auto"/>
              </w:rPr>
            </w:pPr>
            <w:r>
              <w:rPr>
                <w:rFonts w:ascii="Arial" w:cs="Arial" w:eastAsia="Arial" w:hAnsi="Arial"/>
                <w:sz w:val="16"/>
                <w:szCs w:val="16"/>
                <w:b w:val="1"/>
                <w:bCs w:val="1"/>
                <w:color w:val="1F2668"/>
              </w:rPr>
              <w:t>Edwin T. Burton, III</w:t>
            </w:r>
            <w:r>
              <w:rPr>
                <w:rFonts w:ascii="Arial" w:cs="Arial" w:eastAsia="Arial" w:hAnsi="Arial"/>
                <w:sz w:val="19"/>
                <w:szCs w:val="19"/>
                <w:b w:val="1"/>
                <w:bCs w:val="1"/>
                <w:color w:val="1F2668"/>
                <w:vertAlign w:val="superscript"/>
              </w:rPr>
              <w:t>(4)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4"/>
              <w:spacing w:after="0" w:line="304"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860" w:type="dxa"/>
            <w:vAlign w:val="bottom"/>
            <w:gridSpan w:val="3"/>
          </w:tcPr>
          <w:p>
            <w:pPr>
              <w:jc w:val="right"/>
              <w:ind w:right="180"/>
              <w:spacing w:after="0" w:line="304" w:lineRule="exact"/>
              <w:rPr>
                <w:sz w:val="20"/>
                <w:szCs w:val="20"/>
                <w:color w:val="auto"/>
              </w:rPr>
            </w:pPr>
            <w:r>
              <w:rPr>
                <w:rFonts w:ascii="Arial" w:cs="Arial" w:eastAsia="Arial" w:hAnsi="Arial"/>
                <w:sz w:val="16"/>
                <w:szCs w:val="16"/>
                <w:color w:val="auto"/>
              </w:rPr>
              <w:t>48,000</w:t>
            </w:r>
            <w:r>
              <w:rPr>
                <w:rFonts w:ascii="Arial" w:cs="Arial" w:eastAsia="Arial" w:hAnsi="Arial"/>
                <w:sz w:val="32"/>
                <w:szCs w:val="32"/>
                <w:color w:val="auto"/>
                <w:vertAlign w:val="subscript"/>
              </w:rPr>
              <w:t>​​​</w:t>
            </w:r>
          </w:p>
        </w:tc>
        <w:tc>
          <w:tcPr>
            <w:tcW w:w="1000" w:type="dxa"/>
            <w:vAlign w:val="bottom"/>
            <w:gridSpan w:val="2"/>
          </w:tcPr>
          <w:p>
            <w:pPr>
              <w:jc w:val="right"/>
              <w:spacing w:after="0" w:line="304"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$235,000</w:t>
            </w:r>
            <w:r>
              <w:rPr>
                <w:rFonts w:ascii="Arial" w:cs="Arial" w:eastAsia="Arial" w:hAnsi="Arial"/>
                <w:sz w:val="32"/>
                <w:szCs w:val="32"/>
                <w:color w:val="auto"/>
                <w:vertAlign w:val="subscript"/>
              </w:rPr>
              <w:t>​​​</w:t>
            </w:r>
          </w:p>
        </w:tc>
        <w:tc>
          <w:tcPr>
            <w:tcW w:w="640" w:type="dxa"/>
            <w:vAlign w:val="bottom"/>
          </w:tcPr>
          <w:p>
            <w:pPr>
              <w:ind w:left="480"/>
              <w:spacing w:after="0" w:line="304" w:lineRule="exact"/>
              <w:rPr>
                <w:sz w:val="20"/>
                <w:szCs w:val="20"/>
                <w:color w:val="auto"/>
              </w:rPr>
            </w:pPr>
            <w:r>
              <w:rPr>
                <w:rFonts w:ascii="Arial" w:cs="Arial" w:eastAsia="Arial" w:hAnsi="Arial"/>
                <w:sz w:val="32"/>
                <w:szCs w:val="32"/>
                <w:color w:val="auto"/>
                <w:w w:val="87"/>
                <w:vertAlign w:val="subscript"/>
              </w:rPr>
              <w:t>​</w:t>
            </w:r>
            <w:r>
              <w:rPr>
                <w:rFonts w:ascii="Arial" w:cs="Arial" w:eastAsia="Arial" w:hAnsi="Arial"/>
                <w:sz w:val="16"/>
                <w:szCs w:val="16"/>
                <w:color w:val="auto"/>
                <w:w w:val="87"/>
              </w:rPr>
              <w:t>—​</w:t>
            </w:r>
          </w:p>
        </w:tc>
        <w:tc>
          <w:tcPr>
            <w:tcW w:w="320" w:type="dxa"/>
            <w:vAlign w:val="bottom"/>
            <w:gridSpan w:val="2"/>
          </w:tcPr>
          <w:p>
            <w:pPr>
              <w:jc w:val="right"/>
              <w:ind w:right="128"/>
              <w:spacing w:after="0"/>
              <w:rPr>
                <w:sz w:val="20"/>
                <w:szCs w:val="20"/>
                <w:color w:val="auto"/>
              </w:rPr>
            </w:pPr>
            <w:r>
              <w:rPr>
                <w:rFonts w:ascii="Arial" w:cs="Arial" w:eastAsia="Arial" w:hAnsi="Arial"/>
                <w:sz w:val="16"/>
                <w:szCs w:val="16"/>
                <w:color w:val="auto"/>
              </w:rPr>
              <w:t>​​​</w:t>
            </w:r>
          </w:p>
        </w:tc>
        <w:tc>
          <w:tcPr>
            <w:tcW w:w="440" w:type="dxa"/>
            <w:vAlign w:val="bottom"/>
          </w:tcPr>
          <w:p>
            <w:pPr>
              <w:ind w:left="160"/>
              <w:spacing w:after="0" w:line="30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2"/>
                <w:szCs w:val="32"/>
                <w:color w:val="auto"/>
                <w:vertAlign w:val="superscript"/>
              </w:rPr>
              <w:t>​</w:t>
            </w:r>
          </w:p>
        </w:tc>
        <w:tc>
          <w:tcPr>
            <w:tcW w:w="460" w:type="dxa"/>
            <w:vAlign w:val="bottom"/>
            <w:gridSpan w:val="2"/>
          </w:tcPr>
          <w:p>
            <w:pPr>
              <w:jc w:val="right"/>
              <w:ind w:right="14"/>
              <w:spacing w:after="0" w:line="304"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w:t>
            </w:r>
          </w:p>
        </w:tc>
        <w:tc>
          <w:tcPr>
            <w:tcW w:w="820" w:type="dxa"/>
            <w:vAlign w:val="bottom"/>
            <w:gridSpan w:val="5"/>
          </w:tcPr>
          <w:p>
            <w:pPr>
              <w:jc w:val="right"/>
              <w:spacing w:after="0" w:line="304"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$283,000</w:t>
            </w:r>
            <w:r>
              <w:rPr>
                <w:rFonts w:ascii="Arial" w:cs="Arial" w:eastAsia="Arial" w:hAnsi="Arial"/>
                <w:sz w:val="32"/>
                <w:szCs w:val="32"/>
                <w:color w:val="auto"/>
                <w:vertAlign w:val="subscript"/>
              </w:rPr>
              <w:t>​</w:t>
            </w:r>
          </w:p>
        </w:tc>
        <w:tc>
          <w:tcPr>
            <w:tcW w:w="0" w:type="dxa"/>
            <w:vAlign w:val="bottom"/>
          </w:tcPr>
          <w:p>
            <w:pPr>
              <w:spacing w:after="0"/>
              <w:rPr>
                <w:sz w:val="1"/>
                <w:szCs w:val="1"/>
                <w:color w:val="auto"/>
              </w:rPr>
            </w:pPr>
          </w:p>
        </w:tc>
      </w:tr>
      <w:tr>
        <w:trPr>
          <w:trHeight w:val="20"/>
        </w:trPr>
        <w:tc>
          <w:tcPr>
            <w:tcW w:w="4000" w:type="dxa"/>
            <w:vAlign w:val="bottom"/>
            <w:shd w:val="clear" w:color="auto" w:fill="4B5088"/>
          </w:tcPr>
          <w:p>
            <w:pPr>
              <w:spacing w:after="0" w:line="20" w:lineRule="exact"/>
              <w:rPr>
                <w:sz w:val="1"/>
                <w:szCs w:val="1"/>
                <w:color w:val="auto"/>
              </w:rPr>
            </w:pPr>
          </w:p>
        </w:tc>
        <w:tc>
          <w:tcPr>
            <w:tcW w:w="180" w:type="dxa"/>
            <w:vAlign w:val="bottom"/>
            <w:tcBorders>
              <w:right w:val="single" w:sz="8" w:color="4B5088"/>
            </w:tcBorders>
          </w:tcPr>
          <w:p>
            <w:pPr>
              <w:spacing w:after="0" w:line="20" w:lineRule="exact"/>
              <w:rPr>
                <w:sz w:val="1"/>
                <w:szCs w:val="1"/>
                <w:color w:val="auto"/>
              </w:rPr>
            </w:pPr>
          </w:p>
        </w:tc>
        <w:tc>
          <w:tcPr>
            <w:tcW w:w="960" w:type="dxa"/>
            <w:vAlign w:val="bottom"/>
            <w:gridSpan w:val="2"/>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4B5088"/>
          </w:tcPr>
          <w:p>
            <w:pPr>
              <w:spacing w:after="0" w:line="20" w:lineRule="exact"/>
              <w:rPr>
                <w:sz w:val="1"/>
                <w:szCs w:val="1"/>
                <w:color w:val="auto"/>
              </w:rPr>
            </w:pPr>
          </w:p>
        </w:tc>
        <w:tc>
          <w:tcPr>
            <w:tcW w:w="840" w:type="dxa"/>
            <w:vAlign w:val="bottom"/>
            <w:shd w:val="clear" w:color="auto" w:fill="4B5088"/>
          </w:tcPr>
          <w:p>
            <w:pPr>
              <w:spacing w:after="0" w:line="20" w:lineRule="exact"/>
              <w:rPr>
                <w:sz w:val="1"/>
                <w:szCs w:val="1"/>
                <w:color w:val="auto"/>
              </w:rPr>
            </w:pPr>
          </w:p>
        </w:tc>
        <w:tc>
          <w:tcPr>
            <w:tcW w:w="160" w:type="dxa"/>
            <w:vAlign w:val="bottom"/>
            <w:tcBorders>
              <w:right w:val="single" w:sz="8" w:color="4B5088"/>
            </w:tcBorders>
          </w:tcPr>
          <w:p>
            <w:pPr>
              <w:spacing w:after="0" w:line="20" w:lineRule="exact"/>
              <w:rPr>
                <w:sz w:val="1"/>
                <w:szCs w:val="1"/>
                <w:color w:val="auto"/>
              </w:rPr>
            </w:pPr>
          </w:p>
        </w:tc>
        <w:tc>
          <w:tcPr>
            <w:tcW w:w="6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4B5088"/>
          </w:tcPr>
          <w:p>
            <w:pPr>
              <w:spacing w:after="0" w:line="20" w:lineRule="exact"/>
              <w:rPr>
                <w:sz w:val="1"/>
                <w:szCs w:val="1"/>
                <w:color w:val="auto"/>
              </w:rPr>
            </w:pPr>
          </w:p>
        </w:tc>
        <w:tc>
          <w:tcPr>
            <w:tcW w:w="440" w:type="dxa"/>
            <w:vAlign w:val="bottom"/>
            <w:shd w:val="clear" w:color="auto" w:fill="4B5088"/>
          </w:tcPr>
          <w:p>
            <w:pPr>
              <w:spacing w:after="0" w:line="20" w:lineRule="exact"/>
              <w:rPr>
                <w:sz w:val="1"/>
                <w:szCs w:val="1"/>
                <w:color w:val="auto"/>
              </w:rPr>
            </w:pPr>
          </w:p>
        </w:tc>
        <w:tc>
          <w:tcPr>
            <w:tcW w:w="300" w:type="dxa"/>
            <w:vAlign w:val="bottom"/>
            <w:shd w:val="clear" w:color="auto" w:fill="4B50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3"/>
            <w:shd w:val="clear" w:color="auto" w:fill="4B508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000" w:type="dxa"/>
            <w:vAlign w:val="bottom"/>
          </w:tcPr>
          <w:p>
            <w:pPr>
              <w:spacing w:after="0"/>
              <w:rPr>
                <w:sz w:val="20"/>
                <w:szCs w:val="20"/>
                <w:color w:val="auto"/>
              </w:rPr>
            </w:pPr>
            <w:r>
              <w:rPr>
                <w:rFonts w:ascii="Arial" w:cs="Arial" w:eastAsia="Arial" w:hAnsi="Arial"/>
                <w:sz w:val="16"/>
                <w:szCs w:val="16"/>
                <w:b w:val="1"/>
                <w:bCs w:val="1"/>
                <w:color w:val="1F2668"/>
              </w:rPr>
              <w:t>Lauren B. Dillard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4"/>
          </w:tcPr>
          <w:p>
            <w:pPr>
              <w:jc w:val="right"/>
              <w:ind w:right="18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$ 142,500</w:t>
            </w:r>
            <w:r>
              <w:rPr>
                <w:rFonts w:ascii="Arial" w:cs="Arial" w:eastAsia="Arial" w:hAnsi="Arial"/>
                <w:sz w:val="32"/>
                <w:szCs w:val="32"/>
                <w:color w:val="auto"/>
                <w:vertAlign w:val="subscript"/>
              </w:rPr>
              <w:t>​​​</w:t>
            </w:r>
          </w:p>
        </w:tc>
        <w:tc>
          <w:tcPr>
            <w:tcW w:w="1000" w:type="dxa"/>
            <w:vAlign w:val="bottom"/>
            <w:gridSpan w:val="2"/>
          </w:tcPr>
          <w:p>
            <w:pPr>
              <w:jc w:val="right"/>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$235,000</w:t>
            </w:r>
            <w:r>
              <w:rPr>
                <w:rFonts w:ascii="Arial" w:cs="Arial" w:eastAsia="Arial" w:hAnsi="Arial"/>
                <w:sz w:val="32"/>
                <w:szCs w:val="32"/>
                <w:color w:val="auto"/>
                <w:vertAlign w:val="subscript"/>
              </w:rPr>
              <w:t>​​​</w:t>
            </w:r>
          </w:p>
        </w:tc>
        <w:tc>
          <w:tcPr>
            <w:tcW w:w="640" w:type="dxa"/>
            <w:vAlign w:val="bottom"/>
          </w:tcPr>
          <w:p>
            <w:pPr>
              <w:ind w:left="480"/>
              <w:spacing w:after="0" w:line="276" w:lineRule="exact"/>
              <w:rPr>
                <w:sz w:val="20"/>
                <w:szCs w:val="20"/>
                <w:color w:val="auto"/>
              </w:rPr>
            </w:pPr>
            <w:r>
              <w:rPr>
                <w:rFonts w:ascii="Arial" w:cs="Arial" w:eastAsia="Arial" w:hAnsi="Arial"/>
                <w:sz w:val="32"/>
                <w:szCs w:val="32"/>
                <w:color w:val="auto"/>
                <w:w w:val="87"/>
                <w:vertAlign w:val="subscript"/>
              </w:rPr>
              <w:t>​</w:t>
            </w:r>
            <w:r>
              <w:rPr>
                <w:rFonts w:ascii="Arial" w:cs="Arial" w:eastAsia="Arial" w:hAnsi="Arial"/>
                <w:sz w:val="16"/>
                <w:szCs w:val="16"/>
                <w:color w:val="auto"/>
                <w:w w:val="87"/>
              </w:rPr>
              <w:t>—​</w:t>
            </w:r>
          </w:p>
        </w:tc>
        <w:tc>
          <w:tcPr>
            <w:tcW w:w="320" w:type="dxa"/>
            <w:vAlign w:val="bottom"/>
            <w:gridSpan w:val="2"/>
          </w:tcPr>
          <w:p>
            <w:pPr>
              <w:jc w:val="right"/>
              <w:ind w:right="128"/>
              <w:spacing w:after="0"/>
              <w:rPr>
                <w:sz w:val="20"/>
                <w:szCs w:val="20"/>
                <w:color w:val="auto"/>
              </w:rPr>
            </w:pPr>
            <w:r>
              <w:rPr>
                <w:rFonts w:ascii="Arial" w:cs="Arial" w:eastAsia="Arial" w:hAnsi="Arial"/>
                <w:sz w:val="16"/>
                <w:szCs w:val="16"/>
                <w:color w:val="auto"/>
              </w:rPr>
              <w:t>​​​</w:t>
            </w:r>
          </w:p>
        </w:tc>
        <w:tc>
          <w:tcPr>
            <w:tcW w:w="440" w:type="dxa"/>
            <w:vAlign w:val="bottom"/>
          </w:tcPr>
          <w:p>
            <w:pPr>
              <w:ind w:left="16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 xml:space="preserve"> ​</w:t>
            </w:r>
          </w:p>
        </w:tc>
        <w:tc>
          <w:tcPr>
            <w:tcW w:w="460" w:type="dxa"/>
            <w:vAlign w:val="bottom"/>
            <w:gridSpan w:val="2"/>
          </w:tcPr>
          <w:p>
            <w:pPr>
              <w:jc w:val="right"/>
              <w:ind w:right="14"/>
              <w:spacing w:after="0" w:line="276"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w:t>
            </w:r>
          </w:p>
        </w:tc>
        <w:tc>
          <w:tcPr>
            <w:tcW w:w="820" w:type="dxa"/>
            <w:vAlign w:val="bottom"/>
            <w:gridSpan w:val="5"/>
          </w:tcPr>
          <w:p>
            <w:pPr>
              <w:jc w:val="right"/>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$377,500</w:t>
            </w:r>
            <w:r>
              <w:rPr>
                <w:rFonts w:ascii="Arial" w:cs="Arial" w:eastAsia="Arial" w:hAnsi="Arial"/>
                <w:sz w:val="32"/>
                <w:szCs w:val="32"/>
                <w:color w:val="auto"/>
                <w:vertAlign w:val="subscript"/>
              </w:rPr>
              <w:t>​</w:t>
            </w:r>
          </w:p>
        </w:tc>
        <w:tc>
          <w:tcPr>
            <w:tcW w:w="0" w:type="dxa"/>
            <w:vAlign w:val="bottom"/>
          </w:tcPr>
          <w:p>
            <w:pPr>
              <w:spacing w:after="0"/>
              <w:rPr>
                <w:sz w:val="1"/>
                <w:szCs w:val="1"/>
                <w:color w:val="auto"/>
              </w:rPr>
            </w:pPr>
          </w:p>
        </w:tc>
      </w:tr>
      <w:tr>
        <w:trPr>
          <w:trHeight w:val="20"/>
        </w:trPr>
        <w:tc>
          <w:tcPr>
            <w:tcW w:w="4000" w:type="dxa"/>
            <w:vAlign w:val="bottom"/>
            <w:shd w:val="clear" w:color="auto" w:fill="4B5088"/>
          </w:tcPr>
          <w:p>
            <w:pPr>
              <w:spacing w:after="0" w:line="20" w:lineRule="exact"/>
              <w:rPr>
                <w:sz w:val="1"/>
                <w:szCs w:val="1"/>
                <w:color w:val="auto"/>
              </w:rPr>
            </w:pPr>
          </w:p>
        </w:tc>
        <w:tc>
          <w:tcPr>
            <w:tcW w:w="180" w:type="dxa"/>
            <w:vAlign w:val="bottom"/>
            <w:tcBorders>
              <w:right w:val="single" w:sz="8" w:color="4B5088"/>
            </w:tcBorders>
          </w:tcPr>
          <w:p>
            <w:pPr>
              <w:spacing w:after="0" w:line="20" w:lineRule="exact"/>
              <w:rPr>
                <w:sz w:val="1"/>
                <w:szCs w:val="1"/>
                <w:color w:val="auto"/>
              </w:rPr>
            </w:pPr>
          </w:p>
        </w:tc>
        <w:tc>
          <w:tcPr>
            <w:tcW w:w="400" w:type="dxa"/>
            <w:vAlign w:val="bottom"/>
            <w:shd w:val="clear" w:color="auto" w:fill="4B5088"/>
          </w:tcPr>
          <w:p>
            <w:pPr>
              <w:spacing w:after="0" w:line="20" w:lineRule="exact"/>
              <w:rPr>
                <w:sz w:val="1"/>
                <w:szCs w:val="1"/>
                <w:color w:val="auto"/>
              </w:rPr>
            </w:pPr>
          </w:p>
        </w:tc>
        <w:tc>
          <w:tcPr>
            <w:tcW w:w="56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4B5088"/>
          </w:tcPr>
          <w:p>
            <w:pPr>
              <w:spacing w:after="0" w:line="20" w:lineRule="exact"/>
              <w:rPr>
                <w:sz w:val="1"/>
                <w:szCs w:val="1"/>
                <w:color w:val="auto"/>
              </w:rPr>
            </w:pPr>
          </w:p>
        </w:tc>
        <w:tc>
          <w:tcPr>
            <w:tcW w:w="840" w:type="dxa"/>
            <w:vAlign w:val="bottom"/>
            <w:shd w:val="clear" w:color="auto" w:fill="4B5088"/>
          </w:tcPr>
          <w:p>
            <w:pPr>
              <w:spacing w:after="0" w:line="20" w:lineRule="exact"/>
              <w:rPr>
                <w:sz w:val="1"/>
                <w:szCs w:val="1"/>
                <w:color w:val="auto"/>
              </w:rPr>
            </w:pPr>
          </w:p>
        </w:tc>
        <w:tc>
          <w:tcPr>
            <w:tcW w:w="160" w:type="dxa"/>
            <w:vAlign w:val="bottom"/>
            <w:tcBorders>
              <w:right w:val="single" w:sz="8" w:color="4B5088"/>
            </w:tcBorders>
          </w:tcPr>
          <w:p>
            <w:pPr>
              <w:spacing w:after="0" w:line="20" w:lineRule="exact"/>
              <w:rPr>
                <w:sz w:val="1"/>
                <w:szCs w:val="1"/>
                <w:color w:val="auto"/>
              </w:rPr>
            </w:pPr>
          </w:p>
        </w:tc>
        <w:tc>
          <w:tcPr>
            <w:tcW w:w="6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4B5088"/>
          </w:tcPr>
          <w:p>
            <w:pPr>
              <w:spacing w:after="0" w:line="20" w:lineRule="exact"/>
              <w:rPr>
                <w:sz w:val="1"/>
                <w:szCs w:val="1"/>
                <w:color w:val="auto"/>
              </w:rPr>
            </w:pPr>
          </w:p>
        </w:tc>
        <w:tc>
          <w:tcPr>
            <w:tcW w:w="440" w:type="dxa"/>
            <w:vAlign w:val="bottom"/>
            <w:shd w:val="clear" w:color="auto" w:fill="4B5088"/>
          </w:tcPr>
          <w:p>
            <w:pPr>
              <w:spacing w:after="0" w:line="20" w:lineRule="exact"/>
              <w:rPr>
                <w:sz w:val="1"/>
                <w:szCs w:val="1"/>
                <w:color w:val="auto"/>
              </w:rPr>
            </w:pPr>
          </w:p>
        </w:tc>
        <w:tc>
          <w:tcPr>
            <w:tcW w:w="300" w:type="dxa"/>
            <w:vAlign w:val="bottom"/>
            <w:shd w:val="clear" w:color="auto" w:fill="4B50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3"/>
            <w:shd w:val="clear" w:color="auto" w:fill="4B508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000" w:type="dxa"/>
            <w:vAlign w:val="bottom"/>
          </w:tcPr>
          <w:p>
            <w:pPr>
              <w:spacing w:after="0"/>
              <w:rPr>
                <w:sz w:val="20"/>
                <w:szCs w:val="20"/>
                <w:color w:val="auto"/>
              </w:rPr>
            </w:pPr>
            <w:r>
              <w:rPr>
                <w:rFonts w:ascii="Arial" w:cs="Arial" w:eastAsia="Arial" w:hAnsi="Arial"/>
                <w:sz w:val="16"/>
                <w:szCs w:val="16"/>
                <w:b w:val="1"/>
                <w:bCs w:val="1"/>
                <w:color w:val="1F2668"/>
              </w:rPr>
              <w:t>Stephen L. Green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4"/>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w:t>
            </w:r>
          </w:p>
        </w:tc>
        <w:tc>
          <w:tcPr>
            <w:tcW w:w="860" w:type="dxa"/>
            <w:vAlign w:val="bottom"/>
            <w:gridSpan w:val="3"/>
          </w:tcPr>
          <w:p>
            <w:pPr>
              <w:jc w:val="right"/>
              <w:ind w:right="180"/>
              <w:spacing w:after="0" w:line="276" w:lineRule="exact"/>
              <w:rPr>
                <w:sz w:val="20"/>
                <w:szCs w:val="20"/>
                <w:color w:val="auto"/>
              </w:rPr>
            </w:pPr>
            <w:r>
              <w:rPr>
                <w:rFonts w:ascii="Arial" w:cs="Arial" w:eastAsia="Arial" w:hAnsi="Arial"/>
                <w:sz w:val="16"/>
                <w:szCs w:val="16"/>
                <w:color w:val="auto"/>
              </w:rPr>
              <w:t>57,500</w:t>
            </w:r>
            <w:r>
              <w:rPr>
                <w:rFonts w:ascii="Arial" w:cs="Arial" w:eastAsia="Arial" w:hAnsi="Arial"/>
                <w:sz w:val="32"/>
                <w:szCs w:val="32"/>
                <w:color w:val="auto"/>
                <w:vertAlign w:val="subscript"/>
              </w:rPr>
              <w:t>​​​</w:t>
            </w:r>
          </w:p>
        </w:tc>
        <w:tc>
          <w:tcPr>
            <w:tcW w:w="1000" w:type="dxa"/>
            <w:vAlign w:val="bottom"/>
            <w:gridSpan w:val="2"/>
          </w:tcPr>
          <w:p>
            <w:pPr>
              <w:jc w:val="right"/>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$235,000</w:t>
            </w:r>
            <w:r>
              <w:rPr>
                <w:rFonts w:ascii="Arial" w:cs="Arial" w:eastAsia="Arial" w:hAnsi="Arial"/>
                <w:sz w:val="32"/>
                <w:szCs w:val="32"/>
                <w:color w:val="auto"/>
                <w:vertAlign w:val="subscript"/>
              </w:rPr>
              <w:t>​​​</w:t>
            </w:r>
          </w:p>
        </w:tc>
        <w:tc>
          <w:tcPr>
            <w:tcW w:w="640" w:type="dxa"/>
            <w:vAlign w:val="bottom"/>
          </w:tcPr>
          <w:p>
            <w:pPr>
              <w:ind w:left="480"/>
              <w:spacing w:after="0" w:line="276" w:lineRule="exact"/>
              <w:rPr>
                <w:sz w:val="20"/>
                <w:szCs w:val="20"/>
                <w:color w:val="auto"/>
              </w:rPr>
            </w:pPr>
            <w:r>
              <w:rPr>
                <w:rFonts w:ascii="Arial" w:cs="Arial" w:eastAsia="Arial" w:hAnsi="Arial"/>
                <w:sz w:val="32"/>
                <w:szCs w:val="32"/>
                <w:color w:val="auto"/>
                <w:w w:val="87"/>
                <w:vertAlign w:val="subscript"/>
              </w:rPr>
              <w:t>​</w:t>
            </w:r>
            <w:r>
              <w:rPr>
                <w:rFonts w:ascii="Arial" w:cs="Arial" w:eastAsia="Arial" w:hAnsi="Arial"/>
                <w:sz w:val="16"/>
                <w:szCs w:val="16"/>
                <w:color w:val="auto"/>
                <w:w w:val="87"/>
              </w:rPr>
              <w:t>—​</w:t>
            </w:r>
          </w:p>
        </w:tc>
        <w:tc>
          <w:tcPr>
            <w:tcW w:w="320" w:type="dxa"/>
            <w:vAlign w:val="bottom"/>
            <w:gridSpan w:val="2"/>
          </w:tcPr>
          <w:p>
            <w:pPr>
              <w:jc w:val="right"/>
              <w:ind w:right="128"/>
              <w:spacing w:after="0"/>
              <w:rPr>
                <w:sz w:val="20"/>
                <w:szCs w:val="20"/>
                <w:color w:val="auto"/>
              </w:rPr>
            </w:pPr>
            <w:r>
              <w:rPr>
                <w:rFonts w:ascii="Arial" w:cs="Arial" w:eastAsia="Arial" w:hAnsi="Arial"/>
                <w:sz w:val="16"/>
                <w:szCs w:val="16"/>
                <w:color w:val="auto"/>
              </w:rPr>
              <w:t>​​​</w:t>
            </w:r>
          </w:p>
        </w:tc>
        <w:tc>
          <w:tcPr>
            <w:tcW w:w="440" w:type="dxa"/>
            <w:vAlign w:val="bottom"/>
          </w:tcPr>
          <w:p>
            <w:pPr>
              <w:ind w:left="16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 xml:space="preserve"> ​</w:t>
            </w:r>
          </w:p>
        </w:tc>
        <w:tc>
          <w:tcPr>
            <w:tcW w:w="460" w:type="dxa"/>
            <w:vAlign w:val="bottom"/>
            <w:gridSpan w:val="2"/>
          </w:tcPr>
          <w:p>
            <w:pPr>
              <w:jc w:val="right"/>
              <w:ind w:right="14"/>
              <w:spacing w:after="0" w:line="276"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w:t>
            </w:r>
          </w:p>
        </w:tc>
        <w:tc>
          <w:tcPr>
            <w:tcW w:w="820" w:type="dxa"/>
            <w:vAlign w:val="bottom"/>
            <w:gridSpan w:val="5"/>
          </w:tcPr>
          <w:p>
            <w:pPr>
              <w:jc w:val="right"/>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$292,500</w:t>
            </w:r>
            <w:r>
              <w:rPr>
                <w:rFonts w:ascii="Arial" w:cs="Arial" w:eastAsia="Arial" w:hAnsi="Arial"/>
                <w:sz w:val="32"/>
                <w:szCs w:val="32"/>
                <w:color w:val="auto"/>
                <w:vertAlign w:val="subscript"/>
              </w:rPr>
              <w:t>​</w:t>
            </w:r>
          </w:p>
        </w:tc>
        <w:tc>
          <w:tcPr>
            <w:tcW w:w="0" w:type="dxa"/>
            <w:vAlign w:val="bottom"/>
          </w:tcPr>
          <w:p>
            <w:pPr>
              <w:spacing w:after="0"/>
              <w:rPr>
                <w:sz w:val="1"/>
                <w:szCs w:val="1"/>
                <w:color w:val="auto"/>
              </w:rPr>
            </w:pPr>
          </w:p>
        </w:tc>
      </w:tr>
      <w:tr>
        <w:trPr>
          <w:trHeight w:val="20"/>
        </w:trPr>
        <w:tc>
          <w:tcPr>
            <w:tcW w:w="4000" w:type="dxa"/>
            <w:vAlign w:val="bottom"/>
            <w:shd w:val="clear" w:color="auto" w:fill="4B5088"/>
          </w:tcPr>
          <w:p>
            <w:pPr>
              <w:spacing w:after="0" w:line="20" w:lineRule="exact"/>
              <w:rPr>
                <w:sz w:val="1"/>
                <w:szCs w:val="1"/>
                <w:color w:val="auto"/>
              </w:rPr>
            </w:pPr>
          </w:p>
        </w:tc>
        <w:tc>
          <w:tcPr>
            <w:tcW w:w="180" w:type="dxa"/>
            <w:vAlign w:val="bottom"/>
            <w:tcBorders>
              <w:right w:val="single" w:sz="8" w:color="4B5088"/>
            </w:tcBorders>
          </w:tcPr>
          <w:p>
            <w:pPr>
              <w:spacing w:after="0" w:line="20" w:lineRule="exact"/>
              <w:rPr>
                <w:sz w:val="1"/>
                <w:szCs w:val="1"/>
                <w:color w:val="auto"/>
              </w:rPr>
            </w:pPr>
          </w:p>
        </w:tc>
        <w:tc>
          <w:tcPr>
            <w:tcW w:w="400" w:type="dxa"/>
            <w:vAlign w:val="bottom"/>
            <w:shd w:val="clear" w:color="auto" w:fill="4B5088"/>
          </w:tcPr>
          <w:p>
            <w:pPr>
              <w:spacing w:after="0" w:line="20" w:lineRule="exact"/>
              <w:rPr>
                <w:sz w:val="1"/>
                <w:szCs w:val="1"/>
                <w:color w:val="auto"/>
              </w:rPr>
            </w:pPr>
          </w:p>
        </w:tc>
        <w:tc>
          <w:tcPr>
            <w:tcW w:w="56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4B5088"/>
          </w:tcPr>
          <w:p>
            <w:pPr>
              <w:spacing w:after="0" w:line="20" w:lineRule="exact"/>
              <w:rPr>
                <w:sz w:val="1"/>
                <w:szCs w:val="1"/>
                <w:color w:val="auto"/>
              </w:rPr>
            </w:pPr>
          </w:p>
        </w:tc>
        <w:tc>
          <w:tcPr>
            <w:tcW w:w="840" w:type="dxa"/>
            <w:vAlign w:val="bottom"/>
            <w:shd w:val="clear" w:color="auto" w:fill="4B5088"/>
          </w:tcPr>
          <w:p>
            <w:pPr>
              <w:spacing w:after="0" w:line="20" w:lineRule="exact"/>
              <w:rPr>
                <w:sz w:val="1"/>
                <w:szCs w:val="1"/>
                <w:color w:val="auto"/>
              </w:rPr>
            </w:pPr>
          </w:p>
        </w:tc>
        <w:tc>
          <w:tcPr>
            <w:tcW w:w="160" w:type="dxa"/>
            <w:vAlign w:val="bottom"/>
            <w:tcBorders>
              <w:right w:val="single" w:sz="8" w:color="4B5088"/>
            </w:tcBorders>
          </w:tcPr>
          <w:p>
            <w:pPr>
              <w:spacing w:after="0" w:line="20" w:lineRule="exact"/>
              <w:rPr>
                <w:sz w:val="1"/>
                <w:szCs w:val="1"/>
                <w:color w:val="auto"/>
              </w:rPr>
            </w:pPr>
          </w:p>
        </w:tc>
        <w:tc>
          <w:tcPr>
            <w:tcW w:w="6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4B5088"/>
          </w:tcPr>
          <w:p>
            <w:pPr>
              <w:spacing w:after="0" w:line="20" w:lineRule="exact"/>
              <w:rPr>
                <w:sz w:val="1"/>
                <w:szCs w:val="1"/>
                <w:color w:val="auto"/>
              </w:rPr>
            </w:pPr>
          </w:p>
        </w:tc>
        <w:tc>
          <w:tcPr>
            <w:tcW w:w="440" w:type="dxa"/>
            <w:vAlign w:val="bottom"/>
            <w:shd w:val="clear" w:color="auto" w:fill="4B5088"/>
          </w:tcPr>
          <w:p>
            <w:pPr>
              <w:spacing w:after="0" w:line="20" w:lineRule="exact"/>
              <w:rPr>
                <w:sz w:val="1"/>
                <w:szCs w:val="1"/>
                <w:color w:val="auto"/>
              </w:rPr>
            </w:pPr>
          </w:p>
        </w:tc>
        <w:tc>
          <w:tcPr>
            <w:tcW w:w="300" w:type="dxa"/>
            <w:vAlign w:val="bottom"/>
            <w:shd w:val="clear" w:color="auto" w:fill="4B50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3"/>
            <w:shd w:val="clear" w:color="auto" w:fill="4B508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000" w:type="dxa"/>
            <w:vAlign w:val="bottom"/>
          </w:tcPr>
          <w:p>
            <w:pPr>
              <w:spacing w:after="0"/>
              <w:rPr>
                <w:sz w:val="20"/>
                <w:szCs w:val="20"/>
                <w:color w:val="auto"/>
              </w:rPr>
            </w:pPr>
            <w:r>
              <w:rPr>
                <w:rFonts w:ascii="Arial" w:cs="Arial" w:eastAsia="Arial" w:hAnsi="Arial"/>
                <w:sz w:val="16"/>
                <w:szCs w:val="16"/>
                <w:b w:val="1"/>
                <w:bCs w:val="1"/>
                <w:color w:val="1F2668"/>
              </w:rPr>
              <w:t>Craig M. Hatkoff</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4"/>
              <w:spacing w:after="0" w:line="276"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860" w:type="dxa"/>
            <w:vAlign w:val="bottom"/>
            <w:gridSpan w:val="3"/>
          </w:tcPr>
          <w:p>
            <w:pPr>
              <w:jc w:val="right"/>
              <w:ind w:right="180"/>
              <w:spacing w:after="0" w:line="276" w:lineRule="exact"/>
              <w:rPr>
                <w:sz w:val="20"/>
                <w:szCs w:val="20"/>
                <w:color w:val="auto"/>
              </w:rPr>
            </w:pPr>
            <w:r>
              <w:rPr>
                <w:rFonts w:ascii="Arial" w:cs="Arial" w:eastAsia="Arial" w:hAnsi="Arial"/>
                <w:sz w:val="16"/>
                <w:szCs w:val="16"/>
                <w:color w:val="auto"/>
              </w:rPr>
              <w:t>82,000</w:t>
            </w:r>
            <w:r>
              <w:rPr>
                <w:rFonts w:ascii="Arial" w:cs="Arial" w:eastAsia="Arial" w:hAnsi="Arial"/>
                <w:sz w:val="32"/>
                <w:szCs w:val="32"/>
                <w:color w:val="auto"/>
                <w:vertAlign w:val="subscript"/>
              </w:rPr>
              <w:t>​​​</w:t>
            </w:r>
          </w:p>
        </w:tc>
        <w:tc>
          <w:tcPr>
            <w:tcW w:w="1000" w:type="dxa"/>
            <w:vAlign w:val="bottom"/>
            <w:gridSpan w:val="2"/>
          </w:tcPr>
          <w:p>
            <w:pPr>
              <w:jc w:val="right"/>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$235,000</w:t>
            </w:r>
            <w:r>
              <w:rPr>
                <w:rFonts w:ascii="Arial" w:cs="Arial" w:eastAsia="Arial" w:hAnsi="Arial"/>
                <w:sz w:val="32"/>
                <w:szCs w:val="32"/>
                <w:color w:val="auto"/>
                <w:vertAlign w:val="subscript"/>
              </w:rPr>
              <w:t>​​​</w:t>
            </w:r>
          </w:p>
        </w:tc>
        <w:tc>
          <w:tcPr>
            <w:tcW w:w="640" w:type="dxa"/>
            <w:vAlign w:val="bottom"/>
          </w:tcPr>
          <w:p>
            <w:pPr>
              <w:ind w:left="480"/>
              <w:spacing w:after="0" w:line="276" w:lineRule="exact"/>
              <w:rPr>
                <w:sz w:val="20"/>
                <w:szCs w:val="20"/>
                <w:color w:val="auto"/>
              </w:rPr>
            </w:pPr>
            <w:r>
              <w:rPr>
                <w:rFonts w:ascii="Arial" w:cs="Arial" w:eastAsia="Arial" w:hAnsi="Arial"/>
                <w:sz w:val="32"/>
                <w:szCs w:val="32"/>
                <w:color w:val="auto"/>
                <w:w w:val="87"/>
                <w:vertAlign w:val="subscript"/>
              </w:rPr>
              <w:t>​</w:t>
            </w:r>
            <w:r>
              <w:rPr>
                <w:rFonts w:ascii="Arial" w:cs="Arial" w:eastAsia="Arial" w:hAnsi="Arial"/>
                <w:sz w:val="16"/>
                <w:szCs w:val="16"/>
                <w:color w:val="auto"/>
                <w:w w:val="87"/>
              </w:rPr>
              <w:t>—​</w:t>
            </w:r>
          </w:p>
        </w:tc>
        <w:tc>
          <w:tcPr>
            <w:tcW w:w="320" w:type="dxa"/>
            <w:vAlign w:val="bottom"/>
            <w:gridSpan w:val="2"/>
          </w:tcPr>
          <w:p>
            <w:pPr>
              <w:jc w:val="right"/>
              <w:ind w:right="128"/>
              <w:spacing w:after="0"/>
              <w:rPr>
                <w:sz w:val="20"/>
                <w:szCs w:val="20"/>
                <w:color w:val="auto"/>
              </w:rPr>
            </w:pPr>
            <w:r>
              <w:rPr>
                <w:rFonts w:ascii="Arial" w:cs="Arial" w:eastAsia="Arial" w:hAnsi="Arial"/>
                <w:sz w:val="16"/>
                <w:szCs w:val="16"/>
                <w:color w:val="auto"/>
              </w:rPr>
              <w:t>​​​</w:t>
            </w:r>
          </w:p>
        </w:tc>
        <w:tc>
          <w:tcPr>
            <w:tcW w:w="440" w:type="dxa"/>
            <w:vAlign w:val="bottom"/>
          </w:tcPr>
          <w:p>
            <w:pPr>
              <w:ind w:left="160"/>
              <w:spacing w:after="0" w:line="276" w:lineRule="exact"/>
              <w:rPr>
                <w:sz w:val="20"/>
                <w:szCs w:val="20"/>
                <w:color w:val="auto"/>
              </w:rPr>
            </w:pPr>
            <w:r>
              <w:rPr>
                <w:rFonts w:ascii="Arial" w:cs="Arial" w:eastAsia="Arial" w:hAnsi="Arial"/>
                <w:sz w:val="16"/>
                <w:szCs w:val="16"/>
                <w:color w:val="auto"/>
              </w:rPr>
              <w:t xml:space="preserve">​ </w:t>
            </w:r>
            <w:r>
              <w:rPr>
                <w:rFonts w:ascii="Arial" w:cs="Arial" w:eastAsia="Arial" w:hAnsi="Arial"/>
                <w:sz w:val="32"/>
                <w:szCs w:val="32"/>
                <w:color w:val="auto"/>
                <w:vertAlign w:val="superscript"/>
              </w:rPr>
              <w:t>​</w:t>
            </w:r>
          </w:p>
        </w:tc>
        <w:tc>
          <w:tcPr>
            <w:tcW w:w="460" w:type="dxa"/>
            <w:vAlign w:val="bottom"/>
            <w:gridSpan w:val="2"/>
          </w:tcPr>
          <w:p>
            <w:pPr>
              <w:jc w:val="right"/>
              <w:ind w:right="14"/>
              <w:spacing w:after="0" w:line="276"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w:t>
            </w:r>
          </w:p>
        </w:tc>
        <w:tc>
          <w:tcPr>
            <w:tcW w:w="820" w:type="dxa"/>
            <w:vAlign w:val="bottom"/>
            <w:gridSpan w:val="5"/>
          </w:tcPr>
          <w:p>
            <w:pPr>
              <w:jc w:val="right"/>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$317,000</w:t>
            </w:r>
            <w:r>
              <w:rPr>
                <w:rFonts w:ascii="Arial" w:cs="Arial" w:eastAsia="Arial" w:hAnsi="Arial"/>
                <w:sz w:val="32"/>
                <w:szCs w:val="32"/>
                <w:color w:val="auto"/>
                <w:vertAlign w:val="subscript"/>
              </w:rPr>
              <w:t>​</w:t>
            </w:r>
          </w:p>
        </w:tc>
        <w:tc>
          <w:tcPr>
            <w:tcW w:w="0" w:type="dxa"/>
            <w:vAlign w:val="bottom"/>
          </w:tcPr>
          <w:p>
            <w:pPr>
              <w:spacing w:after="0"/>
              <w:rPr>
                <w:sz w:val="1"/>
                <w:szCs w:val="1"/>
                <w:color w:val="auto"/>
              </w:rPr>
            </w:pPr>
          </w:p>
        </w:tc>
      </w:tr>
      <w:tr>
        <w:trPr>
          <w:trHeight w:val="20"/>
        </w:trPr>
        <w:tc>
          <w:tcPr>
            <w:tcW w:w="4000" w:type="dxa"/>
            <w:vAlign w:val="bottom"/>
            <w:shd w:val="clear" w:color="auto" w:fill="4B5088"/>
          </w:tcPr>
          <w:p>
            <w:pPr>
              <w:spacing w:after="0" w:line="20" w:lineRule="exact"/>
              <w:rPr>
                <w:sz w:val="1"/>
                <w:szCs w:val="1"/>
                <w:color w:val="auto"/>
              </w:rPr>
            </w:pPr>
          </w:p>
        </w:tc>
        <w:tc>
          <w:tcPr>
            <w:tcW w:w="180" w:type="dxa"/>
            <w:vAlign w:val="bottom"/>
            <w:tcBorders>
              <w:right w:val="single" w:sz="8" w:color="4B5088"/>
            </w:tcBorders>
          </w:tcPr>
          <w:p>
            <w:pPr>
              <w:spacing w:after="0" w:line="20" w:lineRule="exact"/>
              <w:rPr>
                <w:sz w:val="1"/>
                <w:szCs w:val="1"/>
                <w:color w:val="auto"/>
              </w:rPr>
            </w:pPr>
          </w:p>
        </w:tc>
        <w:tc>
          <w:tcPr>
            <w:tcW w:w="400" w:type="dxa"/>
            <w:vAlign w:val="bottom"/>
            <w:shd w:val="clear" w:color="auto" w:fill="4B5088"/>
          </w:tcPr>
          <w:p>
            <w:pPr>
              <w:spacing w:after="0" w:line="20" w:lineRule="exact"/>
              <w:rPr>
                <w:sz w:val="1"/>
                <w:szCs w:val="1"/>
                <w:color w:val="auto"/>
              </w:rPr>
            </w:pPr>
          </w:p>
        </w:tc>
        <w:tc>
          <w:tcPr>
            <w:tcW w:w="56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4B5088"/>
          </w:tcPr>
          <w:p>
            <w:pPr>
              <w:spacing w:after="0" w:line="20" w:lineRule="exact"/>
              <w:rPr>
                <w:sz w:val="1"/>
                <w:szCs w:val="1"/>
                <w:color w:val="auto"/>
              </w:rPr>
            </w:pPr>
          </w:p>
        </w:tc>
        <w:tc>
          <w:tcPr>
            <w:tcW w:w="840" w:type="dxa"/>
            <w:vAlign w:val="bottom"/>
            <w:shd w:val="clear" w:color="auto" w:fill="4B5088"/>
          </w:tcPr>
          <w:p>
            <w:pPr>
              <w:spacing w:after="0" w:line="20" w:lineRule="exact"/>
              <w:rPr>
                <w:sz w:val="1"/>
                <w:szCs w:val="1"/>
                <w:color w:val="auto"/>
              </w:rPr>
            </w:pPr>
          </w:p>
        </w:tc>
        <w:tc>
          <w:tcPr>
            <w:tcW w:w="160" w:type="dxa"/>
            <w:vAlign w:val="bottom"/>
            <w:tcBorders>
              <w:right w:val="single" w:sz="8" w:color="4B5088"/>
            </w:tcBorders>
          </w:tcPr>
          <w:p>
            <w:pPr>
              <w:spacing w:after="0" w:line="20" w:lineRule="exact"/>
              <w:rPr>
                <w:sz w:val="1"/>
                <w:szCs w:val="1"/>
                <w:color w:val="auto"/>
              </w:rPr>
            </w:pPr>
          </w:p>
        </w:tc>
        <w:tc>
          <w:tcPr>
            <w:tcW w:w="6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4B5088"/>
          </w:tcPr>
          <w:p>
            <w:pPr>
              <w:spacing w:after="0" w:line="20" w:lineRule="exact"/>
              <w:rPr>
                <w:sz w:val="1"/>
                <w:szCs w:val="1"/>
                <w:color w:val="auto"/>
              </w:rPr>
            </w:pPr>
          </w:p>
        </w:tc>
        <w:tc>
          <w:tcPr>
            <w:tcW w:w="740" w:type="dxa"/>
            <w:vAlign w:val="bottom"/>
            <w:gridSpan w:val="2"/>
            <w:shd w:val="clear" w:color="auto" w:fill="4B50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3"/>
            <w:shd w:val="clear" w:color="auto" w:fill="4B508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tcPr>
          <w:p>
            <w:pPr>
              <w:spacing w:after="0"/>
              <w:rPr>
                <w:sz w:val="20"/>
                <w:szCs w:val="20"/>
                <w:color w:val="auto"/>
              </w:rPr>
            </w:pPr>
            <w:r>
              <w:rPr>
                <w:rFonts w:ascii="Arial" w:cs="Arial" w:eastAsia="Arial" w:hAnsi="Arial"/>
                <w:sz w:val="16"/>
                <w:szCs w:val="16"/>
                <w:b w:val="1"/>
                <w:bCs w:val="1"/>
                <w:color w:val="1F2668"/>
              </w:rPr>
              <w:t>Andrew Mathias</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57,500</w:t>
            </w:r>
          </w:p>
        </w:tc>
        <w:tc>
          <w:tcPr>
            <w:tcW w:w="3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ind w:left="140"/>
              <w:spacing w:after="0"/>
              <w:rPr>
                <w:sz w:val="20"/>
                <w:szCs w:val="20"/>
                <w:color w:val="auto"/>
              </w:rPr>
            </w:pPr>
            <w:r>
              <w:rPr>
                <w:rFonts w:ascii="Arial" w:cs="Arial" w:eastAsia="Arial" w:hAnsi="Arial"/>
                <w:sz w:val="16"/>
                <w:szCs w:val="16"/>
                <w:color w:val="auto"/>
              </w:rPr>
              <w:t>$235,000</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ind w:left="480"/>
              <w:spacing w:after="0"/>
              <w:rPr>
                <w:sz w:val="20"/>
                <w:szCs w:val="20"/>
                <w:color w:val="auto"/>
              </w:rPr>
            </w:pPr>
            <w:r>
              <w:rPr>
                <w:rFonts w:ascii="Arial" w:cs="Arial" w:eastAsia="Arial" w:hAnsi="Arial"/>
                <w:sz w:val="16"/>
                <w:szCs w:val="16"/>
                <w:color w:val="auto"/>
                <w:w w:val="87"/>
              </w:rPr>
              <w:t>—​</w:t>
            </w:r>
          </w:p>
        </w:tc>
        <w:tc>
          <w:tcPr>
            <w:tcW w:w="320" w:type="dxa"/>
            <w:vAlign w:val="bottom"/>
            <w:gridSpan w:val="2"/>
            <w:vMerge w:val="restart"/>
          </w:tcPr>
          <w:p>
            <w:pPr>
              <w:jc w:val="right"/>
              <w:ind w:right="128"/>
              <w:spacing w:after="0"/>
              <w:rPr>
                <w:sz w:val="20"/>
                <w:szCs w:val="20"/>
                <w:color w:val="auto"/>
              </w:rPr>
            </w:pPr>
            <w:r>
              <w:rPr>
                <w:rFonts w:ascii="Arial" w:cs="Arial" w:eastAsia="Arial" w:hAnsi="Arial"/>
                <w:sz w:val="16"/>
                <w:szCs w:val="16"/>
                <w:color w:val="auto"/>
              </w:rPr>
              <w:t>​​​</w:t>
            </w:r>
          </w:p>
        </w:tc>
        <w:tc>
          <w:tcPr>
            <w:tcW w:w="900" w:type="dxa"/>
            <w:vAlign w:val="bottom"/>
            <w:gridSpan w:val="3"/>
          </w:tcPr>
          <w:p>
            <w:pPr>
              <w:ind w:left="160"/>
              <w:spacing w:after="0" w:line="196" w:lineRule="exact"/>
              <w:rPr>
                <w:sz w:val="20"/>
                <w:szCs w:val="20"/>
                <w:color w:val="auto"/>
              </w:rPr>
            </w:pPr>
            <w:r>
              <w:rPr>
                <w:rFonts w:ascii="Arial" w:cs="Arial" w:eastAsia="Arial" w:hAnsi="Arial"/>
                <w:sz w:val="16"/>
                <w:szCs w:val="16"/>
                <w:color w:val="auto"/>
                <w:w w:val="98"/>
              </w:rPr>
              <w:t>$99,996</w:t>
            </w:r>
            <w:r>
              <w:rPr>
                <w:rFonts w:ascii="Arial" w:cs="Arial" w:eastAsia="Arial" w:hAnsi="Arial"/>
                <w:sz w:val="19"/>
                <w:szCs w:val="19"/>
                <w:color w:val="auto"/>
                <w:w w:val="98"/>
                <w:vertAlign w:val="superscript"/>
              </w:rPr>
              <w:t>(5)</w:t>
            </w:r>
          </w:p>
        </w:tc>
        <w:tc>
          <w:tcPr>
            <w:tcW w:w="780" w:type="dxa"/>
            <w:vAlign w:val="bottom"/>
            <w:gridSpan w:val="4"/>
          </w:tcPr>
          <w:p>
            <w:pPr>
              <w:jc w:val="right"/>
              <w:ind w:right="20"/>
              <w:spacing w:after="0"/>
              <w:rPr>
                <w:sz w:val="20"/>
                <w:szCs w:val="20"/>
                <w:color w:val="auto"/>
              </w:rPr>
            </w:pPr>
            <w:r>
              <w:rPr>
                <w:rFonts w:ascii="Arial" w:cs="Arial" w:eastAsia="Arial" w:hAnsi="Arial"/>
                <w:sz w:val="16"/>
                <w:szCs w:val="16"/>
                <w:color w:val="auto"/>
              </w:rPr>
              <w:t>$392,496</w:t>
            </w:r>
          </w:p>
        </w:tc>
        <w:tc>
          <w:tcPr>
            <w:tcW w:w="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400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00" w:type="dxa"/>
            <w:vAlign w:val="bottom"/>
          </w:tcPr>
          <w:p>
            <w:pPr>
              <w:jc w:val="right"/>
              <w:ind w:right="44"/>
              <w:spacing w:after="0" w:line="81" w:lineRule="exact"/>
              <w:rPr>
                <w:sz w:val="20"/>
                <w:szCs w:val="20"/>
                <w:color w:val="auto"/>
              </w:rPr>
            </w:pPr>
            <w:r>
              <w:rPr>
                <w:rFonts w:ascii="Arial" w:cs="Arial" w:eastAsia="Arial" w:hAnsi="Arial"/>
                <w:sz w:val="9"/>
                <w:szCs w:val="9"/>
                <w:color w:val="auto"/>
              </w:rPr>
              <w:t>​</w:t>
            </w:r>
          </w:p>
        </w:tc>
        <w:tc>
          <w:tcPr>
            <w:tcW w:w="560" w:type="dxa"/>
            <w:vAlign w:val="bottom"/>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840" w:type="dxa"/>
            <w:vAlign w:val="bottom"/>
          </w:tcPr>
          <w:p>
            <w:pPr>
              <w:ind w:left="140"/>
              <w:spacing w:after="0" w:line="81" w:lineRule="exact"/>
              <w:rPr>
                <w:sz w:val="20"/>
                <w:szCs w:val="20"/>
                <w:color w:val="auto"/>
              </w:rPr>
            </w:pPr>
            <w:r>
              <w:rPr>
                <w:rFonts w:ascii="Arial" w:cs="Arial" w:eastAsia="Arial" w:hAnsi="Arial"/>
                <w:sz w:val="9"/>
                <w:szCs w:val="9"/>
                <w:color w:val="auto"/>
              </w:rPr>
              <w:t>​</w:t>
            </w:r>
          </w:p>
        </w:tc>
        <w:tc>
          <w:tcPr>
            <w:tcW w:w="160" w:type="dxa"/>
            <w:vAlign w:val="bottom"/>
            <w:vMerge w:val="continue"/>
          </w:tcPr>
          <w:p>
            <w:pPr>
              <w:spacing w:after="0"/>
              <w:rPr>
                <w:sz w:val="7"/>
                <w:szCs w:val="7"/>
                <w:color w:val="auto"/>
              </w:rPr>
            </w:pPr>
          </w:p>
        </w:tc>
        <w:tc>
          <w:tcPr>
            <w:tcW w:w="640" w:type="dxa"/>
            <w:vAlign w:val="bottom"/>
          </w:tcPr>
          <w:p>
            <w:pPr>
              <w:ind w:left="480"/>
              <w:spacing w:after="0" w:line="81" w:lineRule="exact"/>
              <w:rPr>
                <w:sz w:val="20"/>
                <w:szCs w:val="20"/>
                <w:color w:val="auto"/>
              </w:rPr>
            </w:pPr>
            <w:r>
              <w:rPr>
                <w:rFonts w:ascii="Arial" w:cs="Arial" w:eastAsia="Arial" w:hAnsi="Arial"/>
                <w:sz w:val="9"/>
                <w:szCs w:val="9"/>
                <w:color w:val="auto"/>
              </w:rPr>
              <w:t>​</w:t>
            </w:r>
          </w:p>
        </w:tc>
        <w:tc>
          <w:tcPr>
            <w:tcW w:w="320" w:type="dxa"/>
            <w:vAlign w:val="bottom"/>
            <w:gridSpan w:val="2"/>
            <w:vMerge w:val="continue"/>
          </w:tcPr>
          <w:p>
            <w:pPr>
              <w:spacing w:after="0"/>
              <w:rPr>
                <w:sz w:val="7"/>
                <w:szCs w:val="7"/>
                <w:color w:val="auto"/>
              </w:rPr>
            </w:pPr>
          </w:p>
        </w:tc>
        <w:tc>
          <w:tcPr>
            <w:tcW w:w="440" w:type="dxa"/>
            <w:vAlign w:val="bottom"/>
          </w:tcPr>
          <w:p>
            <w:pPr>
              <w:ind w:left="160"/>
              <w:spacing w:after="0" w:line="81" w:lineRule="exact"/>
              <w:rPr>
                <w:sz w:val="20"/>
                <w:szCs w:val="20"/>
                <w:color w:val="auto"/>
              </w:rPr>
            </w:pPr>
            <w:r>
              <w:rPr>
                <w:rFonts w:ascii="Arial" w:cs="Arial" w:eastAsia="Arial" w:hAnsi="Arial"/>
                <w:sz w:val="9"/>
                <w:szCs w:val="9"/>
                <w:color w:val="auto"/>
              </w:rPr>
              <w:t>​</w:t>
            </w:r>
          </w:p>
        </w:tc>
        <w:tc>
          <w:tcPr>
            <w:tcW w:w="300" w:type="dxa"/>
            <w:vAlign w:val="bottom"/>
          </w:tcPr>
          <w:p>
            <w:pPr>
              <w:spacing w:after="0"/>
              <w:rPr>
                <w:sz w:val="7"/>
                <w:szCs w:val="7"/>
                <w:color w:val="auto"/>
              </w:rPr>
            </w:pPr>
          </w:p>
        </w:tc>
        <w:tc>
          <w:tcPr>
            <w:tcW w:w="160" w:type="dxa"/>
            <w:vAlign w:val="bottom"/>
          </w:tcPr>
          <w:p>
            <w:pPr>
              <w:jc w:val="right"/>
              <w:ind w:right="14"/>
              <w:spacing w:after="0" w:line="81" w:lineRule="exact"/>
              <w:rPr>
                <w:sz w:val="20"/>
                <w:szCs w:val="20"/>
                <w:color w:val="auto"/>
              </w:rPr>
            </w:pPr>
            <w:r>
              <w:rPr>
                <w:rFonts w:ascii="Arial" w:cs="Arial" w:eastAsia="Arial" w:hAnsi="Arial"/>
                <w:sz w:val="9"/>
                <w:szCs w:val="9"/>
                <w:color w:val="auto"/>
              </w:rPr>
              <w:t>​​</w:t>
            </w:r>
          </w:p>
        </w:tc>
        <w:tc>
          <w:tcPr>
            <w:tcW w:w="280" w:type="dxa"/>
            <w:vAlign w:val="bottom"/>
            <w:gridSpan w:val="2"/>
          </w:tcPr>
          <w:p>
            <w:pPr>
              <w:jc w:val="right"/>
              <w:ind w:right="88"/>
              <w:spacing w:after="0" w:line="81" w:lineRule="exact"/>
              <w:rPr>
                <w:sz w:val="20"/>
                <w:szCs w:val="20"/>
                <w:color w:val="auto"/>
              </w:rPr>
            </w:pPr>
            <w:r>
              <w:rPr>
                <w:rFonts w:ascii="Arial" w:cs="Arial" w:eastAsia="Arial" w:hAnsi="Arial"/>
                <w:sz w:val="9"/>
                <w:szCs w:val="9"/>
                <w:color w:val="auto"/>
              </w:rPr>
              <w:t>​​</w:t>
            </w: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00" w:type="dxa"/>
            <w:vAlign w:val="bottom"/>
            <w:shd w:val="clear" w:color="auto" w:fill="1F2668"/>
          </w:tcPr>
          <w:p>
            <w:pPr>
              <w:spacing w:after="0" w:line="20" w:lineRule="exact"/>
              <w:rPr>
                <w:sz w:val="1"/>
                <w:szCs w:val="1"/>
                <w:color w:val="auto"/>
              </w:rPr>
            </w:pPr>
          </w:p>
        </w:tc>
        <w:tc>
          <w:tcPr>
            <w:tcW w:w="180" w:type="dxa"/>
            <w:vAlign w:val="bottom"/>
            <w:tcBorders>
              <w:right w:val="single" w:sz="8" w:color="1F2668"/>
            </w:tcBorders>
          </w:tcPr>
          <w:p>
            <w:pPr>
              <w:spacing w:after="0" w:line="20" w:lineRule="exact"/>
              <w:rPr>
                <w:sz w:val="1"/>
                <w:szCs w:val="1"/>
                <w:color w:val="auto"/>
              </w:rPr>
            </w:pPr>
          </w:p>
        </w:tc>
        <w:tc>
          <w:tcPr>
            <w:tcW w:w="400" w:type="dxa"/>
            <w:vAlign w:val="bottom"/>
            <w:shd w:val="clear" w:color="auto" w:fill="1F2668"/>
          </w:tcPr>
          <w:p>
            <w:pPr>
              <w:spacing w:after="0" w:line="20" w:lineRule="exact"/>
              <w:rPr>
                <w:sz w:val="1"/>
                <w:szCs w:val="1"/>
                <w:color w:val="auto"/>
              </w:rPr>
            </w:pPr>
          </w:p>
        </w:tc>
        <w:tc>
          <w:tcPr>
            <w:tcW w:w="56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1F2668"/>
          </w:tcPr>
          <w:p>
            <w:pPr>
              <w:spacing w:after="0" w:line="20" w:lineRule="exact"/>
              <w:rPr>
                <w:sz w:val="1"/>
                <w:szCs w:val="1"/>
                <w:color w:val="auto"/>
              </w:rPr>
            </w:pPr>
          </w:p>
        </w:tc>
        <w:tc>
          <w:tcPr>
            <w:tcW w:w="840" w:type="dxa"/>
            <w:vAlign w:val="bottom"/>
            <w:shd w:val="clear" w:color="auto" w:fill="1F2668"/>
          </w:tcPr>
          <w:p>
            <w:pPr>
              <w:spacing w:after="0" w:line="20" w:lineRule="exact"/>
              <w:rPr>
                <w:sz w:val="1"/>
                <w:szCs w:val="1"/>
                <w:color w:val="auto"/>
              </w:rPr>
            </w:pPr>
          </w:p>
        </w:tc>
        <w:tc>
          <w:tcPr>
            <w:tcW w:w="160" w:type="dxa"/>
            <w:vAlign w:val="bottom"/>
            <w:tcBorders>
              <w:right w:val="single" w:sz="8" w:color="1F2668"/>
            </w:tcBorders>
          </w:tcPr>
          <w:p>
            <w:pPr>
              <w:spacing w:after="0" w:line="20" w:lineRule="exact"/>
              <w:rPr>
                <w:sz w:val="1"/>
                <w:szCs w:val="1"/>
                <w:color w:val="auto"/>
              </w:rPr>
            </w:pPr>
          </w:p>
        </w:tc>
        <w:tc>
          <w:tcPr>
            <w:tcW w:w="64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1F2668"/>
          </w:tcPr>
          <w:p>
            <w:pPr>
              <w:spacing w:after="0" w:line="20" w:lineRule="exact"/>
              <w:rPr>
                <w:sz w:val="1"/>
                <w:szCs w:val="1"/>
                <w:color w:val="auto"/>
              </w:rPr>
            </w:pPr>
          </w:p>
        </w:tc>
        <w:tc>
          <w:tcPr>
            <w:tcW w:w="440" w:type="dxa"/>
            <w:vAlign w:val="bottom"/>
            <w:shd w:val="clear" w:color="auto" w:fill="1F2668"/>
          </w:tcPr>
          <w:p>
            <w:pPr>
              <w:spacing w:after="0" w:line="20" w:lineRule="exact"/>
              <w:rPr>
                <w:sz w:val="1"/>
                <w:szCs w:val="1"/>
                <w:color w:val="auto"/>
              </w:rPr>
            </w:pPr>
          </w:p>
        </w:tc>
        <w:tc>
          <w:tcPr>
            <w:tcW w:w="300" w:type="dxa"/>
            <w:vAlign w:val="bottom"/>
            <w:shd w:val="clear" w:color="auto" w:fill="1F266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1F2668"/>
          </w:tcPr>
          <w:p>
            <w:pPr>
              <w:spacing w:after="0" w:line="20" w:lineRule="exact"/>
              <w:rPr>
                <w:sz w:val="1"/>
                <w:szCs w:val="1"/>
                <w:color w:val="auto"/>
              </w:rPr>
            </w:pPr>
          </w:p>
        </w:tc>
        <w:tc>
          <w:tcPr>
            <w:tcW w:w="480" w:type="dxa"/>
            <w:vAlign w:val="bottom"/>
            <w:shd w:val="clear" w:color="auto" w:fill="1F266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180" w:right="360" w:hanging="364"/>
        <w:spacing w:after="0" w:line="322" w:lineRule="auto"/>
        <w:tabs>
          <w:tab w:leader="none" w:pos="11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Mr. Alschuler deferred $60,000 of his 2024 cash compensation pursuant to our Non-Employee Directors’ Deferral Program. Mr. Mathias deferred $57,500 of his 2024 cash compensation pursuant to our Non-Employee Directors’ Deferral Program.</w:t>
      </w:r>
    </w:p>
    <w:p>
      <w:pPr>
        <w:ind w:left="1180" w:right="260" w:hanging="364"/>
        <w:spacing w:after="0" w:line="322" w:lineRule="auto"/>
        <w:tabs>
          <w:tab w:leader="none" w:pos="11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Amounts shown reflect the full grant date fair value on the date of grant of shares of our common stock or phantom stock units granted to the directors in 2024, excluding shares of our common stock and phantom stock units credited in lieu of annual fees and meeting fees.</w:t>
      </w:r>
    </w:p>
    <w:p>
      <w:pPr>
        <w:ind w:left="1180" w:hanging="364"/>
        <w:spacing w:after="0"/>
        <w:tabs>
          <w:tab w:leader="none" w:pos="11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There were no stock options granted to members of the Board in 2024.</w:t>
      </w:r>
    </w:p>
    <w:p>
      <w:pPr>
        <w:spacing w:after="0" w:line="95" w:lineRule="exact"/>
        <w:rPr>
          <w:rFonts w:ascii="Arial" w:cs="Arial" w:eastAsia="Arial" w:hAnsi="Arial"/>
          <w:sz w:val="14"/>
          <w:szCs w:val="14"/>
          <w:color w:val="auto"/>
        </w:rPr>
      </w:pPr>
    </w:p>
    <w:p>
      <w:pPr>
        <w:ind w:left="1180" w:hanging="364"/>
        <w:spacing w:after="0"/>
        <w:tabs>
          <w:tab w:leader="none" w:pos="11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Ms. Atkins and Mr. Burton retired following the 2024 Annual Meeting.</w:t>
      </w:r>
    </w:p>
    <w:p>
      <w:pPr>
        <w:spacing w:after="0" w:line="95" w:lineRule="exact"/>
        <w:rPr>
          <w:rFonts w:ascii="Arial" w:cs="Arial" w:eastAsia="Arial" w:hAnsi="Arial"/>
          <w:sz w:val="14"/>
          <w:szCs w:val="14"/>
          <w:color w:val="auto"/>
        </w:rPr>
      </w:pPr>
    </w:p>
    <w:p>
      <w:pPr>
        <w:ind w:left="1180" w:right="380" w:hanging="364"/>
        <w:spacing w:after="0" w:line="282" w:lineRule="auto"/>
        <w:tabs>
          <w:tab w:leader="none" w:pos="11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the annual retainer fee, paid on a monthly basis, pursuant to the non-renewal and advisory agreement we entered into with Mr. Mathias in October 2023. Under the agreement, Mr. Mathias received a monthly advisory fee in 2024. Further information on the agreement can be found in the section entitled “Certain Relationships and Related Party Transactions—Non-Renewal and Advisory Agreement” on page 100.</w:t>
      </w:r>
    </w:p>
    <w:p>
      <w:pPr>
        <w:spacing w:after="0" w:line="153" w:lineRule="exact"/>
        <w:rPr>
          <w:sz w:val="20"/>
          <w:szCs w:val="20"/>
          <w:color w:val="auto"/>
        </w:rPr>
      </w:pPr>
    </w:p>
    <w:tbl>
      <w:tblPr>
        <w:tblLayout w:type="fixed"/>
        <w:tblInd w:w="820" w:type="dxa"/>
        <w:tblCellMar>
          <w:top w:w="0" w:type="dxa"/>
          <w:left w:w="0" w:type="dxa"/>
          <w:bottom w:w="0" w:type="dxa"/>
          <w:right w:w="0" w:type="dxa"/>
        </w:tblCellMar>
      </w:tblPr>
      <w:tr>
        <w:trPr>
          <w:trHeight w:val="368"/>
        </w:trPr>
        <w:tc>
          <w:tcPr>
            <w:tcW w:w="8700" w:type="dxa"/>
            <w:vAlign w:val="bottom"/>
            <w:shd w:val="clear" w:color="auto" w:fill="E9F9D8"/>
          </w:tcPr>
          <w:p>
            <w:pPr>
              <w:spacing w:after="0"/>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color w:val="auto"/>
              </w:rPr>
              <w:t xml:space="preserve">  Director compensation has been unchanged since 2019, when we </w:t>
            </w:r>
            <w:r>
              <w:rPr>
                <w:rFonts w:ascii="Arial" w:cs="Arial" w:eastAsia="Arial" w:hAnsi="Arial"/>
                <w:sz w:val="16"/>
                <w:szCs w:val="16"/>
                <w:b w:val="1"/>
                <w:bCs w:val="1"/>
                <w:color w:val="auto"/>
              </w:rPr>
              <w:t>reduced the value of the annual stock grant to</w:t>
            </w:r>
          </w:p>
        </w:tc>
        <w:tc>
          <w:tcPr>
            <w:tcW w:w="360" w:type="dxa"/>
            <w:vAlign w:val="bottom"/>
            <w:shd w:val="clear" w:color="auto" w:fill="E9F9D8"/>
          </w:tcPr>
          <w:p>
            <w:pPr>
              <w:ind w:left="200"/>
              <w:spacing w:after="0"/>
              <w:rPr>
                <w:sz w:val="20"/>
                <w:szCs w:val="20"/>
                <w:color w:val="auto"/>
              </w:rPr>
            </w:pPr>
            <w:r>
              <w:rPr>
                <w:rFonts w:ascii="Arial" w:cs="Arial" w:eastAsia="Arial" w:hAnsi="Arial"/>
                <w:sz w:val="16"/>
                <w:szCs w:val="16"/>
                <w:b w:val="1"/>
                <w:bCs w:val="1"/>
                <w:color w:val="auto"/>
              </w:rPr>
              <w:t>​</w:t>
            </w:r>
          </w:p>
        </w:tc>
      </w:tr>
      <w:tr>
        <w:trPr>
          <w:trHeight w:val="203"/>
        </w:trPr>
        <w:tc>
          <w:tcPr>
            <w:tcW w:w="8700" w:type="dxa"/>
            <w:vAlign w:val="bottom"/>
            <w:shd w:val="clear" w:color="auto" w:fill="E9F9D8"/>
          </w:tcPr>
          <w:p>
            <w:pPr>
              <w:ind w:left="160"/>
              <w:spacing w:after="0"/>
              <w:rPr>
                <w:sz w:val="20"/>
                <w:szCs w:val="20"/>
                <w:color w:val="auto"/>
              </w:rPr>
            </w:pPr>
            <w:r>
              <w:rPr>
                <w:rFonts w:ascii="Arial" w:cs="Arial" w:eastAsia="Arial" w:hAnsi="Arial"/>
                <w:sz w:val="16"/>
                <w:szCs w:val="16"/>
                <w:b w:val="1"/>
                <w:bCs w:val="1"/>
                <w:color w:val="auto"/>
              </w:rPr>
              <w:t xml:space="preserve">directors by $65,000, or 21.7%, from $300,000 to $235,000 </w:t>
            </w:r>
            <w:r>
              <w:rPr>
                <w:rFonts w:ascii="Arial" w:cs="Arial" w:eastAsia="Arial" w:hAnsi="Arial"/>
                <w:sz w:val="16"/>
                <w:szCs w:val="16"/>
                <w:color w:val="auto"/>
              </w:rPr>
              <w:t>and</w:t>
            </w:r>
            <w:r>
              <w:rPr>
                <w:rFonts w:ascii="Arial" w:cs="Arial" w:eastAsia="Arial" w:hAnsi="Arial"/>
                <w:sz w:val="16"/>
                <w:szCs w:val="16"/>
                <w:b w:val="1"/>
                <w:bCs w:val="1"/>
                <w:color w:val="auto"/>
              </w:rPr>
              <w:t xml:space="preserve"> reduced the cash retainer paid for serving as our</w:t>
            </w:r>
          </w:p>
        </w:tc>
        <w:tc>
          <w:tcPr>
            <w:tcW w:w="360" w:type="dxa"/>
            <w:vAlign w:val="bottom"/>
            <w:shd w:val="clear" w:color="auto" w:fill="E9F9D8"/>
          </w:tcPr>
          <w:p>
            <w:pPr>
              <w:spacing w:after="0"/>
              <w:rPr>
                <w:sz w:val="17"/>
                <w:szCs w:val="17"/>
                <w:color w:val="auto"/>
              </w:rPr>
            </w:pPr>
          </w:p>
        </w:tc>
      </w:tr>
      <w:tr>
        <w:trPr>
          <w:trHeight w:val="223"/>
        </w:trPr>
        <w:tc>
          <w:tcPr>
            <w:tcW w:w="8700" w:type="dxa"/>
            <w:vAlign w:val="bottom"/>
            <w:shd w:val="clear" w:color="auto" w:fill="E9F9D8"/>
          </w:tcPr>
          <w:p>
            <w:pPr>
              <w:ind w:left="160"/>
              <w:spacing w:after="0"/>
              <w:rPr>
                <w:sz w:val="20"/>
                <w:szCs w:val="20"/>
                <w:color w:val="auto"/>
              </w:rPr>
            </w:pPr>
            <w:r>
              <w:rPr>
                <w:rFonts w:ascii="Arial" w:cs="Arial" w:eastAsia="Arial" w:hAnsi="Arial"/>
                <w:sz w:val="16"/>
                <w:szCs w:val="16"/>
                <w:b w:val="1"/>
                <w:bCs w:val="1"/>
                <w:color w:val="auto"/>
              </w:rPr>
              <w:t>Lead Independent Director by $15,000, or 17.6%, from $85,000 to $70,000</w:t>
            </w:r>
            <w:r>
              <w:rPr>
                <w:rFonts w:ascii="Arial" w:cs="Arial" w:eastAsia="Arial" w:hAnsi="Arial"/>
                <w:sz w:val="16"/>
                <w:szCs w:val="16"/>
                <w:color w:val="auto"/>
              </w:rPr>
              <w:t>.</w:t>
            </w:r>
          </w:p>
        </w:tc>
        <w:tc>
          <w:tcPr>
            <w:tcW w:w="360" w:type="dxa"/>
            <w:vAlign w:val="bottom"/>
            <w:shd w:val="clear" w:color="auto" w:fill="E9F9D8"/>
          </w:tcPr>
          <w:p>
            <w:pPr>
              <w:spacing w:after="0"/>
              <w:rPr>
                <w:sz w:val="19"/>
                <w:szCs w:val="19"/>
                <w:color w:val="auto"/>
              </w:rPr>
            </w:pPr>
          </w:p>
        </w:tc>
      </w:tr>
      <w:tr>
        <w:trPr>
          <w:trHeight w:val="102"/>
        </w:trPr>
        <w:tc>
          <w:tcPr>
            <w:tcW w:w="8700" w:type="dxa"/>
            <w:vAlign w:val="bottom"/>
            <w:shd w:val="clear" w:color="auto" w:fill="E9F9D8"/>
          </w:tcPr>
          <w:p>
            <w:pPr>
              <w:spacing w:after="0"/>
              <w:rPr>
                <w:sz w:val="8"/>
                <w:szCs w:val="8"/>
                <w:color w:val="auto"/>
              </w:rPr>
            </w:pPr>
          </w:p>
        </w:tc>
        <w:tc>
          <w:tcPr>
            <w:tcW w:w="360" w:type="dxa"/>
            <w:vAlign w:val="bottom"/>
            <w:shd w:val="clear" w:color="auto" w:fill="E9F9D8"/>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3030220</wp:posOffset>
            </wp:positionV>
            <wp:extent cx="683196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91" w:lineRule="exact"/>
        <w:rPr>
          <w:sz w:val="20"/>
          <w:szCs w:val="20"/>
          <w:color w:val="auto"/>
        </w:rPr>
      </w:pPr>
    </w:p>
    <w:p>
      <w:pPr>
        <w:ind w:left="9640"/>
        <w:spacing w:after="0"/>
        <w:rPr>
          <w:sz w:val="20"/>
          <w:szCs w:val="20"/>
          <w:color w:val="auto"/>
        </w:rPr>
      </w:pPr>
      <w:r>
        <w:rPr>
          <w:rFonts w:ascii="Arial" w:cs="Arial" w:eastAsia="Arial" w:hAnsi="Arial"/>
          <w:sz w:val="22"/>
          <w:szCs w:val="22"/>
          <w:b w:val="1"/>
          <w:bCs w:val="1"/>
          <w:color w:val="1F2668"/>
        </w:rPr>
        <w:t>39</w:t>
      </w:r>
    </w:p>
    <w:p>
      <w:pPr>
        <w:spacing w:after="0" w:line="12" w:lineRule="exact"/>
        <w:rPr>
          <w:sz w:val="20"/>
          <w:szCs w:val="20"/>
          <w:color w:val="auto"/>
        </w:rPr>
      </w:pPr>
    </w:p>
    <w:p>
      <w:pPr>
        <w:ind w:left="820"/>
        <w:spacing w:after="0"/>
        <w:tabs>
          <w:tab w:leader="none" w:pos="9000" w:val="left"/>
          <w:tab w:leader="none" w:pos="9860" w:val="left"/>
        </w:tabs>
        <w:rPr>
          <w:sz w:val="20"/>
          <w:szCs w:val="20"/>
          <w:color w:val="auto"/>
        </w:rPr>
      </w:pPr>
      <w:r>
        <w:rPr>
          <w:rFonts w:ascii="Arial" w:cs="Arial" w:eastAsia="Arial" w:hAnsi="Arial"/>
          <w:sz w:val="22"/>
          <w:szCs w:val="22"/>
          <w:b w:val="1"/>
          <w:bCs w:val="1"/>
          <w:color w:val="1F2668"/>
        </w:rPr>
        <w:t>​</w:t>
      </w:r>
      <w:r>
        <w:rPr>
          <w:sz w:val="20"/>
          <w:szCs w:val="20"/>
          <w:color w:val="auto"/>
        </w:rPr>
        <w:tab/>
      </w:r>
      <w:r>
        <w:rPr>
          <w:rFonts w:ascii="Arial" w:cs="Arial" w:eastAsia="Arial" w:hAnsi="Arial"/>
          <w:sz w:val="22"/>
          <w:szCs w:val="22"/>
          <w:b w:val="1"/>
          <w:bCs w:val="1"/>
          <w:color w:val="1F2668"/>
        </w:rPr>
        <w:t>​ ​</w:t>
      </w:r>
      <w:r>
        <w:rPr>
          <w:sz w:val="20"/>
          <w:szCs w:val="20"/>
          <w:color w:val="auto"/>
        </w:rPr>
        <w:tab/>
      </w:r>
      <w:r>
        <w:rPr>
          <w:rFonts w:ascii="Arial" w:cs="Arial" w:eastAsia="Arial" w:hAnsi="Arial"/>
          <w:sz w:val="22"/>
          <w:szCs w:val="22"/>
          <w:b w:val="1"/>
          <w:bCs w:val="1"/>
          <w:color w:val="1F2668"/>
        </w:rPr>
        <w:t>​</w:t>
      </w:r>
    </w:p>
    <w:p>
      <w:pPr>
        <w:spacing w:after="0" w:line="200" w:lineRule="exact"/>
        <w:rPr>
          <w:sz w:val="20"/>
          <w:szCs w:val="20"/>
          <w:color w:val="auto"/>
        </w:rPr>
      </w:pPr>
    </w:p>
    <w:p>
      <w:pPr>
        <w:spacing w:after="0" w:line="280" w:lineRule="exact"/>
        <w:rPr>
          <w:sz w:val="20"/>
          <w:szCs w:val="20"/>
          <w:color w:val="auto"/>
        </w:rPr>
      </w:pPr>
    </w:p>
    <w:p>
      <w:pPr>
        <w:ind w:left="820"/>
        <w:spacing w:after="0"/>
        <w:rPr>
          <w:sz w:val="20"/>
          <w:szCs w:val="20"/>
          <w:color w:val="auto"/>
        </w:rPr>
      </w:pPr>
      <w:r>
        <w:rPr>
          <w:rFonts w:ascii="Arial" w:cs="Arial" w:eastAsia="Arial" w:hAnsi="Arial"/>
          <w:sz w:val="38"/>
          <w:szCs w:val="38"/>
          <w:b w:val="1"/>
          <w:bCs w:val="1"/>
          <w:color w:val="1F2668"/>
        </w:rPr>
        <w:t>EXECUTIVE OFFICERS</w:t>
      </w:r>
    </w:p>
    <w:p>
      <w:pPr>
        <w:spacing w:after="0" w:line="21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following sets forth biographical information regarding our executive officers who are not also directors.</w:t>
      </w:r>
    </w:p>
    <w:p>
      <w:pPr>
        <w:spacing w:after="0" w:line="229" w:lineRule="exact"/>
        <w:rPr>
          <w:sz w:val="20"/>
          <w:szCs w:val="20"/>
          <w:color w:val="auto"/>
        </w:rPr>
      </w:pPr>
    </w:p>
    <w:tbl>
      <w:tblPr>
        <w:tblLayout w:type="fixed"/>
        <w:tblInd w:w="820" w:type="dxa"/>
        <w:tblCellMar>
          <w:top w:w="0" w:type="dxa"/>
          <w:left w:w="0" w:type="dxa"/>
          <w:bottom w:w="0" w:type="dxa"/>
          <w:right w:w="0" w:type="dxa"/>
        </w:tblCellMar>
      </w:tblPr>
      <w:tr>
        <w:trPr>
          <w:trHeight w:val="297"/>
        </w:trPr>
        <w:tc>
          <w:tcPr>
            <w:tcW w:w="200" w:type="dxa"/>
            <w:vAlign w:val="bottom"/>
            <w:tcBorders>
              <w:right w:val="single" w:sz="8" w:color="83AD40"/>
            </w:tcBorders>
          </w:tcPr>
          <w:p>
            <w:pPr>
              <w:spacing w:after="0"/>
              <w:rPr>
                <w:sz w:val="24"/>
                <w:szCs w:val="24"/>
                <w:color w:val="auto"/>
              </w:rPr>
            </w:pPr>
          </w:p>
        </w:tc>
        <w:tc>
          <w:tcPr>
            <w:tcW w:w="1880" w:type="dxa"/>
            <w:vAlign w:val="bottom"/>
            <w:tcBorders>
              <w:top w:val="single" w:sz="8" w:color="83AD40"/>
            </w:tcBorders>
          </w:tcPr>
          <w:p>
            <w:pPr>
              <w:spacing w:after="0"/>
              <w:rPr>
                <w:sz w:val="20"/>
                <w:szCs w:val="20"/>
                <w:color w:val="auto"/>
              </w:rPr>
            </w:pPr>
            <w:r>
              <w:rPr>
                <w:rFonts w:ascii="Arial" w:cs="Arial" w:eastAsia="Arial" w:hAnsi="Arial"/>
                <w:sz w:val="22"/>
                <w:szCs w:val="22"/>
                <w:color w:val="auto"/>
              </w:rPr>
              <w:t>​</w:t>
            </w:r>
          </w:p>
        </w:tc>
        <w:tc>
          <w:tcPr>
            <w:tcW w:w="80" w:type="dxa"/>
            <w:vAlign w:val="bottom"/>
            <w:tcBorders>
              <w:top w:val="single" w:sz="8" w:color="83AD40"/>
            </w:tcBorders>
            <w:vMerge w:val="restart"/>
          </w:tcPr>
          <w:p>
            <w:pPr>
              <w:spacing w:after="0"/>
              <w:rPr>
                <w:sz w:val="20"/>
                <w:szCs w:val="20"/>
                <w:color w:val="auto"/>
              </w:rPr>
            </w:pPr>
            <w:r>
              <w:rPr>
                <w:rFonts w:ascii="Arial" w:cs="Arial" w:eastAsia="Arial" w:hAnsi="Arial"/>
                <w:sz w:val="16"/>
                <w:szCs w:val="16"/>
                <w:b w:val="1"/>
                <w:bCs w:val="1"/>
                <w:color w:val="FFFFFF"/>
              </w:rPr>
              <w:t>​</w:t>
            </w:r>
          </w:p>
        </w:tc>
        <w:tc>
          <w:tcPr>
            <w:tcW w:w="40" w:type="dxa"/>
            <w:vAlign w:val="bottom"/>
            <w:tcBorders>
              <w:top w:val="single" w:sz="8" w:color="83AD40"/>
            </w:tcBorders>
            <w:shd w:val="clear" w:color="auto" w:fill="83AD40"/>
          </w:tcPr>
          <w:p>
            <w:pPr>
              <w:spacing w:after="0"/>
              <w:rPr>
                <w:sz w:val="20"/>
                <w:szCs w:val="20"/>
                <w:color w:val="auto"/>
              </w:rPr>
            </w:pPr>
            <w:r>
              <w:rPr>
                <w:rFonts w:ascii="Arial" w:cs="Arial" w:eastAsia="Arial" w:hAnsi="Arial"/>
                <w:sz w:val="22"/>
                <w:szCs w:val="22"/>
                <w:color w:val="auto"/>
              </w:rPr>
              <w:t>​</w:t>
            </w:r>
          </w:p>
        </w:tc>
        <w:tc>
          <w:tcPr>
            <w:tcW w:w="20" w:type="dxa"/>
            <w:vAlign w:val="bottom"/>
            <w:tcBorders>
              <w:top w:val="single" w:sz="8" w:color="83AD40"/>
            </w:tcBorders>
          </w:tcPr>
          <w:p>
            <w:pPr>
              <w:spacing w:after="0"/>
              <w:rPr>
                <w:sz w:val="24"/>
                <w:szCs w:val="24"/>
                <w:color w:val="auto"/>
              </w:rPr>
            </w:pPr>
          </w:p>
        </w:tc>
        <w:tc>
          <w:tcPr>
            <w:tcW w:w="68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0" w:type="dxa"/>
            <w:vAlign w:val="bottom"/>
            <w:tcBorders>
              <w:right w:val="single" w:sz="8" w:color="1F2668"/>
            </w:tcBorders>
            <w:shd w:val="clear" w:color="auto" w:fill="1F2668"/>
          </w:tcPr>
          <w:p>
            <w:pPr>
              <w:ind w:left="140"/>
              <w:spacing w:after="0"/>
              <w:rPr>
                <w:sz w:val="20"/>
                <w:szCs w:val="20"/>
                <w:color w:val="auto"/>
              </w:rPr>
            </w:pPr>
            <w:r>
              <w:rPr>
                <w:rFonts w:ascii="Arial" w:cs="Arial" w:eastAsia="Arial" w:hAnsi="Arial"/>
                <w:sz w:val="16"/>
                <w:szCs w:val="16"/>
                <w:b w:val="1"/>
                <w:bCs w:val="1"/>
                <w:color w:val="FFFFFF"/>
              </w:rPr>
              <w:t>​</w:t>
            </w:r>
          </w:p>
        </w:tc>
        <w:tc>
          <w:tcPr>
            <w:tcW w:w="1880" w:type="dxa"/>
            <w:vAlign w:val="bottom"/>
            <w:shd w:val="clear" w:color="auto" w:fill="1F2668"/>
          </w:tcPr>
          <w:p>
            <w:pPr>
              <w:spacing w:after="0"/>
              <w:rPr>
                <w:sz w:val="19"/>
                <w:szCs w:val="19"/>
                <w:color w:val="auto"/>
              </w:rPr>
            </w:pPr>
          </w:p>
        </w:tc>
        <w:tc>
          <w:tcPr>
            <w:tcW w:w="80" w:type="dxa"/>
            <w:vAlign w:val="bottom"/>
            <w:vMerge w:val="continue"/>
          </w:tcPr>
          <w:p>
            <w:pPr>
              <w:spacing w:after="0"/>
              <w:rPr>
                <w:sz w:val="19"/>
                <w:szCs w:val="19"/>
                <w:color w:val="auto"/>
              </w:rPr>
            </w:pPr>
          </w:p>
        </w:tc>
        <w:tc>
          <w:tcPr>
            <w:tcW w:w="40" w:type="dxa"/>
            <w:vAlign w:val="bottom"/>
            <w:shd w:val="clear" w:color="auto" w:fill="83AD40"/>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500" w:type="dxa"/>
            <w:vAlign w:val="bottom"/>
            <w:vMerge w:val="restart"/>
          </w:tcPr>
          <w:p>
            <w:pPr>
              <w:ind w:left="20"/>
              <w:spacing w:after="0"/>
              <w:rPr>
                <w:sz w:val="20"/>
                <w:szCs w:val="20"/>
                <w:color w:val="auto"/>
              </w:rPr>
            </w:pPr>
            <w:r>
              <w:rPr>
                <w:rFonts w:ascii="Arial" w:cs="Arial" w:eastAsia="Arial" w:hAnsi="Arial"/>
                <w:sz w:val="16"/>
                <w:szCs w:val="16"/>
                <w:color w:val="auto"/>
              </w:rPr>
              <w:t>•  Mr. DiLiberto joined the Company in September 2004 and currently serves as the</w:t>
            </w:r>
          </w:p>
        </w:tc>
        <w:tc>
          <w:tcPr>
            <w:tcW w:w="0" w:type="dxa"/>
            <w:vAlign w:val="bottom"/>
          </w:tcPr>
          <w:p>
            <w:pPr>
              <w:spacing w:after="0"/>
              <w:rPr>
                <w:sz w:val="1"/>
                <w:szCs w:val="1"/>
                <w:color w:val="auto"/>
              </w:rPr>
            </w:pPr>
          </w:p>
        </w:tc>
      </w:tr>
      <w:tr>
        <w:trPr>
          <w:trHeight w:val="47"/>
        </w:trPr>
        <w:tc>
          <w:tcPr>
            <w:tcW w:w="2080" w:type="dxa"/>
            <w:vAlign w:val="bottom"/>
            <w:gridSpan w:val="2"/>
            <w:vMerge w:val="restart"/>
            <w:shd w:val="clear" w:color="auto" w:fill="1F2668"/>
          </w:tcPr>
          <w:p>
            <w:pPr>
              <w:ind w:left="140"/>
              <w:spacing w:after="0" w:line="249" w:lineRule="exact"/>
              <w:rPr>
                <w:sz w:val="20"/>
                <w:szCs w:val="20"/>
                <w:color w:val="auto"/>
              </w:rPr>
            </w:pPr>
            <w:r>
              <w:rPr>
                <w:rFonts w:ascii="Arial" w:cs="Arial" w:eastAsia="Arial" w:hAnsi="Arial"/>
                <w:sz w:val="22"/>
                <w:szCs w:val="22"/>
                <w:b w:val="1"/>
                <w:bCs w:val="1"/>
                <w:color w:val="FFFFFF"/>
              </w:rPr>
              <w:t>MATTHEW J.</w:t>
            </w:r>
          </w:p>
        </w:tc>
        <w:tc>
          <w:tcPr>
            <w:tcW w:w="80" w:type="dxa"/>
            <w:vAlign w:val="bottom"/>
          </w:tcPr>
          <w:p>
            <w:pPr>
              <w:spacing w:after="0"/>
              <w:rPr>
                <w:sz w:val="4"/>
                <w:szCs w:val="4"/>
                <w:color w:val="auto"/>
              </w:rPr>
            </w:pPr>
          </w:p>
        </w:tc>
        <w:tc>
          <w:tcPr>
            <w:tcW w:w="40" w:type="dxa"/>
            <w:vAlign w:val="bottom"/>
            <w:shd w:val="clear" w:color="auto" w:fill="83AD40"/>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80" w:type="dxa"/>
            <w:vAlign w:val="bottom"/>
            <w:gridSpan w:val="2"/>
            <w:vMerge w:val="continue"/>
            <w:shd w:val="clear" w:color="auto" w:fill="1F2668"/>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shd w:val="clear" w:color="auto" w:fill="83AD40"/>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500" w:type="dxa"/>
            <w:vAlign w:val="bottom"/>
          </w:tcPr>
          <w:p>
            <w:pPr>
              <w:ind w:left="200"/>
              <w:spacing w:after="0"/>
              <w:rPr>
                <w:sz w:val="20"/>
                <w:szCs w:val="20"/>
                <w:color w:val="auto"/>
              </w:rPr>
            </w:pPr>
            <w:r>
              <w:rPr>
                <w:rFonts w:ascii="Arial" w:cs="Arial" w:eastAsia="Arial" w:hAnsi="Arial"/>
                <w:sz w:val="16"/>
                <w:szCs w:val="16"/>
                <w:color w:val="auto"/>
              </w:rPr>
              <w:t>Company’s Chief Financial Officer, overseeing the finance, accounting, tax, investor</w:t>
            </w:r>
          </w:p>
        </w:tc>
        <w:tc>
          <w:tcPr>
            <w:tcW w:w="0" w:type="dxa"/>
            <w:vAlign w:val="bottom"/>
          </w:tcPr>
          <w:p>
            <w:pPr>
              <w:spacing w:after="0"/>
              <w:rPr>
                <w:sz w:val="1"/>
                <w:szCs w:val="1"/>
                <w:color w:val="auto"/>
              </w:rPr>
            </w:pPr>
          </w:p>
        </w:tc>
      </w:tr>
      <w:tr>
        <w:trPr>
          <w:trHeight w:val="270"/>
        </w:trPr>
        <w:tc>
          <w:tcPr>
            <w:tcW w:w="2080" w:type="dxa"/>
            <w:vAlign w:val="bottom"/>
            <w:gridSpan w:val="2"/>
            <w:shd w:val="clear" w:color="auto" w:fill="1F2668"/>
          </w:tcPr>
          <w:p>
            <w:pPr>
              <w:ind w:left="140"/>
              <w:spacing w:after="0"/>
              <w:rPr>
                <w:sz w:val="20"/>
                <w:szCs w:val="20"/>
                <w:color w:val="auto"/>
              </w:rPr>
            </w:pPr>
            <w:r>
              <w:rPr>
                <w:rFonts w:ascii="Arial" w:cs="Arial" w:eastAsia="Arial" w:hAnsi="Arial"/>
                <w:sz w:val="22"/>
                <w:szCs w:val="22"/>
                <w:b w:val="1"/>
                <w:bCs w:val="1"/>
                <w:color w:val="FFFFFF"/>
              </w:rPr>
              <w:t>DILIBERTO</w:t>
            </w:r>
          </w:p>
        </w:tc>
        <w:tc>
          <w:tcPr>
            <w:tcW w:w="80" w:type="dxa"/>
            <w:vAlign w:val="bottom"/>
          </w:tcPr>
          <w:p>
            <w:pPr>
              <w:spacing w:after="0"/>
              <w:rPr>
                <w:sz w:val="23"/>
                <w:szCs w:val="23"/>
                <w:color w:val="auto"/>
              </w:rPr>
            </w:pPr>
          </w:p>
        </w:tc>
        <w:tc>
          <w:tcPr>
            <w:tcW w:w="40" w:type="dxa"/>
            <w:vAlign w:val="bottom"/>
            <w:shd w:val="clear" w:color="auto" w:fill="83AD40"/>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500" w:type="dxa"/>
            <w:vAlign w:val="bottom"/>
          </w:tcPr>
          <w:p>
            <w:pPr>
              <w:ind w:left="200"/>
              <w:spacing w:after="0"/>
              <w:rPr>
                <w:sz w:val="20"/>
                <w:szCs w:val="20"/>
                <w:color w:val="auto"/>
              </w:rPr>
            </w:pPr>
            <w:r>
              <w:rPr>
                <w:rFonts w:ascii="Arial" w:cs="Arial" w:eastAsia="Arial" w:hAnsi="Arial"/>
                <w:sz w:val="16"/>
                <w:szCs w:val="16"/>
                <w:color w:val="auto"/>
              </w:rPr>
              <w:t>relations and corporate capital markets functions of the organization.</w:t>
            </w:r>
          </w:p>
        </w:tc>
        <w:tc>
          <w:tcPr>
            <w:tcW w:w="0" w:type="dxa"/>
            <w:vAlign w:val="bottom"/>
          </w:tcPr>
          <w:p>
            <w:pPr>
              <w:spacing w:after="0"/>
              <w:rPr>
                <w:sz w:val="1"/>
                <w:szCs w:val="1"/>
                <w:color w:val="auto"/>
              </w:rPr>
            </w:pPr>
          </w:p>
        </w:tc>
      </w:tr>
      <w:tr>
        <w:trPr>
          <w:trHeight w:val="203"/>
        </w:trPr>
        <w:tc>
          <w:tcPr>
            <w:tcW w:w="200" w:type="dxa"/>
            <w:vAlign w:val="bottom"/>
            <w:tcBorders>
              <w:right w:val="single" w:sz="8" w:color="1F2668"/>
            </w:tcBorders>
            <w:shd w:val="clear" w:color="auto" w:fill="1F2668"/>
          </w:tcPr>
          <w:p>
            <w:pPr>
              <w:spacing w:after="0"/>
              <w:rPr>
                <w:sz w:val="17"/>
                <w:szCs w:val="17"/>
                <w:color w:val="auto"/>
              </w:rPr>
            </w:pPr>
          </w:p>
        </w:tc>
        <w:tc>
          <w:tcPr>
            <w:tcW w:w="1880" w:type="dxa"/>
            <w:vAlign w:val="bottom"/>
            <w:shd w:val="clear" w:color="auto" w:fill="1F2668"/>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shd w:val="clear" w:color="auto" w:fill="83AD40"/>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500" w:type="dxa"/>
            <w:vAlign w:val="bottom"/>
          </w:tcPr>
          <w:p>
            <w:pPr>
              <w:ind w:left="20"/>
              <w:spacing w:after="0"/>
              <w:rPr>
                <w:sz w:val="20"/>
                <w:szCs w:val="20"/>
                <w:color w:val="auto"/>
              </w:rPr>
            </w:pPr>
            <w:r>
              <w:rPr>
                <w:rFonts w:ascii="Arial" w:cs="Arial" w:eastAsia="Arial" w:hAnsi="Arial"/>
                <w:sz w:val="16"/>
                <w:szCs w:val="16"/>
                <w:color w:val="auto"/>
              </w:rPr>
              <w:t>•  Mr. DiLiberto previously served as the Company’s Chief Accounting Officer &amp; Treasurer</w:t>
            </w:r>
          </w:p>
        </w:tc>
        <w:tc>
          <w:tcPr>
            <w:tcW w:w="0" w:type="dxa"/>
            <w:vAlign w:val="bottom"/>
          </w:tcPr>
          <w:p>
            <w:pPr>
              <w:spacing w:after="0"/>
              <w:rPr>
                <w:sz w:val="1"/>
                <w:szCs w:val="1"/>
                <w:color w:val="auto"/>
              </w:rPr>
            </w:pPr>
          </w:p>
        </w:tc>
      </w:tr>
      <w:tr>
        <w:trPr>
          <w:trHeight w:val="215"/>
        </w:trPr>
        <w:tc>
          <w:tcPr>
            <w:tcW w:w="200" w:type="dxa"/>
            <w:vAlign w:val="bottom"/>
            <w:tcBorders>
              <w:right w:val="single" w:sz="8" w:color="1F2668"/>
            </w:tcBorders>
            <w:shd w:val="clear" w:color="auto" w:fill="1F2668"/>
          </w:tcPr>
          <w:p>
            <w:pPr>
              <w:spacing w:after="0"/>
              <w:rPr>
                <w:sz w:val="18"/>
                <w:szCs w:val="18"/>
                <w:color w:val="auto"/>
              </w:rPr>
            </w:pPr>
          </w:p>
        </w:tc>
        <w:tc>
          <w:tcPr>
            <w:tcW w:w="1880" w:type="dxa"/>
            <w:vAlign w:val="bottom"/>
            <w:shd w:val="clear" w:color="auto" w:fill="1F2668"/>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shd w:val="clear" w:color="auto" w:fill="83AD40"/>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500" w:type="dxa"/>
            <w:vAlign w:val="bottom"/>
          </w:tcPr>
          <w:p>
            <w:pPr>
              <w:ind w:left="200"/>
              <w:spacing w:after="0"/>
              <w:rPr>
                <w:sz w:val="20"/>
                <w:szCs w:val="20"/>
                <w:color w:val="auto"/>
              </w:rPr>
            </w:pPr>
            <w:r>
              <w:rPr>
                <w:rFonts w:ascii="Arial" w:cs="Arial" w:eastAsia="Arial" w:hAnsi="Arial"/>
                <w:sz w:val="16"/>
                <w:szCs w:val="16"/>
                <w:color w:val="auto"/>
              </w:rPr>
              <w:t>from 2007 to 2014.</w:t>
            </w:r>
          </w:p>
        </w:tc>
        <w:tc>
          <w:tcPr>
            <w:tcW w:w="0" w:type="dxa"/>
            <w:vAlign w:val="bottom"/>
          </w:tcPr>
          <w:p>
            <w:pPr>
              <w:spacing w:after="0"/>
              <w:rPr>
                <w:sz w:val="1"/>
                <w:szCs w:val="1"/>
                <w:color w:val="auto"/>
              </w:rPr>
            </w:pPr>
          </w:p>
        </w:tc>
      </w:tr>
      <w:tr>
        <w:trPr>
          <w:trHeight w:val="258"/>
        </w:trPr>
        <w:tc>
          <w:tcPr>
            <w:tcW w:w="200" w:type="dxa"/>
            <w:vAlign w:val="bottom"/>
            <w:tcBorders>
              <w:right w:val="single" w:sz="8" w:color="1F2668"/>
            </w:tcBorders>
            <w:shd w:val="clear" w:color="auto" w:fill="1F2668"/>
          </w:tcPr>
          <w:p>
            <w:pPr>
              <w:spacing w:after="0"/>
              <w:rPr>
                <w:sz w:val="22"/>
                <w:szCs w:val="22"/>
                <w:color w:val="auto"/>
              </w:rPr>
            </w:pPr>
          </w:p>
        </w:tc>
        <w:tc>
          <w:tcPr>
            <w:tcW w:w="1880" w:type="dxa"/>
            <w:vAlign w:val="bottom"/>
            <w:shd w:val="clear" w:color="auto" w:fill="1F2668"/>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shd w:val="clear" w:color="auto" w:fill="83AD40"/>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500" w:type="dxa"/>
            <w:vAlign w:val="bottom"/>
          </w:tcPr>
          <w:p>
            <w:pPr>
              <w:ind w:left="20"/>
              <w:spacing w:after="0"/>
              <w:rPr>
                <w:sz w:val="20"/>
                <w:szCs w:val="20"/>
                <w:color w:val="auto"/>
              </w:rPr>
            </w:pPr>
            <w:r>
              <w:rPr>
                <w:rFonts w:ascii="Arial" w:cs="Arial" w:eastAsia="Arial" w:hAnsi="Arial"/>
                <w:sz w:val="16"/>
                <w:szCs w:val="16"/>
                <w:color w:val="auto"/>
                <w:w w:val="99"/>
              </w:rPr>
              <w:t>•  From June 2000 to September 2004, Mr. DiLiberto was with Roseland, New Jersey-based</w:t>
            </w:r>
          </w:p>
        </w:tc>
        <w:tc>
          <w:tcPr>
            <w:tcW w:w="0" w:type="dxa"/>
            <w:vAlign w:val="bottom"/>
          </w:tcPr>
          <w:p>
            <w:pPr>
              <w:spacing w:after="0"/>
              <w:rPr>
                <w:sz w:val="1"/>
                <w:szCs w:val="1"/>
                <w:color w:val="auto"/>
              </w:rPr>
            </w:pPr>
          </w:p>
        </w:tc>
      </w:tr>
      <w:tr>
        <w:trPr>
          <w:trHeight w:val="189"/>
        </w:trPr>
        <w:tc>
          <w:tcPr>
            <w:tcW w:w="200" w:type="dxa"/>
            <w:vAlign w:val="bottom"/>
            <w:tcBorders>
              <w:right w:val="single" w:sz="8" w:color="1F2668"/>
            </w:tcBorders>
            <w:shd w:val="clear" w:color="auto" w:fill="1F2668"/>
          </w:tcPr>
          <w:p>
            <w:pPr>
              <w:spacing w:after="0"/>
              <w:rPr>
                <w:sz w:val="16"/>
                <w:szCs w:val="16"/>
                <w:color w:val="auto"/>
              </w:rPr>
            </w:pPr>
          </w:p>
        </w:tc>
        <w:tc>
          <w:tcPr>
            <w:tcW w:w="1880" w:type="dxa"/>
            <w:vAlign w:val="bottom"/>
            <w:shd w:val="clear" w:color="auto" w:fill="1F2668"/>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shd w:val="clear" w:color="auto" w:fill="83AD40"/>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500" w:type="dxa"/>
            <w:vAlign w:val="bottom"/>
          </w:tcPr>
          <w:p>
            <w:pPr>
              <w:ind w:left="200"/>
              <w:spacing w:after="0"/>
              <w:rPr>
                <w:sz w:val="20"/>
                <w:szCs w:val="20"/>
                <w:color w:val="auto"/>
              </w:rPr>
            </w:pPr>
            <w:r>
              <w:rPr>
                <w:rFonts w:ascii="Arial" w:cs="Arial" w:eastAsia="Arial" w:hAnsi="Arial"/>
                <w:sz w:val="16"/>
                <w:szCs w:val="16"/>
                <w:color w:val="auto"/>
                <w:w w:val="99"/>
              </w:rPr>
              <w:t>Chelsea Property Group, now a division of Simon Property Group, a REIT focused on the</w:t>
            </w:r>
          </w:p>
        </w:tc>
        <w:tc>
          <w:tcPr>
            <w:tcW w:w="0" w:type="dxa"/>
            <w:vAlign w:val="bottom"/>
          </w:tcPr>
          <w:p>
            <w:pPr>
              <w:spacing w:after="0"/>
              <w:rPr>
                <w:sz w:val="1"/>
                <w:szCs w:val="1"/>
                <w:color w:val="auto"/>
              </w:rPr>
            </w:pPr>
          </w:p>
        </w:tc>
      </w:tr>
      <w:tr>
        <w:trPr>
          <w:trHeight w:val="203"/>
        </w:trPr>
        <w:tc>
          <w:tcPr>
            <w:tcW w:w="200" w:type="dxa"/>
            <w:vAlign w:val="bottom"/>
            <w:tcBorders>
              <w:right w:val="single" w:sz="8" w:color="1F2668"/>
            </w:tcBorders>
            <w:shd w:val="clear" w:color="auto" w:fill="1F2668"/>
          </w:tcPr>
          <w:p>
            <w:pPr>
              <w:spacing w:after="0"/>
              <w:rPr>
                <w:sz w:val="17"/>
                <w:szCs w:val="17"/>
                <w:color w:val="auto"/>
              </w:rPr>
            </w:pPr>
          </w:p>
        </w:tc>
        <w:tc>
          <w:tcPr>
            <w:tcW w:w="1880" w:type="dxa"/>
            <w:vAlign w:val="bottom"/>
            <w:shd w:val="clear" w:color="auto" w:fill="1F2668"/>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shd w:val="clear" w:color="auto" w:fill="83AD40"/>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500" w:type="dxa"/>
            <w:vAlign w:val="bottom"/>
          </w:tcPr>
          <w:p>
            <w:pPr>
              <w:ind w:left="200"/>
              <w:spacing w:after="0"/>
              <w:rPr>
                <w:sz w:val="20"/>
                <w:szCs w:val="20"/>
                <w:color w:val="auto"/>
              </w:rPr>
            </w:pPr>
            <w:r>
              <w:rPr>
                <w:rFonts w:ascii="Arial" w:cs="Arial" w:eastAsia="Arial" w:hAnsi="Arial"/>
                <w:sz w:val="16"/>
                <w:szCs w:val="16"/>
                <w:color w:val="auto"/>
              </w:rPr>
              <w:t>development and ownership of premium outlet centers, where he was a Controller and</w:t>
            </w:r>
          </w:p>
        </w:tc>
        <w:tc>
          <w:tcPr>
            <w:tcW w:w="0" w:type="dxa"/>
            <w:vAlign w:val="bottom"/>
          </w:tcPr>
          <w:p>
            <w:pPr>
              <w:spacing w:after="0"/>
              <w:rPr>
                <w:sz w:val="1"/>
                <w:szCs w:val="1"/>
                <w:color w:val="auto"/>
              </w:rPr>
            </w:pPr>
          </w:p>
        </w:tc>
      </w:tr>
      <w:tr>
        <w:trPr>
          <w:trHeight w:val="215"/>
        </w:trPr>
        <w:tc>
          <w:tcPr>
            <w:tcW w:w="200" w:type="dxa"/>
            <w:vAlign w:val="bottom"/>
            <w:tcBorders>
              <w:right w:val="single" w:sz="8" w:color="1F2668"/>
            </w:tcBorders>
            <w:shd w:val="clear" w:color="auto" w:fill="1F2668"/>
          </w:tcPr>
          <w:p>
            <w:pPr>
              <w:spacing w:after="0"/>
              <w:rPr>
                <w:sz w:val="18"/>
                <w:szCs w:val="18"/>
                <w:color w:val="auto"/>
              </w:rPr>
            </w:pPr>
          </w:p>
        </w:tc>
        <w:tc>
          <w:tcPr>
            <w:tcW w:w="1880" w:type="dxa"/>
            <w:vAlign w:val="bottom"/>
            <w:shd w:val="clear" w:color="auto" w:fill="1F2668"/>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shd w:val="clear" w:color="auto" w:fill="83AD40"/>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500" w:type="dxa"/>
            <w:vAlign w:val="bottom"/>
          </w:tcPr>
          <w:p>
            <w:pPr>
              <w:ind w:left="200"/>
              <w:spacing w:after="0"/>
              <w:rPr>
                <w:sz w:val="20"/>
                <w:szCs w:val="20"/>
                <w:color w:val="auto"/>
              </w:rPr>
            </w:pPr>
            <w:r>
              <w:rPr>
                <w:rFonts w:ascii="Arial" w:cs="Arial" w:eastAsia="Arial" w:hAnsi="Arial"/>
                <w:sz w:val="16"/>
                <w:szCs w:val="16"/>
                <w:color w:val="auto"/>
              </w:rPr>
              <w:t>Director of Information Management.</w:t>
            </w:r>
          </w:p>
        </w:tc>
        <w:tc>
          <w:tcPr>
            <w:tcW w:w="0" w:type="dxa"/>
            <w:vAlign w:val="bottom"/>
          </w:tcPr>
          <w:p>
            <w:pPr>
              <w:spacing w:after="0"/>
              <w:rPr>
                <w:sz w:val="1"/>
                <w:szCs w:val="1"/>
                <w:color w:val="auto"/>
              </w:rPr>
            </w:pPr>
          </w:p>
        </w:tc>
      </w:tr>
      <w:tr>
        <w:trPr>
          <w:trHeight w:val="258"/>
        </w:trPr>
        <w:tc>
          <w:tcPr>
            <w:tcW w:w="200" w:type="dxa"/>
            <w:vAlign w:val="bottom"/>
            <w:tcBorders>
              <w:right w:val="single" w:sz="8" w:color="1F2668"/>
            </w:tcBorders>
            <w:shd w:val="clear" w:color="auto" w:fill="1F2668"/>
          </w:tcPr>
          <w:p>
            <w:pPr>
              <w:spacing w:after="0"/>
              <w:rPr>
                <w:sz w:val="22"/>
                <w:szCs w:val="22"/>
                <w:color w:val="auto"/>
              </w:rPr>
            </w:pPr>
          </w:p>
        </w:tc>
        <w:tc>
          <w:tcPr>
            <w:tcW w:w="1880" w:type="dxa"/>
            <w:vAlign w:val="bottom"/>
            <w:shd w:val="clear" w:color="auto" w:fill="1F2668"/>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shd w:val="clear" w:color="auto" w:fill="83AD40"/>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500" w:type="dxa"/>
            <w:vAlign w:val="bottom"/>
          </w:tcPr>
          <w:p>
            <w:pPr>
              <w:ind w:left="20"/>
              <w:spacing w:after="0"/>
              <w:rPr>
                <w:sz w:val="20"/>
                <w:szCs w:val="20"/>
                <w:color w:val="auto"/>
              </w:rPr>
            </w:pPr>
            <w:r>
              <w:rPr>
                <w:rFonts w:ascii="Arial" w:cs="Arial" w:eastAsia="Arial" w:hAnsi="Arial"/>
                <w:sz w:val="16"/>
                <w:szCs w:val="16"/>
                <w:color w:val="auto"/>
                <w:w w:val="98"/>
              </w:rPr>
              <w:t>•  From August 1998 to June 2000, Mr. DiLiberto worked at New York-based Vornado Realty</w:t>
            </w:r>
          </w:p>
        </w:tc>
        <w:tc>
          <w:tcPr>
            <w:tcW w:w="0" w:type="dxa"/>
            <w:vAlign w:val="bottom"/>
          </w:tcPr>
          <w:p>
            <w:pPr>
              <w:spacing w:after="0"/>
              <w:rPr>
                <w:sz w:val="1"/>
                <w:szCs w:val="1"/>
                <w:color w:val="auto"/>
              </w:rPr>
            </w:pPr>
          </w:p>
        </w:tc>
      </w:tr>
      <w:tr>
        <w:trPr>
          <w:trHeight w:val="203"/>
        </w:trPr>
        <w:tc>
          <w:tcPr>
            <w:tcW w:w="200" w:type="dxa"/>
            <w:vAlign w:val="bottom"/>
            <w:tcBorders>
              <w:right w:val="single" w:sz="8" w:color="1F2668"/>
            </w:tcBorders>
            <w:shd w:val="clear" w:color="auto" w:fill="1F2668"/>
          </w:tcPr>
          <w:p>
            <w:pPr>
              <w:spacing w:after="0"/>
              <w:rPr>
                <w:sz w:val="17"/>
                <w:szCs w:val="17"/>
                <w:color w:val="auto"/>
              </w:rPr>
            </w:pPr>
          </w:p>
        </w:tc>
        <w:tc>
          <w:tcPr>
            <w:tcW w:w="1880" w:type="dxa"/>
            <w:vAlign w:val="bottom"/>
            <w:shd w:val="clear" w:color="auto" w:fill="1F2668"/>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shd w:val="clear" w:color="auto" w:fill="83AD40"/>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500" w:type="dxa"/>
            <w:vAlign w:val="bottom"/>
          </w:tcPr>
          <w:p>
            <w:pPr>
              <w:ind w:left="200"/>
              <w:spacing w:after="0"/>
              <w:rPr>
                <w:sz w:val="20"/>
                <w:szCs w:val="20"/>
                <w:color w:val="auto"/>
              </w:rPr>
            </w:pPr>
            <w:r>
              <w:rPr>
                <w:rFonts w:ascii="Arial" w:cs="Arial" w:eastAsia="Arial" w:hAnsi="Arial"/>
                <w:sz w:val="16"/>
                <w:szCs w:val="16"/>
                <w:color w:val="auto"/>
                <w:w w:val="98"/>
              </w:rPr>
              <w:t>Trust, a diversified REIT with ownership interests in office, retail, and other property types,</w:t>
            </w:r>
          </w:p>
        </w:tc>
        <w:tc>
          <w:tcPr>
            <w:tcW w:w="0" w:type="dxa"/>
            <w:vAlign w:val="bottom"/>
          </w:tcPr>
          <w:p>
            <w:pPr>
              <w:spacing w:after="0"/>
              <w:rPr>
                <w:sz w:val="1"/>
                <w:szCs w:val="1"/>
                <w:color w:val="auto"/>
              </w:rPr>
            </w:pPr>
          </w:p>
        </w:tc>
      </w:tr>
      <w:tr>
        <w:trPr>
          <w:trHeight w:val="189"/>
        </w:trPr>
        <w:tc>
          <w:tcPr>
            <w:tcW w:w="200" w:type="dxa"/>
            <w:vAlign w:val="bottom"/>
            <w:tcBorders>
              <w:right w:val="single" w:sz="8" w:color="1F2668"/>
            </w:tcBorders>
            <w:shd w:val="clear" w:color="auto" w:fill="1F2668"/>
          </w:tcPr>
          <w:p>
            <w:pPr>
              <w:spacing w:after="0"/>
              <w:rPr>
                <w:sz w:val="16"/>
                <w:szCs w:val="16"/>
                <w:color w:val="auto"/>
              </w:rPr>
            </w:pPr>
          </w:p>
        </w:tc>
        <w:tc>
          <w:tcPr>
            <w:tcW w:w="1880" w:type="dxa"/>
            <w:vAlign w:val="bottom"/>
            <w:shd w:val="clear" w:color="auto" w:fill="1F2668"/>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shd w:val="clear" w:color="auto" w:fill="83AD40"/>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500" w:type="dxa"/>
            <w:vAlign w:val="bottom"/>
          </w:tcPr>
          <w:p>
            <w:pPr>
              <w:ind w:left="200"/>
              <w:spacing w:after="0"/>
              <w:rPr>
                <w:sz w:val="20"/>
                <w:szCs w:val="20"/>
                <w:color w:val="auto"/>
              </w:rPr>
            </w:pPr>
            <w:r>
              <w:rPr>
                <w:rFonts w:ascii="Arial" w:cs="Arial" w:eastAsia="Arial" w:hAnsi="Arial"/>
                <w:sz w:val="16"/>
                <w:szCs w:val="16"/>
                <w:color w:val="auto"/>
              </w:rPr>
              <w:t>where he worked as a Senior Financial Analyst focusing on accounting and controls as</w:t>
            </w:r>
          </w:p>
        </w:tc>
        <w:tc>
          <w:tcPr>
            <w:tcW w:w="0" w:type="dxa"/>
            <w:vAlign w:val="bottom"/>
          </w:tcPr>
          <w:p>
            <w:pPr>
              <w:spacing w:after="0"/>
              <w:rPr>
                <w:sz w:val="1"/>
                <w:szCs w:val="1"/>
                <w:color w:val="auto"/>
              </w:rPr>
            </w:pPr>
          </w:p>
        </w:tc>
      </w:tr>
      <w:tr>
        <w:trPr>
          <w:trHeight w:val="215"/>
        </w:trPr>
        <w:tc>
          <w:tcPr>
            <w:tcW w:w="200" w:type="dxa"/>
            <w:vAlign w:val="bottom"/>
            <w:tcBorders>
              <w:right w:val="single" w:sz="8" w:color="1F2668"/>
            </w:tcBorders>
            <w:shd w:val="clear" w:color="auto" w:fill="1F2668"/>
          </w:tcPr>
          <w:p>
            <w:pPr>
              <w:spacing w:after="0"/>
              <w:rPr>
                <w:sz w:val="18"/>
                <w:szCs w:val="18"/>
                <w:color w:val="auto"/>
              </w:rPr>
            </w:pPr>
          </w:p>
        </w:tc>
        <w:tc>
          <w:tcPr>
            <w:tcW w:w="1880" w:type="dxa"/>
            <w:vAlign w:val="bottom"/>
            <w:shd w:val="clear" w:color="auto" w:fill="1F2668"/>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shd w:val="clear" w:color="auto" w:fill="83AD40"/>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500" w:type="dxa"/>
            <w:vAlign w:val="bottom"/>
          </w:tcPr>
          <w:p>
            <w:pPr>
              <w:ind w:left="200"/>
              <w:spacing w:after="0"/>
              <w:rPr>
                <w:sz w:val="20"/>
                <w:szCs w:val="20"/>
                <w:color w:val="auto"/>
              </w:rPr>
            </w:pPr>
            <w:r>
              <w:rPr>
                <w:rFonts w:ascii="Arial" w:cs="Arial" w:eastAsia="Arial" w:hAnsi="Arial"/>
                <w:sz w:val="16"/>
                <w:szCs w:val="16"/>
                <w:color w:val="auto"/>
              </w:rPr>
              <w:t>well as the preparation of high-level management reports and SEC filings.</w:t>
            </w:r>
          </w:p>
        </w:tc>
        <w:tc>
          <w:tcPr>
            <w:tcW w:w="0" w:type="dxa"/>
            <w:vAlign w:val="bottom"/>
          </w:tcPr>
          <w:p>
            <w:pPr>
              <w:spacing w:after="0"/>
              <w:rPr>
                <w:sz w:val="1"/>
                <w:szCs w:val="1"/>
                <w:color w:val="auto"/>
              </w:rPr>
            </w:pPr>
          </w:p>
        </w:tc>
      </w:tr>
      <w:tr>
        <w:trPr>
          <w:trHeight w:val="258"/>
        </w:trPr>
        <w:tc>
          <w:tcPr>
            <w:tcW w:w="200" w:type="dxa"/>
            <w:vAlign w:val="bottom"/>
            <w:tcBorders>
              <w:right w:val="single" w:sz="8" w:color="1F2668"/>
            </w:tcBorders>
            <w:shd w:val="clear" w:color="auto" w:fill="1F2668"/>
          </w:tcPr>
          <w:p>
            <w:pPr>
              <w:spacing w:after="0"/>
              <w:rPr>
                <w:sz w:val="22"/>
                <w:szCs w:val="22"/>
                <w:color w:val="auto"/>
              </w:rPr>
            </w:pPr>
          </w:p>
        </w:tc>
        <w:tc>
          <w:tcPr>
            <w:tcW w:w="1880" w:type="dxa"/>
            <w:vAlign w:val="bottom"/>
            <w:shd w:val="clear" w:color="auto" w:fill="1F2668"/>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shd w:val="clear" w:color="auto" w:fill="83AD40"/>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500" w:type="dxa"/>
            <w:vAlign w:val="bottom"/>
          </w:tcPr>
          <w:p>
            <w:pPr>
              <w:ind w:left="20"/>
              <w:spacing w:after="0"/>
              <w:rPr>
                <w:sz w:val="20"/>
                <w:szCs w:val="20"/>
                <w:color w:val="auto"/>
              </w:rPr>
            </w:pPr>
            <w:r>
              <w:rPr>
                <w:rFonts w:ascii="Arial" w:cs="Arial" w:eastAsia="Arial" w:hAnsi="Arial"/>
                <w:sz w:val="16"/>
                <w:szCs w:val="16"/>
                <w:color w:val="auto"/>
              </w:rPr>
              <w:t>•  Prior to joining Vornado Realty Trust, Mr. DiLiberto worked as a Business Assurance</w:t>
            </w:r>
          </w:p>
        </w:tc>
        <w:tc>
          <w:tcPr>
            <w:tcW w:w="0" w:type="dxa"/>
            <w:vAlign w:val="bottom"/>
          </w:tcPr>
          <w:p>
            <w:pPr>
              <w:spacing w:after="0"/>
              <w:rPr>
                <w:sz w:val="1"/>
                <w:szCs w:val="1"/>
                <w:color w:val="auto"/>
              </w:rPr>
            </w:pPr>
          </w:p>
        </w:tc>
      </w:tr>
      <w:tr>
        <w:trPr>
          <w:trHeight w:val="215"/>
        </w:trPr>
        <w:tc>
          <w:tcPr>
            <w:tcW w:w="200" w:type="dxa"/>
            <w:vAlign w:val="bottom"/>
            <w:tcBorders>
              <w:right w:val="single" w:sz="8" w:color="1F2668"/>
            </w:tcBorders>
            <w:shd w:val="clear" w:color="auto" w:fill="1F2668"/>
          </w:tcPr>
          <w:p>
            <w:pPr>
              <w:spacing w:after="0"/>
              <w:rPr>
                <w:sz w:val="18"/>
                <w:szCs w:val="18"/>
                <w:color w:val="auto"/>
              </w:rPr>
            </w:pPr>
          </w:p>
        </w:tc>
        <w:tc>
          <w:tcPr>
            <w:tcW w:w="1880" w:type="dxa"/>
            <w:vAlign w:val="bottom"/>
            <w:shd w:val="clear" w:color="auto" w:fill="1F2668"/>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shd w:val="clear" w:color="auto" w:fill="83AD40"/>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500" w:type="dxa"/>
            <w:vAlign w:val="bottom"/>
          </w:tcPr>
          <w:p>
            <w:pPr>
              <w:ind w:left="200"/>
              <w:spacing w:after="0"/>
              <w:rPr>
                <w:sz w:val="20"/>
                <w:szCs w:val="20"/>
                <w:color w:val="auto"/>
              </w:rPr>
            </w:pPr>
            <w:r>
              <w:rPr>
                <w:rFonts w:ascii="Arial" w:cs="Arial" w:eastAsia="Arial" w:hAnsi="Arial"/>
                <w:sz w:val="16"/>
                <w:szCs w:val="16"/>
                <w:color w:val="auto"/>
              </w:rPr>
              <w:t>Associate at Coopers and Lybrand, LLP (now PricewaterhouseCoopers LLP).</w:t>
            </w:r>
          </w:p>
        </w:tc>
        <w:tc>
          <w:tcPr>
            <w:tcW w:w="0" w:type="dxa"/>
            <w:vAlign w:val="bottom"/>
          </w:tcPr>
          <w:p>
            <w:pPr>
              <w:spacing w:after="0"/>
              <w:rPr>
                <w:sz w:val="1"/>
                <w:szCs w:val="1"/>
                <w:color w:val="auto"/>
              </w:rPr>
            </w:pPr>
          </w:p>
        </w:tc>
      </w:tr>
      <w:tr>
        <w:trPr>
          <w:trHeight w:val="258"/>
        </w:trPr>
        <w:tc>
          <w:tcPr>
            <w:tcW w:w="2080" w:type="dxa"/>
            <w:vAlign w:val="bottom"/>
            <w:gridSpan w:val="2"/>
            <w:vMerge w:val="restart"/>
            <w:shd w:val="clear" w:color="auto" w:fill="1F2668"/>
          </w:tcPr>
          <w:p>
            <w:pPr>
              <w:ind w:left="140"/>
              <w:spacing w:after="0"/>
              <w:rPr>
                <w:sz w:val="20"/>
                <w:szCs w:val="20"/>
                <w:color w:val="auto"/>
              </w:rPr>
            </w:pPr>
            <w:r>
              <w:rPr>
                <w:rFonts w:ascii="Arial" w:cs="Arial" w:eastAsia="Arial" w:hAnsi="Arial"/>
                <w:sz w:val="16"/>
                <w:szCs w:val="16"/>
                <w:b w:val="1"/>
                <w:bCs w:val="1"/>
                <w:color w:val="FFFFFF"/>
              </w:rPr>
              <w:t>Chief Financial Officer</w:t>
            </w:r>
          </w:p>
        </w:tc>
        <w:tc>
          <w:tcPr>
            <w:tcW w:w="80" w:type="dxa"/>
            <w:vAlign w:val="bottom"/>
          </w:tcPr>
          <w:p>
            <w:pPr>
              <w:spacing w:after="0"/>
              <w:rPr>
                <w:sz w:val="22"/>
                <w:szCs w:val="22"/>
                <w:color w:val="auto"/>
              </w:rPr>
            </w:pPr>
          </w:p>
        </w:tc>
        <w:tc>
          <w:tcPr>
            <w:tcW w:w="40" w:type="dxa"/>
            <w:vAlign w:val="bottom"/>
            <w:shd w:val="clear" w:color="auto" w:fill="83AD40"/>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500" w:type="dxa"/>
            <w:vAlign w:val="bottom"/>
          </w:tcPr>
          <w:p>
            <w:pPr>
              <w:ind w:left="20"/>
              <w:spacing w:after="0"/>
              <w:rPr>
                <w:sz w:val="20"/>
                <w:szCs w:val="20"/>
                <w:color w:val="auto"/>
              </w:rPr>
            </w:pPr>
            <w:r>
              <w:rPr>
                <w:rFonts w:ascii="Arial" w:cs="Arial" w:eastAsia="Arial" w:hAnsi="Arial"/>
                <w:sz w:val="16"/>
                <w:szCs w:val="16"/>
                <w:color w:val="auto"/>
              </w:rPr>
              <w:t>•  Mr. DiLiberto currently serves as Chairman of the Board of Directors of the FDNY</w:t>
            </w:r>
          </w:p>
        </w:tc>
        <w:tc>
          <w:tcPr>
            <w:tcW w:w="0" w:type="dxa"/>
            <w:vAlign w:val="bottom"/>
          </w:tcPr>
          <w:p>
            <w:pPr>
              <w:spacing w:after="0"/>
              <w:rPr>
                <w:sz w:val="1"/>
                <w:szCs w:val="1"/>
                <w:color w:val="auto"/>
              </w:rPr>
            </w:pPr>
          </w:p>
        </w:tc>
      </w:tr>
      <w:tr>
        <w:trPr>
          <w:trHeight w:val="88"/>
        </w:trPr>
        <w:tc>
          <w:tcPr>
            <w:tcW w:w="2080" w:type="dxa"/>
            <w:vAlign w:val="bottom"/>
            <w:gridSpan w:val="2"/>
            <w:vMerge w:val="continue"/>
            <w:shd w:val="clear" w:color="auto" w:fill="1F2668"/>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shd w:val="clear" w:color="auto" w:fill="83AD40"/>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500" w:type="dxa"/>
            <w:vAlign w:val="bottom"/>
            <w:vMerge w:val="restart"/>
          </w:tcPr>
          <w:p>
            <w:pPr>
              <w:ind w:left="200"/>
              <w:spacing w:after="0"/>
              <w:rPr>
                <w:sz w:val="20"/>
                <w:szCs w:val="20"/>
                <w:color w:val="auto"/>
              </w:rPr>
            </w:pPr>
            <w:r>
              <w:rPr>
                <w:rFonts w:ascii="Arial" w:cs="Arial" w:eastAsia="Arial" w:hAnsi="Arial"/>
                <w:sz w:val="16"/>
                <w:szCs w:val="16"/>
                <w:color w:val="auto"/>
                <w:w w:val="99"/>
              </w:rPr>
              <w:t>Foundation, the official not-for-profit of the New York City Fire Department, and has been</w:t>
            </w:r>
          </w:p>
        </w:tc>
        <w:tc>
          <w:tcPr>
            <w:tcW w:w="0" w:type="dxa"/>
            <w:vAlign w:val="bottom"/>
          </w:tcPr>
          <w:p>
            <w:pPr>
              <w:spacing w:after="0"/>
              <w:rPr>
                <w:sz w:val="1"/>
                <w:szCs w:val="1"/>
                <w:color w:val="auto"/>
              </w:rPr>
            </w:pPr>
          </w:p>
        </w:tc>
      </w:tr>
      <w:tr>
        <w:trPr>
          <w:trHeight w:val="115"/>
        </w:trPr>
        <w:tc>
          <w:tcPr>
            <w:tcW w:w="2080" w:type="dxa"/>
            <w:vAlign w:val="bottom"/>
            <w:gridSpan w:val="2"/>
            <w:vMerge w:val="restart"/>
            <w:shd w:val="clear" w:color="auto" w:fill="1F2668"/>
          </w:tcPr>
          <w:p>
            <w:pPr>
              <w:ind w:left="140"/>
              <w:spacing w:after="0"/>
              <w:rPr>
                <w:sz w:val="20"/>
                <w:szCs w:val="20"/>
                <w:color w:val="auto"/>
              </w:rPr>
            </w:pPr>
            <w:r>
              <w:rPr>
                <w:rFonts w:ascii="Arial" w:cs="Arial" w:eastAsia="Arial" w:hAnsi="Arial"/>
                <w:sz w:val="16"/>
                <w:szCs w:val="16"/>
                <w:color w:val="FFFFFF"/>
              </w:rPr>
              <w:t>Executive Officer</w:t>
            </w:r>
          </w:p>
        </w:tc>
        <w:tc>
          <w:tcPr>
            <w:tcW w:w="80" w:type="dxa"/>
            <w:vAlign w:val="bottom"/>
          </w:tcPr>
          <w:p>
            <w:pPr>
              <w:spacing w:after="0"/>
              <w:rPr>
                <w:sz w:val="9"/>
                <w:szCs w:val="9"/>
                <w:color w:val="auto"/>
              </w:rPr>
            </w:pPr>
          </w:p>
        </w:tc>
        <w:tc>
          <w:tcPr>
            <w:tcW w:w="40" w:type="dxa"/>
            <w:vAlign w:val="bottom"/>
            <w:shd w:val="clear" w:color="auto" w:fill="83AD40"/>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080" w:type="dxa"/>
            <w:vAlign w:val="bottom"/>
            <w:gridSpan w:val="2"/>
            <w:vMerge w:val="continue"/>
            <w:shd w:val="clear" w:color="auto" w:fill="1F2668"/>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shd w:val="clear" w:color="auto" w:fill="83AD40"/>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500" w:type="dxa"/>
            <w:vAlign w:val="bottom"/>
          </w:tcPr>
          <w:p>
            <w:pPr>
              <w:ind w:left="200"/>
              <w:spacing w:after="0" w:line="175" w:lineRule="exact"/>
              <w:rPr>
                <w:sz w:val="20"/>
                <w:szCs w:val="20"/>
                <w:color w:val="auto"/>
              </w:rPr>
            </w:pPr>
            <w:r>
              <w:rPr>
                <w:rFonts w:ascii="Arial" w:cs="Arial" w:eastAsia="Arial" w:hAnsi="Arial"/>
                <w:sz w:val="16"/>
                <w:szCs w:val="16"/>
                <w:color w:val="auto"/>
              </w:rPr>
              <w:t>a firefighter in New Jersey since 1997.</w:t>
            </w:r>
          </w:p>
        </w:tc>
        <w:tc>
          <w:tcPr>
            <w:tcW w:w="0" w:type="dxa"/>
            <w:vAlign w:val="bottom"/>
          </w:tcPr>
          <w:p>
            <w:pPr>
              <w:spacing w:after="0"/>
              <w:rPr>
                <w:sz w:val="1"/>
                <w:szCs w:val="1"/>
                <w:color w:val="auto"/>
              </w:rPr>
            </w:pPr>
          </w:p>
        </w:tc>
      </w:tr>
      <w:tr>
        <w:trPr>
          <w:trHeight w:val="189"/>
        </w:trPr>
        <w:tc>
          <w:tcPr>
            <w:tcW w:w="2080" w:type="dxa"/>
            <w:vAlign w:val="bottom"/>
            <w:gridSpan w:val="2"/>
            <w:shd w:val="clear" w:color="auto" w:fill="1F2668"/>
          </w:tcPr>
          <w:p>
            <w:pPr>
              <w:ind w:left="140"/>
              <w:spacing w:after="0"/>
              <w:rPr>
                <w:sz w:val="20"/>
                <w:szCs w:val="20"/>
                <w:color w:val="auto"/>
              </w:rPr>
            </w:pPr>
            <w:r>
              <w:rPr>
                <w:rFonts w:ascii="Arial" w:cs="Arial" w:eastAsia="Arial" w:hAnsi="Arial"/>
                <w:sz w:val="16"/>
                <w:szCs w:val="16"/>
                <w:color w:val="FFFFFF"/>
              </w:rPr>
              <w:t xml:space="preserve">Since: </w:t>
            </w:r>
            <w:r>
              <w:rPr>
                <w:rFonts w:ascii="Arial" w:cs="Arial" w:eastAsia="Arial" w:hAnsi="Arial"/>
                <w:sz w:val="16"/>
                <w:szCs w:val="16"/>
                <w:b w:val="1"/>
                <w:bCs w:val="1"/>
                <w:color w:val="FFFFFF"/>
              </w:rPr>
              <w:t>2015</w:t>
            </w:r>
          </w:p>
        </w:tc>
        <w:tc>
          <w:tcPr>
            <w:tcW w:w="80" w:type="dxa"/>
            <w:vAlign w:val="bottom"/>
          </w:tcPr>
          <w:p>
            <w:pPr>
              <w:spacing w:after="0"/>
              <w:rPr>
                <w:sz w:val="16"/>
                <w:szCs w:val="16"/>
                <w:color w:val="auto"/>
              </w:rPr>
            </w:pPr>
          </w:p>
        </w:tc>
        <w:tc>
          <w:tcPr>
            <w:tcW w:w="40" w:type="dxa"/>
            <w:vAlign w:val="bottom"/>
            <w:shd w:val="clear" w:color="auto" w:fill="83AD40"/>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500" w:type="dxa"/>
            <w:vAlign w:val="bottom"/>
            <w:vMerge w:val="restart"/>
          </w:tcPr>
          <w:p>
            <w:pPr>
              <w:ind w:left="20"/>
              <w:spacing w:after="0"/>
              <w:rPr>
                <w:sz w:val="20"/>
                <w:szCs w:val="20"/>
                <w:color w:val="auto"/>
              </w:rPr>
            </w:pPr>
            <w:r>
              <w:rPr>
                <w:rFonts w:ascii="Arial" w:cs="Arial" w:eastAsia="Arial" w:hAnsi="Arial"/>
                <w:sz w:val="16"/>
                <w:szCs w:val="16"/>
                <w:color w:val="auto"/>
              </w:rPr>
              <w:t>•  Mr. DiLiberto received a B.S. degree in Accounting from The University of Scranton.</w:t>
            </w:r>
          </w:p>
        </w:tc>
        <w:tc>
          <w:tcPr>
            <w:tcW w:w="0" w:type="dxa"/>
            <w:vAlign w:val="bottom"/>
          </w:tcPr>
          <w:p>
            <w:pPr>
              <w:spacing w:after="0"/>
              <w:rPr>
                <w:sz w:val="1"/>
                <w:szCs w:val="1"/>
                <w:color w:val="auto"/>
              </w:rPr>
            </w:pPr>
          </w:p>
        </w:tc>
      </w:tr>
      <w:tr>
        <w:trPr>
          <w:trHeight w:val="120"/>
        </w:trPr>
        <w:tc>
          <w:tcPr>
            <w:tcW w:w="2080" w:type="dxa"/>
            <w:vAlign w:val="bottom"/>
            <w:gridSpan w:val="2"/>
            <w:vMerge w:val="restart"/>
            <w:shd w:val="clear" w:color="auto" w:fill="1F2668"/>
          </w:tcPr>
          <w:p>
            <w:pPr>
              <w:ind w:left="140"/>
              <w:spacing w:after="0"/>
              <w:rPr>
                <w:sz w:val="20"/>
                <w:szCs w:val="20"/>
                <w:color w:val="auto"/>
              </w:rPr>
            </w:pPr>
            <w:r>
              <w:rPr>
                <w:rFonts w:ascii="Arial" w:cs="Arial" w:eastAsia="Arial" w:hAnsi="Arial"/>
                <w:sz w:val="16"/>
                <w:szCs w:val="16"/>
                <w:color w:val="FFFFFF"/>
              </w:rPr>
              <w:t xml:space="preserve">Age: </w:t>
            </w:r>
            <w:r>
              <w:rPr>
                <w:rFonts w:ascii="Arial" w:cs="Arial" w:eastAsia="Arial" w:hAnsi="Arial"/>
                <w:sz w:val="16"/>
                <w:szCs w:val="16"/>
                <w:b w:val="1"/>
                <w:bCs w:val="1"/>
                <w:color w:val="FFFFFF"/>
              </w:rPr>
              <w:t>50</w:t>
            </w:r>
          </w:p>
        </w:tc>
        <w:tc>
          <w:tcPr>
            <w:tcW w:w="80" w:type="dxa"/>
            <w:vAlign w:val="bottom"/>
          </w:tcPr>
          <w:p>
            <w:pPr>
              <w:spacing w:after="0"/>
              <w:rPr>
                <w:sz w:val="10"/>
                <w:szCs w:val="10"/>
                <w:color w:val="auto"/>
              </w:rPr>
            </w:pPr>
          </w:p>
        </w:tc>
        <w:tc>
          <w:tcPr>
            <w:tcW w:w="40" w:type="dxa"/>
            <w:vAlign w:val="bottom"/>
            <w:shd w:val="clear" w:color="auto" w:fill="83AD40"/>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80" w:type="dxa"/>
            <w:vAlign w:val="bottom"/>
            <w:gridSpan w:val="2"/>
            <w:vMerge w:val="continue"/>
            <w:shd w:val="clear" w:color="auto" w:fill="1F2668"/>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shd w:val="clear" w:color="auto" w:fill="83AD40"/>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0" w:type="dxa"/>
            <w:vAlign w:val="bottom"/>
            <w:tcBorders>
              <w:right w:val="single" w:sz="8" w:color="1F2668"/>
            </w:tcBorders>
            <w:shd w:val="clear" w:color="auto" w:fill="1F2668"/>
          </w:tcPr>
          <w:p>
            <w:pPr>
              <w:spacing w:after="0"/>
              <w:rPr>
                <w:sz w:val="21"/>
                <w:szCs w:val="21"/>
                <w:color w:val="auto"/>
              </w:rPr>
            </w:pPr>
          </w:p>
        </w:tc>
        <w:tc>
          <w:tcPr>
            <w:tcW w:w="1880" w:type="dxa"/>
            <w:vAlign w:val="bottom"/>
            <w:shd w:val="clear" w:color="auto" w:fill="1F2668"/>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vMerge w:val="restart"/>
            <w:shd w:val="clear" w:color="auto" w:fill="83AD40"/>
          </w:tcPr>
          <w:p>
            <w:pPr>
              <w:spacing w:after="0"/>
              <w:rPr>
                <w:sz w:val="20"/>
                <w:szCs w:val="20"/>
                <w:color w:val="auto"/>
              </w:rPr>
            </w:pPr>
            <w:r>
              <w:rPr>
                <w:rFonts w:ascii="Arial" w:cs="Arial" w:eastAsia="Arial" w:hAnsi="Arial"/>
                <w:sz w:val="22"/>
                <w:szCs w:val="22"/>
                <w:color w:val="auto"/>
              </w:rPr>
              <w:t>​</w:t>
            </w:r>
          </w:p>
        </w:tc>
        <w:tc>
          <w:tcPr>
            <w:tcW w:w="686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00" w:type="dxa"/>
            <w:vAlign w:val="bottom"/>
            <w:tcBorders>
              <w:right w:val="single" w:sz="8" w:color="83AD40"/>
            </w:tcBorders>
          </w:tcPr>
          <w:p>
            <w:pPr>
              <w:spacing w:after="0"/>
              <w:rPr>
                <w:sz w:val="24"/>
                <w:szCs w:val="24"/>
                <w:color w:val="auto"/>
              </w:rPr>
            </w:pPr>
          </w:p>
        </w:tc>
        <w:tc>
          <w:tcPr>
            <w:tcW w:w="1880" w:type="dxa"/>
            <w:vAlign w:val="bottom"/>
            <w:tcBorders>
              <w:bottom w:val="single" w:sz="8" w:color="83AD40"/>
            </w:tcBorders>
          </w:tcPr>
          <w:p>
            <w:pPr>
              <w:spacing w:after="0" w:line="243" w:lineRule="exact"/>
              <w:rPr>
                <w:sz w:val="20"/>
                <w:szCs w:val="20"/>
                <w:color w:val="auto"/>
              </w:rPr>
            </w:pPr>
            <w:r>
              <w:rPr>
                <w:rFonts w:ascii="Arial" w:cs="Arial" w:eastAsia="Arial" w:hAnsi="Arial"/>
                <w:sz w:val="22"/>
                <w:szCs w:val="22"/>
                <w:color w:val="auto"/>
              </w:rPr>
              <w:t>​</w:t>
            </w:r>
          </w:p>
        </w:tc>
        <w:tc>
          <w:tcPr>
            <w:tcW w:w="80" w:type="dxa"/>
            <w:vAlign w:val="bottom"/>
            <w:tcBorders>
              <w:bottom w:val="single" w:sz="8" w:color="83AD40"/>
            </w:tcBorders>
          </w:tcPr>
          <w:p>
            <w:pPr>
              <w:spacing w:after="0"/>
              <w:rPr>
                <w:sz w:val="24"/>
                <w:szCs w:val="24"/>
                <w:color w:val="auto"/>
              </w:rPr>
            </w:pPr>
          </w:p>
        </w:tc>
        <w:tc>
          <w:tcPr>
            <w:tcW w:w="40" w:type="dxa"/>
            <w:vAlign w:val="bottom"/>
            <w:tcBorders>
              <w:bottom w:val="single" w:sz="8" w:color="83AD40"/>
            </w:tcBorders>
            <w:vMerge w:val="continue"/>
            <w:shd w:val="clear" w:color="auto" w:fill="83AD40"/>
          </w:tcPr>
          <w:p>
            <w:pPr>
              <w:spacing w:after="0"/>
              <w:rPr>
                <w:sz w:val="24"/>
                <w:szCs w:val="24"/>
                <w:color w:val="auto"/>
              </w:rPr>
            </w:pPr>
          </w:p>
        </w:tc>
        <w:tc>
          <w:tcPr>
            <w:tcW w:w="68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500" w:type="dxa"/>
            <w:vAlign w:val="bottom"/>
            <w:tcBorders>
              <w:bottom w:val="single" w:sz="8" w:color="83AD40"/>
            </w:tcBorders>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9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0" w:type="dxa"/>
            <w:vAlign w:val="bottom"/>
            <w:tcBorders>
              <w:right w:val="single" w:sz="8" w:color="83AD40"/>
            </w:tcBorders>
          </w:tcPr>
          <w:p>
            <w:pPr>
              <w:spacing w:after="0"/>
              <w:rPr>
                <w:sz w:val="21"/>
                <w:szCs w:val="21"/>
                <w:color w:val="auto"/>
              </w:rPr>
            </w:pPr>
          </w:p>
        </w:tc>
        <w:tc>
          <w:tcPr>
            <w:tcW w:w="1880" w:type="dxa"/>
            <w:vAlign w:val="bottom"/>
            <w:tcBorders>
              <w:top w:val="single" w:sz="8" w:color="83AD40"/>
            </w:tcBorders>
          </w:tcPr>
          <w:p>
            <w:pPr>
              <w:spacing w:after="0" w:line="243" w:lineRule="exact"/>
              <w:rPr>
                <w:sz w:val="20"/>
                <w:szCs w:val="20"/>
                <w:color w:val="auto"/>
              </w:rPr>
            </w:pPr>
            <w:r>
              <w:rPr>
                <w:rFonts w:ascii="Arial" w:cs="Arial" w:eastAsia="Arial" w:hAnsi="Arial"/>
                <w:sz w:val="22"/>
                <w:szCs w:val="22"/>
                <w:color w:val="auto"/>
              </w:rPr>
              <w:t>​</w:t>
            </w:r>
          </w:p>
        </w:tc>
        <w:tc>
          <w:tcPr>
            <w:tcW w:w="80" w:type="dxa"/>
            <w:vAlign w:val="bottom"/>
            <w:tcBorders>
              <w:top w:val="single" w:sz="8" w:color="83AD40"/>
            </w:tcBorders>
            <w:vMerge w:val="restart"/>
          </w:tcPr>
          <w:p>
            <w:pPr>
              <w:spacing w:after="0"/>
              <w:rPr>
                <w:sz w:val="20"/>
                <w:szCs w:val="20"/>
                <w:color w:val="auto"/>
              </w:rPr>
            </w:pPr>
            <w:r>
              <w:rPr>
                <w:rFonts w:ascii="Arial" w:cs="Arial" w:eastAsia="Arial" w:hAnsi="Arial"/>
                <w:sz w:val="16"/>
                <w:szCs w:val="16"/>
                <w:b w:val="1"/>
                <w:bCs w:val="1"/>
                <w:color w:val="FFFFFF"/>
              </w:rPr>
              <w:t>​</w:t>
            </w:r>
          </w:p>
        </w:tc>
        <w:tc>
          <w:tcPr>
            <w:tcW w:w="40" w:type="dxa"/>
            <w:vAlign w:val="bottom"/>
            <w:tcBorders>
              <w:top w:val="single" w:sz="8" w:color="83AD40"/>
            </w:tcBorders>
            <w:shd w:val="clear" w:color="auto" w:fill="83AD40"/>
          </w:tcPr>
          <w:p>
            <w:pPr>
              <w:spacing w:after="0" w:line="243" w:lineRule="exact"/>
              <w:rPr>
                <w:sz w:val="20"/>
                <w:szCs w:val="20"/>
                <w:color w:val="auto"/>
              </w:rPr>
            </w:pPr>
            <w:r>
              <w:rPr>
                <w:rFonts w:ascii="Arial" w:cs="Arial" w:eastAsia="Arial" w:hAnsi="Arial"/>
                <w:sz w:val="22"/>
                <w:szCs w:val="22"/>
                <w:color w:val="auto"/>
              </w:rPr>
              <w:t>​</w:t>
            </w:r>
          </w:p>
        </w:tc>
        <w:tc>
          <w:tcPr>
            <w:tcW w:w="686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0" w:type="dxa"/>
            <w:vAlign w:val="bottom"/>
            <w:tcBorders>
              <w:right w:val="single" w:sz="8" w:color="1F2668"/>
            </w:tcBorders>
            <w:shd w:val="clear" w:color="auto" w:fill="1F2668"/>
          </w:tcPr>
          <w:p>
            <w:pPr>
              <w:ind w:left="140"/>
              <w:spacing w:after="0"/>
              <w:rPr>
                <w:sz w:val="20"/>
                <w:szCs w:val="20"/>
                <w:color w:val="auto"/>
              </w:rPr>
            </w:pPr>
            <w:r>
              <w:rPr>
                <w:rFonts w:ascii="Arial" w:cs="Arial" w:eastAsia="Arial" w:hAnsi="Arial"/>
                <w:sz w:val="16"/>
                <w:szCs w:val="16"/>
                <w:b w:val="1"/>
                <w:bCs w:val="1"/>
                <w:color w:val="FFFFFF"/>
              </w:rPr>
              <w:t>​</w:t>
            </w:r>
          </w:p>
        </w:tc>
        <w:tc>
          <w:tcPr>
            <w:tcW w:w="1880" w:type="dxa"/>
            <w:vAlign w:val="bottom"/>
            <w:shd w:val="clear" w:color="auto" w:fill="1F2668"/>
          </w:tcPr>
          <w:p>
            <w:pPr>
              <w:spacing w:after="0"/>
              <w:rPr>
                <w:sz w:val="19"/>
                <w:szCs w:val="19"/>
                <w:color w:val="auto"/>
              </w:rPr>
            </w:pPr>
          </w:p>
        </w:tc>
        <w:tc>
          <w:tcPr>
            <w:tcW w:w="80" w:type="dxa"/>
            <w:vAlign w:val="bottom"/>
            <w:vMerge w:val="continue"/>
          </w:tcPr>
          <w:p>
            <w:pPr>
              <w:spacing w:after="0"/>
              <w:rPr>
                <w:sz w:val="19"/>
                <w:szCs w:val="19"/>
                <w:color w:val="auto"/>
              </w:rPr>
            </w:pPr>
          </w:p>
        </w:tc>
        <w:tc>
          <w:tcPr>
            <w:tcW w:w="40" w:type="dxa"/>
            <w:vAlign w:val="bottom"/>
            <w:shd w:val="clear" w:color="auto" w:fill="83AD40"/>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500" w:type="dxa"/>
            <w:vAlign w:val="bottom"/>
            <w:vMerge w:val="restart"/>
          </w:tcPr>
          <w:p>
            <w:pPr>
              <w:ind w:left="20"/>
              <w:spacing w:after="0"/>
              <w:rPr>
                <w:sz w:val="20"/>
                <w:szCs w:val="20"/>
                <w:color w:val="auto"/>
              </w:rPr>
            </w:pPr>
            <w:r>
              <w:rPr>
                <w:rFonts w:ascii="Arial" w:cs="Arial" w:eastAsia="Arial" w:hAnsi="Arial"/>
                <w:sz w:val="16"/>
                <w:szCs w:val="16"/>
                <w:color w:val="auto"/>
              </w:rPr>
              <w:t>•  Mr. Levine has served as our Chief Legal Officer and General Counsel since April 2007</w:t>
            </w:r>
          </w:p>
        </w:tc>
        <w:tc>
          <w:tcPr>
            <w:tcW w:w="0" w:type="dxa"/>
            <w:vAlign w:val="bottom"/>
          </w:tcPr>
          <w:p>
            <w:pPr>
              <w:spacing w:after="0"/>
              <w:rPr>
                <w:sz w:val="1"/>
                <w:szCs w:val="1"/>
                <w:color w:val="auto"/>
              </w:rPr>
            </w:pPr>
          </w:p>
        </w:tc>
      </w:tr>
      <w:tr>
        <w:trPr>
          <w:trHeight w:val="47"/>
        </w:trPr>
        <w:tc>
          <w:tcPr>
            <w:tcW w:w="2080" w:type="dxa"/>
            <w:vAlign w:val="bottom"/>
            <w:gridSpan w:val="2"/>
            <w:vMerge w:val="restart"/>
            <w:shd w:val="clear" w:color="auto" w:fill="1F2668"/>
          </w:tcPr>
          <w:p>
            <w:pPr>
              <w:ind w:left="140"/>
              <w:spacing w:after="0" w:line="249" w:lineRule="exact"/>
              <w:rPr>
                <w:sz w:val="20"/>
                <w:szCs w:val="20"/>
                <w:color w:val="auto"/>
              </w:rPr>
            </w:pPr>
            <w:r>
              <w:rPr>
                <w:rFonts w:ascii="Arial" w:cs="Arial" w:eastAsia="Arial" w:hAnsi="Arial"/>
                <w:sz w:val="22"/>
                <w:szCs w:val="22"/>
                <w:b w:val="1"/>
                <w:bCs w:val="1"/>
                <w:color w:val="FFFFFF"/>
              </w:rPr>
              <w:t>ANDREW S.</w:t>
            </w:r>
          </w:p>
        </w:tc>
        <w:tc>
          <w:tcPr>
            <w:tcW w:w="80" w:type="dxa"/>
            <w:vAlign w:val="bottom"/>
          </w:tcPr>
          <w:p>
            <w:pPr>
              <w:spacing w:after="0"/>
              <w:rPr>
                <w:sz w:val="4"/>
                <w:szCs w:val="4"/>
                <w:color w:val="auto"/>
              </w:rPr>
            </w:pPr>
          </w:p>
        </w:tc>
        <w:tc>
          <w:tcPr>
            <w:tcW w:w="40" w:type="dxa"/>
            <w:vAlign w:val="bottom"/>
            <w:shd w:val="clear" w:color="auto" w:fill="83AD40"/>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80" w:type="dxa"/>
            <w:vAlign w:val="bottom"/>
            <w:gridSpan w:val="2"/>
            <w:vMerge w:val="continue"/>
            <w:shd w:val="clear" w:color="auto" w:fill="1F2668"/>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shd w:val="clear" w:color="auto" w:fill="83AD40"/>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500" w:type="dxa"/>
            <w:vAlign w:val="bottom"/>
          </w:tcPr>
          <w:p>
            <w:pPr>
              <w:ind w:left="200"/>
              <w:spacing w:after="0"/>
              <w:rPr>
                <w:sz w:val="20"/>
                <w:szCs w:val="20"/>
                <w:color w:val="auto"/>
              </w:rPr>
            </w:pPr>
            <w:r>
              <w:rPr>
                <w:rFonts w:ascii="Arial" w:cs="Arial" w:eastAsia="Arial" w:hAnsi="Arial"/>
                <w:sz w:val="16"/>
                <w:szCs w:val="16"/>
                <w:color w:val="auto"/>
              </w:rPr>
              <w:t>and as our General Counsel, Executive Vice President and Secretary since</w:t>
            </w:r>
          </w:p>
        </w:tc>
        <w:tc>
          <w:tcPr>
            <w:tcW w:w="0" w:type="dxa"/>
            <w:vAlign w:val="bottom"/>
          </w:tcPr>
          <w:p>
            <w:pPr>
              <w:spacing w:after="0"/>
              <w:rPr>
                <w:sz w:val="1"/>
                <w:szCs w:val="1"/>
                <w:color w:val="auto"/>
              </w:rPr>
            </w:pPr>
          </w:p>
        </w:tc>
      </w:tr>
      <w:tr>
        <w:trPr>
          <w:trHeight w:val="215"/>
        </w:trPr>
        <w:tc>
          <w:tcPr>
            <w:tcW w:w="2080" w:type="dxa"/>
            <w:vAlign w:val="bottom"/>
            <w:gridSpan w:val="2"/>
            <w:vMerge w:val="restart"/>
            <w:shd w:val="clear" w:color="auto" w:fill="1F2668"/>
          </w:tcPr>
          <w:p>
            <w:pPr>
              <w:ind w:left="140"/>
              <w:spacing w:after="0"/>
              <w:rPr>
                <w:sz w:val="20"/>
                <w:szCs w:val="20"/>
                <w:color w:val="auto"/>
              </w:rPr>
            </w:pPr>
            <w:r>
              <w:rPr>
                <w:rFonts w:ascii="Arial" w:cs="Arial" w:eastAsia="Arial" w:hAnsi="Arial"/>
                <w:sz w:val="22"/>
                <w:szCs w:val="22"/>
                <w:b w:val="1"/>
                <w:bCs w:val="1"/>
                <w:color w:val="FFFFFF"/>
              </w:rPr>
              <w:t>LEVINE</w:t>
            </w:r>
          </w:p>
        </w:tc>
        <w:tc>
          <w:tcPr>
            <w:tcW w:w="80" w:type="dxa"/>
            <w:vAlign w:val="bottom"/>
          </w:tcPr>
          <w:p>
            <w:pPr>
              <w:spacing w:after="0"/>
              <w:rPr>
                <w:sz w:val="18"/>
                <w:szCs w:val="18"/>
                <w:color w:val="auto"/>
              </w:rPr>
            </w:pPr>
          </w:p>
        </w:tc>
        <w:tc>
          <w:tcPr>
            <w:tcW w:w="40" w:type="dxa"/>
            <w:vAlign w:val="bottom"/>
            <w:shd w:val="clear" w:color="auto" w:fill="83AD40"/>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500" w:type="dxa"/>
            <w:vAlign w:val="bottom"/>
          </w:tcPr>
          <w:p>
            <w:pPr>
              <w:ind w:left="200"/>
              <w:spacing w:after="0"/>
              <w:rPr>
                <w:sz w:val="20"/>
                <w:szCs w:val="20"/>
                <w:color w:val="auto"/>
              </w:rPr>
            </w:pPr>
            <w:r>
              <w:rPr>
                <w:rFonts w:ascii="Arial" w:cs="Arial" w:eastAsia="Arial" w:hAnsi="Arial"/>
                <w:sz w:val="16"/>
                <w:szCs w:val="16"/>
                <w:color w:val="auto"/>
              </w:rPr>
              <w:t>November 2000.</w:t>
            </w:r>
          </w:p>
        </w:tc>
        <w:tc>
          <w:tcPr>
            <w:tcW w:w="0" w:type="dxa"/>
            <w:vAlign w:val="bottom"/>
          </w:tcPr>
          <w:p>
            <w:pPr>
              <w:spacing w:after="0"/>
              <w:rPr>
                <w:sz w:val="1"/>
                <w:szCs w:val="1"/>
                <w:color w:val="auto"/>
              </w:rPr>
            </w:pPr>
          </w:p>
        </w:tc>
      </w:tr>
      <w:tr>
        <w:trPr>
          <w:trHeight w:val="109"/>
        </w:trPr>
        <w:tc>
          <w:tcPr>
            <w:tcW w:w="2080" w:type="dxa"/>
            <w:vAlign w:val="bottom"/>
            <w:gridSpan w:val="2"/>
            <w:vMerge w:val="continue"/>
            <w:shd w:val="clear" w:color="auto" w:fill="1F2668"/>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shd w:val="clear" w:color="auto" w:fill="83AD40"/>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500" w:type="dxa"/>
            <w:vAlign w:val="bottom"/>
            <w:vMerge w:val="restart"/>
          </w:tcPr>
          <w:p>
            <w:pPr>
              <w:ind w:left="20"/>
              <w:spacing w:after="0"/>
              <w:rPr>
                <w:sz w:val="20"/>
                <w:szCs w:val="20"/>
                <w:color w:val="auto"/>
              </w:rPr>
            </w:pPr>
            <w:r>
              <w:rPr>
                <w:rFonts w:ascii="Arial" w:cs="Arial" w:eastAsia="Arial" w:hAnsi="Arial"/>
                <w:sz w:val="16"/>
                <w:szCs w:val="16"/>
                <w:color w:val="auto"/>
              </w:rPr>
              <w:t>•  Prior to joining the Company, Mr. Levine was a partner in the REIT and Real Estate</w:t>
            </w:r>
          </w:p>
        </w:tc>
        <w:tc>
          <w:tcPr>
            <w:tcW w:w="0" w:type="dxa"/>
            <w:vAlign w:val="bottom"/>
          </w:tcPr>
          <w:p>
            <w:pPr>
              <w:spacing w:after="0"/>
              <w:rPr>
                <w:sz w:val="1"/>
                <w:szCs w:val="1"/>
                <w:color w:val="auto"/>
              </w:rPr>
            </w:pPr>
          </w:p>
        </w:tc>
      </w:tr>
      <w:tr>
        <w:trPr>
          <w:trHeight w:val="149"/>
        </w:trPr>
        <w:tc>
          <w:tcPr>
            <w:tcW w:w="200" w:type="dxa"/>
            <w:vAlign w:val="bottom"/>
            <w:tcBorders>
              <w:right w:val="single" w:sz="8" w:color="1F2668"/>
            </w:tcBorders>
            <w:shd w:val="clear" w:color="auto" w:fill="1F2668"/>
          </w:tcPr>
          <w:p>
            <w:pPr>
              <w:spacing w:after="0"/>
              <w:rPr>
                <w:sz w:val="12"/>
                <w:szCs w:val="12"/>
                <w:color w:val="auto"/>
              </w:rPr>
            </w:pPr>
          </w:p>
        </w:tc>
        <w:tc>
          <w:tcPr>
            <w:tcW w:w="1880" w:type="dxa"/>
            <w:vAlign w:val="bottom"/>
            <w:shd w:val="clear" w:color="auto" w:fill="1F2668"/>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shd w:val="clear" w:color="auto" w:fill="83AD40"/>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0" w:type="dxa"/>
            <w:vAlign w:val="bottom"/>
            <w:tcBorders>
              <w:right w:val="single" w:sz="8" w:color="1F2668"/>
            </w:tcBorders>
            <w:shd w:val="clear" w:color="auto" w:fill="1F2668"/>
          </w:tcPr>
          <w:p>
            <w:pPr>
              <w:spacing w:after="0"/>
              <w:rPr>
                <w:sz w:val="17"/>
                <w:szCs w:val="17"/>
                <w:color w:val="auto"/>
              </w:rPr>
            </w:pPr>
          </w:p>
        </w:tc>
        <w:tc>
          <w:tcPr>
            <w:tcW w:w="1880" w:type="dxa"/>
            <w:vAlign w:val="bottom"/>
            <w:shd w:val="clear" w:color="auto" w:fill="1F2668"/>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shd w:val="clear" w:color="auto" w:fill="83AD40"/>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500" w:type="dxa"/>
            <w:vAlign w:val="bottom"/>
          </w:tcPr>
          <w:p>
            <w:pPr>
              <w:ind w:left="200"/>
              <w:spacing w:after="0"/>
              <w:rPr>
                <w:sz w:val="20"/>
                <w:szCs w:val="20"/>
                <w:color w:val="auto"/>
              </w:rPr>
            </w:pPr>
            <w:r>
              <w:rPr>
                <w:rFonts w:ascii="Arial" w:cs="Arial" w:eastAsia="Arial" w:hAnsi="Arial"/>
                <w:sz w:val="16"/>
                <w:szCs w:val="16"/>
                <w:color w:val="auto"/>
              </w:rPr>
              <w:t>Transactions and Business groups at the law firm of Pryor, Cashman, Sherman &amp; Flynn,</w:t>
            </w:r>
          </w:p>
        </w:tc>
        <w:tc>
          <w:tcPr>
            <w:tcW w:w="0" w:type="dxa"/>
            <w:vAlign w:val="bottom"/>
          </w:tcPr>
          <w:p>
            <w:pPr>
              <w:spacing w:after="0"/>
              <w:rPr>
                <w:sz w:val="1"/>
                <w:szCs w:val="1"/>
                <w:color w:val="auto"/>
              </w:rPr>
            </w:pPr>
          </w:p>
        </w:tc>
      </w:tr>
      <w:tr>
        <w:trPr>
          <w:trHeight w:val="215"/>
        </w:trPr>
        <w:tc>
          <w:tcPr>
            <w:tcW w:w="200" w:type="dxa"/>
            <w:vAlign w:val="bottom"/>
            <w:tcBorders>
              <w:right w:val="single" w:sz="8" w:color="1F2668"/>
            </w:tcBorders>
            <w:shd w:val="clear" w:color="auto" w:fill="1F2668"/>
          </w:tcPr>
          <w:p>
            <w:pPr>
              <w:spacing w:after="0"/>
              <w:rPr>
                <w:sz w:val="18"/>
                <w:szCs w:val="18"/>
                <w:color w:val="auto"/>
              </w:rPr>
            </w:pPr>
          </w:p>
        </w:tc>
        <w:tc>
          <w:tcPr>
            <w:tcW w:w="1880" w:type="dxa"/>
            <w:vAlign w:val="bottom"/>
            <w:shd w:val="clear" w:color="auto" w:fill="1F2668"/>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shd w:val="clear" w:color="auto" w:fill="83AD40"/>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500" w:type="dxa"/>
            <w:vAlign w:val="bottom"/>
          </w:tcPr>
          <w:p>
            <w:pPr>
              <w:ind w:left="200"/>
              <w:spacing w:after="0"/>
              <w:rPr>
                <w:sz w:val="20"/>
                <w:szCs w:val="20"/>
                <w:color w:val="auto"/>
              </w:rPr>
            </w:pPr>
            <w:r>
              <w:rPr>
                <w:rFonts w:ascii="Arial" w:cs="Arial" w:eastAsia="Arial" w:hAnsi="Arial"/>
                <w:sz w:val="16"/>
                <w:szCs w:val="16"/>
                <w:color w:val="auto"/>
              </w:rPr>
              <w:t>LLP.</w:t>
            </w:r>
          </w:p>
        </w:tc>
        <w:tc>
          <w:tcPr>
            <w:tcW w:w="0" w:type="dxa"/>
            <w:vAlign w:val="bottom"/>
          </w:tcPr>
          <w:p>
            <w:pPr>
              <w:spacing w:after="0"/>
              <w:rPr>
                <w:sz w:val="1"/>
                <w:szCs w:val="1"/>
                <w:color w:val="auto"/>
              </w:rPr>
            </w:pPr>
          </w:p>
        </w:tc>
      </w:tr>
      <w:tr>
        <w:trPr>
          <w:trHeight w:val="258"/>
        </w:trPr>
        <w:tc>
          <w:tcPr>
            <w:tcW w:w="200" w:type="dxa"/>
            <w:vAlign w:val="bottom"/>
            <w:tcBorders>
              <w:right w:val="single" w:sz="8" w:color="1F2668"/>
            </w:tcBorders>
            <w:shd w:val="clear" w:color="auto" w:fill="1F2668"/>
          </w:tcPr>
          <w:p>
            <w:pPr>
              <w:spacing w:after="0"/>
              <w:rPr>
                <w:sz w:val="22"/>
                <w:szCs w:val="22"/>
                <w:color w:val="auto"/>
              </w:rPr>
            </w:pPr>
          </w:p>
        </w:tc>
        <w:tc>
          <w:tcPr>
            <w:tcW w:w="1880" w:type="dxa"/>
            <w:vAlign w:val="bottom"/>
            <w:shd w:val="clear" w:color="auto" w:fill="1F2668"/>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shd w:val="clear" w:color="auto" w:fill="83AD40"/>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500" w:type="dxa"/>
            <w:vAlign w:val="bottom"/>
          </w:tcPr>
          <w:p>
            <w:pPr>
              <w:ind w:left="20"/>
              <w:spacing w:after="0"/>
              <w:rPr>
                <w:sz w:val="20"/>
                <w:szCs w:val="20"/>
                <w:color w:val="auto"/>
              </w:rPr>
            </w:pPr>
            <w:r>
              <w:rPr>
                <w:rFonts w:ascii="Arial" w:cs="Arial" w:eastAsia="Arial" w:hAnsi="Arial"/>
                <w:sz w:val="16"/>
                <w:szCs w:val="16"/>
                <w:color w:val="auto"/>
              </w:rPr>
              <w:t>•  Prior to joining Pryor, Cashman, Sherman &amp; Flynn, LLP, Mr. Levine was a partner at the</w:t>
            </w:r>
          </w:p>
        </w:tc>
        <w:tc>
          <w:tcPr>
            <w:tcW w:w="0" w:type="dxa"/>
            <w:vAlign w:val="bottom"/>
          </w:tcPr>
          <w:p>
            <w:pPr>
              <w:spacing w:after="0"/>
              <w:rPr>
                <w:sz w:val="1"/>
                <w:szCs w:val="1"/>
                <w:color w:val="auto"/>
              </w:rPr>
            </w:pPr>
          </w:p>
        </w:tc>
      </w:tr>
      <w:tr>
        <w:trPr>
          <w:trHeight w:val="215"/>
        </w:trPr>
        <w:tc>
          <w:tcPr>
            <w:tcW w:w="200" w:type="dxa"/>
            <w:vAlign w:val="bottom"/>
            <w:tcBorders>
              <w:right w:val="single" w:sz="8" w:color="1F2668"/>
            </w:tcBorders>
            <w:shd w:val="clear" w:color="auto" w:fill="1F2668"/>
          </w:tcPr>
          <w:p>
            <w:pPr>
              <w:spacing w:after="0"/>
              <w:rPr>
                <w:sz w:val="18"/>
                <w:szCs w:val="18"/>
                <w:color w:val="auto"/>
              </w:rPr>
            </w:pPr>
          </w:p>
        </w:tc>
        <w:tc>
          <w:tcPr>
            <w:tcW w:w="1880" w:type="dxa"/>
            <w:vAlign w:val="bottom"/>
            <w:shd w:val="clear" w:color="auto" w:fill="1F2668"/>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shd w:val="clear" w:color="auto" w:fill="83AD40"/>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500" w:type="dxa"/>
            <w:vAlign w:val="bottom"/>
          </w:tcPr>
          <w:p>
            <w:pPr>
              <w:ind w:left="200"/>
              <w:spacing w:after="0"/>
              <w:rPr>
                <w:sz w:val="20"/>
                <w:szCs w:val="20"/>
                <w:color w:val="auto"/>
              </w:rPr>
            </w:pPr>
            <w:r>
              <w:rPr>
                <w:rFonts w:ascii="Arial" w:cs="Arial" w:eastAsia="Arial" w:hAnsi="Arial"/>
                <w:sz w:val="16"/>
                <w:szCs w:val="16"/>
                <w:color w:val="auto"/>
              </w:rPr>
              <w:t>law firm of Dreyer &amp; Traub.</w:t>
            </w:r>
          </w:p>
        </w:tc>
        <w:tc>
          <w:tcPr>
            <w:tcW w:w="0" w:type="dxa"/>
            <w:vAlign w:val="bottom"/>
          </w:tcPr>
          <w:p>
            <w:pPr>
              <w:spacing w:after="0"/>
              <w:rPr>
                <w:sz w:val="1"/>
                <w:szCs w:val="1"/>
                <w:color w:val="auto"/>
              </w:rPr>
            </w:pPr>
          </w:p>
        </w:tc>
      </w:tr>
      <w:tr>
        <w:trPr>
          <w:trHeight w:val="244"/>
        </w:trPr>
        <w:tc>
          <w:tcPr>
            <w:tcW w:w="200" w:type="dxa"/>
            <w:vAlign w:val="bottom"/>
            <w:tcBorders>
              <w:right w:val="single" w:sz="8" w:color="1F2668"/>
            </w:tcBorders>
            <w:shd w:val="clear" w:color="auto" w:fill="1F2668"/>
          </w:tcPr>
          <w:p>
            <w:pPr>
              <w:spacing w:after="0"/>
              <w:rPr>
                <w:sz w:val="21"/>
                <w:szCs w:val="21"/>
                <w:color w:val="auto"/>
              </w:rPr>
            </w:pPr>
          </w:p>
        </w:tc>
        <w:tc>
          <w:tcPr>
            <w:tcW w:w="1880" w:type="dxa"/>
            <w:vAlign w:val="bottom"/>
            <w:shd w:val="clear" w:color="auto" w:fill="1F2668"/>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shd w:val="clear" w:color="auto" w:fill="83AD40"/>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500" w:type="dxa"/>
            <w:vAlign w:val="bottom"/>
          </w:tcPr>
          <w:p>
            <w:pPr>
              <w:ind w:left="20"/>
              <w:spacing w:after="0"/>
              <w:rPr>
                <w:sz w:val="20"/>
                <w:szCs w:val="20"/>
                <w:color w:val="auto"/>
              </w:rPr>
            </w:pPr>
            <w:r>
              <w:rPr>
                <w:rFonts w:ascii="Arial" w:cs="Arial" w:eastAsia="Arial" w:hAnsi="Arial"/>
                <w:sz w:val="16"/>
                <w:szCs w:val="16"/>
                <w:color w:val="auto"/>
              </w:rPr>
              <w:t>•  Mr. Levine received a B.A. degree from the University of Vermont and a J.D. degree from</w:t>
            </w:r>
          </w:p>
        </w:tc>
        <w:tc>
          <w:tcPr>
            <w:tcW w:w="0" w:type="dxa"/>
            <w:vAlign w:val="bottom"/>
          </w:tcPr>
          <w:p>
            <w:pPr>
              <w:spacing w:after="0"/>
              <w:rPr>
                <w:sz w:val="1"/>
                <w:szCs w:val="1"/>
                <w:color w:val="auto"/>
              </w:rPr>
            </w:pPr>
          </w:p>
        </w:tc>
      </w:tr>
      <w:tr>
        <w:trPr>
          <w:trHeight w:val="215"/>
        </w:trPr>
        <w:tc>
          <w:tcPr>
            <w:tcW w:w="200" w:type="dxa"/>
            <w:vAlign w:val="bottom"/>
            <w:tcBorders>
              <w:right w:val="single" w:sz="8" w:color="1F2668"/>
            </w:tcBorders>
            <w:shd w:val="clear" w:color="auto" w:fill="1F2668"/>
          </w:tcPr>
          <w:p>
            <w:pPr>
              <w:spacing w:after="0"/>
              <w:rPr>
                <w:sz w:val="18"/>
                <w:szCs w:val="18"/>
                <w:color w:val="auto"/>
              </w:rPr>
            </w:pPr>
          </w:p>
        </w:tc>
        <w:tc>
          <w:tcPr>
            <w:tcW w:w="1880" w:type="dxa"/>
            <w:vAlign w:val="bottom"/>
            <w:shd w:val="clear" w:color="auto" w:fill="1F2668"/>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shd w:val="clear" w:color="auto" w:fill="83AD40"/>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500" w:type="dxa"/>
            <w:vAlign w:val="bottom"/>
          </w:tcPr>
          <w:p>
            <w:pPr>
              <w:ind w:left="200"/>
              <w:spacing w:after="0"/>
              <w:rPr>
                <w:sz w:val="20"/>
                <w:szCs w:val="20"/>
                <w:color w:val="auto"/>
              </w:rPr>
            </w:pPr>
            <w:r>
              <w:rPr>
                <w:rFonts w:ascii="Arial" w:cs="Arial" w:eastAsia="Arial" w:hAnsi="Arial"/>
                <w:sz w:val="16"/>
                <w:szCs w:val="16"/>
                <w:color w:val="auto"/>
              </w:rPr>
              <w:t>Rutgers School of Law, where Mr. Levine was an Editor of the Law Review.</w:t>
            </w:r>
          </w:p>
        </w:tc>
        <w:tc>
          <w:tcPr>
            <w:tcW w:w="0" w:type="dxa"/>
            <w:vAlign w:val="bottom"/>
          </w:tcPr>
          <w:p>
            <w:pPr>
              <w:spacing w:after="0"/>
              <w:rPr>
                <w:sz w:val="1"/>
                <w:szCs w:val="1"/>
                <w:color w:val="auto"/>
              </w:rPr>
            </w:pPr>
          </w:p>
        </w:tc>
      </w:tr>
      <w:tr>
        <w:trPr>
          <w:trHeight w:val="258"/>
        </w:trPr>
        <w:tc>
          <w:tcPr>
            <w:tcW w:w="200" w:type="dxa"/>
            <w:vAlign w:val="bottom"/>
            <w:tcBorders>
              <w:right w:val="single" w:sz="8" w:color="1F2668"/>
            </w:tcBorders>
            <w:shd w:val="clear" w:color="auto" w:fill="1F2668"/>
          </w:tcPr>
          <w:p>
            <w:pPr>
              <w:spacing w:after="0"/>
              <w:rPr>
                <w:sz w:val="22"/>
                <w:szCs w:val="22"/>
                <w:color w:val="auto"/>
              </w:rPr>
            </w:pPr>
          </w:p>
        </w:tc>
        <w:tc>
          <w:tcPr>
            <w:tcW w:w="1880" w:type="dxa"/>
            <w:vAlign w:val="bottom"/>
            <w:shd w:val="clear" w:color="auto" w:fill="1F2668"/>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shd w:val="clear" w:color="auto" w:fill="83AD40"/>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500" w:type="dxa"/>
            <w:vAlign w:val="bottom"/>
          </w:tcPr>
          <w:p>
            <w:pPr>
              <w:ind w:left="20"/>
              <w:spacing w:after="0"/>
              <w:rPr>
                <w:sz w:val="20"/>
                <w:szCs w:val="20"/>
                <w:color w:val="auto"/>
              </w:rPr>
            </w:pPr>
            <w:r>
              <w:rPr>
                <w:rFonts w:ascii="Arial" w:cs="Arial" w:eastAsia="Arial" w:hAnsi="Arial"/>
                <w:sz w:val="16"/>
                <w:szCs w:val="16"/>
                <w:color w:val="auto"/>
              </w:rPr>
              <w:t>•  He currently serves as a member of the Advisory Committee for Rutgers Center for</w:t>
            </w:r>
          </w:p>
        </w:tc>
        <w:tc>
          <w:tcPr>
            <w:tcW w:w="0" w:type="dxa"/>
            <w:vAlign w:val="bottom"/>
          </w:tcPr>
          <w:p>
            <w:pPr>
              <w:spacing w:after="0"/>
              <w:rPr>
                <w:sz w:val="1"/>
                <w:szCs w:val="1"/>
                <w:color w:val="auto"/>
              </w:rPr>
            </w:pPr>
          </w:p>
        </w:tc>
      </w:tr>
      <w:tr>
        <w:trPr>
          <w:trHeight w:val="215"/>
        </w:trPr>
        <w:tc>
          <w:tcPr>
            <w:tcW w:w="200" w:type="dxa"/>
            <w:vAlign w:val="bottom"/>
            <w:tcBorders>
              <w:right w:val="single" w:sz="8" w:color="1F2668"/>
            </w:tcBorders>
            <w:shd w:val="clear" w:color="auto" w:fill="1F2668"/>
          </w:tcPr>
          <w:p>
            <w:pPr>
              <w:spacing w:after="0"/>
              <w:rPr>
                <w:sz w:val="18"/>
                <w:szCs w:val="18"/>
                <w:color w:val="auto"/>
              </w:rPr>
            </w:pPr>
          </w:p>
        </w:tc>
        <w:tc>
          <w:tcPr>
            <w:tcW w:w="1880" w:type="dxa"/>
            <w:vAlign w:val="bottom"/>
            <w:shd w:val="clear" w:color="auto" w:fill="1F2668"/>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shd w:val="clear" w:color="auto" w:fill="83AD40"/>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500" w:type="dxa"/>
            <w:vAlign w:val="bottom"/>
          </w:tcPr>
          <w:p>
            <w:pPr>
              <w:ind w:left="200"/>
              <w:spacing w:after="0"/>
              <w:rPr>
                <w:sz w:val="20"/>
                <w:szCs w:val="20"/>
                <w:color w:val="auto"/>
              </w:rPr>
            </w:pPr>
            <w:r>
              <w:rPr>
                <w:rFonts w:ascii="Arial" w:cs="Arial" w:eastAsia="Arial" w:hAnsi="Arial"/>
                <w:sz w:val="16"/>
                <w:szCs w:val="16"/>
                <w:color w:val="auto"/>
              </w:rPr>
              <w:t>Corporate Law and Governance.</w:t>
            </w:r>
          </w:p>
        </w:tc>
        <w:tc>
          <w:tcPr>
            <w:tcW w:w="0" w:type="dxa"/>
            <w:vAlign w:val="bottom"/>
          </w:tcPr>
          <w:p>
            <w:pPr>
              <w:spacing w:after="0"/>
              <w:rPr>
                <w:sz w:val="1"/>
                <w:szCs w:val="1"/>
                <w:color w:val="auto"/>
              </w:rPr>
            </w:pPr>
          </w:p>
        </w:tc>
      </w:tr>
      <w:tr>
        <w:trPr>
          <w:trHeight w:val="615"/>
        </w:trPr>
        <w:tc>
          <w:tcPr>
            <w:tcW w:w="2080" w:type="dxa"/>
            <w:vAlign w:val="bottom"/>
            <w:gridSpan w:val="2"/>
            <w:shd w:val="clear" w:color="auto" w:fill="1F2668"/>
          </w:tcPr>
          <w:p>
            <w:pPr>
              <w:ind w:left="140"/>
              <w:spacing w:after="0"/>
              <w:rPr>
                <w:sz w:val="20"/>
                <w:szCs w:val="20"/>
                <w:color w:val="auto"/>
              </w:rPr>
            </w:pPr>
            <w:r>
              <w:rPr>
                <w:rFonts w:ascii="Arial" w:cs="Arial" w:eastAsia="Arial" w:hAnsi="Arial"/>
                <w:sz w:val="16"/>
                <w:szCs w:val="16"/>
                <w:b w:val="1"/>
                <w:bCs w:val="1"/>
                <w:color w:val="FFFFFF"/>
              </w:rPr>
              <w:t>General Counsel</w:t>
            </w:r>
          </w:p>
        </w:tc>
        <w:tc>
          <w:tcPr>
            <w:tcW w:w="80" w:type="dxa"/>
            <w:vAlign w:val="bottom"/>
          </w:tcPr>
          <w:p>
            <w:pPr>
              <w:spacing w:after="0"/>
              <w:rPr>
                <w:sz w:val="24"/>
                <w:szCs w:val="24"/>
                <w:color w:val="auto"/>
              </w:rPr>
            </w:pPr>
          </w:p>
        </w:tc>
        <w:tc>
          <w:tcPr>
            <w:tcW w:w="40" w:type="dxa"/>
            <w:vAlign w:val="bottom"/>
            <w:shd w:val="clear" w:color="auto" w:fill="83AD40"/>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80" w:type="dxa"/>
            <w:vAlign w:val="bottom"/>
            <w:gridSpan w:val="2"/>
            <w:shd w:val="clear" w:color="auto" w:fill="1F2668"/>
          </w:tcPr>
          <w:p>
            <w:pPr>
              <w:ind w:left="140"/>
              <w:spacing w:after="0"/>
              <w:rPr>
                <w:sz w:val="20"/>
                <w:szCs w:val="20"/>
                <w:color w:val="auto"/>
              </w:rPr>
            </w:pPr>
            <w:r>
              <w:rPr>
                <w:rFonts w:ascii="Arial" w:cs="Arial" w:eastAsia="Arial" w:hAnsi="Arial"/>
                <w:sz w:val="16"/>
                <w:szCs w:val="16"/>
                <w:color w:val="FFFFFF"/>
              </w:rPr>
              <w:t>Executive Officer</w:t>
            </w:r>
          </w:p>
        </w:tc>
        <w:tc>
          <w:tcPr>
            <w:tcW w:w="80" w:type="dxa"/>
            <w:vAlign w:val="bottom"/>
          </w:tcPr>
          <w:p>
            <w:pPr>
              <w:spacing w:after="0"/>
              <w:rPr>
                <w:sz w:val="24"/>
                <w:szCs w:val="24"/>
                <w:color w:val="auto"/>
              </w:rPr>
            </w:pPr>
          </w:p>
        </w:tc>
        <w:tc>
          <w:tcPr>
            <w:tcW w:w="40" w:type="dxa"/>
            <w:vAlign w:val="bottom"/>
            <w:shd w:val="clear" w:color="auto" w:fill="83AD40"/>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80" w:type="dxa"/>
            <w:vAlign w:val="bottom"/>
            <w:gridSpan w:val="2"/>
            <w:shd w:val="clear" w:color="auto" w:fill="1F2668"/>
          </w:tcPr>
          <w:p>
            <w:pPr>
              <w:ind w:left="140"/>
              <w:spacing w:after="0"/>
              <w:rPr>
                <w:sz w:val="20"/>
                <w:szCs w:val="20"/>
                <w:color w:val="auto"/>
              </w:rPr>
            </w:pPr>
            <w:r>
              <w:rPr>
                <w:rFonts w:ascii="Arial" w:cs="Arial" w:eastAsia="Arial" w:hAnsi="Arial"/>
                <w:sz w:val="16"/>
                <w:szCs w:val="16"/>
                <w:color w:val="FFFFFF"/>
              </w:rPr>
              <w:t xml:space="preserve">Since: </w:t>
            </w:r>
            <w:r>
              <w:rPr>
                <w:rFonts w:ascii="Arial" w:cs="Arial" w:eastAsia="Arial" w:hAnsi="Arial"/>
                <w:sz w:val="16"/>
                <w:szCs w:val="16"/>
                <w:b w:val="1"/>
                <w:bCs w:val="1"/>
                <w:color w:val="FFFFFF"/>
              </w:rPr>
              <w:t>2007</w:t>
            </w:r>
          </w:p>
        </w:tc>
        <w:tc>
          <w:tcPr>
            <w:tcW w:w="80" w:type="dxa"/>
            <w:vAlign w:val="bottom"/>
          </w:tcPr>
          <w:p>
            <w:pPr>
              <w:spacing w:after="0"/>
              <w:rPr>
                <w:sz w:val="19"/>
                <w:szCs w:val="19"/>
                <w:color w:val="auto"/>
              </w:rPr>
            </w:pPr>
          </w:p>
        </w:tc>
        <w:tc>
          <w:tcPr>
            <w:tcW w:w="40" w:type="dxa"/>
            <w:vAlign w:val="bottom"/>
            <w:shd w:val="clear" w:color="auto" w:fill="83AD40"/>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80" w:type="dxa"/>
            <w:vAlign w:val="bottom"/>
            <w:gridSpan w:val="2"/>
            <w:shd w:val="clear" w:color="auto" w:fill="1F2668"/>
          </w:tcPr>
          <w:p>
            <w:pPr>
              <w:ind w:left="140"/>
              <w:spacing w:after="0"/>
              <w:rPr>
                <w:sz w:val="20"/>
                <w:szCs w:val="20"/>
                <w:color w:val="auto"/>
              </w:rPr>
            </w:pPr>
            <w:r>
              <w:rPr>
                <w:rFonts w:ascii="Arial" w:cs="Arial" w:eastAsia="Arial" w:hAnsi="Arial"/>
                <w:sz w:val="16"/>
                <w:szCs w:val="16"/>
                <w:color w:val="FFFFFF"/>
              </w:rPr>
              <w:t xml:space="preserve">Age: </w:t>
            </w:r>
            <w:r>
              <w:rPr>
                <w:rFonts w:ascii="Arial" w:cs="Arial" w:eastAsia="Arial" w:hAnsi="Arial"/>
                <w:sz w:val="16"/>
                <w:szCs w:val="16"/>
                <w:b w:val="1"/>
                <w:bCs w:val="1"/>
                <w:color w:val="FFFFFF"/>
              </w:rPr>
              <w:t>66</w:t>
            </w:r>
          </w:p>
        </w:tc>
        <w:tc>
          <w:tcPr>
            <w:tcW w:w="80" w:type="dxa"/>
            <w:vAlign w:val="bottom"/>
          </w:tcPr>
          <w:p>
            <w:pPr>
              <w:spacing w:after="0"/>
              <w:rPr>
                <w:sz w:val="24"/>
                <w:szCs w:val="24"/>
                <w:color w:val="auto"/>
              </w:rPr>
            </w:pPr>
          </w:p>
        </w:tc>
        <w:tc>
          <w:tcPr>
            <w:tcW w:w="40" w:type="dxa"/>
            <w:vAlign w:val="bottom"/>
            <w:shd w:val="clear" w:color="auto" w:fill="83AD40"/>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0" w:type="dxa"/>
            <w:vAlign w:val="bottom"/>
            <w:tcBorders>
              <w:right w:val="single" w:sz="8" w:color="1F2668"/>
            </w:tcBorders>
            <w:shd w:val="clear" w:color="auto" w:fill="1F2668"/>
          </w:tcPr>
          <w:p>
            <w:pPr>
              <w:spacing w:after="0"/>
              <w:rPr>
                <w:sz w:val="21"/>
                <w:szCs w:val="21"/>
                <w:color w:val="auto"/>
              </w:rPr>
            </w:pPr>
          </w:p>
        </w:tc>
        <w:tc>
          <w:tcPr>
            <w:tcW w:w="1880" w:type="dxa"/>
            <w:vAlign w:val="bottom"/>
            <w:shd w:val="clear" w:color="auto" w:fill="1F2668"/>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vMerge w:val="restart"/>
            <w:shd w:val="clear" w:color="auto" w:fill="83AD40"/>
          </w:tcPr>
          <w:p>
            <w:pPr>
              <w:spacing w:after="0"/>
              <w:rPr>
                <w:sz w:val="20"/>
                <w:szCs w:val="20"/>
                <w:color w:val="auto"/>
              </w:rPr>
            </w:pPr>
            <w:r>
              <w:rPr>
                <w:rFonts w:ascii="Arial" w:cs="Arial" w:eastAsia="Arial" w:hAnsi="Arial"/>
                <w:sz w:val="22"/>
                <w:szCs w:val="22"/>
                <w:color w:val="auto"/>
              </w:rPr>
              <w:t>​</w:t>
            </w:r>
          </w:p>
        </w:tc>
        <w:tc>
          <w:tcPr>
            <w:tcW w:w="686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00" w:type="dxa"/>
            <w:vAlign w:val="bottom"/>
            <w:tcBorders>
              <w:right w:val="single" w:sz="8" w:color="83AD40"/>
            </w:tcBorders>
          </w:tcPr>
          <w:p>
            <w:pPr>
              <w:spacing w:after="0"/>
              <w:rPr>
                <w:sz w:val="24"/>
                <w:szCs w:val="24"/>
                <w:color w:val="auto"/>
              </w:rPr>
            </w:pPr>
          </w:p>
        </w:tc>
        <w:tc>
          <w:tcPr>
            <w:tcW w:w="1880" w:type="dxa"/>
            <w:vAlign w:val="bottom"/>
            <w:tcBorders>
              <w:bottom w:val="single" w:sz="8" w:color="83AD40"/>
            </w:tcBorders>
          </w:tcPr>
          <w:p>
            <w:pPr>
              <w:spacing w:after="0" w:line="243" w:lineRule="exact"/>
              <w:rPr>
                <w:sz w:val="20"/>
                <w:szCs w:val="20"/>
                <w:color w:val="auto"/>
              </w:rPr>
            </w:pPr>
            <w:r>
              <w:rPr>
                <w:rFonts w:ascii="Arial" w:cs="Arial" w:eastAsia="Arial" w:hAnsi="Arial"/>
                <w:sz w:val="22"/>
                <w:szCs w:val="22"/>
                <w:color w:val="auto"/>
              </w:rPr>
              <w:t>​</w:t>
            </w:r>
          </w:p>
        </w:tc>
        <w:tc>
          <w:tcPr>
            <w:tcW w:w="80" w:type="dxa"/>
            <w:vAlign w:val="bottom"/>
            <w:tcBorders>
              <w:bottom w:val="single" w:sz="8" w:color="83AD40"/>
            </w:tcBorders>
          </w:tcPr>
          <w:p>
            <w:pPr>
              <w:spacing w:after="0"/>
              <w:rPr>
                <w:sz w:val="24"/>
                <w:szCs w:val="24"/>
                <w:color w:val="auto"/>
              </w:rPr>
            </w:pPr>
          </w:p>
        </w:tc>
        <w:tc>
          <w:tcPr>
            <w:tcW w:w="40" w:type="dxa"/>
            <w:vAlign w:val="bottom"/>
            <w:tcBorders>
              <w:bottom w:val="single" w:sz="8" w:color="83AD40"/>
            </w:tcBorders>
            <w:vMerge w:val="continue"/>
            <w:shd w:val="clear" w:color="auto" w:fill="83AD40"/>
          </w:tcPr>
          <w:p>
            <w:pPr>
              <w:spacing w:after="0"/>
              <w:rPr>
                <w:sz w:val="24"/>
                <w:szCs w:val="24"/>
                <w:color w:val="auto"/>
              </w:rPr>
            </w:pPr>
          </w:p>
        </w:tc>
        <w:tc>
          <w:tcPr>
            <w:tcW w:w="68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973455</wp:posOffset>
            </wp:positionV>
            <wp:extent cx="683196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602615</wp:posOffset>
            </wp:positionH>
            <wp:positionV relativeFrom="paragraph">
              <wp:posOffset>-6188710</wp:posOffset>
            </wp:positionV>
            <wp:extent cx="1097280" cy="131191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097280" cy="1311910"/>
                    </a:xfrm>
                    <a:prstGeom prst="rect">
                      <a:avLst/>
                    </a:prstGeom>
                    <a:noFill/>
                  </pic:spPr>
                </pic:pic>
              </a:graphicData>
            </a:graphic>
          </wp:anchor>
        </w:drawing>
        <w:drawing>
          <wp:anchor simplePos="0" relativeHeight="251657728" behindDoc="1" locked="0" layoutInCell="0" allowOverlap="1">
            <wp:simplePos x="0" y="0"/>
            <wp:positionH relativeFrom="column">
              <wp:posOffset>602615</wp:posOffset>
            </wp:positionH>
            <wp:positionV relativeFrom="paragraph">
              <wp:posOffset>-2425700</wp:posOffset>
            </wp:positionV>
            <wp:extent cx="1097280" cy="131127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097280" cy="131127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740" w:type="dxa"/>
            <w:vAlign w:val="bottom"/>
            <w:gridSpan w:val="2"/>
          </w:tcPr>
          <w:p>
            <w:pPr>
              <w:ind w:left="820"/>
              <w:spacing w:after="0"/>
              <w:rPr>
                <w:sz w:val="20"/>
                <w:szCs w:val="20"/>
                <w:color w:val="auto"/>
              </w:rPr>
            </w:pPr>
            <w:r>
              <w:rPr>
                <w:rFonts w:ascii="Arial" w:cs="Arial" w:eastAsia="Arial" w:hAnsi="Arial"/>
                <w:sz w:val="22"/>
                <w:szCs w:val="22"/>
                <w:b w:val="1"/>
                <w:bCs w:val="1"/>
                <w:color w:val="1F2668"/>
              </w:rPr>
              <w:t>40</w:t>
            </w:r>
          </w:p>
        </w:tc>
        <w:tc>
          <w:tcPr>
            <w:tcW w:w="220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20" w:type="dxa"/>
            <w:vAlign w:val="bottom"/>
          </w:tcPr>
          <w:p>
            <w:pPr>
              <w:spacing w:after="0"/>
              <w:rPr>
                <w:sz w:val="24"/>
                <w:szCs w:val="24"/>
                <w:color w:val="auto"/>
              </w:rPr>
            </w:pPr>
          </w:p>
        </w:tc>
        <w:tc>
          <w:tcPr>
            <w:tcW w:w="8480" w:type="dxa"/>
            <w:vAlign w:val="bottom"/>
            <w:gridSpan w:val="3"/>
          </w:tcPr>
          <w:p>
            <w:pPr>
              <w:spacing w:after="0"/>
              <w:rPr>
                <w:sz w:val="20"/>
                <w:szCs w:val="20"/>
                <w:color w:val="auto"/>
              </w:rPr>
            </w:pPr>
            <w:r>
              <w:rPr>
                <w:rFonts w:ascii="Arial" w:cs="Arial" w:eastAsia="Arial" w:hAnsi="Arial"/>
                <w:sz w:val="22"/>
                <w:szCs w:val="22"/>
                <w:b w:val="1"/>
                <w:bCs w:val="1"/>
                <w:color w:val="1F2668"/>
              </w:rPr>
              <w:t>​​ ​</w:t>
            </w:r>
          </w:p>
        </w:tc>
        <w:tc>
          <w:tcPr>
            <w:tcW w:w="1400" w:type="dxa"/>
            <w:vAlign w:val="bottom"/>
          </w:tcPr>
          <w:p>
            <w:pPr>
              <w:ind w:left="580"/>
              <w:spacing w:after="0"/>
              <w:rPr>
                <w:sz w:val="20"/>
                <w:szCs w:val="20"/>
                <w:color w:val="auto"/>
              </w:rPr>
            </w:pPr>
            <w:r>
              <w:rPr>
                <w:rFonts w:ascii="Arial" w:cs="Arial" w:eastAsia="Arial" w:hAnsi="Arial"/>
                <w:sz w:val="22"/>
                <w:szCs w:val="22"/>
                <w:b w:val="1"/>
                <w:bCs w:val="1"/>
                <w:color w:val="1F2668"/>
              </w:rPr>
              <w:t>​</w:t>
            </w:r>
          </w:p>
        </w:tc>
        <w:tc>
          <w:tcPr>
            <w:tcW w:w="0" w:type="dxa"/>
            <w:vAlign w:val="bottom"/>
          </w:tcPr>
          <w:p>
            <w:pPr>
              <w:spacing w:after="0"/>
              <w:rPr>
                <w:sz w:val="1"/>
                <w:szCs w:val="1"/>
                <w:color w:val="auto"/>
              </w:rPr>
            </w:pPr>
          </w:p>
        </w:tc>
      </w:tr>
      <w:tr>
        <w:trPr>
          <w:trHeight w:val="978"/>
        </w:trPr>
        <w:tc>
          <w:tcPr>
            <w:tcW w:w="820" w:type="dxa"/>
            <w:vAlign w:val="bottom"/>
          </w:tcPr>
          <w:p>
            <w:pPr>
              <w:spacing w:after="0"/>
              <w:rPr>
                <w:sz w:val="24"/>
                <w:szCs w:val="24"/>
                <w:color w:val="auto"/>
              </w:rPr>
            </w:pPr>
          </w:p>
        </w:tc>
        <w:tc>
          <w:tcPr>
            <w:tcW w:w="8480" w:type="dxa"/>
            <w:vAlign w:val="bottom"/>
            <w:gridSpan w:val="3"/>
          </w:tcPr>
          <w:p>
            <w:pPr>
              <w:spacing w:after="0"/>
              <w:rPr>
                <w:sz w:val="20"/>
                <w:szCs w:val="20"/>
                <w:color w:val="auto"/>
              </w:rPr>
            </w:pPr>
            <w:r>
              <w:rPr>
                <w:rFonts w:ascii="Arial" w:cs="Arial" w:eastAsia="Arial" w:hAnsi="Arial"/>
                <w:sz w:val="38"/>
                <w:szCs w:val="38"/>
                <w:b w:val="1"/>
                <w:bCs w:val="1"/>
                <w:color w:val="1F2668"/>
              </w:rPr>
              <w:t>EXECUTIVE COMPENSATION</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8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20" w:type="dxa"/>
            <w:vAlign w:val="bottom"/>
            <w:tcBorders>
              <w:bottom w:val="single" w:sz="8" w:color="E9F9D8"/>
            </w:tcBorders>
            <w:vMerge w:val="restart"/>
            <w:shd w:val="clear" w:color="auto" w:fill="E9F9D8"/>
          </w:tcPr>
          <w:p>
            <w:pPr>
              <w:spacing w:after="0"/>
              <w:rPr>
                <w:sz w:val="24"/>
                <w:szCs w:val="24"/>
                <w:color w:val="auto"/>
              </w:rPr>
            </w:pPr>
          </w:p>
        </w:tc>
        <w:tc>
          <w:tcPr>
            <w:tcW w:w="1920" w:type="dxa"/>
            <w:vAlign w:val="bottom"/>
            <w:tcBorders>
              <w:bottom w:val="single" w:sz="8" w:color="E9F9D8"/>
            </w:tcBorders>
            <w:vMerge w:val="restart"/>
            <w:shd w:val="clear" w:color="auto" w:fill="E9F9D8"/>
          </w:tcPr>
          <w:p>
            <w:pPr>
              <w:spacing w:after="0"/>
              <w:rPr>
                <w:sz w:val="20"/>
                <w:szCs w:val="20"/>
                <w:color w:val="auto"/>
              </w:rPr>
            </w:pPr>
            <w:r>
              <w:rPr>
                <w:rFonts w:ascii="Arial" w:cs="Arial" w:eastAsia="Arial" w:hAnsi="Arial"/>
                <w:sz w:val="22"/>
                <w:szCs w:val="22"/>
                <w:b w:val="1"/>
                <w:bCs w:val="1"/>
                <w:color w:val="83AD40"/>
              </w:rPr>
              <w:t>PROPOSAL 2</w:t>
            </w:r>
            <w:r>
              <w:rPr>
                <w:rFonts w:ascii="Arial" w:cs="Arial" w:eastAsia="Arial" w:hAnsi="Arial"/>
                <w:sz w:val="16"/>
                <w:szCs w:val="16"/>
                <w:color w:val="000000"/>
              </w:rPr>
              <w:t>​</w:t>
            </w:r>
          </w:p>
        </w:tc>
        <w:tc>
          <w:tcPr>
            <w:tcW w:w="2200" w:type="dxa"/>
            <w:vAlign w:val="bottom"/>
            <w:tcBorders>
              <w:bottom w:val="single" w:sz="8" w:color="83AD40"/>
            </w:tcBorders>
            <w:shd w:val="clear" w:color="auto" w:fill="E9F9D8"/>
          </w:tcPr>
          <w:p>
            <w:pPr>
              <w:spacing w:after="0"/>
              <w:rPr>
                <w:sz w:val="24"/>
                <w:szCs w:val="24"/>
                <w:color w:val="auto"/>
              </w:rPr>
            </w:pPr>
          </w:p>
        </w:tc>
        <w:tc>
          <w:tcPr>
            <w:tcW w:w="4360" w:type="dxa"/>
            <w:vAlign w:val="bottom"/>
            <w:tcBorders>
              <w:bottom w:val="single" w:sz="8" w:color="E9F9D8"/>
            </w:tcBorders>
            <w:shd w:val="clear" w:color="auto" w:fill="E9F9D8"/>
          </w:tcPr>
          <w:p>
            <w:pPr>
              <w:spacing w:after="0"/>
              <w:rPr>
                <w:sz w:val="24"/>
                <w:szCs w:val="24"/>
                <w:color w:val="auto"/>
              </w:rPr>
            </w:pPr>
          </w:p>
        </w:tc>
        <w:tc>
          <w:tcPr>
            <w:tcW w:w="1400" w:type="dxa"/>
            <w:vAlign w:val="bottom"/>
            <w:tcBorders>
              <w:bottom w:val="single" w:sz="8" w:color="E9F9D8"/>
            </w:tcBorders>
            <w:vMerge w:val="restart"/>
            <w:shd w:val="clear" w:color="auto" w:fill="E9F9D8"/>
          </w:tcPr>
          <w:p>
            <w:pPr>
              <w:ind w:left="600"/>
              <w:spacing w:after="0"/>
              <w:rPr>
                <w:sz w:val="20"/>
                <w:szCs w:val="20"/>
                <w:color w:val="auto"/>
              </w:rPr>
            </w:pPr>
            <w:r>
              <w:rPr>
                <w:rFonts w:ascii="Arial" w:cs="Arial" w:eastAsia="Arial" w:hAnsi="Arial"/>
                <w:sz w:val="32"/>
                <w:szCs w:val="32"/>
                <w:b w:val="1"/>
                <w:bCs w:val="1"/>
                <w:color w:val="1F2668"/>
              </w:rPr>
              <w:t>​</w:t>
            </w:r>
          </w:p>
        </w:tc>
        <w:tc>
          <w:tcPr>
            <w:tcW w:w="0" w:type="dxa"/>
            <w:vAlign w:val="bottom"/>
          </w:tcPr>
          <w:p>
            <w:pPr>
              <w:spacing w:after="0"/>
              <w:rPr>
                <w:sz w:val="1"/>
                <w:szCs w:val="1"/>
                <w:color w:val="auto"/>
              </w:rPr>
            </w:pPr>
          </w:p>
        </w:tc>
      </w:tr>
      <w:tr>
        <w:trPr>
          <w:trHeight w:val="141"/>
        </w:trPr>
        <w:tc>
          <w:tcPr>
            <w:tcW w:w="820" w:type="dxa"/>
            <w:vAlign w:val="bottom"/>
            <w:vMerge w:val="continue"/>
            <w:shd w:val="clear" w:color="auto" w:fill="E9F9D8"/>
          </w:tcPr>
          <w:p>
            <w:pPr>
              <w:spacing w:after="0"/>
              <w:rPr>
                <w:sz w:val="12"/>
                <w:szCs w:val="12"/>
                <w:color w:val="auto"/>
              </w:rPr>
            </w:pPr>
          </w:p>
        </w:tc>
        <w:tc>
          <w:tcPr>
            <w:tcW w:w="1920" w:type="dxa"/>
            <w:vAlign w:val="bottom"/>
            <w:vMerge w:val="continue"/>
            <w:shd w:val="clear" w:color="auto" w:fill="E9F9D8"/>
          </w:tcPr>
          <w:p>
            <w:pPr>
              <w:spacing w:after="0"/>
              <w:rPr>
                <w:sz w:val="12"/>
                <w:szCs w:val="12"/>
                <w:color w:val="auto"/>
              </w:rPr>
            </w:pPr>
          </w:p>
        </w:tc>
        <w:tc>
          <w:tcPr>
            <w:tcW w:w="2200" w:type="dxa"/>
            <w:vAlign w:val="bottom"/>
            <w:shd w:val="clear" w:color="auto" w:fill="E9F9D8"/>
          </w:tcPr>
          <w:p>
            <w:pPr>
              <w:spacing w:after="0"/>
              <w:rPr>
                <w:sz w:val="12"/>
                <w:szCs w:val="12"/>
                <w:color w:val="auto"/>
              </w:rPr>
            </w:pPr>
          </w:p>
        </w:tc>
        <w:tc>
          <w:tcPr>
            <w:tcW w:w="4360" w:type="dxa"/>
            <w:vAlign w:val="bottom"/>
            <w:shd w:val="clear" w:color="auto" w:fill="E9F9D8"/>
          </w:tcPr>
          <w:p>
            <w:pPr>
              <w:spacing w:after="0"/>
              <w:rPr>
                <w:sz w:val="12"/>
                <w:szCs w:val="12"/>
                <w:color w:val="auto"/>
              </w:rPr>
            </w:pPr>
          </w:p>
        </w:tc>
        <w:tc>
          <w:tcPr>
            <w:tcW w:w="1400" w:type="dxa"/>
            <w:vAlign w:val="bottom"/>
            <w:vMerge w:val="continue"/>
            <w:shd w:val="clear" w:color="auto" w:fill="E9F9D8"/>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820" w:type="dxa"/>
            <w:vAlign w:val="bottom"/>
            <w:shd w:val="clear" w:color="auto" w:fill="E9F9D8"/>
          </w:tcPr>
          <w:p>
            <w:pPr>
              <w:spacing w:after="0"/>
              <w:rPr>
                <w:sz w:val="24"/>
                <w:szCs w:val="24"/>
                <w:color w:val="auto"/>
              </w:rPr>
            </w:pPr>
          </w:p>
        </w:tc>
        <w:tc>
          <w:tcPr>
            <w:tcW w:w="8480" w:type="dxa"/>
            <w:vAlign w:val="bottom"/>
            <w:gridSpan w:val="3"/>
            <w:vMerge w:val="restart"/>
            <w:shd w:val="clear" w:color="auto" w:fill="E9F9D8"/>
          </w:tcPr>
          <w:p>
            <w:pPr>
              <w:spacing w:after="0"/>
              <w:rPr>
                <w:sz w:val="20"/>
                <w:szCs w:val="20"/>
                <w:color w:val="auto"/>
              </w:rPr>
            </w:pPr>
            <w:r>
              <w:rPr>
                <w:rFonts w:ascii="Arial" w:cs="Arial" w:eastAsia="Arial" w:hAnsi="Arial"/>
                <w:sz w:val="32"/>
                <w:szCs w:val="32"/>
                <w:b w:val="1"/>
                <w:bCs w:val="1"/>
                <w:color w:val="1F2668"/>
              </w:rPr>
              <w:t>ADVISORY VOTE ON THE COMPENSATION OF OUR</w:t>
            </w:r>
          </w:p>
        </w:tc>
        <w:tc>
          <w:tcPr>
            <w:tcW w:w="1400" w:type="dxa"/>
            <w:vAlign w:val="bottom"/>
            <w:vMerge w:val="continue"/>
            <w:shd w:val="clear" w:color="auto" w:fill="E9F9D8"/>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820" w:type="dxa"/>
            <w:vAlign w:val="bottom"/>
          </w:tcPr>
          <w:p>
            <w:pPr>
              <w:spacing w:after="0" w:line="347" w:lineRule="exact"/>
              <w:rPr>
                <w:sz w:val="20"/>
                <w:szCs w:val="20"/>
                <w:color w:val="auto"/>
              </w:rPr>
            </w:pPr>
            <w:r>
              <w:rPr>
                <w:rFonts w:ascii="Arial" w:cs="Arial" w:eastAsia="Arial" w:hAnsi="Arial"/>
                <w:sz w:val="32"/>
                <w:szCs w:val="32"/>
                <w:b w:val="1"/>
                <w:bCs w:val="1"/>
                <w:color w:val="1F2668"/>
              </w:rPr>
              <w:t>​</w:t>
            </w:r>
          </w:p>
        </w:tc>
        <w:tc>
          <w:tcPr>
            <w:tcW w:w="8480" w:type="dxa"/>
            <w:vAlign w:val="bottom"/>
            <w:gridSpan w:val="3"/>
            <w:vMerge w:val="continue"/>
            <w:shd w:val="clear" w:color="auto" w:fill="E9F9D8"/>
          </w:tcPr>
          <w:p>
            <w:pPr>
              <w:spacing w:after="0"/>
              <w:rPr>
                <w:sz w:val="24"/>
                <w:szCs w:val="24"/>
                <w:color w:val="auto"/>
              </w:rPr>
            </w:pPr>
          </w:p>
        </w:tc>
        <w:tc>
          <w:tcPr>
            <w:tcW w:w="1400" w:type="dxa"/>
            <w:vAlign w:val="bottom"/>
            <w:vMerge w:val="continue"/>
            <w:shd w:val="clear" w:color="auto" w:fill="E9F9D8"/>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820" w:type="dxa"/>
            <w:vAlign w:val="bottom"/>
          </w:tcPr>
          <w:p>
            <w:pPr>
              <w:spacing w:after="0"/>
              <w:rPr>
                <w:sz w:val="24"/>
                <w:szCs w:val="24"/>
                <w:color w:val="auto"/>
              </w:rPr>
            </w:pPr>
          </w:p>
        </w:tc>
        <w:tc>
          <w:tcPr>
            <w:tcW w:w="8480" w:type="dxa"/>
            <w:vAlign w:val="bottom"/>
            <w:gridSpan w:val="3"/>
            <w:shd w:val="clear" w:color="auto" w:fill="E9F9D8"/>
          </w:tcPr>
          <w:p>
            <w:pPr>
              <w:spacing w:after="0"/>
              <w:rPr>
                <w:sz w:val="20"/>
                <w:szCs w:val="20"/>
                <w:color w:val="auto"/>
              </w:rPr>
            </w:pPr>
            <w:r>
              <w:rPr>
                <w:rFonts w:ascii="Arial" w:cs="Arial" w:eastAsia="Arial" w:hAnsi="Arial"/>
                <w:sz w:val="32"/>
                <w:szCs w:val="32"/>
                <w:b w:val="1"/>
                <w:bCs w:val="1"/>
                <w:color w:val="1F2668"/>
              </w:rPr>
              <w:t>NAMED EXECUTIVE OFFICERS</w:t>
            </w:r>
            <w:r>
              <w:rPr>
                <w:rFonts w:ascii="Arial" w:cs="Arial" w:eastAsia="Arial" w:hAnsi="Arial"/>
                <w:sz w:val="16"/>
                <w:szCs w:val="16"/>
                <w:color w:val="000000"/>
              </w:rPr>
              <w:t>​</w:t>
            </w:r>
          </w:p>
        </w:tc>
        <w:tc>
          <w:tcPr>
            <w:tcW w:w="1400" w:type="dxa"/>
            <w:vAlign w:val="bottom"/>
            <w:shd w:val="clear" w:color="auto" w:fill="E9F9D8"/>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820" w:type="dxa"/>
            <w:vAlign w:val="bottom"/>
          </w:tcPr>
          <w:p>
            <w:pPr>
              <w:spacing w:after="0"/>
              <w:rPr>
                <w:sz w:val="3"/>
                <w:szCs w:val="3"/>
                <w:color w:val="auto"/>
              </w:rPr>
            </w:pPr>
          </w:p>
        </w:tc>
        <w:tc>
          <w:tcPr>
            <w:tcW w:w="1920" w:type="dxa"/>
            <w:vAlign w:val="bottom"/>
            <w:shd w:val="clear" w:color="auto" w:fill="E9F9D8"/>
          </w:tcPr>
          <w:p>
            <w:pPr>
              <w:spacing w:after="0"/>
              <w:rPr>
                <w:sz w:val="3"/>
                <w:szCs w:val="3"/>
                <w:color w:val="auto"/>
              </w:rPr>
            </w:pPr>
          </w:p>
        </w:tc>
        <w:tc>
          <w:tcPr>
            <w:tcW w:w="2200" w:type="dxa"/>
            <w:vAlign w:val="bottom"/>
            <w:shd w:val="clear" w:color="auto" w:fill="E9F9D8"/>
          </w:tcPr>
          <w:p>
            <w:pPr>
              <w:spacing w:after="0"/>
              <w:rPr>
                <w:sz w:val="3"/>
                <w:szCs w:val="3"/>
                <w:color w:val="auto"/>
              </w:rPr>
            </w:pPr>
          </w:p>
        </w:tc>
        <w:tc>
          <w:tcPr>
            <w:tcW w:w="4360" w:type="dxa"/>
            <w:vAlign w:val="bottom"/>
            <w:shd w:val="clear" w:color="auto" w:fill="E9F9D8"/>
          </w:tcPr>
          <w:p>
            <w:pPr>
              <w:spacing w:after="0"/>
              <w:rPr>
                <w:sz w:val="3"/>
                <w:szCs w:val="3"/>
                <w:color w:val="auto"/>
              </w:rPr>
            </w:pPr>
          </w:p>
        </w:tc>
        <w:tc>
          <w:tcPr>
            <w:tcW w:w="1400" w:type="dxa"/>
            <w:vAlign w:val="bottom"/>
            <w:shd w:val="clear" w:color="auto" w:fill="E9F9D8"/>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-1079500</wp:posOffset>
            </wp:positionV>
            <wp:extent cx="6789420" cy="58547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789420" cy="5854700"/>
                    </a:xfrm>
                    <a:prstGeom prst="rect">
                      <a:avLst/>
                    </a:prstGeom>
                    <a:noFill/>
                  </pic:spPr>
                </pic:pic>
              </a:graphicData>
            </a:graphic>
          </wp:anchor>
        </w:drawing>
      </w:r>
    </w:p>
    <w:p>
      <w:pPr>
        <w:sectPr>
          <w:pgSz w:w="11900" w:h="16838" w:orient="portrait"/>
          <w:cols w:equalWidth="0" w:num="1">
            <w:col w:w="10700"/>
          </w:cols>
          <w:pgMar w:left="580" w:top="97" w:right="619" w:bottom="1440" w:gutter="0" w:footer="0" w:header="0"/>
        </w:sect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In accordance with the requirements of Section 14A(a)(1) of the Securities Exchange Act of 1934, as amended, and related SEC rules, we are asking our stockholders to vote to approve, on a non-binding, advisory basis, the compensation of our named executive officers, as disclosed in this proxy statement. This is commonly known as, and is referred to herein as, a “say-on-pay” proposal or resolution.</w:t>
      </w:r>
    </w:p>
    <w:p>
      <w:pPr>
        <w:spacing w:after="0" w:line="195" w:lineRule="exact"/>
        <w:rPr>
          <w:sz w:val="20"/>
          <w:szCs w:val="20"/>
          <w:color w:val="auto"/>
        </w:rPr>
      </w:pPr>
    </w:p>
    <w:p>
      <w:pPr>
        <w:spacing w:after="0" w:line="281" w:lineRule="auto"/>
        <w:rPr>
          <w:sz w:val="20"/>
          <w:szCs w:val="20"/>
          <w:color w:val="auto"/>
        </w:rPr>
      </w:pPr>
      <w:r>
        <w:rPr>
          <w:rFonts w:ascii="Arial" w:cs="Arial" w:eastAsia="Arial" w:hAnsi="Arial"/>
          <w:sz w:val="15"/>
          <w:szCs w:val="15"/>
          <w:color w:val="auto"/>
        </w:rPr>
        <w:t>At our 2023 annual stockholder meeting, our stockholders voted, on a non-binding, advisory basis, by an affirmative vote of a majority of all votes cast, that the Company should continue to hold future non-binding advisory votes on executive compensation on an annual basis. On June 5, 2023, the Board determined that it will include future advisory votes on the compensation of our named executive officers in the Company’s annual meeting proxy materials every year until the next advisory vote on the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746" w:lineRule="exact"/>
        <w:rPr>
          <w:sz w:val="20"/>
          <w:szCs w:val="20"/>
          <w:color w:val="auto"/>
        </w:rPr>
      </w:pPr>
    </w:p>
    <w:p>
      <w:pPr>
        <w:sectPr>
          <w:pgSz w:w="11900" w:h="16838" w:orient="portrait"/>
          <w:cols w:equalWidth="0" w:num="3">
            <w:col w:w="100" w:space="720"/>
            <w:col w:w="9040" w:space="40"/>
            <w:col w:w="800"/>
          </w:cols>
          <w:pgMar w:left="580" w:top="97" w:right="619" w:bottom="1440" w:gutter="0" w:footer="0" w:header="0"/>
          <w:type w:val="continuous"/>
        </w:sectPr>
      </w:pPr>
    </w:p>
    <w:tbl>
      <w:tblPr>
        <w:tblLayout w:type="fixed"/>
        <w:tblInd w:w="0" w:type="dxa"/>
        <w:tblCellMar>
          <w:top w:w="0" w:type="dxa"/>
          <w:left w:w="0" w:type="dxa"/>
          <w:bottom w:w="0" w:type="dxa"/>
          <w:right w:w="0" w:type="dxa"/>
        </w:tblCellMar>
      </w:tblPr>
      <w:tr>
        <w:trPr>
          <w:trHeight w:val="178"/>
        </w:trPr>
        <w:tc>
          <w:tcPr>
            <w:tcW w:w="440" w:type="dxa"/>
            <w:vAlign w:val="bottom"/>
          </w:tcPr>
          <w:p>
            <w:pPr>
              <w:spacing w:after="0"/>
              <w:rPr>
                <w:sz w:val="15"/>
                <w:szCs w:val="15"/>
                <w:color w:val="auto"/>
              </w:rPr>
            </w:pPr>
          </w:p>
        </w:tc>
        <w:tc>
          <w:tcPr>
            <w:tcW w:w="9200" w:type="dxa"/>
            <w:vAlign w:val="bottom"/>
          </w:tcPr>
          <w:p>
            <w:pPr>
              <w:ind w:left="380"/>
              <w:spacing w:after="0" w:line="178" w:lineRule="exact"/>
              <w:rPr>
                <w:sz w:val="20"/>
                <w:szCs w:val="20"/>
                <w:color w:val="auto"/>
              </w:rPr>
            </w:pPr>
            <w:r>
              <w:rPr>
                <w:rFonts w:ascii="Arial" w:cs="Arial" w:eastAsia="Arial" w:hAnsi="Arial"/>
                <w:sz w:val="16"/>
                <w:szCs w:val="16"/>
                <w:color w:val="auto"/>
              </w:rPr>
              <w:t>frequency of stockholder votes on executive compensation, which will occur no later than the 2029 annual meeting of</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40" w:type="dxa"/>
            <w:vAlign w:val="bottom"/>
          </w:tcPr>
          <w:p>
            <w:pPr>
              <w:spacing w:after="0"/>
              <w:rPr>
                <w:sz w:val="18"/>
                <w:szCs w:val="18"/>
                <w:color w:val="auto"/>
              </w:rPr>
            </w:pPr>
          </w:p>
        </w:tc>
        <w:tc>
          <w:tcPr>
            <w:tcW w:w="9200" w:type="dxa"/>
            <w:vAlign w:val="bottom"/>
          </w:tcPr>
          <w:p>
            <w:pPr>
              <w:ind w:left="380"/>
              <w:spacing w:after="0"/>
              <w:rPr>
                <w:sz w:val="20"/>
                <w:szCs w:val="20"/>
                <w:color w:val="auto"/>
              </w:rPr>
            </w:pPr>
            <w:r>
              <w:rPr>
                <w:rFonts w:ascii="Arial" w:cs="Arial" w:eastAsia="Arial" w:hAnsi="Arial"/>
                <w:sz w:val="16"/>
                <w:szCs w:val="16"/>
                <w:color w:val="auto"/>
              </w:rPr>
              <w:t>stockholders.</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0"/>
        </w:trPr>
        <w:tc>
          <w:tcPr>
            <w:tcW w:w="440" w:type="dxa"/>
            <w:vAlign w:val="bottom"/>
          </w:tcPr>
          <w:p>
            <w:pPr>
              <w:spacing w:after="0"/>
              <w:rPr>
                <w:sz w:val="20"/>
                <w:szCs w:val="20"/>
                <w:color w:val="auto"/>
              </w:rPr>
            </w:pPr>
            <w:r>
              <w:rPr>
                <w:rFonts w:ascii="Arial" w:cs="Arial" w:eastAsia="Arial" w:hAnsi="Arial"/>
                <w:sz w:val="16"/>
                <w:szCs w:val="16"/>
                <w:color w:val="auto"/>
              </w:rPr>
              <w:t>​</w:t>
            </w:r>
          </w:p>
        </w:tc>
        <w:tc>
          <w:tcPr>
            <w:tcW w:w="9500" w:type="dxa"/>
            <w:vAlign w:val="bottom"/>
            <w:gridSpan w:val="2"/>
          </w:tcPr>
          <w:p>
            <w:pPr>
              <w:ind w:left="380"/>
              <w:spacing w:after="0"/>
              <w:rPr>
                <w:sz w:val="20"/>
                <w:szCs w:val="20"/>
                <w:color w:val="auto"/>
              </w:rPr>
            </w:pPr>
            <w:r>
              <w:rPr>
                <w:rFonts w:ascii="Arial" w:cs="Arial" w:eastAsia="Arial" w:hAnsi="Arial"/>
                <w:sz w:val="16"/>
                <w:szCs w:val="16"/>
                <w:color w:val="auto"/>
                <w:w w:val="99"/>
              </w:rPr>
              <w:t>Accordingly, the Company is providing stockholders with the opportunity to approve the following non-binding, advisory resolution:</w:t>
            </w:r>
            <w:r>
              <w:rPr>
                <w:rFonts w:ascii="Arial" w:cs="Arial" w:eastAsia="Arial" w:hAnsi="Arial"/>
                <w:sz w:val="32"/>
                <w:szCs w:val="32"/>
                <w:color w:val="auto"/>
                <w:w w:val="99"/>
                <w:vertAlign w:val="superscript"/>
              </w:rPr>
              <w:t>​</w:t>
            </w:r>
          </w:p>
        </w:tc>
        <w:tc>
          <w:tcPr>
            <w:tcW w:w="0" w:type="dxa"/>
            <w:vAlign w:val="bottom"/>
          </w:tcPr>
          <w:p>
            <w:pPr>
              <w:spacing w:after="0"/>
              <w:rPr>
                <w:sz w:val="1"/>
                <w:szCs w:val="1"/>
                <w:color w:val="auto"/>
              </w:rPr>
            </w:pPr>
          </w:p>
        </w:tc>
      </w:tr>
      <w:tr>
        <w:trPr>
          <w:trHeight w:val="415"/>
        </w:trPr>
        <w:tc>
          <w:tcPr>
            <w:tcW w:w="440" w:type="dxa"/>
            <w:vAlign w:val="bottom"/>
          </w:tcPr>
          <w:p>
            <w:pPr>
              <w:spacing w:after="0"/>
              <w:rPr>
                <w:sz w:val="20"/>
                <w:szCs w:val="20"/>
                <w:color w:val="auto"/>
              </w:rPr>
            </w:pPr>
            <w:r>
              <w:rPr>
                <w:rFonts w:ascii="Arial" w:cs="Arial" w:eastAsia="Arial" w:hAnsi="Arial"/>
                <w:sz w:val="16"/>
                <w:szCs w:val="16"/>
                <w:color w:val="auto"/>
              </w:rPr>
              <w:t>​</w:t>
            </w:r>
          </w:p>
        </w:tc>
        <w:tc>
          <w:tcPr>
            <w:tcW w:w="9200" w:type="dxa"/>
            <w:vAlign w:val="bottom"/>
            <w:vMerge w:val="restart"/>
          </w:tcPr>
          <w:p>
            <w:pPr>
              <w:ind w:left="380"/>
              <w:spacing w:after="0"/>
              <w:rPr>
                <w:sz w:val="20"/>
                <w:szCs w:val="20"/>
                <w:color w:val="auto"/>
              </w:rPr>
            </w:pPr>
            <w:r>
              <w:rPr>
                <w:rFonts w:ascii="Arial" w:cs="Arial" w:eastAsia="Arial" w:hAnsi="Arial"/>
                <w:sz w:val="16"/>
                <w:szCs w:val="16"/>
                <w:color w:val="auto"/>
              </w:rPr>
              <w:t>“RESOLVED, that the compensation paid to the Company’s named executive officers, as disclosed in this proxy statement</w:t>
            </w:r>
          </w:p>
        </w:tc>
        <w:tc>
          <w:tcPr>
            <w:tcW w:w="300" w:type="dxa"/>
            <w:vAlign w:val="bottom"/>
          </w:tcPr>
          <w:p>
            <w:pPr>
              <w:ind w:lef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1"/>
        </w:trPr>
        <w:tc>
          <w:tcPr>
            <w:tcW w:w="440" w:type="dxa"/>
            <w:vAlign w:val="bottom"/>
          </w:tcPr>
          <w:p>
            <w:pPr>
              <w:spacing w:after="0"/>
              <w:rPr>
                <w:sz w:val="10"/>
                <w:szCs w:val="10"/>
                <w:color w:val="auto"/>
              </w:rPr>
            </w:pPr>
          </w:p>
        </w:tc>
        <w:tc>
          <w:tcPr>
            <w:tcW w:w="92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700"/>
          </w:cols>
          <w:pgMar w:left="580" w:top="97" w:right="619" w:bottom="1440" w:gutter="0" w:footer="0" w:header="0"/>
          <w:type w:val="continuous"/>
        </w:sectPr>
      </w:pPr>
    </w:p>
    <w:p>
      <w:pPr>
        <w:ind w:left="820"/>
        <w:spacing w:after="0" w:line="270" w:lineRule="auto"/>
        <w:rPr>
          <w:sz w:val="20"/>
          <w:szCs w:val="20"/>
          <w:color w:val="auto"/>
        </w:rPr>
      </w:pPr>
      <w:r>
        <w:rPr>
          <w:rFonts w:ascii="Arial" w:cs="Arial" w:eastAsia="Arial" w:hAnsi="Arial"/>
          <w:sz w:val="16"/>
          <w:szCs w:val="16"/>
          <w:color w:val="auto"/>
        </w:rPr>
        <w:t>pursuant to Item 402 of Regulation S-K, including the Compensation Discussion and Analysis, compensation tables and narrative discussion, is hereby APPROVED.”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ind w:left="820"/>
        <w:spacing w:after="0"/>
        <w:rPr>
          <w:sz w:val="20"/>
          <w:szCs w:val="20"/>
          <w:color w:val="auto"/>
        </w:rPr>
      </w:pPr>
      <w:r>
        <w:rPr>
          <w:rFonts w:ascii="Arial" w:cs="Arial" w:eastAsia="Arial" w:hAnsi="Arial"/>
          <w:sz w:val="16"/>
          <w:szCs w:val="16"/>
          <w:color w:val="auto"/>
        </w:rPr>
        <w:t>The affirmative vote of a majority of all the votes cast with respect to this proposal will be required to approve this proposal.</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ind w:left="820" w:right="120"/>
        <w:spacing w:after="0" w:line="264" w:lineRule="auto"/>
        <w:rPr>
          <w:sz w:val="20"/>
          <w:szCs w:val="20"/>
          <w:color w:val="auto"/>
        </w:rPr>
      </w:pPr>
      <w:r>
        <w:rPr>
          <w:rFonts w:ascii="Arial" w:cs="Arial" w:eastAsia="Arial" w:hAnsi="Arial"/>
          <w:sz w:val="16"/>
          <w:szCs w:val="16"/>
          <w:color w:val="auto"/>
        </w:rPr>
        <w:t>The results of this advisory vote are not binding on the Compensation Committee, the Company or the Board. Nevertheless, we value input from our stockholders and will consider carefully the results of this vote when making future decisions concerning executive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760" w:lineRule="exact"/>
        <w:rPr>
          <w:sz w:val="20"/>
          <w:szCs w:val="20"/>
          <w:color w:val="auto"/>
        </w:rPr>
      </w:pPr>
    </w:p>
    <w:p>
      <w:pPr>
        <w:sectPr>
          <w:pgSz w:w="11900" w:h="16838" w:orient="portrait"/>
          <w:cols w:equalWidth="0" w:num="2">
            <w:col w:w="9860" w:space="40"/>
            <w:col w:w="800"/>
          </w:cols>
          <w:pgMar w:left="580" w:top="97" w:right="619" w:bottom="1440" w:gutter="0" w:footer="0" w:header="0"/>
          <w:type w:val="continuous"/>
        </w:sectPr>
      </w:pPr>
    </w:p>
    <w:p>
      <w:pPr>
        <w:spacing w:after="0" w:line="85" w:lineRule="exact"/>
        <w:rPr>
          <w:sz w:val="20"/>
          <w:szCs w:val="20"/>
          <w:color w:val="auto"/>
        </w:rPr>
      </w:pPr>
    </w:p>
    <w:p>
      <w:pPr>
        <w:ind w:left="820"/>
        <w:spacing w:after="0"/>
        <w:tabs>
          <w:tab w:leader="none" w:pos="7600" w:val="left"/>
          <w:tab w:leader="none" w:pos="7840" w:val="left"/>
          <w:tab w:leader="none" w:pos="9400" w:val="left"/>
        </w:tabs>
        <w:rPr>
          <w:sz w:val="20"/>
          <w:szCs w:val="20"/>
          <w:color w:val="auto"/>
        </w:rPr>
      </w:pPr>
      <w:r>
        <w:rPr>
          <w:rFonts w:ascii="Arial" w:cs="Arial" w:eastAsia="Arial" w:hAnsi="Arial"/>
          <w:sz w:val="20"/>
          <w:szCs w:val="20"/>
          <w:b w:val="1"/>
          <w:bCs w:val="1"/>
          <w:color w:val="1F2668"/>
        </w:rPr>
        <w:t>​</w:t>
      </w:r>
      <w:r>
        <w:rPr>
          <w:sz w:val="20"/>
          <w:szCs w:val="20"/>
          <w:color w:val="auto"/>
        </w:rPr>
        <w:tab/>
      </w:r>
      <w:r>
        <w:rPr>
          <w:rFonts w:ascii="Arial" w:cs="Arial" w:eastAsia="Arial" w:hAnsi="Arial"/>
          <w:sz w:val="20"/>
          <w:szCs w:val="20"/>
          <w:b w:val="1"/>
          <w:bCs w:val="1"/>
          <w:color w:val="1F2668"/>
        </w:rPr>
        <w:t>​</w:t>
        <w:tab/>
        <w:t>​</w:t>
      </w:r>
      <w:r>
        <w:rPr>
          <w:sz w:val="20"/>
          <w:szCs w:val="20"/>
          <w:color w:val="auto"/>
        </w:rPr>
        <w:tab/>
      </w:r>
      <w:r>
        <w:rPr>
          <w:rFonts w:ascii="Arial" w:cs="Arial" w:eastAsia="Arial" w:hAnsi="Arial"/>
          <w:sz w:val="20"/>
          <w:szCs w:val="20"/>
          <w:b w:val="1"/>
          <w:bCs w:val="1"/>
          <w:color w:val="1F2668"/>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6277610</wp:posOffset>
            </wp:positionH>
            <wp:positionV relativeFrom="paragraph">
              <wp:posOffset>-130175</wp:posOffset>
            </wp:positionV>
            <wp:extent cx="514350" cy="136271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14350" cy="1362710"/>
                    </a:xfrm>
                    <a:prstGeom prst="rect">
                      <a:avLst/>
                    </a:prstGeom>
                    <a:noFill/>
                  </pic:spPr>
                </pic:pic>
              </a:graphicData>
            </a:graphic>
          </wp:anchor>
        </w:drawing>
      </w:r>
    </w:p>
    <w:p>
      <w:pPr>
        <w:spacing w:after="0" w:line="74" w:lineRule="exact"/>
        <w:rPr>
          <w:sz w:val="20"/>
          <w:szCs w:val="20"/>
          <w:color w:val="auto"/>
        </w:rPr>
      </w:pPr>
    </w:p>
    <w:p>
      <w:pPr>
        <w:ind w:left="1080" w:right="3340"/>
        <w:spacing w:after="0" w:line="254" w:lineRule="auto"/>
        <w:rPr>
          <w:sz w:val="20"/>
          <w:szCs w:val="20"/>
          <w:color w:val="auto"/>
        </w:rPr>
      </w:pPr>
      <w:r>
        <w:rPr>
          <w:rFonts w:ascii="Arial" w:cs="Arial" w:eastAsia="Arial" w:hAnsi="Arial"/>
          <w:sz w:val="20"/>
          <w:szCs w:val="20"/>
          <w:b w:val="1"/>
          <w:bCs w:val="1"/>
          <w:color w:val="1F2668"/>
        </w:rPr>
        <w:t xml:space="preserve">The Board unanimously recommends a vote </w:t>
      </w:r>
      <w:r>
        <w:rPr>
          <w:rFonts w:ascii="Arial" w:cs="Arial" w:eastAsia="Arial" w:hAnsi="Arial"/>
          <w:sz w:val="20"/>
          <w:szCs w:val="20"/>
          <w:b w:val="1"/>
          <w:bCs w:val="1"/>
          <w:color w:val="83AD40"/>
        </w:rPr>
        <w:t>“FOR”</w:t>
      </w:r>
      <w:r>
        <w:rPr>
          <w:rFonts w:ascii="Arial" w:cs="Arial" w:eastAsia="Arial" w:hAnsi="Arial"/>
          <w:sz w:val="20"/>
          <w:szCs w:val="20"/>
          <w:b w:val="1"/>
          <w:bCs w:val="1"/>
          <w:color w:val="1F2668"/>
        </w:rPr>
        <w:t xml:space="preserve"> the above resolution regarding the compensation of our named executive officers, as disclosed in the Compensation Discussion and Analysis section and the accompanying compensation tables and narrative discussion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227965</wp:posOffset>
            </wp:positionV>
            <wp:extent cx="5760720" cy="1714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760720" cy="17145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2238375</wp:posOffset>
            </wp:positionV>
            <wp:extent cx="683196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5360670</wp:posOffset>
            </wp:positionH>
            <wp:positionV relativeFrom="paragraph">
              <wp:posOffset>-765810</wp:posOffset>
            </wp:positionV>
            <wp:extent cx="411480" cy="41148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clrChange>
                        <a:clrFrom>
                          <a:srgbClr val="000000"/>
                        </a:clrFrom>
                        <a:clrTo>
                          <a:srgbClr val="000000">
                            <a:alpha val="0"/>
                          </a:srgbClr>
                        </a:clrTo>
                      </a:clrChange>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5360670</wp:posOffset>
            </wp:positionH>
            <wp:positionV relativeFrom="paragraph">
              <wp:posOffset>-765810</wp:posOffset>
            </wp:positionV>
            <wp:extent cx="411480" cy="41148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clrChange>
                        <a:clrFrom>
                          <a:srgbClr val="FFFFFF"/>
                        </a:clrFrom>
                        <a:clrTo>
                          <a:srgbClr val="FFFFFF">
                            <a:alpha val="0"/>
                          </a:srgbClr>
                        </a:clrTo>
                      </a:clrChange>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sectPr>
          <w:pgSz w:w="11900" w:h="16838" w:orient="portrait"/>
          <w:cols w:equalWidth="0" w:num="1">
            <w:col w:w="10700"/>
          </w:cols>
          <w:pgMar w:left="580" w:top="97" w:right="619"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5100" w:type="dxa"/>
            <w:vAlign w:val="bottom"/>
          </w:tcPr>
          <w:p>
            <w:pPr>
              <w:spacing w:after="0"/>
              <w:rPr>
                <w:sz w:val="20"/>
                <w:szCs w:val="20"/>
                <w:color w:val="auto"/>
              </w:rPr>
            </w:pPr>
            <w:r>
              <w:rPr>
                <w:rFonts w:ascii="Arial" w:cs="Arial" w:eastAsia="Arial" w:hAnsi="Arial"/>
                <w:sz w:val="14"/>
                <w:szCs w:val="14"/>
                <w:b w:val="1"/>
                <w:bCs w:val="1"/>
                <w:color w:val="auto"/>
              </w:rPr>
              <w:t>​</w:t>
            </w:r>
          </w:p>
        </w:tc>
        <w:tc>
          <w:tcPr>
            <w:tcW w:w="3480" w:type="dxa"/>
            <w:vAlign w:val="bottom"/>
          </w:tcPr>
          <w:p>
            <w:pPr>
              <w:ind w:left="3100"/>
              <w:spacing w:after="0"/>
              <w:rPr>
                <w:sz w:val="20"/>
                <w:szCs w:val="20"/>
                <w:color w:val="auto"/>
              </w:rPr>
            </w:pPr>
            <w:r>
              <w:rPr>
                <w:rFonts w:ascii="Arial" w:cs="Arial" w:eastAsia="Arial" w:hAnsi="Arial"/>
                <w:sz w:val="14"/>
                <w:szCs w:val="14"/>
                <w:b w:val="1"/>
                <w:bCs w:val="1"/>
                <w:color w:val="auto"/>
              </w:rPr>
              <w:t>​ ​</w:t>
            </w:r>
          </w:p>
        </w:tc>
        <w:tc>
          <w:tcPr>
            <w:tcW w:w="480" w:type="dxa"/>
            <w:vAlign w:val="bottom"/>
            <w:vMerge w:val="restart"/>
          </w:tcPr>
          <w:p>
            <w:pPr>
              <w:jc w:val="right"/>
              <w:spacing w:after="0"/>
              <w:rPr>
                <w:sz w:val="20"/>
                <w:szCs w:val="20"/>
                <w:color w:val="auto"/>
              </w:rPr>
            </w:pPr>
            <w:r>
              <w:rPr>
                <w:rFonts w:ascii="Arial" w:cs="Arial" w:eastAsia="Arial" w:hAnsi="Arial"/>
                <w:sz w:val="22"/>
                <w:szCs w:val="22"/>
                <w:b w:val="1"/>
                <w:bCs w:val="1"/>
                <w:color w:val="1F2668"/>
              </w:rPr>
              <w:t>41</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5100" w:type="dxa"/>
            <w:vAlign w:val="bottom"/>
          </w:tcPr>
          <w:p>
            <w:pPr>
              <w:spacing w:after="0"/>
              <w:rPr>
                <w:sz w:val="20"/>
                <w:szCs w:val="20"/>
                <w:color w:val="auto"/>
              </w:rPr>
            </w:pPr>
            <w:r>
              <w:rPr>
                <w:rFonts w:ascii="Arial" w:cs="Arial" w:eastAsia="Arial" w:hAnsi="Arial"/>
                <w:sz w:val="14"/>
                <w:szCs w:val="14"/>
                <w:b w:val="1"/>
                <w:bCs w:val="1"/>
                <w:color w:val="auto"/>
              </w:rPr>
              <w:t>EXECUTIVE COMPENSATION</w:t>
            </w:r>
          </w:p>
        </w:tc>
        <w:tc>
          <w:tcPr>
            <w:tcW w:w="348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820"/>
        <w:spacing w:after="0"/>
        <w:rPr>
          <w:sz w:val="20"/>
          <w:szCs w:val="20"/>
          <w:color w:val="auto"/>
        </w:rPr>
      </w:pPr>
      <w:r>
        <w:rPr>
          <w:rFonts w:ascii="Arial" w:cs="Arial" w:eastAsia="Arial" w:hAnsi="Arial"/>
          <w:sz w:val="29"/>
          <w:szCs w:val="29"/>
          <w:b w:val="1"/>
          <w:bCs w:val="1"/>
          <w:color w:val="83AD40"/>
        </w:rPr>
        <w:t>COMPENSATION DISCUSSION AND ANALYSIS</w:t>
      </w:r>
    </w:p>
    <w:p>
      <w:pPr>
        <w:spacing w:after="0" w:line="173" w:lineRule="exact"/>
        <w:rPr>
          <w:sz w:val="20"/>
          <w:szCs w:val="20"/>
          <w:color w:val="auto"/>
        </w:rPr>
      </w:pPr>
    </w:p>
    <w:p>
      <w:pPr>
        <w:ind w:left="820" w:right="860"/>
        <w:spacing w:after="0" w:line="306" w:lineRule="auto"/>
        <w:rPr>
          <w:sz w:val="20"/>
          <w:szCs w:val="20"/>
          <w:color w:val="auto"/>
        </w:rPr>
      </w:pPr>
      <w:r>
        <w:rPr>
          <w:rFonts w:ascii="Arial" w:cs="Arial" w:eastAsia="Arial" w:hAnsi="Arial"/>
          <w:sz w:val="16"/>
          <w:szCs w:val="16"/>
          <w:color w:val="auto"/>
        </w:rPr>
        <w:t>This section of our proxy statement discusses the principles underlying our executive compensation policies and decisions and the most important factors relevant to an analysis of these policies and decisions. It provides qualitative and quantitative information regarding the manner and context in which compensation is awarded to, and earned by, our named executive officers and places in perspective the data presented in the tables and narrative that follow.</w:t>
      </w:r>
    </w:p>
    <w:p>
      <w:pPr>
        <w:spacing w:after="0" w:line="101" w:lineRule="exact"/>
        <w:rPr>
          <w:sz w:val="20"/>
          <w:szCs w:val="20"/>
          <w:color w:val="auto"/>
        </w:rPr>
      </w:pPr>
    </w:p>
    <w:p>
      <w:pPr>
        <w:ind w:left="820" w:right="1060"/>
        <w:spacing w:after="0" w:line="348" w:lineRule="auto"/>
        <w:rPr>
          <w:sz w:val="20"/>
          <w:szCs w:val="20"/>
          <w:color w:val="auto"/>
        </w:rPr>
      </w:pPr>
      <w:r>
        <w:rPr>
          <w:rFonts w:ascii="Arial" w:cs="Arial" w:eastAsia="Arial" w:hAnsi="Arial"/>
          <w:sz w:val="15"/>
          <w:szCs w:val="15"/>
          <w:color w:val="auto"/>
        </w:rPr>
        <w:t>Throughout this proxy statement, the individuals who served as our Chief Executive Officer Chief Financial Officer and Chief Legal Officer and General Counsel during our 2024 fiscal year are referred to as the “named executive officers,” “our NEOs” or our “executives.” In this section, references to the “Committee” mean the Compensation Committee of the Board of Directors.</w:t>
      </w:r>
    </w:p>
    <w:p>
      <w:pPr>
        <w:spacing w:after="0" w:line="230"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Executive Summary</w:t>
      </w:r>
    </w:p>
    <w:p>
      <w:pPr>
        <w:spacing w:after="0" w:line="110"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83AD40"/>
        </w:rPr>
        <w:t>Named Executive Officers</w:t>
      </w:r>
    </w:p>
    <w:p>
      <w:pPr>
        <w:spacing w:after="0" w:line="152" w:lineRule="exact"/>
        <w:rPr>
          <w:sz w:val="20"/>
          <w:szCs w:val="20"/>
          <w:color w:val="auto"/>
        </w:rPr>
      </w:pPr>
    </w:p>
    <w:tbl>
      <w:tblPr>
        <w:tblLayout w:type="fixed"/>
        <w:tblInd w:w="820" w:type="dxa"/>
        <w:tblCellMar>
          <w:top w:w="0" w:type="dxa"/>
          <w:left w:w="0" w:type="dxa"/>
          <w:bottom w:w="0" w:type="dxa"/>
          <w:right w:w="0" w:type="dxa"/>
        </w:tblCellMar>
      </w:tblPr>
      <w:tr>
        <w:trPr>
          <w:trHeight w:val="228"/>
        </w:trPr>
        <w:tc>
          <w:tcPr>
            <w:tcW w:w="2260" w:type="dxa"/>
            <w:vAlign w:val="bottom"/>
            <w:tcBorders>
              <w:top w:val="single" w:sz="8" w:color="83AD40"/>
            </w:tcBorders>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83AD40"/>
              <w:right w:val="single" w:sz="8" w:color="83AD40"/>
            </w:tcBorders>
          </w:tcPr>
          <w:p>
            <w:pPr>
              <w:ind w:left="480"/>
              <w:spacing w:after="0"/>
              <w:rPr>
                <w:sz w:val="20"/>
                <w:szCs w:val="20"/>
                <w:color w:val="auto"/>
              </w:rPr>
            </w:pPr>
            <w:r>
              <w:rPr>
                <w:rFonts w:ascii="Arial" w:cs="Arial" w:eastAsia="Arial" w:hAnsi="Arial"/>
                <w:sz w:val="16"/>
                <w:szCs w:val="16"/>
                <w:color w:val="auto"/>
              </w:rPr>
              <w:t>​</w:t>
            </w:r>
          </w:p>
        </w:tc>
        <w:tc>
          <w:tcPr>
            <w:tcW w:w="2360" w:type="dxa"/>
            <w:vAlign w:val="bottom"/>
            <w:tcBorders>
              <w:top w:val="single" w:sz="8" w:color="83AD40"/>
            </w:tcBorders>
          </w:tcPr>
          <w:p>
            <w:pPr>
              <w:jc w:val="right"/>
              <w:ind w:right="207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83AD40"/>
              <w:right w:val="single" w:sz="8" w:color="83AD40"/>
            </w:tcBorders>
          </w:tcPr>
          <w:p>
            <w:pPr>
              <w:ind w:left="660"/>
              <w:spacing w:after="0"/>
              <w:rPr>
                <w:sz w:val="20"/>
                <w:szCs w:val="20"/>
                <w:color w:val="auto"/>
              </w:rPr>
            </w:pPr>
            <w:r>
              <w:rPr>
                <w:rFonts w:ascii="Arial" w:cs="Arial" w:eastAsia="Arial" w:hAnsi="Arial"/>
                <w:sz w:val="16"/>
                <w:szCs w:val="16"/>
                <w:color w:val="auto"/>
              </w:rPr>
              <w:t>​</w:t>
            </w:r>
          </w:p>
        </w:tc>
        <w:tc>
          <w:tcPr>
            <w:tcW w:w="2700" w:type="dxa"/>
            <w:vAlign w:val="bottom"/>
            <w:tcBorders>
              <w:top w:val="single" w:sz="8" w:color="83AD40"/>
            </w:tcBorders>
          </w:tcPr>
          <w:p>
            <w:pPr>
              <w:ind w:left="160"/>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83AD40"/>
            </w:tcBorders>
          </w:tcPr>
          <w:p>
            <w:pPr>
              <w:ind w:left="220"/>
              <w:spacing w:after="0"/>
              <w:rPr>
                <w:sz w:val="20"/>
                <w:szCs w:val="20"/>
                <w:color w:val="auto"/>
              </w:rPr>
            </w:pPr>
            <w:r>
              <w:rPr>
                <w:rFonts w:ascii="Arial" w:cs="Arial" w:eastAsia="Arial" w:hAnsi="Arial"/>
                <w:sz w:val="16"/>
                <w:szCs w:val="16"/>
                <w:color w:val="auto"/>
              </w:rPr>
              <w:t>​</w:t>
            </w:r>
          </w:p>
        </w:tc>
      </w:tr>
      <w:tr>
        <w:trPr>
          <w:trHeight w:val="2316"/>
        </w:trPr>
        <w:tc>
          <w:tcPr>
            <w:tcW w:w="2260" w:type="dxa"/>
            <w:vAlign w:val="bottom"/>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Marc Holliday</w:t>
            </w:r>
          </w:p>
        </w:tc>
        <w:tc>
          <w:tcPr>
            <w:tcW w:w="640" w:type="dxa"/>
            <w:vAlign w:val="bottom"/>
            <w:tcBorders>
              <w:right w:val="single" w:sz="8" w:color="83AD40"/>
            </w:tcBorders>
          </w:tcPr>
          <w:p>
            <w:pPr>
              <w:ind w:left="320"/>
              <w:spacing w:after="0"/>
              <w:rPr>
                <w:sz w:val="20"/>
                <w:szCs w:val="20"/>
                <w:color w:val="auto"/>
              </w:rPr>
            </w:pPr>
            <w:r>
              <w:rPr>
                <w:rFonts w:ascii="Arial" w:cs="Arial" w:eastAsia="Arial" w:hAnsi="Arial"/>
                <w:sz w:val="16"/>
                <w:szCs w:val="16"/>
                <w:color w:val="auto"/>
              </w:rPr>
              <w:t>​</w:t>
            </w:r>
          </w:p>
        </w:tc>
        <w:tc>
          <w:tcPr>
            <w:tcW w:w="2360" w:type="dxa"/>
            <w:vAlign w:val="bottom"/>
          </w:tcPr>
          <w:p>
            <w:pPr>
              <w:jc w:val="right"/>
              <w:ind w:right="4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Matthew J. DiLiberto</w:t>
            </w:r>
          </w:p>
        </w:tc>
        <w:tc>
          <w:tcPr>
            <w:tcW w:w="820" w:type="dxa"/>
            <w:vAlign w:val="bottom"/>
            <w:tcBorders>
              <w:right w:val="single" w:sz="8" w:color="83AD40"/>
            </w:tcBorders>
          </w:tcPr>
          <w:p>
            <w:pPr>
              <w:ind w:left="500"/>
              <w:spacing w:after="0"/>
              <w:rPr>
                <w:sz w:val="20"/>
                <w:szCs w:val="20"/>
                <w:color w:val="auto"/>
              </w:rPr>
            </w:pPr>
            <w:r>
              <w:rPr>
                <w:rFonts w:ascii="Arial" w:cs="Arial" w:eastAsia="Arial" w:hAnsi="Arial"/>
                <w:sz w:val="16"/>
                <w:szCs w:val="16"/>
                <w:color w:val="auto"/>
              </w:rPr>
              <w:t>​</w:t>
            </w:r>
          </w:p>
        </w:tc>
        <w:tc>
          <w:tcPr>
            <w:tcW w:w="2700" w:type="dxa"/>
            <w:vAlign w:val="bottom"/>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Andrew S. Levine</w:t>
            </w:r>
          </w:p>
        </w:tc>
        <w:tc>
          <w:tcPr>
            <w:tcW w:w="280" w:type="dxa"/>
            <w:vAlign w:val="bottom"/>
          </w:tcPr>
          <w:p>
            <w:pPr>
              <w:ind w:left="160"/>
              <w:spacing w:after="0"/>
              <w:rPr>
                <w:sz w:val="20"/>
                <w:szCs w:val="20"/>
                <w:color w:val="auto"/>
              </w:rPr>
            </w:pPr>
            <w:r>
              <w:rPr>
                <w:rFonts w:ascii="Arial" w:cs="Arial" w:eastAsia="Arial" w:hAnsi="Arial"/>
                <w:sz w:val="16"/>
                <w:szCs w:val="16"/>
                <w:color w:val="auto"/>
              </w:rPr>
              <w:t>​</w:t>
            </w:r>
          </w:p>
        </w:tc>
      </w:tr>
      <w:tr>
        <w:trPr>
          <w:trHeight w:val="236"/>
        </w:trPr>
        <w:tc>
          <w:tcPr>
            <w:tcW w:w="2260" w:type="dxa"/>
            <w:vAlign w:val="bottom"/>
          </w:tcPr>
          <w:p>
            <w:pPr>
              <w:ind w:left="40"/>
              <w:spacing w:after="0"/>
              <w:rPr>
                <w:sz w:val="20"/>
                <w:szCs w:val="20"/>
                <w:color w:val="auto"/>
              </w:rPr>
            </w:pPr>
            <w:r>
              <w:rPr>
                <w:rFonts w:ascii="Arial" w:cs="Arial" w:eastAsia="Arial" w:hAnsi="Arial"/>
                <w:sz w:val="16"/>
                <w:szCs w:val="16"/>
                <w:color w:val="auto"/>
              </w:rPr>
              <w:t>Chief Executive Officer,</w:t>
            </w:r>
          </w:p>
        </w:tc>
        <w:tc>
          <w:tcPr>
            <w:tcW w:w="640" w:type="dxa"/>
            <w:vAlign w:val="bottom"/>
            <w:tcBorders>
              <w:right w:val="single" w:sz="8" w:color="83AD40"/>
            </w:tcBorders>
          </w:tcPr>
          <w:p>
            <w:pPr>
              <w:spacing w:after="0"/>
              <w:rPr>
                <w:sz w:val="20"/>
                <w:szCs w:val="20"/>
                <w:color w:val="auto"/>
              </w:rPr>
            </w:pPr>
          </w:p>
        </w:tc>
        <w:tc>
          <w:tcPr>
            <w:tcW w:w="2360" w:type="dxa"/>
            <w:vAlign w:val="bottom"/>
          </w:tcPr>
          <w:p>
            <w:pPr>
              <w:jc w:val="right"/>
              <w:ind w:right="419"/>
              <w:spacing w:after="0"/>
              <w:rPr>
                <w:sz w:val="20"/>
                <w:szCs w:val="20"/>
                <w:color w:val="auto"/>
              </w:rPr>
            </w:pPr>
            <w:r>
              <w:rPr>
                <w:rFonts w:ascii="Arial" w:cs="Arial" w:eastAsia="Arial" w:hAnsi="Arial"/>
                <w:sz w:val="16"/>
                <w:szCs w:val="16"/>
                <w:color w:val="auto"/>
              </w:rPr>
              <w:t>Chief Financial Officer</w:t>
            </w:r>
          </w:p>
        </w:tc>
        <w:tc>
          <w:tcPr>
            <w:tcW w:w="820" w:type="dxa"/>
            <w:vAlign w:val="bottom"/>
            <w:tcBorders>
              <w:right w:val="single" w:sz="8" w:color="83AD40"/>
            </w:tcBorders>
          </w:tcPr>
          <w:p>
            <w:pPr>
              <w:spacing w:after="0"/>
              <w:rPr>
                <w:sz w:val="20"/>
                <w:szCs w:val="20"/>
                <w:color w:val="auto"/>
              </w:rPr>
            </w:pPr>
          </w:p>
        </w:tc>
        <w:tc>
          <w:tcPr>
            <w:tcW w:w="2700" w:type="dxa"/>
            <w:vAlign w:val="bottom"/>
          </w:tcPr>
          <w:p>
            <w:pPr>
              <w:ind w:left="320"/>
              <w:spacing w:after="0"/>
              <w:rPr>
                <w:sz w:val="20"/>
                <w:szCs w:val="20"/>
                <w:color w:val="auto"/>
              </w:rPr>
            </w:pPr>
            <w:r>
              <w:rPr>
                <w:rFonts w:ascii="Arial" w:cs="Arial" w:eastAsia="Arial" w:hAnsi="Arial"/>
                <w:sz w:val="16"/>
                <w:szCs w:val="16"/>
                <w:color w:val="auto"/>
              </w:rPr>
              <w:t>Chief Legal Officer and General</w:t>
            </w:r>
          </w:p>
        </w:tc>
        <w:tc>
          <w:tcPr>
            <w:tcW w:w="280" w:type="dxa"/>
            <w:vAlign w:val="bottom"/>
          </w:tcPr>
          <w:p>
            <w:pPr>
              <w:spacing w:after="0"/>
              <w:rPr>
                <w:sz w:val="20"/>
                <w:szCs w:val="20"/>
                <w:color w:val="auto"/>
              </w:rPr>
            </w:pPr>
          </w:p>
        </w:tc>
      </w:tr>
      <w:tr>
        <w:trPr>
          <w:trHeight w:val="189"/>
        </w:trPr>
        <w:tc>
          <w:tcPr>
            <w:tcW w:w="2260" w:type="dxa"/>
            <w:vAlign w:val="bottom"/>
          </w:tcPr>
          <w:p>
            <w:pPr>
              <w:ind w:left="40"/>
              <w:spacing w:after="0"/>
              <w:rPr>
                <w:sz w:val="20"/>
                <w:szCs w:val="20"/>
                <w:color w:val="auto"/>
              </w:rPr>
            </w:pPr>
            <w:r>
              <w:rPr>
                <w:rFonts w:ascii="Arial" w:cs="Arial" w:eastAsia="Arial" w:hAnsi="Arial"/>
                <w:sz w:val="16"/>
                <w:szCs w:val="16"/>
                <w:color w:val="auto"/>
              </w:rPr>
              <w:t>Chairman of the Board and</w:t>
            </w:r>
          </w:p>
        </w:tc>
        <w:tc>
          <w:tcPr>
            <w:tcW w:w="640" w:type="dxa"/>
            <w:vAlign w:val="bottom"/>
            <w:tcBorders>
              <w:right w:val="single" w:sz="8" w:color="83AD40"/>
            </w:tcBorders>
          </w:tcPr>
          <w:p>
            <w:pPr>
              <w:spacing w:after="0"/>
              <w:rPr>
                <w:sz w:val="16"/>
                <w:szCs w:val="16"/>
                <w:color w:val="auto"/>
              </w:rPr>
            </w:pPr>
          </w:p>
        </w:tc>
        <w:tc>
          <w:tcPr>
            <w:tcW w:w="2360" w:type="dxa"/>
            <w:vAlign w:val="bottom"/>
          </w:tcPr>
          <w:p>
            <w:pPr>
              <w:spacing w:after="0"/>
              <w:rPr>
                <w:sz w:val="16"/>
                <w:szCs w:val="16"/>
                <w:color w:val="auto"/>
              </w:rPr>
            </w:pPr>
          </w:p>
        </w:tc>
        <w:tc>
          <w:tcPr>
            <w:tcW w:w="820" w:type="dxa"/>
            <w:vAlign w:val="bottom"/>
            <w:tcBorders>
              <w:right w:val="single" w:sz="8" w:color="83AD40"/>
            </w:tcBorders>
          </w:tcPr>
          <w:p>
            <w:pPr>
              <w:spacing w:after="0"/>
              <w:rPr>
                <w:sz w:val="16"/>
                <w:szCs w:val="16"/>
                <w:color w:val="auto"/>
              </w:rPr>
            </w:pPr>
          </w:p>
        </w:tc>
        <w:tc>
          <w:tcPr>
            <w:tcW w:w="2700" w:type="dxa"/>
            <w:vAlign w:val="bottom"/>
          </w:tcPr>
          <w:p>
            <w:pPr>
              <w:ind w:left="320"/>
              <w:spacing w:after="0"/>
              <w:rPr>
                <w:sz w:val="20"/>
                <w:szCs w:val="20"/>
                <w:color w:val="auto"/>
              </w:rPr>
            </w:pPr>
            <w:r>
              <w:rPr>
                <w:rFonts w:ascii="Arial" w:cs="Arial" w:eastAsia="Arial" w:hAnsi="Arial"/>
                <w:sz w:val="16"/>
                <w:szCs w:val="16"/>
                <w:color w:val="auto"/>
              </w:rPr>
              <w:t>Counsel</w:t>
            </w:r>
          </w:p>
        </w:tc>
        <w:tc>
          <w:tcPr>
            <w:tcW w:w="280" w:type="dxa"/>
            <w:vAlign w:val="bottom"/>
          </w:tcPr>
          <w:p>
            <w:pPr>
              <w:spacing w:after="0"/>
              <w:rPr>
                <w:sz w:val="16"/>
                <w:szCs w:val="16"/>
                <w:color w:val="auto"/>
              </w:rPr>
            </w:pPr>
          </w:p>
        </w:tc>
      </w:tr>
      <w:tr>
        <w:trPr>
          <w:trHeight w:val="215"/>
        </w:trPr>
        <w:tc>
          <w:tcPr>
            <w:tcW w:w="2260" w:type="dxa"/>
            <w:vAlign w:val="bottom"/>
          </w:tcPr>
          <w:p>
            <w:pPr>
              <w:ind w:left="40"/>
              <w:spacing w:after="0"/>
              <w:rPr>
                <w:sz w:val="20"/>
                <w:szCs w:val="20"/>
                <w:color w:val="auto"/>
              </w:rPr>
            </w:pPr>
            <w:r>
              <w:rPr>
                <w:rFonts w:ascii="Arial" w:cs="Arial" w:eastAsia="Arial" w:hAnsi="Arial"/>
                <w:sz w:val="16"/>
                <w:szCs w:val="16"/>
                <w:color w:val="auto"/>
              </w:rPr>
              <w:t>Interim President</w:t>
            </w:r>
          </w:p>
        </w:tc>
        <w:tc>
          <w:tcPr>
            <w:tcW w:w="640" w:type="dxa"/>
            <w:vAlign w:val="bottom"/>
            <w:tcBorders>
              <w:right w:val="single" w:sz="8" w:color="83AD40"/>
            </w:tcBorders>
          </w:tcPr>
          <w:p>
            <w:pPr>
              <w:spacing w:after="0"/>
              <w:rPr>
                <w:sz w:val="18"/>
                <w:szCs w:val="18"/>
                <w:color w:val="auto"/>
              </w:rPr>
            </w:pPr>
          </w:p>
        </w:tc>
        <w:tc>
          <w:tcPr>
            <w:tcW w:w="2360" w:type="dxa"/>
            <w:vAlign w:val="bottom"/>
          </w:tcPr>
          <w:p>
            <w:pPr>
              <w:spacing w:after="0"/>
              <w:rPr>
                <w:sz w:val="18"/>
                <w:szCs w:val="18"/>
                <w:color w:val="auto"/>
              </w:rPr>
            </w:pPr>
          </w:p>
        </w:tc>
        <w:tc>
          <w:tcPr>
            <w:tcW w:w="820" w:type="dxa"/>
            <w:vAlign w:val="bottom"/>
            <w:tcBorders>
              <w:right w:val="single" w:sz="8" w:color="83AD40"/>
            </w:tcBorders>
          </w:tcPr>
          <w:p>
            <w:pPr>
              <w:spacing w:after="0"/>
              <w:rPr>
                <w:sz w:val="18"/>
                <w:szCs w:val="18"/>
                <w:color w:val="auto"/>
              </w:rPr>
            </w:pPr>
          </w:p>
        </w:tc>
        <w:tc>
          <w:tcPr>
            <w:tcW w:w="27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164"/>
        </w:trPr>
        <w:tc>
          <w:tcPr>
            <w:tcW w:w="2260" w:type="dxa"/>
            <w:vAlign w:val="bottom"/>
            <w:tcBorders>
              <w:bottom w:val="single" w:sz="8" w:color="83AD40"/>
            </w:tcBorders>
          </w:tcPr>
          <w:p>
            <w:pPr>
              <w:spacing w:after="0"/>
              <w:rPr>
                <w:sz w:val="14"/>
                <w:szCs w:val="14"/>
                <w:color w:val="auto"/>
              </w:rPr>
            </w:pPr>
          </w:p>
        </w:tc>
        <w:tc>
          <w:tcPr>
            <w:tcW w:w="640" w:type="dxa"/>
            <w:vAlign w:val="bottom"/>
            <w:tcBorders>
              <w:bottom w:val="single" w:sz="8" w:color="83AD40"/>
              <w:right w:val="single" w:sz="8" w:color="83AD40"/>
            </w:tcBorders>
          </w:tcPr>
          <w:p>
            <w:pPr>
              <w:spacing w:after="0"/>
              <w:rPr>
                <w:sz w:val="14"/>
                <w:szCs w:val="14"/>
                <w:color w:val="auto"/>
              </w:rPr>
            </w:pPr>
          </w:p>
        </w:tc>
        <w:tc>
          <w:tcPr>
            <w:tcW w:w="2360" w:type="dxa"/>
            <w:vAlign w:val="bottom"/>
            <w:tcBorders>
              <w:bottom w:val="single" w:sz="8" w:color="83AD40"/>
            </w:tcBorders>
          </w:tcPr>
          <w:p>
            <w:pPr>
              <w:spacing w:after="0"/>
              <w:rPr>
                <w:sz w:val="14"/>
                <w:szCs w:val="14"/>
                <w:color w:val="auto"/>
              </w:rPr>
            </w:pPr>
          </w:p>
        </w:tc>
        <w:tc>
          <w:tcPr>
            <w:tcW w:w="820" w:type="dxa"/>
            <w:vAlign w:val="bottom"/>
            <w:tcBorders>
              <w:bottom w:val="single" w:sz="8" w:color="83AD40"/>
              <w:right w:val="single" w:sz="8" w:color="83AD40"/>
            </w:tcBorders>
          </w:tcPr>
          <w:p>
            <w:pPr>
              <w:spacing w:after="0"/>
              <w:rPr>
                <w:sz w:val="14"/>
                <w:szCs w:val="14"/>
                <w:color w:val="auto"/>
              </w:rPr>
            </w:pPr>
          </w:p>
        </w:tc>
        <w:tc>
          <w:tcPr>
            <w:tcW w:w="2700" w:type="dxa"/>
            <w:vAlign w:val="bottom"/>
            <w:tcBorders>
              <w:bottom w:val="single" w:sz="8" w:color="83AD40"/>
            </w:tcBorders>
          </w:tcPr>
          <w:p>
            <w:pPr>
              <w:spacing w:after="0"/>
              <w:rPr>
                <w:sz w:val="14"/>
                <w:szCs w:val="14"/>
                <w:color w:val="auto"/>
              </w:rPr>
            </w:pPr>
          </w:p>
        </w:tc>
        <w:tc>
          <w:tcPr>
            <w:tcW w:w="280" w:type="dxa"/>
            <w:vAlign w:val="bottom"/>
            <w:tcBorders>
              <w:bottom w:val="single" w:sz="8" w:color="83AD4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-2022475</wp:posOffset>
            </wp:positionV>
            <wp:extent cx="1097280" cy="131127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097280" cy="1311275"/>
                    </a:xfrm>
                    <a:prstGeom prst="rect">
                      <a:avLst/>
                    </a:prstGeom>
                    <a:noFill/>
                  </pic:spPr>
                </pic:pic>
              </a:graphicData>
            </a:graphic>
          </wp:anchor>
        </w:drawing>
        <w:drawing>
          <wp:anchor simplePos="0" relativeHeight="251657728" behindDoc="1" locked="0" layoutInCell="0" allowOverlap="1">
            <wp:simplePos x="0" y="0"/>
            <wp:positionH relativeFrom="column">
              <wp:posOffset>2823210</wp:posOffset>
            </wp:positionH>
            <wp:positionV relativeFrom="paragraph">
              <wp:posOffset>-2022475</wp:posOffset>
            </wp:positionV>
            <wp:extent cx="1097280" cy="131127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097280" cy="1311275"/>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-2022475</wp:posOffset>
            </wp:positionV>
            <wp:extent cx="1097280" cy="131127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097280" cy="1311275"/>
                    </a:xfrm>
                    <a:prstGeom prst="rect">
                      <a:avLst/>
                    </a:prstGeom>
                    <a:noFill/>
                  </pic:spPr>
                </pic:pic>
              </a:graphicData>
            </a:graphic>
          </wp:anchor>
        </w:drawing>
      </w:r>
    </w:p>
    <w:p>
      <w:pPr>
        <w:spacing w:after="0" w:line="186"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83AD40"/>
        </w:rPr>
        <w:t>Compensation Objectives and Philosophy</w:t>
      </w:r>
    </w:p>
    <w:p>
      <w:pPr>
        <w:spacing w:after="0" w:line="131" w:lineRule="exact"/>
        <w:rPr>
          <w:sz w:val="20"/>
          <w:szCs w:val="20"/>
          <w:color w:val="auto"/>
        </w:rPr>
      </w:pPr>
    </w:p>
    <w:p>
      <w:pPr>
        <w:ind w:left="820" w:right="980"/>
        <w:spacing w:after="0" w:line="339" w:lineRule="auto"/>
        <w:rPr>
          <w:sz w:val="20"/>
          <w:szCs w:val="20"/>
          <w:color w:val="auto"/>
        </w:rPr>
      </w:pPr>
      <w:r>
        <w:rPr>
          <w:rFonts w:ascii="Arial" w:cs="Arial" w:eastAsia="Arial" w:hAnsi="Arial"/>
          <w:sz w:val="16"/>
          <w:szCs w:val="16"/>
          <w:color w:val="auto"/>
        </w:rPr>
        <w:t>We have adopted a pay-for-performance executive compensation philosophy that rewards the achievement of annual and long-term goals of both the Company and individual executives, while achieving the following objectives: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448"/>
        </w:trPr>
        <w:tc>
          <w:tcPr>
            <w:tcW w:w="820" w:type="dxa"/>
            <w:vAlign w:val="bottom"/>
          </w:tcPr>
          <w:p>
            <w:pPr>
              <w:spacing w:after="0"/>
              <w:rPr>
                <w:sz w:val="24"/>
                <w:szCs w:val="24"/>
                <w:color w:val="auto"/>
              </w:rPr>
            </w:pPr>
          </w:p>
        </w:tc>
        <w:tc>
          <w:tcPr>
            <w:tcW w:w="1620" w:type="dxa"/>
            <w:vAlign w:val="bottom"/>
            <w:tcBorders>
              <w:top w:val="single" w:sz="8" w:color="83AD40"/>
            </w:tcBorders>
          </w:tcPr>
          <w:p>
            <w:pPr>
              <w:spacing w:after="0"/>
              <w:rPr>
                <w:sz w:val="20"/>
                <w:szCs w:val="20"/>
                <w:color w:val="auto"/>
              </w:rPr>
            </w:pPr>
            <w:r>
              <w:rPr>
                <w:rFonts w:ascii="Arial" w:cs="Arial" w:eastAsia="Arial" w:hAnsi="Arial"/>
                <w:sz w:val="32"/>
                <w:szCs w:val="32"/>
                <w:color w:val="000000"/>
                <w:vertAlign w:val="superscript"/>
              </w:rPr>
              <w:t>​</w:t>
            </w:r>
            <w:r>
              <w:rPr>
                <w:rFonts w:ascii="Arial" w:cs="Arial" w:eastAsia="Arial" w:hAnsi="Arial"/>
                <w:sz w:val="20"/>
                <w:szCs w:val="20"/>
                <w:b w:val="1"/>
                <w:bCs w:val="1"/>
                <w:color w:val="83AD40"/>
              </w:rPr>
              <w:t xml:space="preserve"> ALIGNMENT</w:t>
            </w:r>
          </w:p>
        </w:tc>
        <w:tc>
          <w:tcPr>
            <w:tcW w:w="160" w:type="dxa"/>
            <w:vAlign w:val="bottom"/>
            <w:tcBorders>
              <w:top w:val="single" w:sz="8" w:color="83AD40"/>
              <w:right w:val="single" w:sz="8" w:color="83AD40"/>
            </w:tcBorders>
          </w:tcPr>
          <w:p>
            <w:pPr>
              <w:ind w:left="20"/>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83AD40"/>
            </w:tcBorders>
          </w:tcPr>
          <w:p>
            <w:pPr>
              <w:spacing w:after="0"/>
              <w:rPr>
                <w:sz w:val="20"/>
                <w:szCs w:val="20"/>
                <w:color w:val="auto"/>
              </w:rPr>
            </w:pPr>
            <w:r>
              <w:rPr>
                <w:rFonts w:ascii="Arial" w:cs="Arial" w:eastAsia="Arial" w:hAnsi="Arial"/>
                <w:sz w:val="32"/>
                <w:szCs w:val="32"/>
                <w:color w:val="000000"/>
                <w:vertAlign w:val="superscript"/>
              </w:rPr>
              <w:t>​</w:t>
            </w:r>
            <w:r>
              <w:rPr>
                <w:rFonts w:ascii="Arial" w:cs="Arial" w:eastAsia="Arial" w:hAnsi="Arial"/>
                <w:sz w:val="20"/>
                <w:szCs w:val="20"/>
                <w:b w:val="1"/>
                <w:bCs w:val="1"/>
                <w:color w:val="83AD40"/>
              </w:rPr>
              <w:t xml:space="preserve"> TALENT</w:t>
            </w:r>
          </w:p>
        </w:tc>
        <w:tc>
          <w:tcPr>
            <w:tcW w:w="160" w:type="dxa"/>
            <w:vAlign w:val="bottom"/>
            <w:tcBorders>
              <w:top w:val="single" w:sz="8" w:color="83AD40"/>
              <w:right w:val="single" w:sz="8" w:color="83AD40"/>
            </w:tcBorders>
          </w:tcPr>
          <w:p>
            <w:pPr>
              <w:ind w:left="20"/>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83AD40"/>
            </w:tcBorders>
          </w:tcPr>
          <w:p>
            <w:pPr>
              <w:spacing w:after="0"/>
              <w:rPr>
                <w:sz w:val="20"/>
                <w:szCs w:val="20"/>
                <w:color w:val="auto"/>
              </w:rPr>
            </w:pPr>
            <w:r>
              <w:rPr>
                <w:rFonts w:ascii="Arial" w:cs="Arial" w:eastAsia="Arial" w:hAnsi="Arial"/>
                <w:sz w:val="32"/>
                <w:szCs w:val="32"/>
                <w:color w:val="000000"/>
                <w:vertAlign w:val="superscript"/>
              </w:rPr>
              <w:t>​</w:t>
            </w:r>
            <w:r>
              <w:rPr>
                <w:rFonts w:ascii="Arial" w:cs="Arial" w:eastAsia="Arial" w:hAnsi="Arial"/>
                <w:sz w:val="20"/>
                <w:szCs w:val="20"/>
                <w:b w:val="1"/>
                <w:bCs w:val="1"/>
                <w:color w:val="83AD40"/>
              </w:rPr>
              <w:t xml:space="preserve"> MOTIVATION</w:t>
            </w:r>
          </w:p>
        </w:tc>
        <w:tc>
          <w:tcPr>
            <w:tcW w:w="160" w:type="dxa"/>
            <w:vAlign w:val="bottom"/>
            <w:tcBorders>
              <w:top w:val="single" w:sz="8" w:color="83AD40"/>
              <w:right w:val="single" w:sz="8" w:color="83AD40"/>
            </w:tcBorders>
          </w:tcPr>
          <w:p>
            <w:pPr>
              <w:ind w:left="20"/>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83AD40"/>
            </w:tcBorders>
          </w:tcPr>
          <w:p>
            <w:pPr>
              <w:spacing w:after="0"/>
              <w:rPr>
                <w:sz w:val="20"/>
                <w:szCs w:val="20"/>
                <w:color w:val="auto"/>
              </w:rPr>
            </w:pPr>
            <w:r>
              <w:rPr>
                <w:rFonts w:ascii="Arial" w:cs="Arial" w:eastAsia="Arial" w:hAnsi="Arial"/>
                <w:sz w:val="32"/>
                <w:szCs w:val="32"/>
                <w:color w:val="000000"/>
                <w:vertAlign w:val="superscript"/>
              </w:rPr>
              <w:t>​</w:t>
            </w:r>
            <w:r>
              <w:rPr>
                <w:rFonts w:ascii="Arial" w:cs="Arial" w:eastAsia="Arial" w:hAnsi="Arial"/>
                <w:sz w:val="20"/>
                <w:szCs w:val="20"/>
                <w:b w:val="1"/>
                <w:bCs w:val="1"/>
                <w:color w:val="83AD40"/>
              </w:rPr>
              <w:t xml:space="preserve"> BALANCE</w:t>
            </w:r>
          </w:p>
        </w:tc>
        <w:tc>
          <w:tcPr>
            <w:tcW w:w="200" w:type="dxa"/>
            <w:vAlign w:val="bottom"/>
            <w:tcBorders>
              <w:top w:val="single" w:sz="8" w:color="83AD40"/>
              <w:right w:val="single" w:sz="8" w:color="83AD40"/>
            </w:tcBorders>
          </w:tcPr>
          <w:p>
            <w:pPr>
              <w:ind w:left="60"/>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83AD40"/>
            </w:tcBorders>
          </w:tcPr>
          <w:p>
            <w:pPr>
              <w:spacing w:after="0"/>
              <w:rPr>
                <w:sz w:val="20"/>
                <w:szCs w:val="20"/>
                <w:color w:val="auto"/>
              </w:rPr>
            </w:pPr>
            <w:r>
              <w:rPr>
                <w:rFonts w:ascii="Arial" w:cs="Arial" w:eastAsia="Arial" w:hAnsi="Arial"/>
                <w:sz w:val="32"/>
                <w:szCs w:val="32"/>
                <w:color w:val="000000"/>
                <w:vertAlign w:val="superscript"/>
              </w:rPr>
              <w:t>​</w:t>
            </w:r>
            <w:r>
              <w:rPr>
                <w:rFonts w:ascii="Arial" w:cs="Arial" w:eastAsia="Arial" w:hAnsi="Arial"/>
                <w:sz w:val="20"/>
                <w:szCs w:val="20"/>
                <w:b w:val="1"/>
                <w:bCs w:val="1"/>
                <w:color w:val="83AD40"/>
              </w:rPr>
              <w:t xml:space="preserve"> EFFICIENCY</w:t>
            </w:r>
          </w:p>
        </w:tc>
        <w:tc>
          <w:tcPr>
            <w:tcW w:w="160" w:type="dxa"/>
            <w:vAlign w:val="bottom"/>
            <w:tcBorders>
              <w:top w:val="single" w:sz="8" w:color="83AD40"/>
            </w:tcBorders>
          </w:tcPr>
          <w:p>
            <w:pPr>
              <w:ind w:left="4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24"/>
                <w:szCs w:val="24"/>
                <w:color w:val="auto"/>
              </w:rPr>
            </w:pPr>
          </w:p>
        </w:tc>
      </w:tr>
      <w:tr>
        <w:trPr>
          <w:trHeight w:val="213"/>
        </w:trPr>
        <w:tc>
          <w:tcPr>
            <w:tcW w:w="820" w:type="dxa"/>
            <w:vAlign w:val="bottom"/>
          </w:tcPr>
          <w:p>
            <w:pPr>
              <w:spacing w:after="0"/>
              <w:rPr>
                <w:sz w:val="18"/>
                <w:szCs w:val="18"/>
                <w:color w:val="auto"/>
              </w:rPr>
            </w:pPr>
          </w:p>
        </w:tc>
        <w:tc>
          <w:tcPr>
            <w:tcW w:w="1620" w:type="dxa"/>
            <w:vAlign w:val="bottom"/>
          </w:tcPr>
          <w:p>
            <w:pPr>
              <w:ind w:left="80"/>
              <w:spacing w:after="0"/>
              <w:rPr>
                <w:sz w:val="20"/>
                <w:szCs w:val="20"/>
                <w:color w:val="auto"/>
              </w:rPr>
            </w:pPr>
            <w:r>
              <w:rPr>
                <w:rFonts w:ascii="Arial" w:cs="Arial" w:eastAsia="Arial" w:hAnsi="Arial"/>
                <w:sz w:val="16"/>
                <w:szCs w:val="16"/>
                <w:color w:val="auto"/>
                <w:w w:val="98"/>
              </w:rPr>
              <w:t>Provide performance-</w:t>
            </w:r>
          </w:p>
        </w:tc>
        <w:tc>
          <w:tcPr>
            <w:tcW w:w="160" w:type="dxa"/>
            <w:vAlign w:val="bottom"/>
            <w:tcBorders>
              <w:right w:val="single" w:sz="8" w:color="83AD40"/>
            </w:tcBorders>
          </w:tcPr>
          <w:p>
            <w:pPr>
              <w:spacing w:after="0"/>
              <w:rPr>
                <w:sz w:val="18"/>
                <w:szCs w:val="18"/>
                <w:color w:val="auto"/>
              </w:rPr>
            </w:pPr>
          </w:p>
        </w:tc>
        <w:tc>
          <w:tcPr>
            <w:tcW w:w="1660" w:type="dxa"/>
            <w:vAlign w:val="bottom"/>
          </w:tcPr>
          <w:p>
            <w:pPr>
              <w:ind w:left="120"/>
              <w:spacing w:after="0"/>
              <w:rPr>
                <w:sz w:val="20"/>
                <w:szCs w:val="20"/>
                <w:color w:val="auto"/>
              </w:rPr>
            </w:pPr>
            <w:r>
              <w:rPr>
                <w:rFonts w:ascii="Arial" w:cs="Arial" w:eastAsia="Arial" w:hAnsi="Arial"/>
                <w:sz w:val="16"/>
                <w:szCs w:val="16"/>
                <w:color w:val="auto"/>
              </w:rPr>
              <w:t>Attract and retain top</w:t>
            </w:r>
          </w:p>
        </w:tc>
        <w:tc>
          <w:tcPr>
            <w:tcW w:w="160" w:type="dxa"/>
            <w:vAlign w:val="bottom"/>
            <w:tcBorders>
              <w:right w:val="single" w:sz="8" w:color="83AD40"/>
            </w:tcBorders>
          </w:tcPr>
          <w:p>
            <w:pPr>
              <w:spacing w:after="0"/>
              <w:rPr>
                <w:sz w:val="18"/>
                <w:szCs w:val="18"/>
                <w:color w:val="auto"/>
              </w:rPr>
            </w:pPr>
          </w:p>
        </w:tc>
        <w:tc>
          <w:tcPr>
            <w:tcW w:w="1660" w:type="dxa"/>
            <w:vAlign w:val="bottom"/>
          </w:tcPr>
          <w:p>
            <w:pPr>
              <w:ind w:left="120"/>
              <w:spacing w:after="0"/>
              <w:rPr>
                <w:sz w:val="20"/>
                <w:szCs w:val="20"/>
                <w:color w:val="auto"/>
              </w:rPr>
            </w:pPr>
            <w:r>
              <w:rPr>
                <w:rFonts w:ascii="Arial" w:cs="Arial" w:eastAsia="Arial" w:hAnsi="Arial"/>
                <w:sz w:val="16"/>
                <w:szCs w:val="16"/>
                <w:color w:val="auto"/>
              </w:rPr>
              <w:t>Motivate our</w:t>
            </w:r>
          </w:p>
        </w:tc>
        <w:tc>
          <w:tcPr>
            <w:tcW w:w="160" w:type="dxa"/>
            <w:vAlign w:val="bottom"/>
            <w:tcBorders>
              <w:right w:val="single" w:sz="8" w:color="83AD40"/>
            </w:tcBorders>
          </w:tcPr>
          <w:p>
            <w:pPr>
              <w:spacing w:after="0"/>
              <w:rPr>
                <w:sz w:val="18"/>
                <w:szCs w:val="18"/>
                <w:color w:val="auto"/>
              </w:rPr>
            </w:pPr>
          </w:p>
        </w:tc>
        <w:tc>
          <w:tcPr>
            <w:tcW w:w="1640" w:type="dxa"/>
            <w:vAlign w:val="bottom"/>
          </w:tcPr>
          <w:p>
            <w:pPr>
              <w:ind w:left="120"/>
              <w:spacing w:after="0"/>
              <w:rPr>
                <w:sz w:val="20"/>
                <w:szCs w:val="20"/>
                <w:color w:val="auto"/>
              </w:rPr>
            </w:pPr>
            <w:r>
              <w:rPr>
                <w:rFonts w:ascii="Arial" w:cs="Arial" w:eastAsia="Arial" w:hAnsi="Arial"/>
                <w:sz w:val="16"/>
                <w:szCs w:val="16"/>
                <w:color w:val="auto"/>
              </w:rPr>
              <w:t>Achieve an</w:t>
            </w:r>
          </w:p>
        </w:tc>
        <w:tc>
          <w:tcPr>
            <w:tcW w:w="200" w:type="dxa"/>
            <w:vAlign w:val="bottom"/>
            <w:tcBorders>
              <w:right w:val="single" w:sz="8" w:color="83AD40"/>
            </w:tcBorders>
          </w:tcPr>
          <w:p>
            <w:pPr>
              <w:spacing w:after="0"/>
              <w:rPr>
                <w:sz w:val="18"/>
                <w:szCs w:val="18"/>
                <w:color w:val="auto"/>
              </w:rPr>
            </w:pPr>
          </w:p>
        </w:tc>
        <w:tc>
          <w:tcPr>
            <w:tcW w:w="1640" w:type="dxa"/>
            <w:vAlign w:val="bottom"/>
          </w:tcPr>
          <w:p>
            <w:pPr>
              <w:ind w:left="100"/>
              <w:spacing w:after="0"/>
              <w:rPr>
                <w:sz w:val="20"/>
                <w:szCs w:val="20"/>
                <w:color w:val="auto"/>
              </w:rPr>
            </w:pPr>
            <w:r>
              <w:rPr>
                <w:rFonts w:ascii="Arial" w:cs="Arial" w:eastAsia="Arial" w:hAnsi="Arial"/>
                <w:sz w:val="16"/>
                <w:szCs w:val="16"/>
                <w:color w:val="auto"/>
              </w:rPr>
              <w:t>Foster the dedication</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3"/>
        </w:trPr>
        <w:tc>
          <w:tcPr>
            <w:tcW w:w="820" w:type="dxa"/>
            <w:vAlign w:val="bottom"/>
          </w:tcPr>
          <w:p>
            <w:pPr>
              <w:spacing w:after="0"/>
              <w:rPr>
                <w:sz w:val="17"/>
                <w:szCs w:val="17"/>
                <w:color w:val="auto"/>
              </w:rPr>
            </w:pPr>
          </w:p>
        </w:tc>
        <w:tc>
          <w:tcPr>
            <w:tcW w:w="1620" w:type="dxa"/>
            <w:vAlign w:val="bottom"/>
          </w:tcPr>
          <w:p>
            <w:pPr>
              <w:ind w:left="80"/>
              <w:spacing w:after="0"/>
              <w:rPr>
                <w:sz w:val="20"/>
                <w:szCs w:val="20"/>
                <w:color w:val="auto"/>
              </w:rPr>
            </w:pPr>
            <w:r>
              <w:rPr>
                <w:rFonts w:ascii="Arial" w:cs="Arial" w:eastAsia="Arial" w:hAnsi="Arial"/>
                <w:sz w:val="16"/>
                <w:szCs w:val="16"/>
                <w:color w:val="auto"/>
              </w:rPr>
              <w:t>based incentives that</w:t>
            </w:r>
          </w:p>
        </w:tc>
        <w:tc>
          <w:tcPr>
            <w:tcW w:w="160" w:type="dxa"/>
            <w:vAlign w:val="bottom"/>
            <w:tcBorders>
              <w:right w:val="single" w:sz="8" w:color="83AD40"/>
            </w:tcBorders>
          </w:tcPr>
          <w:p>
            <w:pPr>
              <w:spacing w:after="0"/>
              <w:rPr>
                <w:sz w:val="17"/>
                <w:szCs w:val="17"/>
                <w:color w:val="auto"/>
              </w:rPr>
            </w:pPr>
          </w:p>
        </w:tc>
        <w:tc>
          <w:tcPr>
            <w:tcW w:w="1660" w:type="dxa"/>
            <w:vAlign w:val="bottom"/>
          </w:tcPr>
          <w:p>
            <w:pPr>
              <w:ind w:left="120"/>
              <w:spacing w:after="0"/>
              <w:rPr>
                <w:sz w:val="20"/>
                <w:szCs w:val="20"/>
                <w:color w:val="auto"/>
              </w:rPr>
            </w:pPr>
            <w:r>
              <w:rPr>
                <w:rFonts w:ascii="Arial" w:cs="Arial" w:eastAsia="Arial" w:hAnsi="Arial"/>
                <w:sz w:val="16"/>
                <w:szCs w:val="16"/>
                <w:color w:val="auto"/>
                <w:w w:val="98"/>
              </w:rPr>
              <w:t>talent in a market that</w:t>
            </w:r>
          </w:p>
        </w:tc>
        <w:tc>
          <w:tcPr>
            <w:tcW w:w="160" w:type="dxa"/>
            <w:vAlign w:val="bottom"/>
            <w:tcBorders>
              <w:right w:val="single" w:sz="8" w:color="83AD40"/>
            </w:tcBorders>
          </w:tcPr>
          <w:p>
            <w:pPr>
              <w:spacing w:after="0"/>
              <w:rPr>
                <w:sz w:val="17"/>
                <w:szCs w:val="17"/>
                <w:color w:val="auto"/>
              </w:rPr>
            </w:pPr>
          </w:p>
        </w:tc>
        <w:tc>
          <w:tcPr>
            <w:tcW w:w="1660" w:type="dxa"/>
            <w:vAlign w:val="bottom"/>
          </w:tcPr>
          <w:p>
            <w:pPr>
              <w:ind w:left="120"/>
              <w:spacing w:after="0"/>
              <w:rPr>
                <w:sz w:val="20"/>
                <w:szCs w:val="20"/>
                <w:color w:val="auto"/>
              </w:rPr>
            </w:pPr>
            <w:r>
              <w:rPr>
                <w:rFonts w:ascii="Arial" w:cs="Arial" w:eastAsia="Arial" w:hAnsi="Arial"/>
                <w:sz w:val="16"/>
                <w:szCs w:val="16"/>
                <w:color w:val="auto"/>
                <w:w w:val="99"/>
              </w:rPr>
              <w:t>executives to achieve</w:t>
            </w:r>
          </w:p>
        </w:tc>
        <w:tc>
          <w:tcPr>
            <w:tcW w:w="160" w:type="dxa"/>
            <w:vAlign w:val="bottom"/>
            <w:tcBorders>
              <w:right w:val="single" w:sz="8" w:color="83AD40"/>
            </w:tcBorders>
          </w:tcPr>
          <w:p>
            <w:pPr>
              <w:spacing w:after="0"/>
              <w:rPr>
                <w:sz w:val="17"/>
                <w:szCs w:val="17"/>
                <w:color w:val="auto"/>
              </w:rPr>
            </w:pPr>
          </w:p>
        </w:tc>
        <w:tc>
          <w:tcPr>
            <w:tcW w:w="1640" w:type="dxa"/>
            <w:vAlign w:val="bottom"/>
          </w:tcPr>
          <w:p>
            <w:pPr>
              <w:ind w:left="120"/>
              <w:spacing w:after="0"/>
              <w:rPr>
                <w:sz w:val="20"/>
                <w:szCs w:val="20"/>
                <w:color w:val="auto"/>
              </w:rPr>
            </w:pPr>
            <w:r>
              <w:rPr>
                <w:rFonts w:ascii="Arial" w:cs="Arial" w:eastAsia="Arial" w:hAnsi="Arial"/>
                <w:sz w:val="16"/>
                <w:szCs w:val="16"/>
                <w:color w:val="auto"/>
              </w:rPr>
              <w:t>appropriate balance</w:t>
            </w:r>
          </w:p>
        </w:tc>
        <w:tc>
          <w:tcPr>
            <w:tcW w:w="200" w:type="dxa"/>
            <w:vAlign w:val="bottom"/>
            <w:tcBorders>
              <w:right w:val="single" w:sz="8" w:color="83AD40"/>
            </w:tcBorders>
          </w:tcPr>
          <w:p>
            <w:pPr>
              <w:spacing w:after="0"/>
              <w:rPr>
                <w:sz w:val="17"/>
                <w:szCs w:val="17"/>
                <w:color w:val="auto"/>
              </w:rPr>
            </w:pPr>
          </w:p>
        </w:tc>
        <w:tc>
          <w:tcPr>
            <w:tcW w:w="1640" w:type="dxa"/>
            <w:vAlign w:val="bottom"/>
          </w:tcPr>
          <w:p>
            <w:pPr>
              <w:ind w:left="100"/>
              <w:spacing w:after="0"/>
              <w:rPr>
                <w:sz w:val="20"/>
                <w:szCs w:val="20"/>
                <w:color w:val="auto"/>
              </w:rPr>
            </w:pPr>
            <w:r>
              <w:rPr>
                <w:rFonts w:ascii="Arial" w:cs="Arial" w:eastAsia="Arial" w:hAnsi="Arial"/>
                <w:sz w:val="16"/>
                <w:szCs w:val="16"/>
                <w:color w:val="auto"/>
              </w:rPr>
              <w:t>required to succeed</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820" w:type="dxa"/>
            <w:vAlign w:val="bottom"/>
          </w:tcPr>
          <w:p>
            <w:pPr>
              <w:spacing w:after="0"/>
              <w:rPr>
                <w:sz w:val="17"/>
                <w:szCs w:val="17"/>
                <w:color w:val="auto"/>
              </w:rPr>
            </w:pPr>
          </w:p>
        </w:tc>
        <w:tc>
          <w:tcPr>
            <w:tcW w:w="1620" w:type="dxa"/>
            <w:vAlign w:val="bottom"/>
          </w:tcPr>
          <w:p>
            <w:pPr>
              <w:ind w:left="80"/>
              <w:spacing w:after="0"/>
              <w:rPr>
                <w:sz w:val="20"/>
                <w:szCs w:val="20"/>
                <w:color w:val="auto"/>
              </w:rPr>
            </w:pPr>
            <w:r>
              <w:rPr>
                <w:rFonts w:ascii="Arial" w:cs="Arial" w:eastAsia="Arial" w:hAnsi="Arial"/>
                <w:sz w:val="16"/>
                <w:szCs w:val="16"/>
                <w:color w:val="auto"/>
              </w:rPr>
              <w:t>create a strong</w:t>
            </w:r>
          </w:p>
        </w:tc>
        <w:tc>
          <w:tcPr>
            <w:tcW w:w="160" w:type="dxa"/>
            <w:vAlign w:val="bottom"/>
            <w:tcBorders>
              <w:right w:val="single" w:sz="8" w:color="83AD40"/>
            </w:tcBorders>
          </w:tcPr>
          <w:p>
            <w:pPr>
              <w:spacing w:after="0"/>
              <w:rPr>
                <w:sz w:val="17"/>
                <w:szCs w:val="17"/>
                <w:color w:val="auto"/>
              </w:rPr>
            </w:pPr>
          </w:p>
        </w:tc>
        <w:tc>
          <w:tcPr>
            <w:tcW w:w="1660" w:type="dxa"/>
            <w:vAlign w:val="bottom"/>
          </w:tcPr>
          <w:p>
            <w:pPr>
              <w:ind w:left="120"/>
              <w:spacing w:after="0"/>
              <w:rPr>
                <w:sz w:val="20"/>
                <w:szCs w:val="20"/>
                <w:color w:val="auto"/>
              </w:rPr>
            </w:pPr>
            <w:r>
              <w:rPr>
                <w:rFonts w:ascii="Arial" w:cs="Arial" w:eastAsia="Arial" w:hAnsi="Arial"/>
                <w:sz w:val="16"/>
                <w:szCs w:val="16"/>
                <w:color w:val="auto"/>
              </w:rPr>
              <w:t>is highly competitive</w:t>
            </w:r>
          </w:p>
        </w:tc>
        <w:tc>
          <w:tcPr>
            <w:tcW w:w="160" w:type="dxa"/>
            <w:vAlign w:val="bottom"/>
            <w:tcBorders>
              <w:right w:val="single" w:sz="8" w:color="83AD40"/>
            </w:tcBorders>
          </w:tcPr>
          <w:p>
            <w:pPr>
              <w:spacing w:after="0"/>
              <w:rPr>
                <w:sz w:val="17"/>
                <w:szCs w:val="17"/>
                <w:color w:val="auto"/>
              </w:rPr>
            </w:pPr>
          </w:p>
        </w:tc>
        <w:tc>
          <w:tcPr>
            <w:tcW w:w="1660" w:type="dxa"/>
            <w:vAlign w:val="bottom"/>
          </w:tcPr>
          <w:p>
            <w:pPr>
              <w:ind w:left="120"/>
              <w:spacing w:after="0"/>
              <w:rPr>
                <w:sz w:val="20"/>
                <w:szCs w:val="20"/>
                <w:color w:val="auto"/>
              </w:rPr>
            </w:pPr>
            <w:r>
              <w:rPr>
                <w:rFonts w:ascii="Arial" w:cs="Arial" w:eastAsia="Arial" w:hAnsi="Arial"/>
                <w:sz w:val="16"/>
                <w:szCs w:val="16"/>
                <w:color w:val="auto"/>
                <w:w w:val="99"/>
              </w:rPr>
              <w:t>superior performance</w:t>
            </w:r>
          </w:p>
        </w:tc>
        <w:tc>
          <w:tcPr>
            <w:tcW w:w="160" w:type="dxa"/>
            <w:vAlign w:val="bottom"/>
            <w:tcBorders>
              <w:right w:val="single" w:sz="8" w:color="83AD40"/>
            </w:tcBorders>
          </w:tcPr>
          <w:p>
            <w:pPr>
              <w:spacing w:after="0"/>
              <w:rPr>
                <w:sz w:val="17"/>
                <w:szCs w:val="17"/>
                <w:color w:val="auto"/>
              </w:rPr>
            </w:pPr>
          </w:p>
        </w:tc>
        <w:tc>
          <w:tcPr>
            <w:tcW w:w="1640" w:type="dxa"/>
            <w:vAlign w:val="bottom"/>
          </w:tcPr>
          <w:p>
            <w:pPr>
              <w:ind w:left="120"/>
              <w:spacing w:after="0"/>
              <w:rPr>
                <w:sz w:val="20"/>
                <w:szCs w:val="20"/>
                <w:color w:val="auto"/>
              </w:rPr>
            </w:pPr>
            <w:r>
              <w:rPr>
                <w:rFonts w:ascii="Arial" w:cs="Arial" w:eastAsia="Arial" w:hAnsi="Arial"/>
                <w:sz w:val="16"/>
                <w:szCs w:val="16"/>
                <w:color w:val="auto"/>
              </w:rPr>
              <w:t>between risk and</w:t>
            </w:r>
          </w:p>
        </w:tc>
        <w:tc>
          <w:tcPr>
            <w:tcW w:w="200" w:type="dxa"/>
            <w:vAlign w:val="bottom"/>
            <w:tcBorders>
              <w:right w:val="single" w:sz="8" w:color="83AD40"/>
            </w:tcBorders>
          </w:tcPr>
          <w:p>
            <w:pPr>
              <w:spacing w:after="0"/>
              <w:rPr>
                <w:sz w:val="17"/>
                <w:szCs w:val="17"/>
                <w:color w:val="auto"/>
              </w:rPr>
            </w:pPr>
          </w:p>
        </w:tc>
        <w:tc>
          <w:tcPr>
            <w:tcW w:w="1640" w:type="dxa"/>
            <w:vAlign w:val="bottom"/>
          </w:tcPr>
          <w:p>
            <w:pPr>
              <w:ind w:left="100"/>
              <w:spacing w:after="0"/>
              <w:rPr>
                <w:sz w:val="20"/>
                <w:szCs w:val="20"/>
                <w:color w:val="auto"/>
              </w:rPr>
            </w:pPr>
            <w:r>
              <w:rPr>
                <w:rFonts w:ascii="Arial" w:cs="Arial" w:eastAsia="Arial" w:hAnsi="Arial"/>
                <w:sz w:val="16"/>
                <w:szCs w:val="16"/>
                <w:color w:val="auto"/>
              </w:rPr>
              <w:t>against our</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89"/>
        </w:trPr>
        <w:tc>
          <w:tcPr>
            <w:tcW w:w="820" w:type="dxa"/>
            <w:vAlign w:val="bottom"/>
          </w:tcPr>
          <w:p>
            <w:pPr>
              <w:spacing w:after="0"/>
              <w:rPr>
                <w:sz w:val="16"/>
                <w:szCs w:val="16"/>
                <w:color w:val="auto"/>
              </w:rPr>
            </w:pPr>
          </w:p>
        </w:tc>
        <w:tc>
          <w:tcPr>
            <w:tcW w:w="1620" w:type="dxa"/>
            <w:vAlign w:val="bottom"/>
          </w:tcPr>
          <w:p>
            <w:pPr>
              <w:ind w:left="80"/>
              <w:spacing w:after="0"/>
              <w:rPr>
                <w:sz w:val="20"/>
                <w:szCs w:val="20"/>
                <w:color w:val="auto"/>
              </w:rPr>
            </w:pPr>
            <w:r>
              <w:rPr>
                <w:rFonts w:ascii="Arial" w:cs="Arial" w:eastAsia="Arial" w:hAnsi="Arial"/>
                <w:sz w:val="16"/>
                <w:szCs w:val="16"/>
                <w:color w:val="auto"/>
              </w:rPr>
              <w:t>alignment of</w:t>
            </w:r>
          </w:p>
        </w:tc>
        <w:tc>
          <w:tcPr>
            <w:tcW w:w="160" w:type="dxa"/>
            <w:vAlign w:val="bottom"/>
            <w:tcBorders>
              <w:right w:val="single" w:sz="8" w:color="83AD40"/>
            </w:tcBorders>
          </w:tcPr>
          <w:p>
            <w:pPr>
              <w:spacing w:after="0"/>
              <w:rPr>
                <w:sz w:val="16"/>
                <w:szCs w:val="16"/>
                <w:color w:val="auto"/>
              </w:rPr>
            </w:pPr>
          </w:p>
        </w:tc>
        <w:tc>
          <w:tcPr>
            <w:tcW w:w="1660" w:type="dxa"/>
            <w:vAlign w:val="bottom"/>
          </w:tcPr>
          <w:p>
            <w:pPr>
              <w:ind w:left="120"/>
              <w:spacing w:after="0"/>
              <w:rPr>
                <w:sz w:val="20"/>
                <w:szCs w:val="20"/>
                <w:color w:val="auto"/>
              </w:rPr>
            </w:pPr>
            <w:r>
              <w:rPr>
                <w:rFonts w:ascii="Arial" w:cs="Arial" w:eastAsia="Arial" w:hAnsi="Arial"/>
                <w:sz w:val="16"/>
                <w:szCs w:val="16"/>
                <w:color w:val="auto"/>
              </w:rPr>
              <w:t>for New York City</w:t>
            </w:r>
          </w:p>
        </w:tc>
        <w:tc>
          <w:tcPr>
            <w:tcW w:w="160" w:type="dxa"/>
            <w:vAlign w:val="bottom"/>
            <w:tcBorders>
              <w:right w:val="single" w:sz="8" w:color="83AD40"/>
            </w:tcBorders>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Borders>
              <w:right w:val="single" w:sz="8" w:color="83AD40"/>
            </w:tcBorders>
          </w:tcPr>
          <w:p>
            <w:pPr>
              <w:spacing w:after="0"/>
              <w:rPr>
                <w:sz w:val="16"/>
                <w:szCs w:val="16"/>
                <w:color w:val="auto"/>
              </w:rPr>
            </w:pPr>
          </w:p>
        </w:tc>
        <w:tc>
          <w:tcPr>
            <w:tcW w:w="1640" w:type="dxa"/>
            <w:vAlign w:val="bottom"/>
          </w:tcPr>
          <w:p>
            <w:pPr>
              <w:ind w:left="120"/>
              <w:spacing w:after="0"/>
              <w:rPr>
                <w:sz w:val="20"/>
                <w:szCs w:val="20"/>
                <w:color w:val="auto"/>
              </w:rPr>
            </w:pPr>
            <w:r>
              <w:rPr>
                <w:rFonts w:ascii="Arial" w:cs="Arial" w:eastAsia="Arial" w:hAnsi="Arial"/>
                <w:sz w:val="16"/>
                <w:szCs w:val="16"/>
                <w:color w:val="auto"/>
              </w:rPr>
              <w:t>reward in our</w:t>
            </w:r>
          </w:p>
        </w:tc>
        <w:tc>
          <w:tcPr>
            <w:tcW w:w="200" w:type="dxa"/>
            <w:vAlign w:val="bottom"/>
            <w:tcBorders>
              <w:right w:val="single" w:sz="8" w:color="83AD40"/>
            </w:tcBorders>
          </w:tcPr>
          <w:p>
            <w:pPr>
              <w:spacing w:after="0"/>
              <w:rPr>
                <w:sz w:val="16"/>
                <w:szCs w:val="16"/>
                <w:color w:val="auto"/>
              </w:rPr>
            </w:pPr>
          </w:p>
        </w:tc>
        <w:tc>
          <w:tcPr>
            <w:tcW w:w="1640" w:type="dxa"/>
            <w:vAlign w:val="bottom"/>
          </w:tcPr>
          <w:p>
            <w:pPr>
              <w:ind w:left="100"/>
              <w:spacing w:after="0"/>
              <w:rPr>
                <w:sz w:val="20"/>
                <w:szCs w:val="20"/>
                <w:color w:val="auto"/>
              </w:rPr>
            </w:pPr>
            <w:r>
              <w:rPr>
                <w:rFonts w:ascii="Arial" w:cs="Arial" w:eastAsia="Arial" w:hAnsi="Arial"/>
                <w:sz w:val="16"/>
                <w:szCs w:val="16"/>
                <w:color w:val="auto"/>
              </w:rPr>
              <w:t>competitors, while</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3"/>
        </w:trPr>
        <w:tc>
          <w:tcPr>
            <w:tcW w:w="820" w:type="dxa"/>
            <w:vAlign w:val="bottom"/>
          </w:tcPr>
          <w:p>
            <w:pPr>
              <w:spacing w:after="0"/>
              <w:rPr>
                <w:sz w:val="17"/>
                <w:szCs w:val="17"/>
                <w:color w:val="auto"/>
              </w:rPr>
            </w:pPr>
          </w:p>
        </w:tc>
        <w:tc>
          <w:tcPr>
            <w:tcW w:w="1620" w:type="dxa"/>
            <w:vAlign w:val="bottom"/>
          </w:tcPr>
          <w:p>
            <w:pPr>
              <w:ind w:left="80"/>
              <w:spacing w:after="0"/>
              <w:rPr>
                <w:sz w:val="20"/>
                <w:szCs w:val="20"/>
                <w:color w:val="auto"/>
              </w:rPr>
            </w:pPr>
            <w:r>
              <w:rPr>
                <w:rFonts w:ascii="Arial" w:cs="Arial" w:eastAsia="Arial" w:hAnsi="Arial"/>
                <w:sz w:val="16"/>
                <w:szCs w:val="16"/>
                <w:color w:val="auto"/>
              </w:rPr>
              <w:t>management and</w:t>
            </w:r>
          </w:p>
        </w:tc>
        <w:tc>
          <w:tcPr>
            <w:tcW w:w="160" w:type="dxa"/>
            <w:vAlign w:val="bottom"/>
            <w:tcBorders>
              <w:right w:val="single" w:sz="8" w:color="83AD40"/>
            </w:tcBorders>
          </w:tcPr>
          <w:p>
            <w:pPr>
              <w:spacing w:after="0"/>
              <w:rPr>
                <w:sz w:val="17"/>
                <w:szCs w:val="17"/>
                <w:color w:val="auto"/>
              </w:rPr>
            </w:pPr>
          </w:p>
        </w:tc>
        <w:tc>
          <w:tcPr>
            <w:tcW w:w="1660" w:type="dxa"/>
            <w:vAlign w:val="bottom"/>
          </w:tcPr>
          <w:p>
            <w:pPr>
              <w:ind w:left="120"/>
              <w:spacing w:after="0"/>
              <w:rPr>
                <w:sz w:val="20"/>
                <w:szCs w:val="20"/>
                <w:color w:val="auto"/>
              </w:rPr>
            </w:pPr>
            <w:r>
              <w:rPr>
                <w:rFonts w:ascii="Arial" w:cs="Arial" w:eastAsia="Arial" w:hAnsi="Arial"/>
                <w:sz w:val="16"/>
                <w:szCs w:val="16"/>
                <w:color w:val="auto"/>
              </w:rPr>
              <w:t>commercial real</w:t>
            </w:r>
          </w:p>
        </w:tc>
        <w:tc>
          <w:tcPr>
            <w:tcW w:w="160" w:type="dxa"/>
            <w:vAlign w:val="bottom"/>
            <w:tcBorders>
              <w:right w:val="single" w:sz="8" w:color="83AD40"/>
            </w:tcBorders>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Borders>
              <w:right w:val="single" w:sz="8" w:color="83AD40"/>
            </w:tcBorders>
          </w:tcPr>
          <w:p>
            <w:pPr>
              <w:spacing w:after="0"/>
              <w:rPr>
                <w:sz w:val="17"/>
                <w:szCs w:val="17"/>
                <w:color w:val="auto"/>
              </w:rPr>
            </w:pPr>
          </w:p>
        </w:tc>
        <w:tc>
          <w:tcPr>
            <w:tcW w:w="1640" w:type="dxa"/>
            <w:vAlign w:val="bottom"/>
          </w:tcPr>
          <w:p>
            <w:pPr>
              <w:ind w:left="120"/>
              <w:spacing w:after="0"/>
              <w:rPr>
                <w:sz w:val="20"/>
                <w:szCs w:val="20"/>
                <w:color w:val="auto"/>
              </w:rPr>
            </w:pPr>
            <w:r>
              <w:rPr>
                <w:rFonts w:ascii="Arial" w:cs="Arial" w:eastAsia="Arial" w:hAnsi="Arial"/>
                <w:sz w:val="16"/>
                <w:szCs w:val="16"/>
                <w:color w:val="auto"/>
              </w:rPr>
              <w:t>compensation</w:t>
            </w:r>
          </w:p>
        </w:tc>
        <w:tc>
          <w:tcPr>
            <w:tcW w:w="200" w:type="dxa"/>
            <w:vAlign w:val="bottom"/>
            <w:tcBorders>
              <w:right w:val="single" w:sz="8" w:color="83AD40"/>
            </w:tcBorders>
          </w:tcPr>
          <w:p>
            <w:pPr>
              <w:spacing w:after="0"/>
              <w:rPr>
                <w:sz w:val="17"/>
                <w:szCs w:val="17"/>
                <w:color w:val="auto"/>
              </w:rPr>
            </w:pPr>
          </w:p>
        </w:tc>
        <w:tc>
          <w:tcPr>
            <w:tcW w:w="1640" w:type="dxa"/>
            <w:vAlign w:val="bottom"/>
          </w:tcPr>
          <w:p>
            <w:pPr>
              <w:ind w:left="100"/>
              <w:spacing w:after="0"/>
              <w:rPr>
                <w:sz w:val="20"/>
                <w:szCs w:val="20"/>
                <w:color w:val="auto"/>
              </w:rPr>
            </w:pPr>
            <w:r>
              <w:rPr>
                <w:rFonts w:ascii="Arial" w:cs="Arial" w:eastAsia="Arial" w:hAnsi="Arial"/>
                <w:sz w:val="16"/>
                <w:szCs w:val="16"/>
                <w:color w:val="auto"/>
              </w:rPr>
              <w:t>maintaining low</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820" w:type="dxa"/>
            <w:vAlign w:val="bottom"/>
          </w:tcPr>
          <w:p>
            <w:pPr>
              <w:spacing w:after="0"/>
              <w:rPr>
                <w:sz w:val="17"/>
                <w:szCs w:val="17"/>
                <w:color w:val="auto"/>
              </w:rPr>
            </w:pPr>
          </w:p>
        </w:tc>
        <w:tc>
          <w:tcPr>
            <w:tcW w:w="1620" w:type="dxa"/>
            <w:vAlign w:val="bottom"/>
          </w:tcPr>
          <w:p>
            <w:pPr>
              <w:ind w:left="80"/>
              <w:spacing w:after="0"/>
              <w:rPr>
                <w:sz w:val="20"/>
                <w:szCs w:val="20"/>
                <w:color w:val="auto"/>
              </w:rPr>
            </w:pPr>
            <w:r>
              <w:rPr>
                <w:rFonts w:ascii="Arial" w:cs="Arial" w:eastAsia="Arial" w:hAnsi="Arial"/>
                <w:sz w:val="16"/>
                <w:szCs w:val="16"/>
                <w:color w:val="auto"/>
              </w:rPr>
              <w:t>stockholder interests</w:t>
            </w:r>
          </w:p>
        </w:tc>
        <w:tc>
          <w:tcPr>
            <w:tcW w:w="160" w:type="dxa"/>
            <w:vAlign w:val="bottom"/>
            <w:tcBorders>
              <w:right w:val="single" w:sz="8" w:color="83AD40"/>
            </w:tcBorders>
          </w:tcPr>
          <w:p>
            <w:pPr>
              <w:spacing w:after="0"/>
              <w:rPr>
                <w:sz w:val="17"/>
                <w:szCs w:val="17"/>
                <w:color w:val="auto"/>
              </w:rPr>
            </w:pPr>
          </w:p>
        </w:tc>
        <w:tc>
          <w:tcPr>
            <w:tcW w:w="1660" w:type="dxa"/>
            <w:vAlign w:val="bottom"/>
          </w:tcPr>
          <w:p>
            <w:pPr>
              <w:ind w:left="120"/>
              <w:spacing w:after="0"/>
              <w:rPr>
                <w:sz w:val="20"/>
                <w:szCs w:val="20"/>
                <w:color w:val="auto"/>
              </w:rPr>
            </w:pPr>
            <w:r>
              <w:rPr>
                <w:rFonts w:ascii="Arial" w:cs="Arial" w:eastAsia="Arial" w:hAnsi="Arial"/>
                <w:sz w:val="16"/>
                <w:szCs w:val="16"/>
                <w:color w:val="auto"/>
              </w:rPr>
              <w:t>estate management</w:t>
            </w:r>
          </w:p>
        </w:tc>
        <w:tc>
          <w:tcPr>
            <w:tcW w:w="160" w:type="dxa"/>
            <w:vAlign w:val="bottom"/>
            <w:tcBorders>
              <w:right w:val="single" w:sz="8" w:color="83AD40"/>
            </w:tcBorders>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Borders>
              <w:right w:val="single" w:sz="8" w:color="83AD40"/>
            </w:tcBorders>
          </w:tcPr>
          <w:p>
            <w:pPr>
              <w:spacing w:after="0"/>
              <w:rPr>
                <w:sz w:val="17"/>
                <w:szCs w:val="17"/>
                <w:color w:val="auto"/>
              </w:rPr>
            </w:pPr>
          </w:p>
        </w:tc>
        <w:tc>
          <w:tcPr>
            <w:tcW w:w="1640" w:type="dxa"/>
            <w:vAlign w:val="bottom"/>
          </w:tcPr>
          <w:p>
            <w:pPr>
              <w:ind w:left="120"/>
              <w:spacing w:after="0"/>
              <w:rPr>
                <w:sz w:val="20"/>
                <w:szCs w:val="20"/>
                <w:color w:val="auto"/>
              </w:rPr>
            </w:pPr>
            <w:r>
              <w:rPr>
                <w:rFonts w:ascii="Arial" w:cs="Arial" w:eastAsia="Arial" w:hAnsi="Arial"/>
                <w:sz w:val="16"/>
                <w:szCs w:val="16"/>
                <w:color w:val="auto"/>
              </w:rPr>
              <w:t>programs that does</w:t>
            </w:r>
          </w:p>
        </w:tc>
        <w:tc>
          <w:tcPr>
            <w:tcW w:w="200" w:type="dxa"/>
            <w:vAlign w:val="bottom"/>
            <w:tcBorders>
              <w:right w:val="single" w:sz="8" w:color="83AD40"/>
            </w:tcBorders>
          </w:tcPr>
          <w:p>
            <w:pPr>
              <w:spacing w:after="0"/>
              <w:rPr>
                <w:sz w:val="17"/>
                <w:szCs w:val="17"/>
                <w:color w:val="auto"/>
              </w:rPr>
            </w:pPr>
          </w:p>
        </w:tc>
        <w:tc>
          <w:tcPr>
            <w:tcW w:w="1640" w:type="dxa"/>
            <w:vAlign w:val="bottom"/>
          </w:tcPr>
          <w:p>
            <w:pPr>
              <w:ind w:left="100"/>
              <w:spacing w:after="0"/>
              <w:rPr>
                <w:sz w:val="20"/>
                <w:szCs w:val="20"/>
                <w:color w:val="auto"/>
              </w:rPr>
            </w:pPr>
            <w:r>
              <w:rPr>
                <w:rFonts w:ascii="Arial" w:cs="Arial" w:eastAsia="Arial" w:hAnsi="Arial"/>
                <w:sz w:val="16"/>
                <w:szCs w:val="16"/>
                <w:color w:val="auto"/>
              </w:rPr>
              <w:t>overall general and</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89"/>
        </w:trPr>
        <w:tc>
          <w:tcPr>
            <w:tcW w:w="8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0" w:type="dxa"/>
            <w:vAlign w:val="bottom"/>
            <w:tcBorders>
              <w:right w:val="single" w:sz="8" w:color="83AD40"/>
            </w:tcBorders>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Borders>
              <w:right w:val="single" w:sz="8" w:color="83AD40"/>
            </w:tcBorders>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Borders>
              <w:right w:val="single" w:sz="8" w:color="83AD40"/>
            </w:tcBorders>
          </w:tcPr>
          <w:p>
            <w:pPr>
              <w:spacing w:after="0"/>
              <w:rPr>
                <w:sz w:val="16"/>
                <w:szCs w:val="16"/>
                <w:color w:val="auto"/>
              </w:rPr>
            </w:pPr>
          </w:p>
        </w:tc>
        <w:tc>
          <w:tcPr>
            <w:tcW w:w="1640" w:type="dxa"/>
            <w:vAlign w:val="bottom"/>
          </w:tcPr>
          <w:p>
            <w:pPr>
              <w:ind w:left="120"/>
              <w:spacing w:after="0"/>
              <w:rPr>
                <w:sz w:val="20"/>
                <w:szCs w:val="20"/>
                <w:color w:val="auto"/>
              </w:rPr>
            </w:pPr>
            <w:r>
              <w:rPr>
                <w:rFonts w:ascii="Arial" w:cs="Arial" w:eastAsia="Arial" w:hAnsi="Arial"/>
                <w:sz w:val="16"/>
                <w:szCs w:val="16"/>
                <w:color w:val="auto"/>
              </w:rPr>
              <w:t>not create incentives</w:t>
            </w:r>
          </w:p>
        </w:tc>
        <w:tc>
          <w:tcPr>
            <w:tcW w:w="200" w:type="dxa"/>
            <w:vAlign w:val="bottom"/>
            <w:tcBorders>
              <w:right w:val="single" w:sz="8" w:color="83AD40"/>
            </w:tcBorders>
          </w:tcPr>
          <w:p>
            <w:pPr>
              <w:spacing w:after="0"/>
              <w:rPr>
                <w:sz w:val="16"/>
                <w:szCs w:val="16"/>
                <w:color w:val="auto"/>
              </w:rPr>
            </w:pPr>
          </w:p>
        </w:tc>
        <w:tc>
          <w:tcPr>
            <w:tcW w:w="1640" w:type="dxa"/>
            <w:vAlign w:val="bottom"/>
          </w:tcPr>
          <w:p>
            <w:pPr>
              <w:ind w:left="100"/>
              <w:spacing w:after="0"/>
              <w:rPr>
                <w:sz w:val="20"/>
                <w:szCs w:val="20"/>
                <w:color w:val="auto"/>
              </w:rPr>
            </w:pPr>
            <w:r>
              <w:rPr>
                <w:rFonts w:ascii="Arial" w:cs="Arial" w:eastAsia="Arial" w:hAnsi="Arial"/>
                <w:sz w:val="16"/>
                <w:szCs w:val="16"/>
                <w:color w:val="auto"/>
              </w:rPr>
              <w:t>administrative</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3"/>
        </w:trPr>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Borders>
              <w:right w:val="single" w:sz="8" w:color="83AD40"/>
            </w:tcBorders>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Borders>
              <w:right w:val="single" w:sz="8" w:color="83AD40"/>
            </w:tcBorders>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Borders>
              <w:right w:val="single" w:sz="8" w:color="83AD40"/>
            </w:tcBorders>
          </w:tcPr>
          <w:p>
            <w:pPr>
              <w:spacing w:after="0"/>
              <w:rPr>
                <w:sz w:val="17"/>
                <w:szCs w:val="17"/>
                <w:color w:val="auto"/>
              </w:rPr>
            </w:pPr>
          </w:p>
        </w:tc>
        <w:tc>
          <w:tcPr>
            <w:tcW w:w="1640" w:type="dxa"/>
            <w:vAlign w:val="bottom"/>
          </w:tcPr>
          <w:p>
            <w:pPr>
              <w:ind w:left="120"/>
              <w:spacing w:after="0"/>
              <w:rPr>
                <w:sz w:val="20"/>
                <w:szCs w:val="20"/>
                <w:color w:val="auto"/>
              </w:rPr>
            </w:pPr>
            <w:r>
              <w:rPr>
                <w:rFonts w:ascii="Arial" w:cs="Arial" w:eastAsia="Arial" w:hAnsi="Arial"/>
                <w:sz w:val="16"/>
                <w:szCs w:val="16"/>
                <w:color w:val="auto"/>
              </w:rPr>
              <w:t>for unnecessary or</w:t>
            </w:r>
          </w:p>
        </w:tc>
        <w:tc>
          <w:tcPr>
            <w:tcW w:w="200" w:type="dxa"/>
            <w:vAlign w:val="bottom"/>
            <w:tcBorders>
              <w:right w:val="single" w:sz="8" w:color="83AD40"/>
            </w:tcBorders>
          </w:tcPr>
          <w:p>
            <w:pPr>
              <w:spacing w:after="0"/>
              <w:rPr>
                <w:sz w:val="17"/>
                <w:szCs w:val="17"/>
                <w:color w:val="auto"/>
              </w:rPr>
            </w:pPr>
          </w:p>
        </w:tc>
        <w:tc>
          <w:tcPr>
            <w:tcW w:w="1640" w:type="dxa"/>
            <w:vAlign w:val="bottom"/>
          </w:tcPr>
          <w:p>
            <w:pPr>
              <w:ind w:left="100"/>
              <w:spacing w:after="0"/>
              <w:rPr>
                <w:sz w:val="20"/>
                <w:szCs w:val="20"/>
                <w:color w:val="auto"/>
              </w:rPr>
            </w:pPr>
            <w:r>
              <w:rPr>
                <w:rFonts w:ascii="Arial" w:cs="Arial" w:eastAsia="Arial" w:hAnsi="Arial"/>
                <w:sz w:val="16"/>
                <w:szCs w:val="16"/>
                <w:color w:val="auto"/>
              </w:rPr>
              <w:t>expense</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5"/>
        </w:trPr>
        <w:tc>
          <w:tcPr>
            <w:tcW w:w="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Borders>
              <w:right w:val="single" w:sz="8" w:color="83AD40"/>
            </w:tcBorders>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Borders>
              <w:right w:val="single" w:sz="8" w:color="83AD40"/>
            </w:tcBorders>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Borders>
              <w:right w:val="single" w:sz="8" w:color="83AD40"/>
            </w:tcBorders>
          </w:tcPr>
          <w:p>
            <w:pPr>
              <w:spacing w:after="0"/>
              <w:rPr>
                <w:sz w:val="18"/>
                <w:szCs w:val="18"/>
                <w:color w:val="auto"/>
              </w:rPr>
            </w:pPr>
          </w:p>
        </w:tc>
        <w:tc>
          <w:tcPr>
            <w:tcW w:w="1640" w:type="dxa"/>
            <w:vAlign w:val="bottom"/>
          </w:tcPr>
          <w:p>
            <w:pPr>
              <w:ind w:left="120"/>
              <w:spacing w:after="0"/>
              <w:rPr>
                <w:sz w:val="20"/>
                <w:szCs w:val="20"/>
                <w:color w:val="auto"/>
              </w:rPr>
            </w:pPr>
            <w:r>
              <w:rPr>
                <w:rFonts w:ascii="Arial" w:cs="Arial" w:eastAsia="Arial" w:hAnsi="Arial"/>
                <w:sz w:val="16"/>
                <w:szCs w:val="16"/>
                <w:color w:val="auto"/>
              </w:rPr>
              <w:t>excessive risk taking</w:t>
            </w:r>
          </w:p>
        </w:tc>
        <w:tc>
          <w:tcPr>
            <w:tcW w:w="200" w:type="dxa"/>
            <w:vAlign w:val="bottom"/>
            <w:tcBorders>
              <w:right w:val="single" w:sz="8" w:color="83AD40"/>
            </w:tcBorders>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50"/>
        </w:trPr>
        <w:tc>
          <w:tcPr>
            <w:tcW w:w="820" w:type="dxa"/>
            <w:vAlign w:val="bottom"/>
          </w:tcPr>
          <w:p>
            <w:pPr>
              <w:spacing w:after="0"/>
              <w:rPr>
                <w:sz w:val="13"/>
                <w:szCs w:val="13"/>
                <w:color w:val="auto"/>
              </w:rPr>
            </w:pPr>
          </w:p>
        </w:tc>
        <w:tc>
          <w:tcPr>
            <w:tcW w:w="1620" w:type="dxa"/>
            <w:vAlign w:val="bottom"/>
            <w:tcBorders>
              <w:bottom w:val="single" w:sz="8" w:color="83AD40"/>
            </w:tcBorders>
          </w:tcPr>
          <w:p>
            <w:pPr>
              <w:spacing w:after="0"/>
              <w:rPr>
                <w:sz w:val="13"/>
                <w:szCs w:val="13"/>
                <w:color w:val="auto"/>
              </w:rPr>
            </w:pPr>
          </w:p>
        </w:tc>
        <w:tc>
          <w:tcPr>
            <w:tcW w:w="160" w:type="dxa"/>
            <w:vAlign w:val="bottom"/>
            <w:tcBorders>
              <w:bottom w:val="single" w:sz="8" w:color="83AD40"/>
              <w:right w:val="single" w:sz="8" w:color="83AD40"/>
            </w:tcBorders>
          </w:tcPr>
          <w:p>
            <w:pPr>
              <w:spacing w:after="0"/>
              <w:rPr>
                <w:sz w:val="13"/>
                <w:szCs w:val="13"/>
                <w:color w:val="auto"/>
              </w:rPr>
            </w:pPr>
          </w:p>
        </w:tc>
        <w:tc>
          <w:tcPr>
            <w:tcW w:w="1660" w:type="dxa"/>
            <w:vAlign w:val="bottom"/>
            <w:tcBorders>
              <w:bottom w:val="single" w:sz="8" w:color="83AD40"/>
            </w:tcBorders>
          </w:tcPr>
          <w:p>
            <w:pPr>
              <w:spacing w:after="0"/>
              <w:rPr>
                <w:sz w:val="13"/>
                <w:szCs w:val="13"/>
                <w:color w:val="auto"/>
              </w:rPr>
            </w:pPr>
          </w:p>
        </w:tc>
        <w:tc>
          <w:tcPr>
            <w:tcW w:w="160" w:type="dxa"/>
            <w:vAlign w:val="bottom"/>
            <w:tcBorders>
              <w:bottom w:val="single" w:sz="8" w:color="83AD40"/>
              <w:right w:val="single" w:sz="8" w:color="83AD40"/>
            </w:tcBorders>
          </w:tcPr>
          <w:p>
            <w:pPr>
              <w:spacing w:after="0"/>
              <w:rPr>
                <w:sz w:val="13"/>
                <w:szCs w:val="13"/>
                <w:color w:val="auto"/>
              </w:rPr>
            </w:pPr>
          </w:p>
        </w:tc>
        <w:tc>
          <w:tcPr>
            <w:tcW w:w="1660" w:type="dxa"/>
            <w:vAlign w:val="bottom"/>
            <w:tcBorders>
              <w:bottom w:val="single" w:sz="8" w:color="83AD40"/>
            </w:tcBorders>
          </w:tcPr>
          <w:p>
            <w:pPr>
              <w:spacing w:after="0"/>
              <w:rPr>
                <w:sz w:val="13"/>
                <w:szCs w:val="13"/>
                <w:color w:val="auto"/>
              </w:rPr>
            </w:pPr>
          </w:p>
        </w:tc>
        <w:tc>
          <w:tcPr>
            <w:tcW w:w="160" w:type="dxa"/>
            <w:vAlign w:val="bottom"/>
            <w:tcBorders>
              <w:bottom w:val="single" w:sz="8" w:color="83AD40"/>
              <w:right w:val="single" w:sz="8" w:color="83AD40"/>
            </w:tcBorders>
          </w:tcPr>
          <w:p>
            <w:pPr>
              <w:spacing w:after="0"/>
              <w:rPr>
                <w:sz w:val="13"/>
                <w:szCs w:val="13"/>
                <w:color w:val="auto"/>
              </w:rPr>
            </w:pPr>
          </w:p>
        </w:tc>
        <w:tc>
          <w:tcPr>
            <w:tcW w:w="1640" w:type="dxa"/>
            <w:vAlign w:val="bottom"/>
            <w:tcBorders>
              <w:bottom w:val="single" w:sz="8" w:color="83AD40"/>
            </w:tcBorders>
          </w:tcPr>
          <w:p>
            <w:pPr>
              <w:spacing w:after="0"/>
              <w:rPr>
                <w:sz w:val="13"/>
                <w:szCs w:val="13"/>
                <w:color w:val="auto"/>
              </w:rPr>
            </w:pPr>
          </w:p>
        </w:tc>
        <w:tc>
          <w:tcPr>
            <w:tcW w:w="200" w:type="dxa"/>
            <w:vAlign w:val="bottom"/>
            <w:tcBorders>
              <w:bottom w:val="single" w:sz="8" w:color="83AD40"/>
              <w:right w:val="single" w:sz="8" w:color="83AD40"/>
            </w:tcBorders>
          </w:tcPr>
          <w:p>
            <w:pPr>
              <w:spacing w:after="0"/>
              <w:rPr>
                <w:sz w:val="13"/>
                <w:szCs w:val="13"/>
                <w:color w:val="auto"/>
              </w:rPr>
            </w:pPr>
          </w:p>
        </w:tc>
        <w:tc>
          <w:tcPr>
            <w:tcW w:w="1640" w:type="dxa"/>
            <w:vAlign w:val="bottom"/>
            <w:tcBorders>
              <w:bottom w:val="single" w:sz="8" w:color="83AD40"/>
            </w:tcBorders>
          </w:tcPr>
          <w:p>
            <w:pPr>
              <w:spacing w:after="0"/>
              <w:rPr>
                <w:sz w:val="13"/>
                <w:szCs w:val="13"/>
                <w:color w:val="auto"/>
              </w:rPr>
            </w:pPr>
          </w:p>
        </w:tc>
        <w:tc>
          <w:tcPr>
            <w:tcW w:w="160" w:type="dxa"/>
            <w:vAlign w:val="bottom"/>
            <w:tcBorders>
              <w:bottom w:val="single" w:sz="8" w:color="83AD40"/>
            </w:tcBorders>
          </w:tcPr>
          <w:p>
            <w:pPr>
              <w:spacing w:after="0"/>
              <w:rPr>
                <w:sz w:val="13"/>
                <w:szCs w:val="13"/>
                <w:color w:val="auto"/>
              </w:rPr>
            </w:pPr>
          </w:p>
        </w:tc>
        <w:tc>
          <w:tcPr>
            <w:tcW w:w="840" w:type="dxa"/>
            <w:vAlign w:val="bottom"/>
          </w:tcPr>
          <w:p>
            <w:pPr>
              <w:spacing w:after="0"/>
              <w:rPr>
                <w:sz w:val="13"/>
                <w:szCs w:val="13"/>
                <w:color w:val="auto"/>
              </w:rPr>
            </w:pPr>
          </w:p>
        </w:tc>
      </w:tr>
      <w:tr>
        <w:trPr>
          <w:trHeight w:val="2188"/>
        </w:trPr>
        <w:tc>
          <w:tcPr>
            <w:tcW w:w="8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940"/>
          </w:cols>
          <w:pgMar w:left="580" w:top="97" w:right="137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ind w:left="820"/>
        <w:spacing w:after="0"/>
        <w:tabs>
          <w:tab w:leader="none" w:pos="1440" w:val="left"/>
        </w:tabs>
        <w:rPr>
          <w:sz w:val="20"/>
          <w:szCs w:val="20"/>
          <w:color w:val="auto"/>
        </w:rPr>
      </w:pPr>
      <w:r>
        <w:rPr>
          <w:rFonts w:ascii="Arial" w:cs="Arial" w:eastAsia="Arial" w:hAnsi="Arial"/>
          <w:sz w:val="22"/>
          <w:szCs w:val="22"/>
          <w:b w:val="1"/>
          <w:bCs w:val="1"/>
          <w:color w:val="1F2668"/>
        </w:rPr>
        <w:t>42​</w:t>
      </w:r>
      <w:r>
        <w:rPr>
          <w:sz w:val="20"/>
          <w:szCs w:val="20"/>
          <w:color w:val="auto"/>
        </w:rPr>
        <w:tab/>
      </w:r>
      <w:r>
        <w:rPr>
          <w:rFonts w:ascii="Arial" w:cs="Arial" w:eastAsia="Arial" w:hAnsi="Arial"/>
          <w:sz w:val="22"/>
          <w:szCs w:val="22"/>
          <w:b w:val="1"/>
          <w:bCs w:val="1"/>
          <w:color w:val="1F2668"/>
        </w:rPr>
        <w:t xml:space="preserve">​ ​ </w:t>
      </w:r>
      <w:r>
        <w:rPr>
          <w:rFonts w:ascii="Arial" w:cs="Arial" w:eastAsia="Arial" w:hAnsi="Arial"/>
          <w:sz w:val="14"/>
          <w:szCs w:val="14"/>
          <w:b w:val="1"/>
          <w:bCs w:val="1"/>
          <w:color w:val="1F2668"/>
        </w:rPr>
        <w:t>SL GREEN REALTY CORP. 2025 PROXY STATEMENT</w:t>
      </w:r>
    </w:p>
    <w:p>
      <w:pPr>
        <w:spacing w:after="0" w:line="200" w:lineRule="exact"/>
        <w:rPr>
          <w:sz w:val="20"/>
          <w:szCs w:val="20"/>
          <w:color w:val="auto"/>
        </w:rPr>
      </w:pPr>
    </w:p>
    <w:p>
      <w:pPr>
        <w:spacing w:after="0" w:line="267" w:lineRule="exact"/>
        <w:rPr>
          <w:sz w:val="20"/>
          <w:szCs w:val="20"/>
          <w:color w:val="auto"/>
        </w:rPr>
      </w:pPr>
    </w:p>
    <w:p>
      <w:pPr>
        <w:ind w:left="980" w:hanging="164"/>
        <w:spacing w:after="0"/>
        <w:tabs>
          <w:tab w:leader="none" w:pos="980" w:val="left"/>
        </w:tabs>
        <w:numPr>
          <w:ilvl w:val="0"/>
          <w:numId w:val="47"/>
        </w:numPr>
        <w:rPr>
          <w:rFonts w:ascii="Arial" w:cs="Arial" w:eastAsia="Arial" w:hAnsi="Arial"/>
          <w:sz w:val="32"/>
          <w:szCs w:val="32"/>
          <w:b w:val="1"/>
          <w:bCs w:val="1"/>
          <w:color w:val="auto"/>
          <w:vertAlign w:val="superscript"/>
        </w:rPr>
      </w:pPr>
      <w:r>
        <w:rPr>
          <w:rFonts w:ascii="Arial" w:cs="Arial" w:eastAsia="Arial" w:hAnsi="Arial"/>
          <w:sz w:val="16"/>
          <w:szCs w:val="16"/>
          <w:b w:val="1"/>
          <w:bCs w:val="1"/>
          <w:color w:val="auto"/>
        </w:rPr>
        <w:t>Our Pay-for-Performance Approach</w:t>
      </w:r>
    </w:p>
    <w:p>
      <w:pPr>
        <w:spacing w:after="0" w:line="49" w:lineRule="exact"/>
        <w:rPr>
          <w:rFonts w:ascii="Arial" w:cs="Arial" w:eastAsia="Arial" w:hAnsi="Arial"/>
          <w:sz w:val="32"/>
          <w:szCs w:val="32"/>
          <w:b w:val="1"/>
          <w:bCs w:val="1"/>
          <w:color w:val="auto"/>
          <w:vertAlign w:val="superscript"/>
        </w:rPr>
      </w:pPr>
    </w:p>
    <w:p>
      <w:pPr>
        <w:ind w:left="980" w:right="180" w:hanging="164"/>
        <w:spacing w:after="0" w:line="186" w:lineRule="auto"/>
        <w:tabs>
          <w:tab w:leader="none" w:pos="980" w:val="left"/>
        </w:tabs>
        <w:numPr>
          <w:ilvl w:val="0"/>
          <w:numId w:val="47"/>
        </w:numPr>
        <w:rPr>
          <w:rFonts w:ascii="Arial" w:cs="Arial" w:eastAsia="Arial" w:hAnsi="Arial"/>
          <w:sz w:val="32"/>
          <w:szCs w:val="32"/>
          <w:color w:val="auto"/>
          <w:vertAlign w:val="superscript"/>
        </w:rPr>
      </w:pPr>
      <w:r>
        <w:rPr>
          <w:rFonts w:ascii="Arial" w:cs="Arial" w:eastAsia="Arial" w:hAnsi="Arial"/>
          <w:sz w:val="16"/>
          <w:szCs w:val="16"/>
          <w:color w:val="auto"/>
        </w:rPr>
        <w:t xml:space="preserve">We believe that the Company’s long-term success is a direct result of </w:t>
      </w:r>
      <w:r>
        <w:rPr>
          <w:rFonts w:ascii="Arial" w:cs="Arial" w:eastAsia="Arial" w:hAnsi="Arial"/>
          <w:sz w:val="16"/>
          <w:szCs w:val="16"/>
          <w:b w:val="1"/>
          <w:bCs w:val="1"/>
          <w:color w:val="auto"/>
        </w:rPr>
        <w:t>a compensation philosophy that cultivates the</w:t>
      </w:r>
      <w:r>
        <w:rPr>
          <w:rFonts w:ascii="Arial" w:cs="Arial" w:eastAsia="Arial" w:hAnsi="Arial"/>
          <w:sz w:val="16"/>
          <w:szCs w:val="16"/>
          <w:color w:val="auto"/>
        </w:rPr>
        <w:t xml:space="preserve"> </w:t>
      </w:r>
      <w:r>
        <w:rPr>
          <w:rFonts w:ascii="Arial" w:cs="Arial" w:eastAsia="Arial" w:hAnsi="Arial"/>
          <w:sz w:val="16"/>
          <w:szCs w:val="16"/>
          <w:b w:val="1"/>
          <w:bCs w:val="1"/>
          <w:color w:val="auto"/>
        </w:rPr>
        <w:t>ability to overcome challenging and uncertain business environments by applying creativity and vision, sourcing lucrative opportunities and developing new avenues for growth</w:t>
      </w:r>
      <w:r>
        <w:rPr>
          <w:rFonts w:ascii="Arial" w:cs="Arial" w:eastAsia="Arial" w:hAnsi="Arial"/>
          <w:sz w:val="16"/>
          <w:szCs w:val="16"/>
          <w:color w:val="auto"/>
        </w:rPr>
        <w:t>, such as:</w:t>
      </w:r>
    </w:p>
    <w:p>
      <w:pPr>
        <w:spacing w:after="0" w:line="34" w:lineRule="exact"/>
        <w:rPr>
          <w:rFonts w:ascii="Arial" w:cs="Arial" w:eastAsia="Arial" w:hAnsi="Arial"/>
          <w:sz w:val="32"/>
          <w:szCs w:val="32"/>
          <w:color w:val="auto"/>
          <w:vertAlign w:val="superscript"/>
        </w:rPr>
      </w:pPr>
    </w:p>
    <w:p>
      <w:pPr>
        <w:jc w:val="both"/>
        <w:ind w:left="1140" w:hanging="162"/>
        <w:spacing w:after="0" w:line="254" w:lineRule="auto"/>
        <w:tabs>
          <w:tab w:leader="none" w:pos="1140" w:val="left"/>
        </w:tabs>
        <w:numPr>
          <w:ilvl w:val="1"/>
          <w:numId w:val="47"/>
        </w:numPr>
        <w:rPr>
          <w:rFonts w:ascii="Arial" w:cs="Arial" w:eastAsia="Arial" w:hAnsi="Arial"/>
          <w:sz w:val="16"/>
          <w:szCs w:val="16"/>
          <w:color w:val="auto"/>
        </w:rPr>
      </w:pPr>
      <w:r>
        <w:rPr>
          <w:rFonts w:ascii="Arial" w:cs="Arial" w:eastAsia="Arial" w:hAnsi="Arial"/>
          <w:sz w:val="16"/>
          <w:szCs w:val="16"/>
          <w:color w:val="auto"/>
        </w:rPr>
        <w:t xml:space="preserve">Diversifying the Company’s income streams by launching our NYC opportunistic debt fund and significantly expanding our special servicing and asset management platforms, </w:t>
      </w:r>
      <w:r>
        <w:rPr>
          <w:rFonts w:ascii="Arial" w:cs="Arial" w:eastAsia="Arial" w:hAnsi="Arial"/>
          <w:sz w:val="16"/>
          <w:szCs w:val="16"/>
          <w:b w:val="1"/>
          <w:bCs w:val="1"/>
          <w:color w:val="auto"/>
        </w:rPr>
        <w:t>all without meaningful increase to our already low G&amp;A expense,</w:t>
      </w:r>
      <w:r>
        <w:rPr>
          <w:rFonts w:ascii="Arial" w:cs="Arial" w:eastAsia="Arial" w:hAnsi="Arial"/>
          <w:sz w:val="16"/>
          <w:szCs w:val="16"/>
          <w:color w:val="auto"/>
        </w:rPr>
        <w:t xml:space="preserve"> </w:t>
      </w:r>
      <w:r>
        <w:rPr>
          <w:rFonts w:ascii="Arial" w:cs="Arial" w:eastAsia="Arial" w:hAnsi="Arial"/>
          <w:sz w:val="16"/>
          <w:szCs w:val="16"/>
          <w:b w:val="1"/>
          <w:bCs w:val="1"/>
          <w:color w:val="auto"/>
        </w:rPr>
        <w:t>leading to enhanced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-995680</wp:posOffset>
            </wp:positionV>
            <wp:extent cx="5760720" cy="20999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760720" cy="20999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1F2668"/>
        </w:rPr>
        <w:t>​</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84" w:lineRule="exact"/>
        <w:rPr>
          <w:sz w:val="20"/>
          <w:szCs w:val="20"/>
          <w:color w:val="auto"/>
        </w:rPr>
      </w:pPr>
    </w:p>
    <w:p>
      <w:pPr>
        <w:sectPr>
          <w:pgSz w:w="11900" w:h="16838" w:orient="portrait"/>
          <w:cols w:equalWidth="0" w:num="2">
            <w:col w:w="9680" w:space="40"/>
            <w:col w:w="220"/>
          </w:cols>
          <w:pgMar w:left="580" w:top="97" w:right="1379" w:bottom="1440" w:gutter="0" w:footer="0" w:header="0"/>
          <w:type w:val="continuous"/>
        </w:sectPr>
      </w:pPr>
    </w:p>
    <w:p>
      <w:pPr>
        <w:ind w:left="1140" w:right="1000" w:hanging="162"/>
        <w:spacing w:after="0" w:line="279" w:lineRule="auto"/>
        <w:tabs>
          <w:tab w:leader="none" w:pos="11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Executing on new strategic opportunities including </w:t>
      </w:r>
      <w:r>
        <w:rPr>
          <w:rFonts w:ascii="Arial" w:cs="Arial" w:eastAsia="Arial" w:hAnsi="Arial"/>
          <w:sz w:val="16"/>
          <w:szCs w:val="16"/>
          <w:b w:val="1"/>
          <w:bCs w:val="1"/>
          <w:color w:val="auto"/>
        </w:rPr>
        <w:t>the globalization of SUMMIT and spearheading office-to-residential conversion initiatives in New York City</w:t>
      </w:r>
    </w:p>
    <w:p>
      <w:pPr>
        <w:spacing w:after="0" w:line="4" w:lineRule="exact"/>
        <w:rPr>
          <w:rFonts w:ascii="Arial" w:cs="Arial" w:eastAsia="Arial" w:hAnsi="Arial"/>
          <w:sz w:val="16"/>
          <w:szCs w:val="16"/>
          <w:color w:val="auto"/>
        </w:rPr>
      </w:pPr>
    </w:p>
    <w:p>
      <w:pPr>
        <w:ind w:left="1140" w:hanging="162"/>
        <w:spacing w:after="0"/>
        <w:tabs>
          <w:tab w:leader="none" w:pos="11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Submitting a bid to develop a one-of-a-kind Times Square casino hotel</w:t>
      </w:r>
    </w:p>
    <w:p>
      <w:pPr>
        <w:spacing w:after="0" w:line="45" w:lineRule="exact"/>
        <w:rPr>
          <w:rFonts w:ascii="Arial" w:cs="Arial" w:eastAsia="Arial" w:hAnsi="Arial"/>
          <w:sz w:val="16"/>
          <w:szCs w:val="16"/>
          <w:color w:val="auto"/>
        </w:rPr>
      </w:pPr>
    </w:p>
    <w:p>
      <w:pPr>
        <w:ind w:left="1140" w:right="580" w:hanging="162"/>
        <w:spacing w:after="0" w:line="321" w:lineRule="auto"/>
        <w:tabs>
          <w:tab w:leader="none" w:pos="1140" w:val="left"/>
        </w:tabs>
        <w:numPr>
          <w:ilvl w:val="0"/>
          <w:numId w:val="48"/>
        </w:numPr>
        <w:rPr>
          <w:rFonts w:ascii="Arial" w:cs="Arial" w:eastAsia="Arial" w:hAnsi="Arial"/>
          <w:sz w:val="15"/>
          <w:szCs w:val="15"/>
          <w:color w:val="auto"/>
        </w:rPr>
      </w:pPr>
      <w:r>
        <w:rPr>
          <w:rFonts w:ascii="Arial" w:cs="Arial" w:eastAsia="Arial" w:hAnsi="Arial"/>
          <w:sz w:val="15"/>
          <w:szCs w:val="15"/>
          <w:color w:val="auto"/>
        </w:rPr>
        <w:t>Continuing outperformance and downside protection resulting from strategic dispositions since 2020 based on market capitalization rates at the time of sales compared to current rates, and opportunistic stock buybacks since 2017</w:t>
      </w:r>
    </w:p>
    <w:p>
      <w:pPr>
        <w:spacing w:after="0" w:line="52" w:lineRule="exact"/>
        <w:rPr>
          <w:sz w:val="20"/>
          <w:szCs w:val="20"/>
          <w:color w:val="auto"/>
        </w:rPr>
      </w:pPr>
    </w:p>
    <w:p>
      <w:pPr>
        <w:ind w:left="980" w:right="160" w:hanging="159"/>
        <w:spacing w:after="0" w:line="196" w:lineRule="auto"/>
        <w:tabs>
          <w:tab w:leader="none" w:pos="960" w:val="left"/>
        </w:tabs>
        <w:rPr>
          <w:sz w:val="20"/>
          <w:szCs w:val="20"/>
          <w:color w:val="auto"/>
        </w:rPr>
      </w:pPr>
      <w:r>
        <w:rPr>
          <w:rFonts w:ascii="Arial" w:cs="Arial" w:eastAsia="Arial" w:hAnsi="Arial"/>
          <w:sz w:val="32"/>
          <w:szCs w:val="32"/>
          <w:b w:val="1"/>
          <w:bCs w:val="1"/>
          <w:color w:val="auto"/>
          <w:vertAlign w:val="superscript"/>
        </w:rPr>
        <w:t>​</w:t>
      </w:r>
      <w:r>
        <w:rPr>
          <w:sz w:val="20"/>
          <w:szCs w:val="20"/>
          <w:color w:val="auto"/>
        </w:rPr>
        <w:tab/>
      </w:r>
      <w:r>
        <w:rPr>
          <w:rFonts w:ascii="Arial" w:cs="Arial" w:eastAsia="Arial" w:hAnsi="Arial"/>
          <w:sz w:val="16"/>
          <w:szCs w:val="16"/>
          <w:b w:val="1"/>
          <w:bCs w:val="1"/>
          <w:color w:val="auto"/>
        </w:rPr>
        <w:t xml:space="preserve">The Committee’s pay-for-performance approach recognizes and appropriately incentivizes the execution required </w:t>
      </w: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to deliver on our visionary strategic plan in one of the most competitive operating environments in the world</w:t>
      </w:r>
    </w:p>
    <w:p>
      <w:pPr>
        <w:spacing w:after="0" w:line="309"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83AD40"/>
        </w:rPr>
        <w:t>2024 Performance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109220</wp:posOffset>
            </wp:positionV>
            <wp:extent cx="576072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p>
      <w:pPr>
        <w:spacing w:after="0" w:line="23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1F2668"/>
        </w:rPr>
        <w:t>​</w:t>
      </w:r>
    </w:p>
    <w:p>
      <w:pPr>
        <w:ind w:left="820"/>
        <w:spacing w:after="0" w:line="212" w:lineRule="auto"/>
        <w:rPr>
          <w:sz w:val="20"/>
          <w:szCs w:val="20"/>
          <w:color w:val="auto"/>
        </w:rPr>
      </w:pPr>
      <w:r>
        <w:rPr>
          <w:rFonts w:ascii="Arial" w:cs="Arial" w:eastAsia="Arial" w:hAnsi="Arial"/>
          <w:sz w:val="32"/>
          <w:szCs w:val="32"/>
          <w:color w:val="1F2668"/>
        </w:rPr>
        <w:t>58% One-Year TSR</w:t>
      </w:r>
    </w:p>
    <w:p>
      <w:pPr>
        <w:jc w:val="center"/>
        <w:ind w:left="820"/>
        <w:spacing w:after="0"/>
        <w:rPr>
          <w:sz w:val="20"/>
          <w:szCs w:val="20"/>
          <w:color w:val="auto"/>
        </w:rPr>
      </w:pPr>
      <w:r>
        <w:rPr>
          <w:rFonts w:ascii="Arial" w:cs="Arial" w:eastAsia="Arial" w:hAnsi="Arial"/>
          <w:sz w:val="15"/>
          <w:szCs w:val="15"/>
          <w:b w:val="1"/>
          <w:bCs w:val="1"/>
          <w:color w:val="1F2668"/>
        </w:rPr>
        <w:t>Best One-Year TSR of all Office and NYC Peers</w:t>
      </w:r>
      <w:r>
        <w:rPr>
          <w:rFonts w:ascii="Arial" w:cs="Arial" w:eastAsia="Arial" w:hAnsi="Arial"/>
          <w:sz w:val="18"/>
          <w:szCs w:val="18"/>
          <w:b w:val="1"/>
          <w:bCs w:val="1"/>
          <w:color w:val="1F2668"/>
          <w:vertAlign w:val="superscript"/>
        </w:rPr>
        <w:t>(1)</w:t>
      </w:r>
    </w:p>
    <w:p>
      <w:pPr>
        <w:spacing w:after="0" w:line="235"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1F2668"/>
        </w:rPr>
        <w:t>​</w:t>
      </w:r>
      <w:r>
        <w:rPr>
          <w:rFonts w:ascii="Arial" w:cs="Arial" w:eastAsia="Arial" w:hAnsi="Arial"/>
          <w:sz w:val="32"/>
          <w:szCs w:val="32"/>
          <w:color w:val="1F2668"/>
        </w:rPr>
        <w:t>$5.24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-225425</wp:posOffset>
            </wp:positionV>
            <wp:extent cx="275145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6"/>
          <w:szCs w:val="16"/>
          <w:b w:val="1"/>
          <w:bCs w:val="1"/>
          <w:color w:val="1F2668"/>
        </w:rPr>
        <w:t>Normalized FFO Per Share</w:t>
      </w:r>
      <w:r>
        <w:rPr>
          <w:rFonts w:ascii="Arial" w:cs="Arial" w:eastAsia="Arial" w:hAnsi="Arial"/>
          <w:sz w:val="19"/>
          <w:szCs w:val="19"/>
          <w:b w:val="1"/>
          <w:bCs w:val="1"/>
          <w:color w:val="1F2668"/>
          <w:vertAlign w:val="superscript"/>
        </w:rPr>
        <w:t>(2)</w:t>
      </w:r>
    </w:p>
    <w:p>
      <w:pPr>
        <w:spacing w:after="0" w:line="5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1F2668"/>
        </w:rPr>
        <w:t>​</w:t>
      </w:r>
      <w:r>
        <w:rPr>
          <w:rFonts w:ascii="Arial" w:cs="Arial" w:eastAsia="Arial" w:hAnsi="Arial"/>
          <w:sz w:val="32"/>
          <w:szCs w:val="32"/>
          <w:color w:val="1F2668"/>
        </w:rPr>
        <w:t>3.6M square feet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-231775</wp:posOffset>
            </wp:positionV>
            <wp:extent cx="275145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6"/>
          <w:szCs w:val="16"/>
          <w:b w:val="1"/>
          <w:bCs w:val="1"/>
          <w:color w:val="1F2668"/>
        </w:rPr>
        <w:t>Manhattan Office Leasing Volume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90"/>
        </w:trPr>
        <w:tc>
          <w:tcPr>
            <w:tcW w:w="140" w:type="dxa"/>
            <w:vAlign w:val="bottom"/>
            <w:tcBorders>
              <w:right w:val="single" w:sz="8" w:color="83AD40"/>
            </w:tcBorders>
          </w:tcPr>
          <w:p>
            <w:pPr>
              <w:spacing w:after="0"/>
              <w:rPr>
                <w:sz w:val="20"/>
                <w:szCs w:val="20"/>
                <w:color w:val="auto"/>
              </w:rPr>
            </w:pPr>
            <w:r>
              <w:rPr>
                <w:rFonts w:ascii="Arial" w:cs="Arial" w:eastAsia="Arial" w:hAnsi="Arial"/>
                <w:sz w:val="16"/>
                <w:szCs w:val="16"/>
                <w:b w:val="1"/>
                <w:bCs w:val="1"/>
                <w:color w:val="1F2668"/>
              </w:rPr>
              <w:t>​</w:t>
            </w:r>
          </w:p>
        </w:tc>
        <w:tc>
          <w:tcPr>
            <w:tcW w:w="120" w:type="dxa"/>
            <w:vAlign w:val="bottom"/>
          </w:tcPr>
          <w:p>
            <w:pPr>
              <w:spacing w:after="0"/>
              <w:rPr>
                <w:sz w:val="20"/>
                <w:szCs w:val="20"/>
                <w:color w:val="auto"/>
              </w:rPr>
            </w:pPr>
            <w:r>
              <w:rPr>
                <w:rFonts w:ascii="Arial" w:cs="Arial" w:eastAsia="Arial" w:hAnsi="Arial"/>
                <w:sz w:val="16"/>
                <w:szCs w:val="16"/>
                <w:b w:val="1"/>
                <w:bCs w:val="1"/>
                <w:color w:val="1F2668"/>
              </w:rPr>
              <w:t>​</w:t>
            </w:r>
          </w:p>
        </w:tc>
        <w:tc>
          <w:tcPr>
            <w:tcW w:w="4340" w:type="dxa"/>
            <w:vAlign w:val="bottom"/>
            <w:vMerge w:val="restart"/>
          </w:tcPr>
          <w:p>
            <w:pPr>
              <w:spacing w:after="0"/>
              <w:rPr>
                <w:sz w:val="20"/>
                <w:szCs w:val="20"/>
                <w:color w:val="auto"/>
              </w:rPr>
            </w:pPr>
            <w:r>
              <w:rPr>
                <w:rFonts w:ascii="Arial" w:cs="Arial" w:eastAsia="Arial" w:hAnsi="Arial"/>
                <w:sz w:val="32"/>
                <w:szCs w:val="32"/>
                <w:color w:val="1F2668"/>
              </w:rPr>
              <w:t>+5,394 basis points</w:t>
            </w:r>
          </w:p>
        </w:tc>
        <w:tc>
          <w:tcPr>
            <w:tcW w:w="40" w:type="dxa"/>
            <w:vAlign w:val="bottom"/>
          </w:tcPr>
          <w:p>
            <w:pPr>
              <w:spacing w:after="0"/>
              <w:rPr>
                <w:sz w:val="20"/>
                <w:szCs w:val="20"/>
                <w:color w:val="auto"/>
              </w:rPr>
            </w:pPr>
            <w:r>
              <w:rPr>
                <w:rFonts w:ascii="Arial" w:cs="Arial" w:eastAsia="Arial" w:hAnsi="Arial"/>
                <w:sz w:val="16"/>
                <w:szCs w:val="16"/>
                <w:b w:val="1"/>
                <w:bCs w:val="1"/>
                <w:color w:val="1F2668"/>
              </w:rPr>
              <w:t>​</w:t>
            </w:r>
          </w:p>
        </w:tc>
        <w:tc>
          <w:tcPr>
            <w:tcW w:w="0" w:type="dxa"/>
            <w:vAlign w:val="bottom"/>
          </w:tcPr>
          <w:p>
            <w:pPr>
              <w:spacing w:after="0"/>
              <w:rPr>
                <w:sz w:val="1"/>
                <w:szCs w:val="1"/>
                <w:color w:val="auto"/>
              </w:rPr>
            </w:pPr>
          </w:p>
        </w:tc>
      </w:tr>
      <w:tr>
        <w:trPr>
          <w:trHeight w:val="277"/>
        </w:trPr>
        <w:tc>
          <w:tcPr>
            <w:tcW w:w="140" w:type="dxa"/>
            <w:vAlign w:val="bottom"/>
            <w:tcBorders>
              <w:right w:val="single" w:sz="8" w:color="83AD40"/>
            </w:tcBorders>
          </w:tcPr>
          <w:p>
            <w:pPr>
              <w:spacing w:after="0"/>
              <w:rPr>
                <w:sz w:val="24"/>
                <w:szCs w:val="24"/>
                <w:color w:val="auto"/>
              </w:rPr>
            </w:pPr>
          </w:p>
        </w:tc>
        <w:tc>
          <w:tcPr>
            <w:tcW w:w="12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40" w:type="dxa"/>
            <w:vAlign w:val="bottom"/>
            <w:tcBorders>
              <w:right w:val="single" w:sz="8" w:color="83AD40"/>
            </w:tcBorders>
          </w:tcPr>
          <w:p>
            <w:pPr>
              <w:spacing w:after="0"/>
              <w:rPr>
                <w:sz w:val="16"/>
                <w:szCs w:val="16"/>
                <w:color w:val="auto"/>
              </w:rPr>
            </w:pPr>
          </w:p>
        </w:tc>
        <w:tc>
          <w:tcPr>
            <w:tcW w:w="120" w:type="dxa"/>
            <w:vAlign w:val="bottom"/>
          </w:tcPr>
          <w:p>
            <w:pPr>
              <w:spacing w:after="0"/>
              <w:rPr>
                <w:sz w:val="16"/>
                <w:szCs w:val="16"/>
                <w:color w:val="auto"/>
              </w:rPr>
            </w:pPr>
          </w:p>
        </w:tc>
        <w:tc>
          <w:tcPr>
            <w:tcW w:w="4340" w:type="dxa"/>
            <w:vAlign w:val="bottom"/>
          </w:tcPr>
          <w:p>
            <w:pPr>
              <w:spacing w:after="0"/>
              <w:rPr>
                <w:sz w:val="20"/>
                <w:szCs w:val="20"/>
                <w:color w:val="auto"/>
              </w:rPr>
            </w:pPr>
            <w:r>
              <w:rPr>
                <w:rFonts w:ascii="Arial" w:cs="Arial" w:eastAsia="Arial" w:hAnsi="Arial"/>
                <w:sz w:val="16"/>
                <w:szCs w:val="16"/>
                <w:b w:val="1"/>
                <w:bCs w:val="1"/>
                <w:color w:val="1F2668"/>
              </w:rPr>
              <w:t>One-Year Outperformance vs. Dow Jones U.S. Real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140" w:type="dxa"/>
            <w:vAlign w:val="bottom"/>
            <w:tcBorders>
              <w:right w:val="single" w:sz="8" w:color="83AD40"/>
            </w:tcBorders>
          </w:tcPr>
          <w:p>
            <w:pPr>
              <w:spacing w:after="0"/>
              <w:rPr>
                <w:sz w:val="23"/>
                <w:szCs w:val="23"/>
                <w:color w:val="auto"/>
              </w:rPr>
            </w:pPr>
          </w:p>
        </w:tc>
        <w:tc>
          <w:tcPr>
            <w:tcW w:w="120" w:type="dxa"/>
            <w:vAlign w:val="bottom"/>
          </w:tcPr>
          <w:p>
            <w:pPr>
              <w:spacing w:after="0"/>
              <w:rPr>
                <w:sz w:val="23"/>
                <w:szCs w:val="23"/>
                <w:color w:val="auto"/>
              </w:rPr>
            </w:pPr>
          </w:p>
        </w:tc>
        <w:tc>
          <w:tcPr>
            <w:tcW w:w="4340" w:type="dxa"/>
            <w:vAlign w:val="bottom"/>
            <w:tcBorders>
              <w:bottom w:val="single" w:sz="8" w:color="83AD40"/>
            </w:tcBorders>
          </w:tcPr>
          <w:p>
            <w:pPr>
              <w:spacing w:after="0"/>
              <w:rPr>
                <w:sz w:val="20"/>
                <w:szCs w:val="20"/>
                <w:color w:val="auto"/>
              </w:rPr>
            </w:pPr>
            <w:r>
              <w:rPr>
                <w:rFonts w:ascii="Arial" w:cs="Arial" w:eastAsia="Arial" w:hAnsi="Arial"/>
                <w:sz w:val="16"/>
                <w:szCs w:val="16"/>
                <w:b w:val="1"/>
                <w:bCs w:val="1"/>
                <w:color w:val="1F2668"/>
              </w:rPr>
              <w:t>Estate Office Index</w:t>
            </w:r>
            <w:r>
              <w:rPr>
                <w:rFonts w:ascii="Arial" w:cs="Arial" w:eastAsia="Arial" w:hAnsi="Arial"/>
                <w:sz w:val="19"/>
                <w:szCs w:val="19"/>
                <w:b w:val="1"/>
                <w:bCs w:val="1"/>
                <w:color w:val="1F2668"/>
                <w:vertAlign w:val="superscript"/>
              </w:rPr>
              <w:t>(1)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3"/>
        </w:trPr>
        <w:tc>
          <w:tcPr>
            <w:tcW w:w="140" w:type="dxa"/>
            <w:vAlign w:val="bottom"/>
            <w:tcBorders>
              <w:right w:val="single" w:sz="8" w:color="83AD40"/>
            </w:tcBorders>
          </w:tcPr>
          <w:p>
            <w:pPr>
              <w:spacing w:after="0"/>
              <w:rPr>
                <w:sz w:val="20"/>
                <w:szCs w:val="20"/>
                <w:color w:val="auto"/>
              </w:rPr>
            </w:pPr>
            <w:r>
              <w:rPr>
                <w:rFonts w:ascii="Arial" w:cs="Arial" w:eastAsia="Arial" w:hAnsi="Arial"/>
                <w:sz w:val="16"/>
                <w:szCs w:val="16"/>
                <w:b w:val="1"/>
                <w:bCs w:val="1"/>
                <w:color w:val="1F2668"/>
              </w:rPr>
              <w:t>​</w:t>
            </w:r>
          </w:p>
        </w:tc>
        <w:tc>
          <w:tcPr>
            <w:tcW w:w="120" w:type="dxa"/>
            <w:vAlign w:val="bottom"/>
          </w:tcPr>
          <w:p>
            <w:pPr>
              <w:spacing w:after="0"/>
              <w:rPr>
                <w:sz w:val="20"/>
                <w:szCs w:val="20"/>
                <w:color w:val="auto"/>
              </w:rPr>
            </w:pPr>
            <w:r>
              <w:rPr>
                <w:rFonts w:ascii="Arial" w:cs="Arial" w:eastAsia="Arial" w:hAnsi="Arial"/>
                <w:sz w:val="16"/>
                <w:szCs w:val="16"/>
                <w:b w:val="1"/>
                <w:bCs w:val="1"/>
                <w:color w:val="1F2668"/>
              </w:rPr>
              <w:t>​</w:t>
            </w:r>
          </w:p>
        </w:tc>
        <w:tc>
          <w:tcPr>
            <w:tcW w:w="4340" w:type="dxa"/>
            <w:vAlign w:val="bottom"/>
          </w:tcPr>
          <w:p>
            <w:pPr>
              <w:spacing w:after="0" w:line="333" w:lineRule="exact"/>
              <w:rPr>
                <w:sz w:val="20"/>
                <w:szCs w:val="20"/>
                <w:color w:val="auto"/>
              </w:rPr>
            </w:pPr>
            <w:r>
              <w:rPr>
                <w:rFonts w:ascii="Arial" w:cs="Arial" w:eastAsia="Arial" w:hAnsi="Arial"/>
                <w:sz w:val="32"/>
                <w:szCs w:val="32"/>
                <w:color w:val="1F2668"/>
              </w:rPr>
              <w:t>92.5%</w:t>
            </w:r>
          </w:p>
        </w:tc>
        <w:tc>
          <w:tcPr>
            <w:tcW w:w="40" w:type="dxa"/>
            <w:vAlign w:val="bottom"/>
          </w:tcPr>
          <w:p>
            <w:pPr>
              <w:spacing w:after="0"/>
              <w:rPr>
                <w:sz w:val="20"/>
                <w:szCs w:val="20"/>
                <w:color w:val="auto"/>
              </w:rPr>
            </w:pPr>
            <w:r>
              <w:rPr>
                <w:rFonts w:ascii="Arial" w:cs="Arial" w:eastAsia="Arial" w:hAnsi="Arial"/>
                <w:sz w:val="16"/>
                <w:szCs w:val="16"/>
                <w:b w:val="1"/>
                <w:bCs w:val="1"/>
                <w:color w:val="1F2668"/>
              </w:rPr>
              <w:t>​</w:t>
            </w:r>
          </w:p>
        </w:tc>
        <w:tc>
          <w:tcPr>
            <w:tcW w:w="0" w:type="dxa"/>
            <w:vAlign w:val="bottom"/>
          </w:tcPr>
          <w:p>
            <w:pPr>
              <w:spacing w:after="0"/>
              <w:rPr>
                <w:sz w:val="1"/>
                <w:szCs w:val="1"/>
                <w:color w:val="auto"/>
              </w:rPr>
            </w:pPr>
          </w:p>
        </w:tc>
      </w:tr>
      <w:tr>
        <w:trPr>
          <w:trHeight w:val="223"/>
        </w:trPr>
        <w:tc>
          <w:tcPr>
            <w:tcW w:w="140" w:type="dxa"/>
            <w:vAlign w:val="bottom"/>
            <w:tcBorders>
              <w:right w:val="single" w:sz="8" w:color="83AD40"/>
            </w:tcBorders>
          </w:tcPr>
          <w:p>
            <w:pPr>
              <w:spacing w:after="0"/>
              <w:rPr>
                <w:sz w:val="19"/>
                <w:szCs w:val="19"/>
                <w:color w:val="auto"/>
              </w:rPr>
            </w:pPr>
          </w:p>
        </w:tc>
        <w:tc>
          <w:tcPr>
            <w:tcW w:w="1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6"/>
                <w:szCs w:val="16"/>
                <w:b w:val="1"/>
                <w:bCs w:val="1"/>
                <w:color w:val="1F2668"/>
              </w:rPr>
              <w:t>Manhattan Same Store Occupancy</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140" w:type="dxa"/>
            <w:vAlign w:val="bottom"/>
            <w:tcBorders>
              <w:right w:val="single" w:sz="8" w:color="83AD40"/>
            </w:tcBorders>
          </w:tcPr>
          <w:p>
            <w:pPr>
              <w:spacing w:after="0"/>
              <w:rPr>
                <w:sz w:val="5"/>
                <w:szCs w:val="5"/>
                <w:color w:val="auto"/>
              </w:rPr>
            </w:pPr>
          </w:p>
        </w:tc>
        <w:tc>
          <w:tcPr>
            <w:tcW w:w="120" w:type="dxa"/>
            <w:vAlign w:val="bottom"/>
          </w:tcPr>
          <w:p>
            <w:pPr>
              <w:spacing w:after="0"/>
              <w:rPr>
                <w:sz w:val="5"/>
                <w:szCs w:val="5"/>
                <w:color w:val="auto"/>
              </w:rPr>
            </w:pPr>
          </w:p>
        </w:tc>
        <w:tc>
          <w:tcPr>
            <w:tcW w:w="4340" w:type="dxa"/>
            <w:vAlign w:val="bottom"/>
            <w:tcBorders>
              <w:bottom w:val="single" w:sz="8" w:color="83AD4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2"/>
        </w:trPr>
        <w:tc>
          <w:tcPr>
            <w:tcW w:w="140" w:type="dxa"/>
            <w:vAlign w:val="bottom"/>
            <w:tcBorders>
              <w:right w:val="single" w:sz="8" w:color="83AD40"/>
            </w:tcBorders>
          </w:tcPr>
          <w:p>
            <w:pPr>
              <w:spacing w:after="0"/>
              <w:rPr>
                <w:sz w:val="20"/>
                <w:szCs w:val="20"/>
                <w:color w:val="auto"/>
              </w:rPr>
            </w:pPr>
            <w:r>
              <w:rPr>
                <w:rFonts w:ascii="Arial" w:cs="Arial" w:eastAsia="Arial" w:hAnsi="Arial"/>
                <w:sz w:val="16"/>
                <w:szCs w:val="16"/>
                <w:b w:val="1"/>
                <w:bCs w:val="1"/>
                <w:color w:val="1F2668"/>
              </w:rPr>
              <w:t>​</w:t>
            </w:r>
          </w:p>
        </w:tc>
        <w:tc>
          <w:tcPr>
            <w:tcW w:w="120" w:type="dxa"/>
            <w:vAlign w:val="bottom"/>
          </w:tcPr>
          <w:p>
            <w:pPr>
              <w:spacing w:after="0"/>
              <w:rPr>
                <w:sz w:val="20"/>
                <w:szCs w:val="20"/>
                <w:color w:val="auto"/>
              </w:rPr>
            </w:pPr>
            <w:r>
              <w:rPr>
                <w:rFonts w:ascii="Arial" w:cs="Arial" w:eastAsia="Arial" w:hAnsi="Arial"/>
                <w:sz w:val="16"/>
                <w:szCs w:val="16"/>
                <w:b w:val="1"/>
                <w:bCs w:val="1"/>
                <w:color w:val="1F2668"/>
              </w:rPr>
              <w:t>​</w:t>
            </w:r>
          </w:p>
        </w:tc>
        <w:tc>
          <w:tcPr>
            <w:tcW w:w="4340" w:type="dxa"/>
            <w:vAlign w:val="bottom"/>
          </w:tcPr>
          <w:p>
            <w:pPr>
              <w:spacing w:after="0" w:line="312" w:lineRule="exact"/>
              <w:rPr>
                <w:sz w:val="20"/>
                <w:szCs w:val="20"/>
                <w:color w:val="auto"/>
              </w:rPr>
            </w:pPr>
            <w:r>
              <w:rPr>
                <w:rFonts w:ascii="Arial" w:cs="Arial" w:eastAsia="Arial" w:hAnsi="Arial"/>
                <w:sz w:val="32"/>
                <w:szCs w:val="32"/>
                <w:color w:val="1F2668"/>
              </w:rPr>
              <w:t>$209M</w:t>
            </w:r>
          </w:p>
        </w:tc>
        <w:tc>
          <w:tcPr>
            <w:tcW w:w="40" w:type="dxa"/>
            <w:vAlign w:val="bottom"/>
          </w:tcPr>
          <w:p>
            <w:pPr>
              <w:spacing w:after="0"/>
              <w:rPr>
                <w:sz w:val="20"/>
                <w:szCs w:val="20"/>
                <w:color w:val="auto"/>
              </w:rPr>
            </w:pPr>
            <w:r>
              <w:rPr>
                <w:rFonts w:ascii="Arial" w:cs="Arial" w:eastAsia="Arial" w:hAnsi="Arial"/>
                <w:sz w:val="16"/>
                <w:szCs w:val="16"/>
                <w:b w:val="1"/>
                <w:bCs w:val="1"/>
                <w:color w:val="1F2668"/>
              </w:rPr>
              <w:t>​</w:t>
            </w:r>
          </w:p>
        </w:tc>
        <w:tc>
          <w:tcPr>
            <w:tcW w:w="0" w:type="dxa"/>
            <w:vAlign w:val="bottom"/>
          </w:tcPr>
          <w:p>
            <w:pPr>
              <w:spacing w:after="0"/>
              <w:rPr>
                <w:sz w:val="1"/>
                <w:szCs w:val="1"/>
                <w:color w:val="auto"/>
              </w:rPr>
            </w:pPr>
          </w:p>
        </w:tc>
      </w:tr>
      <w:tr>
        <w:trPr>
          <w:trHeight w:val="270"/>
        </w:trPr>
        <w:tc>
          <w:tcPr>
            <w:tcW w:w="140" w:type="dxa"/>
            <w:vAlign w:val="bottom"/>
            <w:tcBorders>
              <w:right w:val="single" w:sz="8" w:color="83AD40"/>
            </w:tcBorders>
          </w:tcPr>
          <w:p>
            <w:pPr>
              <w:spacing w:after="0"/>
              <w:rPr>
                <w:sz w:val="23"/>
                <w:szCs w:val="23"/>
                <w:color w:val="auto"/>
              </w:rPr>
            </w:pPr>
          </w:p>
        </w:tc>
        <w:tc>
          <w:tcPr>
            <w:tcW w:w="120" w:type="dxa"/>
            <w:vAlign w:val="bottom"/>
          </w:tcPr>
          <w:p>
            <w:pPr>
              <w:spacing w:after="0"/>
              <w:rPr>
                <w:sz w:val="23"/>
                <w:szCs w:val="23"/>
                <w:color w:val="auto"/>
              </w:rPr>
            </w:pPr>
          </w:p>
        </w:tc>
        <w:tc>
          <w:tcPr>
            <w:tcW w:w="4340" w:type="dxa"/>
            <w:vAlign w:val="bottom"/>
          </w:tcPr>
          <w:p>
            <w:pPr>
              <w:spacing w:after="0"/>
              <w:rPr>
                <w:sz w:val="20"/>
                <w:szCs w:val="20"/>
                <w:color w:val="auto"/>
              </w:rPr>
            </w:pPr>
            <w:r>
              <w:rPr>
                <w:rFonts w:ascii="Arial" w:cs="Arial" w:eastAsia="Arial" w:hAnsi="Arial"/>
                <w:sz w:val="16"/>
                <w:szCs w:val="16"/>
                <w:b w:val="1"/>
                <w:bCs w:val="1"/>
                <w:color w:val="1F2668"/>
              </w:rPr>
              <w:t>Normalized Funds Available for Distribution</w:t>
            </w:r>
            <w:r>
              <w:rPr>
                <w:rFonts w:ascii="Arial" w:cs="Arial" w:eastAsia="Arial" w:hAnsi="Arial"/>
                <w:sz w:val="19"/>
                <w:szCs w:val="19"/>
                <w:b w:val="1"/>
                <w:bCs w:val="1"/>
                <w:color w:val="1F2668"/>
                <w:vertAlign w:val="superscript"/>
              </w:rPr>
              <w:t>(2)</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
        </w:trPr>
        <w:tc>
          <w:tcPr>
            <w:tcW w:w="140" w:type="dxa"/>
            <w:vAlign w:val="bottom"/>
            <w:tcBorders>
              <w:right w:val="single" w:sz="8" w:color="83AD40"/>
            </w:tcBorders>
          </w:tcPr>
          <w:p>
            <w:pPr>
              <w:spacing w:after="0"/>
              <w:rPr>
                <w:sz w:val="2"/>
                <w:szCs w:val="2"/>
                <w:color w:val="auto"/>
              </w:rPr>
            </w:pPr>
          </w:p>
        </w:tc>
        <w:tc>
          <w:tcPr>
            <w:tcW w:w="1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-7620</wp:posOffset>
            </wp:positionV>
            <wp:extent cx="576072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-3285490</wp:posOffset>
            </wp:positionH>
            <wp:positionV relativeFrom="paragraph">
              <wp:posOffset>3947795</wp:posOffset>
            </wp:positionV>
            <wp:extent cx="683196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4480" w:space="680"/>
            <w:col w:w="4780"/>
          </w:cols>
          <w:pgMar w:left="580" w:top="97" w:right="1379"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5100" w:type="dxa"/>
            <w:vAlign w:val="bottom"/>
          </w:tcPr>
          <w:p>
            <w:pPr>
              <w:spacing w:after="0"/>
              <w:rPr>
                <w:sz w:val="20"/>
                <w:szCs w:val="20"/>
                <w:color w:val="auto"/>
              </w:rPr>
            </w:pPr>
            <w:r>
              <w:rPr>
                <w:rFonts w:ascii="Arial" w:cs="Arial" w:eastAsia="Arial" w:hAnsi="Arial"/>
                <w:sz w:val="14"/>
                <w:szCs w:val="14"/>
                <w:b w:val="1"/>
                <w:bCs w:val="1"/>
                <w:color w:val="auto"/>
              </w:rPr>
              <w:t>​</w:t>
            </w:r>
          </w:p>
        </w:tc>
        <w:tc>
          <w:tcPr>
            <w:tcW w:w="3480" w:type="dxa"/>
            <w:vAlign w:val="bottom"/>
          </w:tcPr>
          <w:p>
            <w:pPr>
              <w:ind w:left="3100"/>
              <w:spacing w:after="0"/>
              <w:rPr>
                <w:sz w:val="20"/>
                <w:szCs w:val="20"/>
                <w:color w:val="auto"/>
              </w:rPr>
            </w:pPr>
            <w:r>
              <w:rPr>
                <w:rFonts w:ascii="Arial" w:cs="Arial" w:eastAsia="Arial" w:hAnsi="Arial"/>
                <w:sz w:val="14"/>
                <w:szCs w:val="14"/>
                <w:b w:val="1"/>
                <w:bCs w:val="1"/>
                <w:color w:val="auto"/>
              </w:rPr>
              <w:t>​ ​</w:t>
            </w:r>
          </w:p>
        </w:tc>
        <w:tc>
          <w:tcPr>
            <w:tcW w:w="480" w:type="dxa"/>
            <w:vAlign w:val="bottom"/>
            <w:vMerge w:val="restart"/>
          </w:tcPr>
          <w:p>
            <w:pPr>
              <w:jc w:val="right"/>
              <w:spacing w:after="0"/>
              <w:rPr>
                <w:sz w:val="20"/>
                <w:szCs w:val="20"/>
                <w:color w:val="auto"/>
              </w:rPr>
            </w:pPr>
            <w:r>
              <w:rPr>
                <w:rFonts w:ascii="Arial" w:cs="Arial" w:eastAsia="Arial" w:hAnsi="Arial"/>
                <w:sz w:val="22"/>
                <w:szCs w:val="22"/>
                <w:b w:val="1"/>
                <w:bCs w:val="1"/>
                <w:color w:val="1F2668"/>
              </w:rPr>
              <w:t>43</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5100" w:type="dxa"/>
            <w:vAlign w:val="bottom"/>
          </w:tcPr>
          <w:p>
            <w:pPr>
              <w:spacing w:after="0"/>
              <w:rPr>
                <w:sz w:val="20"/>
                <w:szCs w:val="20"/>
                <w:color w:val="auto"/>
              </w:rPr>
            </w:pPr>
            <w:r>
              <w:rPr>
                <w:rFonts w:ascii="Arial" w:cs="Arial" w:eastAsia="Arial" w:hAnsi="Arial"/>
                <w:sz w:val="14"/>
                <w:szCs w:val="14"/>
                <w:b w:val="1"/>
                <w:bCs w:val="1"/>
                <w:color w:val="auto"/>
              </w:rPr>
              <w:t>EXECUTIVE COMPENSATION</w:t>
            </w:r>
          </w:p>
        </w:tc>
        <w:tc>
          <w:tcPr>
            <w:tcW w:w="348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1F2668"/>
        </w:rPr>
        <w:t>2024 GOALS AND ACHIEVEMENTS</w:t>
      </w:r>
    </w:p>
    <w:p>
      <w:pPr>
        <w:spacing w:after="0" w:line="140"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2024 Goals were presented at our Institutional Investor Conference on December 4, 2023.</w:t>
      </w:r>
    </w:p>
    <w:p>
      <w:pPr>
        <w:sectPr>
          <w:pgSz w:w="11900" w:h="16838" w:orient="portrait"/>
          <w:cols w:equalWidth="0" w:num="1">
            <w:col w:w="9920"/>
          </w:cols>
          <w:pgMar w:left="580" w:top="97" w:right="1399" w:bottom="1440" w:gutter="0" w:footer="0" w:header="0"/>
        </w:sectPr>
      </w:pPr>
    </w:p>
    <w:p>
      <w:pPr>
        <w:spacing w:after="0" w:line="347" w:lineRule="exact"/>
        <w:rPr>
          <w:sz w:val="20"/>
          <w:szCs w:val="20"/>
          <w:color w:val="auto"/>
        </w:rPr>
      </w:pPr>
    </w:p>
    <w:tbl>
      <w:tblPr>
        <w:tblLayout w:type="fixed"/>
        <w:tblInd w:w="820" w:type="dxa"/>
        <w:tblCellMar>
          <w:top w:w="0" w:type="dxa"/>
          <w:left w:w="0" w:type="dxa"/>
          <w:bottom w:w="0" w:type="dxa"/>
          <w:right w:w="0" w:type="dxa"/>
        </w:tblCellMar>
      </w:tblPr>
      <w:tr>
        <w:trPr>
          <w:trHeight w:val="185"/>
        </w:trPr>
        <w:tc>
          <w:tcPr>
            <w:tcW w:w="4000" w:type="dxa"/>
            <w:vAlign w:val="bottom"/>
            <w:tcBorders>
              <w:bottom w:val="single" w:sz="8" w:color="1F2668"/>
            </w:tcBorders>
          </w:tcPr>
          <w:p>
            <w:pPr>
              <w:ind w:left="60"/>
              <w:spacing w:after="0"/>
              <w:rPr>
                <w:sz w:val="20"/>
                <w:szCs w:val="20"/>
                <w:color w:val="auto"/>
              </w:rPr>
            </w:pPr>
            <w:r>
              <w:rPr>
                <w:rFonts w:ascii="Arial" w:cs="Arial" w:eastAsia="Arial" w:hAnsi="Arial"/>
                <w:sz w:val="14"/>
                <w:szCs w:val="14"/>
                <w:b w:val="1"/>
                <w:bCs w:val="1"/>
                <w:color w:val="1F2668"/>
              </w:rPr>
              <w:t>Goals for 2024</w:t>
            </w:r>
          </w:p>
        </w:tc>
        <w:tc>
          <w:tcPr>
            <w:tcW w:w="180" w:type="dxa"/>
            <w:vAlign w:val="bottom"/>
            <w:tcBorders>
              <w:bottom w:val="single" w:sz="8" w:color="1F2668"/>
            </w:tcBorders>
          </w:tcPr>
          <w:p>
            <w:pPr>
              <w:ind w:left="100"/>
              <w:spacing w:after="0"/>
              <w:rPr>
                <w:sz w:val="20"/>
                <w:szCs w:val="20"/>
                <w:color w:val="auto"/>
              </w:rPr>
            </w:pPr>
            <w:r>
              <w:rPr>
                <w:rFonts w:ascii="Arial" w:cs="Arial" w:eastAsia="Arial" w:hAnsi="Arial"/>
                <w:sz w:val="14"/>
                <w:szCs w:val="14"/>
                <w:b w:val="1"/>
                <w:bCs w:val="1"/>
                <w:color w:val="1F2668"/>
              </w:rPr>
              <w:t>​</w:t>
            </w:r>
          </w:p>
        </w:tc>
        <w:tc>
          <w:tcPr>
            <w:tcW w:w="120" w:type="dxa"/>
            <w:vAlign w:val="bottom"/>
            <w:tcBorders>
              <w:bottom w:val="single" w:sz="8" w:color="1F2668"/>
            </w:tcBorders>
          </w:tcPr>
          <w:p>
            <w:pPr>
              <w:jc w:val="right"/>
              <w:spacing w:after="0"/>
              <w:rPr>
                <w:sz w:val="20"/>
                <w:szCs w:val="20"/>
                <w:color w:val="auto"/>
              </w:rPr>
            </w:pPr>
            <w:r>
              <w:rPr>
                <w:rFonts w:ascii="Arial" w:cs="Arial" w:eastAsia="Arial" w:hAnsi="Arial"/>
                <w:sz w:val="14"/>
                <w:szCs w:val="14"/>
                <w:b w:val="1"/>
                <w:bCs w:val="1"/>
                <w:color w:val="1F2668"/>
              </w:rPr>
              <w:t>​</w:t>
            </w:r>
          </w:p>
        </w:tc>
        <w:tc>
          <w:tcPr>
            <w:tcW w:w="380" w:type="dxa"/>
            <w:vAlign w:val="bottom"/>
            <w:tcBorders>
              <w:bottom w:val="single" w:sz="8" w:color="1F2668"/>
            </w:tcBorders>
          </w:tcPr>
          <w:p>
            <w:pPr>
              <w:jc w:val="right"/>
              <w:ind w:right="8"/>
              <w:spacing w:after="0"/>
              <w:rPr>
                <w:sz w:val="20"/>
                <w:szCs w:val="20"/>
                <w:color w:val="auto"/>
              </w:rPr>
            </w:pPr>
            <w:r>
              <w:rPr>
                <w:rFonts w:ascii="Arial" w:cs="Arial" w:eastAsia="Arial" w:hAnsi="Arial"/>
                <w:sz w:val="14"/>
                <w:szCs w:val="14"/>
                <w:b w:val="1"/>
                <w:bCs w:val="1"/>
                <w:color w:val="1F2668"/>
              </w:rPr>
              <w:t>​  ​</w:t>
            </w:r>
          </w:p>
        </w:tc>
      </w:tr>
      <w:tr>
        <w:trPr>
          <w:trHeight w:val="255"/>
        </w:trPr>
        <w:tc>
          <w:tcPr>
            <w:tcW w:w="4000" w:type="dxa"/>
            <w:vAlign w:val="bottom"/>
          </w:tcPr>
          <w:p>
            <w:pPr>
              <w:ind w:left="60"/>
              <w:spacing w:after="0"/>
              <w:rPr>
                <w:sz w:val="20"/>
                <w:szCs w:val="20"/>
                <w:color w:val="auto"/>
              </w:rPr>
            </w:pPr>
            <w:r>
              <w:rPr>
                <w:rFonts w:ascii="Arial" w:cs="Arial" w:eastAsia="Arial" w:hAnsi="Arial"/>
                <w:sz w:val="14"/>
                <w:szCs w:val="14"/>
                <w:color w:val="auto"/>
              </w:rPr>
              <w:t>Sign 2.0M Square Feet of Manhattan Office Leases</w:t>
            </w:r>
          </w:p>
        </w:tc>
        <w:tc>
          <w:tcPr>
            <w:tcW w:w="180" w:type="dxa"/>
            <w:vAlign w:val="bottom"/>
          </w:tcPr>
          <w:p>
            <w:pPr>
              <w:ind w:left="1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48"/>
        </w:trPr>
        <w:tc>
          <w:tcPr>
            <w:tcW w:w="4000" w:type="dxa"/>
            <w:vAlign w:val="bottom"/>
            <w:tcBorders>
              <w:bottom w:val="single" w:sz="8" w:color="4B5088"/>
            </w:tcBorders>
          </w:tcPr>
          <w:p>
            <w:pPr>
              <w:spacing w:after="0"/>
              <w:rPr>
                <w:sz w:val="4"/>
                <w:szCs w:val="4"/>
                <w:color w:val="auto"/>
              </w:rPr>
            </w:pPr>
          </w:p>
        </w:tc>
        <w:tc>
          <w:tcPr>
            <w:tcW w:w="300" w:type="dxa"/>
            <w:vAlign w:val="bottom"/>
            <w:tcBorders>
              <w:bottom w:val="single" w:sz="8" w:color="4B5088"/>
            </w:tcBorders>
            <w:gridSpan w:val="2"/>
          </w:tcPr>
          <w:p>
            <w:pPr>
              <w:spacing w:after="0"/>
              <w:rPr>
                <w:sz w:val="4"/>
                <w:szCs w:val="4"/>
                <w:color w:val="auto"/>
              </w:rPr>
            </w:pPr>
          </w:p>
        </w:tc>
        <w:tc>
          <w:tcPr>
            <w:tcW w:w="380" w:type="dxa"/>
            <w:vAlign w:val="bottom"/>
            <w:tcBorders>
              <w:bottom w:val="single" w:sz="8" w:color="4B5088"/>
            </w:tcBorders>
          </w:tcPr>
          <w:p>
            <w:pPr>
              <w:spacing w:after="0"/>
              <w:rPr>
                <w:sz w:val="4"/>
                <w:szCs w:val="4"/>
                <w:color w:val="auto"/>
              </w:rPr>
            </w:pPr>
          </w:p>
        </w:tc>
      </w:tr>
      <w:tr>
        <w:trPr>
          <w:trHeight w:val="256"/>
        </w:trPr>
        <w:tc>
          <w:tcPr>
            <w:tcW w:w="4000" w:type="dxa"/>
            <w:vAlign w:val="bottom"/>
          </w:tcPr>
          <w:p>
            <w:pPr>
              <w:ind w:left="60"/>
              <w:spacing w:after="0"/>
              <w:rPr>
                <w:sz w:val="20"/>
                <w:szCs w:val="20"/>
                <w:color w:val="auto"/>
              </w:rPr>
            </w:pPr>
            <w:r>
              <w:rPr>
                <w:rFonts w:ascii="Arial" w:cs="Arial" w:eastAsia="Arial" w:hAnsi="Arial"/>
                <w:sz w:val="14"/>
                <w:szCs w:val="14"/>
                <w:color w:val="auto"/>
              </w:rPr>
              <w:t>Manhattan Same Store Occupancy 91.6%</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48"/>
        </w:trPr>
        <w:tc>
          <w:tcPr>
            <w:tcW w:w="4000" w:type="dxa"/>
            <w:vAlign w:val="bottom"/>
            <w:tcBorders>
              <w:bottom w:val="single" w:sz="8" w:color="4B5088"/>
            </w:tcBorders>
          </w:tcPr>
          <w:p>
            <w:pPr>
              <w:spacing w:after="0"/>
              <w:rPr>
                <w:sz w:val="4"/>
                <w:szCs w:val="4"/>
                <w:color w:val="auto"/>
              </w:rPr>
            </w:pPr>
          </w:p>
        </w:tc>
        <w:tc>
          <w:tcPr>
            <w:tcW w:w="180" w:type="dxa"/>
            <w:vAlign w:val="bottom"/>
            <w:tcBorders>
              <w:bottom w:val="single" w:sz="8" w:color="4B5088"/>
            </w:tcBorders>
          </w:tcPr>
          <w:p>
            <w:pPr>
              <w:spacing w:after="0"/>
              <w:rPr>
                <w:sz w:val="4"/>
                <w:szCs w:val="4"/>
                <w:color w:val="auto"/>
              </w:rPr>
            </w:pPr>
          </w:p>
        </w:tc>
        <w:tc>
          <w:tcPr>
            <w:tcW w:w="120" w:type="dxa"/>
            <w:vAlign w:val="bottom"/>
            <w:tcBorders>
              <w:bottom w:val="single" w:sz="8" w:color="4B5088"/>
            </w:tcBorders>
          </w:tcPr>
          <w:p>
            <w:pPr>
              <w:spacing w:after="0"/>
              <w:rPr>
                <w:sz w:val="4"/>
                <w:szCs w:val="4"/>
                <w:color w:val="auto"/>
              </w:rPr>
            </w:pPr>
          </w:p>
        </w:tc>
        <w:tc>
          <w:tcPr>
            <w:tcW w:w="380" w:type="dxa"/>
            <w:vAlign w:val="bottom"/>
            <w:tcBorders>
              <w:bottom w:val="single" w:sz="8" w:color="4B5088"/>
            </w:tcBorders>
          </w:tcPr>
          <w:p>
            <w:pPr>
              <w:spacing w:after="0"/>
              <w:rPr>
                <w:sz w:val="4"/>
                <w:szCs w:val="4"/>
                <w:color w:val="auto"/>
              </w:rPr>
            </w:pPr>
          </w:p>
        </w:tc>
      </w:tr>
      <w:tr>
        <w:trPr>
          <w:trHeight w:val="256"/>
        </w:trPr>
        <w:tc>
          <w:tcPr>
            <w:tcW w:w="4000" w:type="dxa"/>
            <w:vAlign w:val="bottom"/>
          </w:tcPr>
          <w:p>
            <w:pPr>
              <w:ind w:left="60"/>
              <w:spacing w:after="0"/>
              <w:rPr>
                <w:sz w:val="20"/>
                <w:szCs w:val="20"/>
                <w:color w:val="auto"/>
              </w:rPr>
            </w:pPr>
            <w:r>
              <w:rPr>
                <w:rFonts w:ascii="Arial" w:cs="Arial" w:eastAsia="Arial" w:hAnsi="Arial"/>
                <w:sz w:val="14"/>
                <w:szCs w:val="14"/>
                <w:color w:val="auto"/>
              </w:rPr>
              <w:t>Manhattan Office Mark-To-Market 2.5%—5.0%</w:t>
            </w:r>
          </w:p>
        </w:tc>
        <w:tc>
          <w:tcPr>
            <w:tcW w:w="180" w:type="dxa"/>
            <w:vAlign w:val="bottom"/>
          </w:tcPr>
          <w:p>
            <w:pPr>
              <w:ind w:left="1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48"/>
        </w:trPr>
        <w:tc>
          <w:tcPr>
            <w:tcW w:w="4000" w:type="dxa"/>
            <w:vAlign w:val="bottom"/>
            <w:tcBorders>
              <w:bottom w:val="single" w:sz="8" w:color="4B5088"/>
            </w:tcBorders>
          </w:tcPr>
          <w:p>
            <w:pPr>
              <w:spacing w:after="0"/>
              <w:rPr>
                <w:sz w:val="4"/>
                <w:szCs w:val="4"/>
                <w:color w:val="auto"/>
              </w:rPr>
            </w:pPr>
          </w:p>
        </w:tc>
        <w:tc>
          <w:tcPr>
            <w:tcW w:w="180" w:type="dxa"/>
            <w:vAlign w:val="bottom"/>
            <w:tcBorders>
              <w:bottom w:val="single" w:sz="8" w:color="4B5088"/>
            </w:tcBorders>
          </w:tcPr>
          <w:p>
            <w:pPr>
              <w:spacing w:after="0"/>
              <w:rPr>
                <w:sz w:val="4"/>
                <w:szCs w:val="4"/>
                <w:color w:val="auto"/>
              </w:rPr>
            </w:pPr>
          </w:p>
        </w:tc>
        <w:tc>
          <w:tcPr>
            <w:tcW w:w="120" w:type="dxa"/>
            <w:vAlign w:val="bottom"/>
            <w:tcBorders>
              <w:bottom w:val="single" w:sz="8" w:color="4B5088"/>
            </w:tcBorders>
          </w:tcPr>
          <w:p>
            <w:pPr>
              <w:spacing w:after="0"/>
              <w:rPr>
                <w:sz w:val="4"/>
                <w:szCs w:val="4"/>
                <w:color w:val="auto"/>
              </w:rPr>
            </w:pPr>
          </w:p>
        </w:tc>
        <w:tc>
          <w:tcPr>
            <w:tcW w:w="380" w:type="dxa"/>
            <w:vAlign w:val="bottom"/>
            <w:tcBorders>
              <w:bottom w:val="single" w:sz="8" w:color="4B5088"/>
            </w:tcBorders>
          </w:tcPr>
          <w:p>
            <w:pPr>
              <w:spacing w:after="0"/>
              <w:rPr>
                <w:sz w:val="4"/>
                <w:szCs w:val="4"/>
                <w:color w:val="auto"/>
              </w:rPr>
            </w:pPr>
          </w:p>
        </w:tc>
      </w:tr>
      <w:tr>
        <w:trPr>
          <w:trHeight w:val="255"/>
        </w:trPr>
        <w:tc>
          <w:tcPr>
            <w:tcW w:w="4000" w:type="dxa"/>
            <w:vAlign w:val="bottom"/>
          </w:tcPr>
          <w:p>
            <w:pPr>
              <w:ind w:left="60"/>
              <w:spacing w:after="0"/>
              <w:rPr>
                <w:sz w:val="20"/>
                <w:szCs w:val="20"/>
                <w:color w:val="auto"/>
              </w:rPr>
            </w:pPr>
            <w:r>
              <w:rPr>
                <w:rFonts w:ascii="Arial" w:cs="Arial" w:eastAsia="Arial" w:hAnsi="Arial"/>
                <w:sz w:val="14"/>
                <w:szCs w:val="14"/>
                <w:color w:val="auto"/>
              </w:rPr>
              <w:t>Close NYC Opportunity Fund, Target Size $1.0B</w:t>
            </w:r>
          </w:p>
        </w:tc>
        <w:tc>
          <w:tcPr>
            <w:tcW w:w="180" w:type="dxa"/>
            <w:vAlign w:val="bottom"/>
          </w:tcPr>
          <w:p>
            <w:pPr>
              <w:ind w:left="1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49"/>
        </w:trPr>
        <w:tc>
          <w:tcPr>
            <w:tcW w:w="4000" w:type="dxa"/>
            <w:vAlign w:val="bottom"/>
            <w:tcBorders>
              <w:bottom w:val="single" w:sz="8" w:color="4B5088"/>
            </w:tcBorders>
          </w:tcPr>
          <w:p>
            <w:pPr>
              <w:spacing w:after="0"/>
              <w:rPr>
                <w:sz w:val="4"/>
                <w:szCs w:val="4"/>
                <w:color w:val="auto"/>
              </w:rPr>
            </w:pPr>
          </w:p>
        </w:tc>
        <w:tc>
          <w:tcPr>
            <w:tcW w:w="300" w:type="dxa"/>
            <w:vAlign w:val="bottom"/>
            <w:tcBorders>
              <w:bottom w:val="single" w:sz="8" w:color="4B5088"/>
            </w:tcBorders>
            <w:gridSpan w:val="2"/>
          </w:tcPr>
          <w:p>
            <w:pPr>
              <w:spacing w:after="0"/>
              <w:rPr>
                <w:sz w:val="4"/>
                <w:szCs w:val="4"/>
                <w:color w:val="auto"/>
              </w:rPr>
            </w:pPr>
          </w:p>
        </w:tc>
        <w:tc>
          <w:tcPr>
            <w:tcW w:w="380" w:type="dxa"/>
            <w:vAlign w:val="bottom"/>
            <w:tcBorders>
              <w:bottom w:val="single" w:sz="8" w:color="4B5088"/>
            </w:tcBorders>
          </w:tcPr>
          <w:p>
            <w:pPr>
              <w:spacing w:after="0"/>
              <w:rPr>
                <w:sz w:val="4"/>
                <w:szCs w:val="4"/>
                <w:color w:val="auto"/>
              </w:rPr>
            </w:pPr>
          </w:p>
        </w:tc>
      </w:tr>
      <w:tr>
        <w:trPr>
          <w:trHeight w:val="248"/>
        </w:trPr>
        <w:tc>
          <w:tcPr>
            <w:tcW w:w="4000" w:type="dxa"/>
            <w:vAlign w:val="bottom"/>
          </w:tcPr>
          <w:p>
            <w:pPr>
              <w:ind w:left="60"/>
              <w:spacing w:after="0"/>
              <w:rPr>
                <w:sz w:val="20"/>
                <w:szCs w:val="20"/>
                <w:color w:val="auto"/>
              </w:rPr>
            </w:pPr>
            <w:r>
              <w:rPr>
                <w:rFonts w:ascii="Arial" w:cs="Arial" w:eastAsia="Arial" w:hAnsi="Arial"/>
                <w:sz w:val="14"/>
                <w:szCs w:val="14"/>
                <w:color w:val="auto"/>
              </w:rPr>
              <w:t>Fund Deployment &gt;$150M</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380" w:type="dxa"/>
            <w:vAlign w:val="bottom"/>
          </w:tcPr>
          <w:p>
            <w:pPr>
              <w:jc w:val="right"/>
              <w:ind w:right="8"/>
              <w:spacing w:after="0"/>
              <w:rPr>
                <w:sz w:val="20"/>
                <w:szCs w:val="20"/>
                <w:color w:val="auto"/>
              </w:rPr>
            </w:pPr>
            <w:r>
              <w:rPr>
                <w:rFonts w:ascii="Arial" w:cs="Arial" w:eastAsia="Arial" w:hAnsi="Arial"/>
                <w:sz w:val="14"/>
                <w:szCs w:val="14"/>
                <w:b w:val="1"/>
                <w:bCs w:val="1"/>
                <w:color w:val="auto"/>
              </w:rPr>
              <w:t xml:space="preserve">X </w:t>
            </w:r>
            <w:r>
              <w:rPr>
                <w:rFonts w:ascii="Arial" w:cs="Arial" w:eastAsia="Arial" w:hAnsi="Arial"/>
                <w:sz w:val="14"/>
                <w:szCs w:val="14"/>
                <w:color w:val="auto"/>
              </w:rPr>
              <w:t>​</w:t>
            </w:r>
          </w:p>
        </w:tc>
      </w:tr>
      <w:tr>
        <w:trPr>
          <w:trHeight w:val="29"/>
        </w:trPr>
        <w:tc>
          <w:tcPr>
            <w:tcW w:w="4000" w:type="dxa"/>
            <w:vAlign w:val="bottom"/>
            <w:tcBorders>
              <w:bottom w:val="single" w:sz="8" w:color="4B5088"/>
            </w:tcBorders>
          </w:tcPr>
          <w:p>
            <w:pPr>
              <w:spacing w:after="0"/>
              <w:rPr>
                <w:sz w:val="2"/>
                <w:szCs w:val="2"/>
                <w:color w:val="auto"/>
              </w:rPr>
            </w:pPr>
          </w:p>
        </w:tc>
        <w:tc>
          <w:tcPr>
            <w:tcW w:w="180" w:type="dxa"/>
            <w:vAlign w:val="bottom"/>
            <w:tcBorders>
              <w:bottom w:val="single" w:sz="8" w:color="4B5088"/>
            </w:tcBorders>
          </w:tcPr>
          <w:p>
            <w:pPr>
              <w:spacing w:after="0"/>
              <w:rPr>
                <w:sz w:val="2"/>
                <w:szCs w:val="2"/>
                <w:color w:val="auto"/>
              </w:rPr>
            </w:pPr>
          </w:p>
        </w:tc>
        <w:tc>
          <w:tcPr>
            <w:tcW w:w="120" w:type="dxa"/>
            <w:vAlign w:val="bottom"/>
            <w:tcBorders>
              <w:bottom w:val="single" w:sz="8" w:color="4B5088"/>
            </w:tcBorders>
          </w:tcPr>
          <w:p>
            <w:pPr>
              <w:spacing w:after="0"/>
              <w:rPr>
                <w:sz w:val="2"/>
                <w:szCs w:val="2"/>
                <w:color w:val="auto"/>
              </w:rPr>
            </w:pPr>
          </w:p>
        </w:tc>
        <w:tc>
          <w:tcPr>
            <w:tcW w:w="380" w:type="dxa"/>
            <w:vAlign w:val="bottom"/>
            <w:tcBorders>
              <w:bottom w:val="single" w:sz="8" w:color="4B5088"/>
            </w:tcBorders>
          </w:tcPr>
          <w:p>
            <w:pPr>
              <w:spacing w:after="0"/>
              <w:rPr>
                <w:sz w:val="2"/>
                <w:szCs w:val="2"/>
                <w:color w:val="auto"/>
              </w:rPr>
            </w:pPr>
          </w:p>
        </w:tc>
      </w:tr>
      <w:tr>
        <w:trPr>
          <w:trHeight w:val="248"/>
        </w:trPr>
        <w:tc>
          <w:tcPr>
            <w:tcW w:w="4000" w:type="dxa"/>
            <w:vAlign w:val="bottom"/>
          </w:tcPr>
          <w:p>
            <w:pPr>
              <w:ind w:left="60"/>
              <w:spacing w:after="0"/>
              <w:rPr>
                <w:sz w:val="20"/>
                <w:szCs w:val="20"/>
                <w:color w:val="auto"/>
              </w:rPr>
            </w:pPr>
            <w:r>
              <w:rPr>
                <w:rFonts w:ascii="Arial" w:cs="Arial" w:eastAsia="Arial" w:hAnsi="Arial"/>
                <w:sz w:val="14"/>
                <w:szCs w:val="14"/>
                <w:color w:val="auto"/>
              </w:rPr>
              <w:t>Dispositions of $1.45B</w:t>
            </w:r>
          </w:p>
        </w:tc>
        <w:tc>
          <w:tcPr>
            <w:tcW w:w="180" w:type="dxa"/>
            <w:vAlign w:val="bottom"/>
          </w:tcPr>
          <w:p>
            <w:pPr>
              <w:ind w:left="1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8"/>
              <w:spacing w:after="0"/>
              <w:rPr>
                <w:sz w:val="20"/>
                <w:szCs w:val="20"/>
                <w:color w:val="auto"/>
              </w:rPr>
            </w:pPr>
            <w:r>
              <w:rPr>
                <w:rFonts w:ascii="Arial" w:cs="Arial" w:eastAsia="Arial" w:hAnsi="Arial"/>
                <w:sz w:val="14"/>
                <w:szCs w:val="14"/>
                <w:b w:val="1"/>
                <w:bCs w:val="1"/>
                <w:color w:val="auto"/>
              </w:rPr>
              <w:t xml:space="preserve">X </w:t>
            </w:r>
            <w:r>
              <w:rPr>
                <w:rFonts w:ascii="Arial" w:cs="Arial" w:eastAsia="Arial" w:hAnsi="Arial"/>
                <w:sz w:val="14"/>
                <w:szCs w:val="14"/>
                <w:color w:val="auto"/>
              </w:rPr>
              <w:t>​</w:t>
            </w:r>
          </w:p>
        </w:tc>
      </w:tr>
      <w:tr>
        <w:trPr>
          <w:trHeight w:val="29"/>
        </w:trPr>
        <w:tc>
          <w:tcPr>
            <w:tcW w:w="4000" w:type="dxa"/>
            <w:vAlign w:val="bottom"/>
            <w:tcBorders>
              <w:bottom w:val="single" w:sz="8" w:color="4B5088"/>
            </w:tcBorders>
          </w:tcPr>
          <w:p>
            <w:pPr>
              <w:spacing w:after="0"/>
              <w:rPr>
                <w:sz w:val="2"/>
                <w:szCs w:val="2"/>
                <w:color w:val="auto"/>
              </w:rPr>
            </w:pPr>
          </w:p>
        </w:tc>
        <w:tc>
          <w:tcPr>
            <w:tcW w:w="300" w:type="dxa"/>
            <w:vAlign w:val="bottom"/>
            <w:tcBorders>
              <w:bottom w:val="single" w:sz="8" w:color="4B5088"/>
            </w:tcBorders>
            <w:gridSpan w:val="2"/>
          </w:tcPr>
          <w:p>
            <w:pPr>
              <w:spacing w:after="0"/>
              <w:rPr>
                <w:sz w:val="2"/>
                <w:szCs w:val="2"/>
                <w:color w:val="auto"/>
              </w:rPr>
            </w:pPr>
          </w:p>
        </w:tc>
        <w:tc>
          <w:tcPr>
            <w:tcW w:w="380" w:type="dxa"/>
            <w:vAlign w:val="bottom"/>
            <w:tcBorders>
              <w:bottom w:val="single" w:sz="8" w:color="4B5088"/>
            </w:tcBorders>
          </w:tcPr>
          <w:p>
            <w:pPr>
              <w:spacing w:after="0"/>
              <w:rPr>
                <w:sz w:val="2"/>
                <w:szCs w:val="2"/>
                <w:color w:val="auto"/>
              </w:rPr>
            </w:pPr>
          </w:p>
        </w:tc>
      </w:tr>
      <w:tr>
        <w:trPr>
          <w:trHeight w:val="248"/>
        </w:trPr>
        <w:tc>
          <w:tcPr>
            <w:tcW w:w="4000" w:type="dxa"/>
            <w:vAlign w:val="bottom"/>
          </w:tcPr>
          <w:p>
            <w:pPr>
              <w:ind w:left="60"/>
              <w:spacing w:after="0"/>
              <w:rPr>
                <w:sz w:val="20"/>
                <w:szCs w:val="20"/>
                <w:color w:val="auto"/>
              </w:rPr>
            </w:pPr>
            <w:r>
              <w:rPr>
                <w:rFonts w:ascii="Arial" w:cs="Arial" w:eastAsia="Arial" w:hAnsi="Arial"/>
                <w:sz w:val="14"/>
                <w:szCs w:val="14"/>
                <w:color w:val="auto"/>
              </w:rPr>
              <w:t>One Madison: 75% Leased</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380" w:type="dxa"/>
            <w:vAlign w:val="bottom"/>
          </w:tcPr>
          <w:p>
            <w:pPr>
              <w:jc w:val="right"/>
              <w:ind w:right="8"/>
              <w:spacing w:after="0"/>
              <w:rPr>
                <w:sz w:val="20"/>
                <w:szCs w:val="20"/>
                <w:color w:val="auto"/>
              </w:rPr>
            </w:pPr>
            <w:r>
              <w:rPr>
                <w:rFonts w:ascii="Arial" w:cs="Arial" w:eastAsia="Arial" w:hAnsi="Arial"/>
                <w:sz w:val="14"/>
                <w:szCs w:val="14"/>
                <w:b w:val="1"/>
                <w:bCs w:val="1"/>
                <w:color w:val="auto"/>
              </w:rPr>
              <w:t xml:space="preserve">X </w:t>
            </w:r>
            <w:r>
              <w:rPr>
                <w:rFonts w:ascii="Arial" w:cs="Arial" w:eastAsia="Arial" w:hAnsi="Arial"/>
                <w:sz w:val="14"/>
                <w:szCs w:val="14"/>
                <w:color w:val="auto"/>
              </w:rPr>
              <w:t>​</w:t>
            </w:r>
          </w:p>
        </w:tc>
      </w:tr>
      <w:tr>
        <w:trPr>
          <w:trHeight w:val="29"/>
        </w:trPr>
        <w:tc>
          <w:tcPr>
            <w:tcW w:w="4000" w:type="dxa"/>
            <w:vAlign w:val="bottom"/>
            <w:tcBorders>
              <w:bottom w:val="single" w:sz="8" w:color="4B5088"/>
            </w:tcBorders>
          </w:tcPr>
          <w:p>
            <w:pPr>
              <w:spacing w:after="0"/>
              <w:rPr>
                <w:sz w:val="2"/>
                <w:szCs w:val="2"/>
                <w:color w:val="auto"/>
              </w:rPr>
            </w:pPr>
          </w:p>
        </w:tc>
        <w:tc>
          <w:tcPr>
            <w:tcW w:w="180" w:type="dxa"/>
            <w:vAlign w:val="bottom"/>
            <w:tcBorders>
              <w:bottom w:val="single" w:sz="8" w:color="4B5088"/>
            </w:tcBorders>
          </w:tcPr>
          <w:p>
            <w:pPr>
              <w:spacing w:after="0"/>
              <w:rPr>
                <w:sz w:val="2"/>
                <w:szCs w:val="2"/>
                <w:color w:val="auto"/>
              </w:rPr>
            </w:pPr>
          </w:p>
        </w:tc>
        <w:tc>
          <w:tcPr>
            <w:tcW w:w="120" w:type="dxa"/>
            <w:vAlign w:val="bottom"/>
            <w:tcBorders>
              <w:bottom w:val="single" w:sz="8" w:color="4B5088"/>
            </w:tcBorders>
          </w:tcPr>
          <w:p>
            <w:pPr>
              <w:spacing w:after="0"/>
              <w:rPr>
                <w:sz w:val="2"/>
                <w:szCs w:val="2"/>
                <w:color w:val="auto"/>
              </w:rPr>
            </w:pPr>
          </w:p>
        </w:tc>
        <w:tc>
          <w:tcPr>
            <w:tcW w:w="380" w:type="dxa"/>
            <w:vAlign w:val="bottom"/>
            <w:tcBorders>
              <w:bottom w:val="single" w:sz="8" w:color="4B5088"/>
            </w:tcBorders>
          </w:tcPr>
          <w:p>
            <w:pPr>
              <w:spacing w:after="0"/>
              <w:rPr>
                <w:sz w:val="2"/>
                <w:szCs w:val="2"/>
                <w:color w:val="auto"/>
              </w:rPr>
            </w:pPr>
          </w:p>
        </w:tc>
      </w:tr>
      <w:tr>
        <w:trPr>
          <w:trHeight w:val="255"/>
        </w:trPr>
        <w:tc>
          <w:tcPr>
            <w:tcW w:w="4000" w:type="dxa"/>
            <w:vAlign w:val="bottom"/>
          </w:tcPr>
          <w:p>
            <w:pPr>
              <w:ind w:left="60"/>
              <w:spacing w:after="0"/>
              <w:rPr>
                <w:sz w:val="20"/>
                <w:szCs w:val="20"/>
                <w:color w:val="auto"/>
              </w:rPr>
            </w:pPr>
            <w:r>
              <w:rPr>
                <w:rFonts w:ascii="Arial" w:cs="Arial" w:eastAsia="Arial" w:hAnsi="Arial"/>
                <w:sz w:val="14"/>
                <w:szCs w:val="14"/>
                <w:color w:val="auto"/>
              </w:rPr>
              <w:t>760 Madison: Complete 100% of Condominium Sales</w:t>
            </w:r>
          </w:p>
        </w:tc>
        <w:tc>
          <w:tcPr>
            <w:tcW w:w="180" w:type="dxa"/>
            <w:vAlign w:val="bottom"/>
          </w:tcPr>
          <w:p>
            <w:pPr>
              <w:ind w:left="1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49"/>
        </w:trPr>
        <w:tc>
          <w:tcPr>
            <w:tcW w:w="4000" w:type="dxa"/>
            <w:vAlign w:val="bottom"/>
            <w:tcBorders>
              <w:bottom w:val="single" w:sz="8" w:color="4B5088"/>
            </w:tcBorders>
          </w:tcPr>
          <w:p>
            <w:pPr>
              <w:spacing w:after="0"/>
              <w:rPr>
                <w:sz w:val="4"/>
                <w:szCs w:val="4"/>
                <w:color w:val="auto"/>
              </w:rPr>
            </w:pPr>
          </w:p>
        </w:tc>
        <w:tc>
          <w:tcPr>
            <w:tcW w:w="180" w:type="dxa"/>
            <w:vAlign w:val="bottom"/>
            <w:tcBorders>
              <w:bottom w:val="single" w:sz="8" w:color="4B5088"/>
            </w:tcBorders>
          </w:tcPr>
          <w:p>
            <w:pPr>
              <w:spacing w:after="0"/>
              <w:rPr>
                <w:sz w:val="4"/>
                <w:szCs w:val="4"/>
                <w:color w:val="auto"/>
              </w:rPr>
            </w:pPr>
          </w:p>
        </w:tc>
        <w:tc>
          <w:tcPr>
            <w:tcW w:w="120" w:type="dxa"/>
            <w:vAlign w:val="bottom"/>
            <w:tcBorders>
              <w:bottom w:val="single" w:sz="8" w:color="4B5088"/>
            </w:tcBorders>
          </w:tcPr>
          <w:p>
            <w:pPr>
              <w:spacing w:after="0"/>
              <w:rPr>
                <w:sz w:val="4"/>
                <w:szCs w:val="4"/>
                <w:color w:val="auto"/>
              </w:rPr>
            </w:pPr>
          </w:p>
        </w:tc>
        <w:tc>
          <w:tcPr>
            <w:tcW w:w="380" w:type="dxa"/>
            <w:vAlign w:val="bottom"/>
            <w:tcBorders>
              <w:bottom w:val="single" w:sz="8" w:color="4B5088"/>
            </w:tcBorders>
          </w:tcPr>
          <w:p>
            <w:pPr>
              <w:spacing w:after="0"/>
              <w:rPr>
                <w:sz w:val="4"/>
                <w:szCs w:val="4"/>
                <w:color w:val="auto"/>
              </w:rPr>
            </w:pPr>
          </w:p>
        </w:tc>
      </w:tr>
      <w:tr>
        <w:trPr>
          <w:trHeight w:val="242"/>
        </w:trPr>
        <w:tc>
          <w:tcPr>
            <w:tcW w:w="4000" w:type="dxa"/>
            <w:vAlign w:val="bottom"/>
          </w:tcPr>
          <w:p>
            <w:pPr>
              <w:ind w:left="60"/>
              <w:spacing w:after="0"/>
              <w:rPr>
                <w:sz w:val="20"/>
                <w:szCs w:val="20"/>
                <w:color w:val="auto"/>
              </w:rPr>
            </w:pPr>
            <w:r>
              <w:rPr>
                <w:rFonts w:ascii="Arial" w:cs="Arial" w:eastAsia="Arial" w:hAnsi="Arial"/>
                <w:sz w:val="14"/>
                <w:szCs w:val="14"/>
                <w:color w:val="auto"/>
              </w:rPr>
              <w:t>245 Park: Sell Joint Venture Interest of 25%</w:t>
            </w:r>
          </w:p>
        </w:tc>
        <w:tc>
          <w:tcPr>
            <w:tcW w:w="180" w:type="dxa"/>
            <w:vAlign w:val="bottom"/>
          </w:tcPr>
          <w:p>
            <w:pPr>
              <w:ind w:left="1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 ​</w:t>
            </w:r>
          </w:p>
        </w:tc>
      </w:tr>
      <w:tr>
        <w:trPr>
          <w:trHeight w:val="35"/>
        </w:trPr>
        <w:tc>
          <w:tcPr>
            <w:tcW w:w="4000" w:type="dxa"/>
            <w:vAlign w:val="bottom"/>
            <w:tcBorders>
              <w:bottom w:val="single" w:sz="8" w:color="4B5088"/>
            </w:tcBorders>
          </w:tcPr>
          <w:p>
            <w:pPr>
              <w:spacing w:after="0"/>
              <w:rPr>
                <w:sz w:val="3"/>
                <w:szCs w:val="3"/>
                <w:color w:val="auto"/>
              </w:rPr>
            </w:pPr>
          </w:p>
        </w:tc>
        <w:tc>
          <w:tcPr>
            <w:tcW w:w="180" w:type="dxa"/>
            <w:vAlign w:val="bottom"/>
            <w:tcBorders>
              <w:bottom w:val="single" w:sz="8" w:color="4B5088"/>
            </w:tcBorders>
          </w:tcPr>
          <w:p>
            <w:pPr>
              <w:spacing w:after="0"/>
              <w:rPr>
                <w:sz w:val="3"/>
                <w:szCs w:val="3"/>
                <w:color w:val="auto"/>
              </w:rPr>
            </w:pPr>
          </w:p>
        </w:tc>
        <w:tc>
          <w:tcPr>
            <w:tcW w:w="120" w:type="dxa"/>
            <w:vAlign w:val="bottom"/>
            <w:tcBorders>
              <w:bottom w:val="single" w:sz="8" w:color="4B5088"/>
            </w:tcBorders>
          </w:tcPr>
          <w:p>
            <w:pPr>
              <w:spacing w:after="0"/>
              <w:rPr>
                <w:sz w:val="3"/>
                <w:szCs w:val="3"/>
                <w:color w:val="auto"/>
              </w:rPr>
            </w:pPr>
          </w:p>
        </w:tc>
        <w:tc>
          <w:tcPr>
            <w:tcW w:w="380" w:type="dxa"/>
            <w:vAlign w:val="bottom"/>
            <w:tcBorders>
              <w:bottom w:val="single" w:sz="8" w:color="4B5088"/>
            </w:tcBorders>
          </w:tcPr>
          <w:p>
            <w:pPr>
              <w:spacing w:after="0"/>
              <w:rPr>
                <w:sz w:val="3"/>
                <w:szCs w:val="3"/>
                <w:color w:val="auto"/>
              </w:rPr>
            </w:pPr>
          </w:p>
        </w:tc>
      </w:tr>
      <w:tr>
        <w:trPr>
          <w:trHeight w:val="255"/>
        </w:trPr>
        <w:tc>
          <w:tcPr>
            <w:tcW w:w="4000" w:type="dxa"/>
            <w:vAlign w:val="bottom"/>
          </w:tcPr>
          <w:p>
            <w:pPr>
              <w:ind w:left="60"/>
              <w:spacing w:after="0"/>
              <w:rPr>
                <w:sz w:val="20"/>
                <w:szCs w:val="20"/>
                <w:color w:val="auto"/>
              </w:rPr>
            </w:pPr>
            <w:r>
              <w:rPr>
                <w:rFonts w:ascii="Arial" w:cs="Arial" w:eastAsia="Arial" w:hAnsi="Arial"/>
                <w:sz w:val="14"/>
                <w:szCs w:val="14"/>
                <w:color w:val="auto"/>
              </w:rPr>
              <w:t>Launch 750 Third Residential Conversion</w:t>
            </w:r>
          </w:p>
        </w:tc>
        <w:tc>
          <w:tcPr>
            <w:tcW w:w="180" w:type="dxa"/>
            <w:vAlign w:val="bottom"/>
          </w:tcPr>
          <w:p>
            <w:pPr>
              <w:ind w:left="1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49"/>
        </w:trPr>
        <w:tc>
          <w:tcPr>
            <w:tcW w:w="4000" w:type="dxa"/>
            <w:vAlign w:val="bottom"/>
            <w:tcBorders>
              <w:bottom w:val="single" w:sz="8" w:color="4B5088"/>
            </w:tcBorders>
          </w:tcPr>
          <w:p>
            <w:pPr>
              <w:spacing w:after="0"/>
              <w:rPr>
                <w:sz w:val="4"/>
                <w:szCs w:val="4"/>
                <w:color w:val="auto"/>
              </w:rPr>
            </w:pPr>
          </w:p>
        </w:tc>
        <w:tc>
          <w:tcPr>
            <w:tcW w:w="180" w:type="dxa"/>
            <w:vAlign w:val="bottom"/>
            <w:tcBorders>
              <w:bottom w:val="single" w:sz="8" w:color="4B5088"/>
            </w:tcBorders>
          </w:tcPr>
          <w:p>
            <w:pPr>
              <w:spacing w:after="0"/>
              <w:rPr>
                <w:sz w:val="4"/>
                <w:szCs w:val="4"/>
                <w:color w:val="auto"/>
              </w:rPr>
            </w:pPr>
          </w:p>
        </w:tc>
        <w:tc>
          <w:tcPr>
            <w:tcW w:w="120" w:type="dxa"/>
            <w:vAlign w:val="bottom"/>
            <w:tcBorders>
              <w:bottom w:val="single" w:sz="8" w:color="4B5088"/>
            </w:tcBorders>
          </w:tcPr>
          <w:p>
            <w:pPr>
              <w:spacing w:after="0"/>
              <w:rPr>
                <w:sz w:val="4"/>
                <w:szCs w:val="4"/>
                <w:color w:val="auto"/>
              </w:rPr>
            </w:pPr>
          </w:p>
        </w:tc>
        <w:tc>
          <w:tcPr>
            <w:tcW w:w="380" w:type="dxa"/>
            <w:vAlign w:val="bottom"/>
            <w:tcBorders>
              <w:bottom w:val="single" w:sz="8" w:color="4B5088"/>
            </w:tcBorders>
          </w:tcPr>
          <w:p>
            <w:pPr>
              <w:spacing w:after="0"/>
              <w:rPr>
                <w:sz w:val="4"/>
                <w:szCs w:val="4"/>
                <w:color w:val="auto"/>
              </w:rPr>
            </w:pPr>
          </w:p>
        </w:tc>
      </w:tr>
      <w:tr>
        <w:trPr>
          <w:trHeight w:val="242"/>
        </w:trPr>
        <w:tc>
          <w:tcPr>
            <w:tcW w:w="4000" w:type="dxa"/>
            <w:vAlign w:val="bottom"/>
          </w:tcPr>
          <w:p>
            <w:pPr>
              <w:ind w:left="60"/>
              <w:spacing w:after="0"/>
              <w:rPr>
                <w:sz w:val="20"/>
                <w:szCs w:val="20"/>
                <w:color w:val="auto"/>
              </w:rPr>
            </w:pPr>
            <w:r>
              <w:rPr>
                <w:rFonts w:ascii="Arial" w:cs="Arial" w:eastAsia="Arial" w:hAnsi="Arial"/>
                <w:sz w:val="14"/>
                <w:szCs w:val="14"/>
                <w:color w:val="auto"/>
              </w:rPr>
              <w:t>Obtain Downstate Casino License</w:t>
            </w:r>
          </w:p>
        </w:tc>
        <w:tc>
          <w:tcPr>
            <w:tcW w:w="180" w:type="dxa"/>
            <w:vAlign w:val="bottom"/>
          </w:tcPr>
          <w:p>
            <w:pPr>
              <w:ind w:left="1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 ​</w:t>
            </w:r>
          </w:p>
        </w:tc>
      </w:tr>
      <w:tr>
        <w:trPr>
          <w:trHeight w:val="35"/>
        </w:trPr>
        <w:tc>
          <w:tcPr>
            <w:tcW w:w="4000" w:type="dxa"/>
            <w:vAlign w:val="bottom"/>
            <w:tcBorders>
              <w:bottom w:val="single" w:sz="8" w:color="4B5088"/>
            </w:tcBorders>
          </w:tcPr>
          <w:p>
            <w:pPr>
              <w:spacing w:after="0"/>
              <w:rPr>
                <w:sz w:val="3"/>
                <w:szCs w:val="3"/>
                <w:color w:val="auto"/>
              </w:rPr>
            </w:pPr>
          </w:p>
        </w:tc>
        <w:tc>
          <w:tcPr>
            <w:tcW w:w="180" w:type="dxa"/>
            <w:vAlign w:val="bottom"/>
            <w:tcBorders>
              <w:bottom w:val="single" w:sz="8" w:color="4B5088"/>
            </w:tcBorders>
          </w:tcPr>
          <w:p>
            <w:pPr>
              <w:spacing w:after="0"/>
              <w:rPr>
                <w:sz w:val="3"/>
                <w:szCs w:val="3"/>
                <w:color w:val="auto"/>
              </w:rPr>
            </w:pPr>
          </w:p>
        </w:tc>
        <w:tc>
          <w:tcPr>
            <w:tcW w:w="120" w:type="dxa"/>
            <w:vAlign w:val="bottom"/>
            <w:tcBorders>
              <w:bottom w:val="single" w:sz="8" w:color="4B5088"/>
            </w:tcBorders>
          </w:tcPr>
          <w:p>
            <w:pPr>
              <w:spacing w:after="0"/>
              <w:rPr>
                <w:sz w:val="3"/>
                <w:szCs w:val="3"/>
                <w:color w:val="auto"/>
              </w:rPr>
            </w:pPr>
          </w:p>
        </w:tc>
        <w:tc>
          <w:tcPr>
            <w:tcW w:w="380" w:type="dxa"/>
            <w:vAlign w:val="bottom"/>
            <w:tcBorders>
              <w:bottom w:val="single" w:sz="8" w:color="4B5088"/>
            </w:tcBorders>
          </w:tcPr>
          <w:p>
            <w:pPr>
              <w:spacing w:after="0"/>
              <w:rPr>
                <w:sz w:val="3"/>
                <w:szCs w:val="3"/>
                <w:color w:val="auto"/>
              </w:rPr>
            </w:pPr>
          </w:p>
        </w:tc>
      </w:tr>
      <w:tr>
        <w:trPr>
          <w:trHeight w:val="248"/>
        </w:trPr>
        <w:tc>
          <w:tcPr>
            <w:tcW w:w="4000" w:type="dxa"/>
            <w:vAlign w:val="bottom"/>
          </w:tcPr>
          <w:p>
            <w:pPr>
              <w:ind w:left="60"/>
              <w:spacing w:after="0"/>
              <w:rPr>
                <w:sz w:val="20"/>
                <w:szCs w:val="20"/>
                <w:color w:val="auto"/>
              </w:rPr>
            </w:pPr>
            <w:r>
              <w:rPr>
                <w:rFonts w:ascii="Arial" w:cs="Arial" w:eastAsia="Arial" w:hAnsi="Arial"/>
                <w:sz w:val="14"/>
                <w:szCs w:val="14"/>
                <w:color w:val="auto"/>
              </w:rPr>
              <w:t>Announce Two Additional SUMMIT Locations</w:t>
            </w:r>
          </w:p>
        </w:tc>
        <w:tc>
          <w:tcPr>
            <w:tcW w:w="180" w:type="dxa"/>
            <w:vAlign w:val="bottom"/>
          </w:tcPr>
          <w:p>
            <w:pPr>
              <w:ind w:left="1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8"/>
              <w:spacing w:after="0"/>
              <w:rPr>
                <w:sz w:val="20"/>
                <w:szCs w:val="20"/>
                <w:color w:val="auto"/>
              </w:rPr>
            </w:pPr>
            <w:r>
              <w:rPr>
                <w:rFonts w:ascii="Arial" w:cs="Arial" w:eastAsia="Arial" w:hAnsi="Arial"/>
                <w:sz w:val="14"/>
                <w:szCs w:val="14"/>
                <w:b w:val="1"/>
                <w:bCs w:val="1"/>
                <w:color w:val="auto"/>
              </w:rPr>
              <w:t xml:space="preserve">X </w:t>
            </w:r>
            <w:r>
              <w:rPr>
                <w:rFonts w:ascii="Arial" w:cs="Arial" w:eastAsia="Arial" w:hAnsi="Arial"/>
                <w:sz w:val="14"/>
                <w:szCs w:val="14"/>
                <w:color w:val="auto"/>
              </w:rPr>
              <w:t>​</w:t>
            </w:r>
          </w:p>
        </w:tc>
      </w:tr>
      <w:tr>
        <w:trPr>
          <w:trHeight w:val="29"/>
        </w:trPr>
        <w:tc>
          <w:tcPr>
            <w:tcW w:w="4000" w:type="dxa"/>
            <w:vAlign w:val="bottom"/>
            <w:tcBorders>
              <w:bottom w:val="single" w:sz="8" w:color="4B5088"/>
            </w:tcBorders>
          </w:tcPr>
          <w:p>
            <w:pPr>
              <w:spacing w:after="0"/>
              <w:rPr>
                <w:sz w:val="2"/>
                <w:szCs w:val="2"/>
                <w:color w:val="auto"/>
              </w:rPr>
            </w:pPr>
          </w:p>
        </w:tc>
        <w:tc>
          <w:tcPr>
            <w:tcW w:w="300" w:type="dxa"/>
            <w:vAlign w:val="bottom"/>
            <w:tcBorders>
              <w:bottom w:val="single" w:sz="8" w:color="4B5088"/>
            </w:tcBorders>
            <w:gridSpan w:val="2"/>
          </w:tcPr>
          <w:p>
            <w:pPr>
              <w:spacing w:after="0"/>
              <w:rPr>
                <w:sz w:val="2"/>
                <w:szCs w:val="2"/>
                <w:color w:val="auto"/>
              </w:rPr>
            </w:pPr>
          </w:p>
        </w:tc>
        <w:tc>
          <w:tcPr>
            <w:tcW w:w="380" w:type="dxa"/>
            <w:vAlign w:val="bottom"/>
            <w:tcBorders>
              <w:bottom w:val="single" w:sz="8" w:color="4B5088"/>
            </w:tcBorders>
          </w:tcPr>
          <w:p>
            <w:pPr>
              <w:spacing w:after="0"/>
              <w:rPr>
                <w:sz w:val="2"/>
                <w:szCs w:val="2"/>
                <w:color w:val="auto"/>
              </w:rPr>
            </w:pPr>
          </w:p>
        </w:tc>
      </w:tr>
      <w:tr>
        <w:trPr>
          <w:trHeight w:val="298"/>
        </w:trPr>
        <w:tc>
          <w:tcPr>
            <w:tcW w:w="4000" w:type="dxa"/>
            <w:vAlign w:val="bottom"/>
            <w:tcBorders>
              <w:bottom w:val="single" w:sz="8" w:color="4B5088"/>
            </w:tcBorders>
          </w:tcPr>
          <w:p>
            <w:pPr>
              <w:ind w:left="60"/>
              <w:spacing w:after="0"/>
              <w:rPr>
                <w:sz w:val="20"/>
                <w:szCs w:val="20"/>
                <w:color w:val="auto"/>
              </w:rPr>
            </w:pPr>
            <w:r>
              <w:rPr>
                <w:rFonts w:ascii="Arial" w:cs="Arial" w:eastAsia="Arial" w:hAnsi="Arial"/>
                <w:sz w:val="14"/>
                <w:szCs w:val="14"/>
                <w:color w:val="auto"/>
              </w:rPr>
              <w:t>Same Store Cash NOI</w:t>
            </w:r>
            <w:r>
              <w:rPr>
                <w:rFonts w:ascii="Arial" w:cs="Arial" w:eastAsia="Arial" w:hAnsi="Arial"/>
                <w:sz w:val="17"/>
                <w:szCs w:val="17"/>
                <w:color w:val="auto"/>
                <w:vertAlign w:val="superscript"/>
              </w:rPr>
              <w:t>(2)</w:t>
            </w:r>
            <w:r>
              <w:rPr>
                <w:rFonts w:ascii="Arial" w:cs="Arial" w:eastAsia="Arial" w:hAnsi="Arial"/>
                <w:sz w:val="14"/>
                <w:szCs w:val="14"/>
                <w:color w:val="auto"/>
              </w:rPr>
              <w:t xml:space="preserve"> Growth 1.0—2.0%</w:t>
            </w:r>
          </w:p>
        </w:tc>
        <w:tc>
          <w:tcPr>
            <w:tcW w:w="300" w:type="dxa"/>
            <w:vAlign w:val="bottom"/>
            <w:tcBorders>
              <w:bottom w:val="single" w:sz="8" w:color="4B5088"/>
            </w:tcBorders>
            <w:gridSpan w:val="2"/>
          </w:tcPr>
          <w:p>
            <w:pPr>
              <w:jc w:val="right"/>
              <w:spacing w:after="0"/>
              <w:rPr>
                <w:sz w:val="20"/>
                <w:szCs w:val="20"/>
                <w:color w:val="auto"/>
              </w:rPr>
            </w:pPr>
            <w:r>
              <w:rPr>
                <w:rFonts w:ascii="Arial" w:cs="Arial" w:eastAsia="Arial" w:hAnsi="Arial"/>
                <w:sz w:val="14"/>
                <w:szCs w:val="14"/>
                <w:color w:val="auto"/>
              </w:rPr>
              <w:t>​ ​</w:t>
            </w:r>
          </w:p>
        </w:tc>
        <w:tc>
          <w:tcPr>
            <w:tcW w:w="380" w:type="dxa"/>
            <w:vAlign w:val="bottom"/>
            <w:tcBorders>
              <w:bottom w:val="single" w:sz="8" w:color="4B5088"/>
            </w:tcBorders>
          </w:tcPr>
          <w:p>
            <w:pPr>
              <w:jc w:val="right"/>
              <w:ind w:right="8"/>
              <w:spacing w:after="0"/>
              <w:rPr>
                <w:sz w:val="20"/>
                <w:szCs w:val="20"/>
                <w:color w:val="auto"/>
              </w:rPr>
            </w:pPr>
            <w:r>
              <w:rPr>
                <w:rFonts w:ascii="Arial" w:cs="Arial" w:eastAsia="Arial" w:hAnsi="Arial"/>
                <w:sz w:val="14"/>
                <w:szCs w:val="14"/>
                <w:b w:val="1"/>
                <w:bCs w:val="1"/>
                <w:color w:val="auto"/>
              </w:rPr>
              <w:t xml:space="preserve">X </w:t>
            </w:r>
            <w:r>
              <w:rPr>
                <w:rFonts w:ascii="Arial" w:cs="Arial" w:eastAsia="Arial" w:hAnsi="Arial"/>
                <w:sz w:val="14"/>
                <w:szCs w:val="14"/>
                <w:color w:val="auto"/>
              </w:rPr>
              <w:t>​</w:t>
            </w:r>
          </w:p>
        </w:tc>
      </w:tr>
      <w:tr>
        <w:trPr>
          <w:trHeight w:val="261"/>
        </w:trPr>
        <w:tc>
          <w:tcPr>
            <w:tcW w:w="4000" w:type="dxa"/>
            <w:vAlign w:val="bottom"/>
          </w:tcPr>
          <w:p>
            <w:pPr>
              <w:ind w:left="60"/>
              <w:spacing w:after="0"/>
              <w:rPr>
                <w:sz w:val="20"/>
                <w:szCs w:val="20"/>
                <w:color w:val="auto"/>
              </w:rPr>
            </w:pPr>
            <w:r>
              <w:rPr>
                <w:rFonts w:ascii="Arial" w:cs="Arial" w:eastAsia="Arial" w:hAnsi="Arial"/>
                <w:sz w:val="14"/>
                <w:szCs w:val="14"/>
                <w:color w:val="auto"/>
              </w:rPr>
              <w:t>Reduce Debt by $1.0B</w:t>
            </w:r>
          </w:p>
        </w:tc>
        <w:tc>
          <w:tcPr>
            <w:tcW w:w="180" w:type="dxa"/>
            <w:vAlign w:val="bottom"/>
          </w:tcPr>
          <w:p>
            <w:pPr>
              <w:ind w:left="1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49"/>
        </w:trPr>
        <w:tc>
          <w:tcPr>
            <w:tcW w:w="4000" w:type="dxa"/>
            <w:vAlign w:val="bottom"/>
            <w:tcBorders>
              <w:bottom w:val="single" w:sz="8" w:color="4B5088"/>
            </w:tcBorders>
          </w:tcPr>
          <w:p>
            <w:pPr>
              <w:spacing w:after="0"/>
              <w:rPr>
                <w:sz w:val="4"/>
                <w:szCs w:val="4"/>
                <w:color w:val="auto"/>
              </w:rPr>
            </w:pPr>
          </w:p>
        </w:tc>
        <w:tc>
          <w:tcPr>
            <w:tcW w:w="180" w:type="dxa"/>
            <w:vAlign w:val="bottom"/>
            <w:tcBorders>
              <w:bottom w:val="single" w:sz="8" w:color="4B5088"/>
            </w:tcBorders>
          </w:tcPr>
          <w:p>
            <w:pPr>
              <w:spacing w:after="0"/>
              <w:rPr>
                <w:sz w:val="4"/>
                <w:szCs w:val="4"/>
                <w:color w:val="auto"/>
              </w:rPr>
            </w:pPr>
          </w:p>
        </w:tc>
        <w:tc>
          <w:tcPr>
            <w:tcW w:w="120" w:type="dxa"/>
            <w:vAlign w:val="bottom"/>
            <w:tcBorders>
              <w:bottom w:val="single" w:sz="8" w:color="4B5088"/>
            </w:tcBorders>
          </w:tcPr>
          <w:p>
            <w:pPr>
              <w:spacing w:after="0"/>
              <w:rPr>
                <w:sz w:val="4"/>
                <w:szCs w:val="4"/>
                <w:color w:val="auto"/>
              </w:rPr>
            </w:pPr>
          </w:p>
        </w:tc>
        <w:tc>
          <w:tcPr>
            <w:tcW w:w="380" w:type="dxa"/>
            <w:vAlign w:val="bottom"/>
            <w:tcBorders>
              <w:bottom w:val="single" w:sz="8" w:color="4B5088"/>
            </w:tcBorders>
          </w:tcPr>
          <w:p>
            <w:pPr>
              <w:spacing w:after="0"/>
              <w:rPr>
                <w:sz w:val="4"/>
                <w:szCs w:val="4"/>
                <w:color w:val="auto"/>
              </w:rPr>
            </w:pPr>
          </w:p>
        </w:tc>
      </w:tr>
      <w:tr>
        <w:trPr>
          <w:trHeight w:val="269"/>
        </w:trPr>
        <w:tc>
          <w:tcPr>
            <w:tcW w:w="4000" w:type="dxa"/>
            <w:vAlign w:val="bottom"/>
          </w:tcPr>
          <w:p>
            <w:pPr>
              <w:ind w:left="80"/>
              <w:spacing w:after="0"/>
              <w:rPr>
                <w:sz w:val="20"/>
                <w:szCs w:val="20"/>
                <w:color w:val="auto"/>
              </w:rPr>
            </w:pPr>
            <w:r>
              <w:rPr>
                <w:rFonts w:ascii="Arial" w:cs="Arial" w:eastAsia="Arial" w:hAnsi="Arial"/>
                <w:sz w:val="14"/>
                <w:szCs w:val="14"/>
                <w:color w:val="auto"/>
              </w:rPr>
              <w:t>Extend, Modify &amp; Refinance $5.0B of Debt</w:t>
            </w:r>
          </w:p>
        </w:tc>
        <w:tc>
          <w:tcPr>
            <w:tcW w:w="180" w:type="dxa"/>
            <w:vAlign w:val="bottom"/>
          </w:tcPr>
          <w:p>
            <w:pPr>
              <w:ind w:left="1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76"/>
        </w:trPr>
        <w:tc>
          <w:tcPr>
            <w:tcW w:w="4000" w:type="dxa"/>
            <w:vAlign w:val="bottom"/>
            <w:tcBorders>
              <w:bottom w:val="single" w:sz="8" w:color="4B5088"/>
            </w:tcBorders>
          </w:tcPr>
          <w:p>
            <w:pPr>
              <w:spacing w:after="0"/>
              <w:rPr>
                <w:sz w:val="6"/>
                <w:szCs w:val="6"/>
                <w:color w:val="auto"/>
              </w:rPr>
            </w:pPr>
          </w:p>
        </w:tc>
        <w:tc>
          <w:tcPr>
            <w:tcW w:w="180" w:type="dxa"/>
            <w:vAlign w:val="bottom"/>
            <w:tcBorders>
              <w:bottom w:val="single" w:sz="8" w:color="4B5088"/>
            </w:tcBorders>
          </w:tcPr>
          <w:p>
            <w:pPr>
              <w:spacing w:after="0"/>
              <w:rPr>
                <w:sz w:val="6"/>
                <w:szCs w:val="6"/>
                <w:color w:val="auto"/>
              </w:rPr>
            </w:pPr>
          </w:p>
        </w:tc>
        <w:tc>
          <w:tcPr>
            <w:tcW w:w="120" w:type="dxa"/>
            <w:vAlign w:val="bottom"/>
            <w:tcBorders>
              <w:bottom w:val="single" w:sz="8" w:color="4B5088"/>
            </w:tcBorders>
          </w:tcPr>
          <w:p>
            <w:pPr>
              <w:spacing w:after="0"/>
              <w:rPr>
                <w:sz w:val="6"/>
                <w:szCs w:val="6"/>
                <w:color w:val="auto"/>
              </w:rPr>
            </w:pPr>
          </w:p>
        </w:tc>
        <w:tc>
          <w:tcPr>
            <w:tcW w:w="380" w:type="dxa"/>
            <w:vAlign w:val="bottom"/>
            <w:tcBorders>
              <w:bottom w:val="single" w:sz="8" w:color="4B5088"/>
            </w:tcBorders>
          </w:tcPr>
          <w:p>
            <w:pPr>
              <w:spacing w:after="0"/>
              <w:rPr>
                <w:sz w:val="6"/>
                <w:szCs w:val="6"/>
                <w:color w:val="auto"/>
              </w:rPr>
            </w:pPr>
          </w:p>
        </w:tc>
      </w:tr>
      <w:tr>
        <w:trPr>
          <w:trHeight w:val="255"/>
        </w:trPr>
        <w:tc>
          <w:tcPr>
            <w:tcW w:w="4000" w:type="dxa"/>
            <w:vAlign w:val="bottom"/>
          </w:tcPr>
          <w:p>
            <w:pPr>
              <w:ind w:left="60"/>
              <w:spacing w:after="0"/>
              <w:rPr>
                <w:sz w:val="20"/>
                <w:szCs w:val="20"/>
                <w:color w:val="auto"/>
              </w:rPr>
            </w:pPr>
            <w:r>
              <w:rPr>
                <w:rFonts w:ascii="Arial" w:cs="Arial" w:eastAsia="Arial" w:hAnsi="Arial"/>
                <w:sz w:val="14"/>
                <w:szCs w:val="14"/>
                <w:color w:val="auto"/>
              </w:rPr>
              <w:t>Discounted Debt Gains of $50M</w:t>
            </w:r>
          </w:p>
        </w:tc>
        <w:tc>
          <w:tcPr>
            <w:tcW w:w="180" w:type="dxa"/>
            <w:vAlign w:val="bottom"/>
          </w:tcPr>
          <w:p>
            <w:pPr>
              <w:ind w:left="1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49"/>
        </w:trPr>
        <w:tc>
          <w:tcPr>
            <w:tcW w:w="4000" w:type="dxa"/>
            <w:vAlign w:val="bottom"/>
            <w:tcBorders>
              <w:bottom w:val="single" w:sz="8" w:color="4B5088"/>
            </w:tcBorders>
          </w:tcPr>
          <w:p>
            <w:pPr>
              <w:spacing w:after="0"/>
              <w:rPr>
                <w:sz w:val="4"/>
                <w:szCs w:val="4"/>
                <w:color w:val="auto"/>
              </w:rPr>
            </w:pPr>
          </w:p>
        </w:tc>
        <w:tc>
          <w:tcPr>
            <w:tcW w:w="180" w:type="dxa"/>
            <w:vAlign w:val="bottom"/>
            <w:tcBorders>
              <w:bottom w:val="single" w:sz="8" w:color="4B5088"/>
            </w:tcBorders>
          </w:tcPr>
          <w:p>
            <w:pPr>
              <w:spacing w:after="0"/>
              <w:rPr>
                <w:sz w:val="4"/>
                <w:szCs w:val="4"/>
                <w:color w:val="auto"/>
              </w:rPr>
            </w:pPr>
          </w:p>
        </w:tc>
        <w:tc>
          <w:tcPr>
            <w:tcW w:w="120" w:type="dxa"/>
            <w:vAlign w:val="bottom"/>
            <w:tcBorders>
              <w:bottom w:val="single" w:sz="8" w:color="4B5088"/>
            </w:tcBorders>
          </w:tcPr>
          <w:p>
            <w:pPr>
              <w:spacing w:after="0"/>
              <w:rPr>
                <w:sz w:val="4"/>
                <w:szCs w:val="4"/>
                <w:color w:val="auto"/>
              </w:rPr>
            </w:pPr>
          </w:p>
        </w:tc>
        <w:tc>
          <w:tcPr>
            <w:tcW w:w="380" w:type="dxa"/>
            <w:vAlign w:val="bottom"/>
            <w:tcBorders>
              <w:bottom w:val="single" w:sz="8" w:color="4B5088"/>
            </w:tcBorders>
          </w:tcPr>
          <w:p>
            <w:pPr>
              <w:spacing w:after="0"/>
              <w:rPr>
                <w:sz w:val="4"/>
                <w:szCs w:val="4"/>
                <w:color w:val="auto"/>
              </w:rPr>
            </w:pPr>
          </w:p>
        </w:tc>
      </w:tr>
      <w:tr>
        <w:trPr>
          <w:trHeight w:val="255"/>
        </w:trPr>
        <w:tc>
          <w:tcPr>
            <w:tcW w:w="4000" w:type="dxa"/>
            <w:vAlign w:val="bottom"/>
          </w:tcPr>
          <w:p>
            <w:pPr>
              <w:ind w:left="60"/>
              <w:spacing w:after="0"/>
              <w:rPr>
                <w:sz w:val="20"/>
                <w:szCs w:val="20"/>
                <w:color w:val="auto"/>
              </w:rPr>
            </w:pPr>
            <w:r>
              <w:rPr>
                <w:rFonts w:ascii="Arial" w:cs="Arial" w:eastAsia="Arial" w:hAnsi="Arial"/>
                <w:sz w:val="14"/>
                <w:szCs w:val="14"/>
                <w:color w:val="auto"/>
              </w:rPr>
              <w:t>Reduce Short Interest to &lt;15%</w:t>
            </w:r>
          </w:p>
        </w:tc>
        <w:tc>
          <w:tcPr>
            <w:tcW w:w="180" w:type="dxa"/>
            <w:vAlign w:val="bottom"/>
          </w:tcPr>
          <w:p>
            <w:pPr>
              <w:ind w:left="1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62"/>
        </w:trPr>
        <w:tc>
          <w:tcPr>
            <w:tcW w:w="4000" w:type="dxa"/>
            <w:vAlign w:val="bottom"/>
            <w:tcBorders>
              <w:bottom w:val="single" w:sz="8" w:color="4B5088"/>
            </w:tcBorders>
          </w:tcPr>
          <w:p>
            <w:pPr>
              <w:spacing w:after="0"/>
              <w:rPr>
                <w:sz w:val="5"/>
                <w:szCs w:val="5"/>
                <w:color w:val="auto"/>
              </w:rPr>
            </w:pPr>
          </w:p>
        </w:tc>
        <w:tc>
          <w:tcPr>
            <w:tcW w:w="300" w:type="dxa"/>
            <w:vAlign w:val="bottom"/>
            <w:tcBorders>
              <w:bottom w:val="single" w:sz="8" w:color="4B5088"/>
            </w:tcBorders>
            <w:gridSpan w:val="2"/>
          </w:tcPr>
          <w:p>
            <w:pPr>
              <w:spacing w:after="0"/>
              <w:rPr>
                <w:sz w:val="5"/>
                <w:szCs w:val="5"/>
                <w:color w:val="auto"/>
              </w:rPr>
            </w:pPr>
          </w:p>
        </w:tc>
        <w:tc>
          <w:tcPr>
            <w:tcW w:w="380" w:type="dxa"/>
            <w:vAlign w:val="bottom"/>
            <w:tcBorders>
              <w:bottom w:val="single" w:sz="8" w:color="4B5088"/>
            </w:tcBorders>
          </w:tcPr>
          <w:p>
            <w:pPr>
              <w:spacing w:after="0"/>
              <w:rPr>
                <w:sz w:val="5"/>
                <w:szCs w:val="5"/>
                <w:color w:val="auto"/>
              </w:rPr>
            </w:pPr>
          </w:p>
        </w:tc>
      </w:tr>
      <w:tr>
        <w:trPr>
          <w:trHeight w:val="255"/>
        </w:trPr>
        <w:tc>
          <w:tcPr>
            <w:tcW w:w="4000" w:type="dxa"/>
            <w:vAlign w:val="bottom"/>
          </w:tcPr>
          <w:p>
            <w:pPr>
              <w:ind w:left="60"/>
              <w:spacing w:after="0"/>
              <w:rPr>
                <w:sz w:val="20"/>
                <w:szCs w:val="20"/>
                <w:color w:val="auto"/>
              </w:rPr>
            </w:pPr>
            <w:r>
              <w:rPr>
                <w:rFonts w:ascii="Arial" w:cs="Arial" w:eastAsia="Arial" w:hAnsi="Arial"/>
                <w:sz w:val="14"/>
                <w:szCs w:val="14"/>
                <w:color w:val="auto"/>
              </w:rPr>
              <w:t>One-Year TSR Performance &gt;10%</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62"/>
        </w:trPr>
        <w:tc>
          <w:tcPr>
            <w:tcW w:w="4000" w:type="dxa"/>
            <w:vAlign w:val="bottom"/>
            <w:tcBorders>
              <w:bottom w:val="single" w:sz="8" w:color="4B5088"/>
            </w:tcBorders>
          </w:tcPr>
          <w:p>
            <w:pPr>
              <w:spacing w:after="0"/>
              <w:rPr>
                <w:sz w:val="5"/>
                <w:szCs w:val="5"/>
                <w:color w:val="auto"/>
              </w:rPr>
            </w:pPr>
          </w:p>
        </w:tc>
        <w:tc>
          <w:tcPr>
            <w:tcW w:w="180" w:type="dxa"/>
            <w:vAlign w:val="bottom"/>
            <w:tcBorders>
              <w:bottom w:val="single" w:sz="8" w:color="4B5088"/>
            </w:tcBorders>
          </w:tcPr>
          <w:p>
            <w:pPr>
              <w:spacing w:after="0"/>
              <w:rPr>
                <w:sz w:val="5"/>
                <w:szCs w:val="5"/>
                <w:color w:val="auto"/>
              </w:rPr>
            </w:pPr>
          </w:p>
        </w:tc>
        <w:tc>
          <w:tcPr>
            <w:tcW w:w="120" w:type="dxa"/>
            <w:vAlign w:val="bottom"/>
            <w:tcBorders>
              <w:bottom w:val="single" w:sz="8" w:color="4B5088"/>
            </w:tcBorders>
          </w:tcPr>
          <w:p>
            <w:pPr>
              <w:spacing w:after="0"/>
              <w:rPr>
                <w:sz w:val="5"/>
                <w:szCs w:val="5"/>
                <w:color w:val="auto"/>
              </w:rPr>
            </w:pPr>
          </w:p>
        </w:tc>
        <w:tc>
          <w:tcPr>
            <w:tcW w:w="380" w:type="dxa"/>
            <w:vAlign w:val="bottom"/>
            <w:tcBorders>
              <w:bottom w:val="single" w:sz="8" w:color="4B5088"/>
            </w:tcBorders>
          </w:tcPr>
          <w:p>
            <w:pPr>
              <w:spacing w:after="0"/>
              <w:rPr>
                <w:sz w:val="5"/>
                <w:szCs w:val="5"/>
                <w:color w:val="auto"/>
              </w:rPr>
            </w:pPr>
          </w:p>
        </w:tc>
      </w:tr>
      <w:tr>
        <w:trPr>
          <w:trHeight w:val="269"/>
        </w:trPr>
        <w:tc>
          <w:tcPr>
            <w:tcW w:w="4000" w:type="dxa"/>
            <w:vAlign w:val="bottom"/>
          </w:tcPr>
          <w:p>
            <w:pPr>
              <w:ind w:left="80"/>
              <w:spacing w:after="0"/>
              <w:rPr>
                <w:sz w:val="20"/>
                <w:szCs w:val="20"/>
                <w:color w:val="auto"/>
              </w:rPr>
            </w:pPr>
            <w:r>
              <w:rPr>
                <w:rFonts w:ascii="Arial" w:cs="Arial" w:eastAsia="Arial" w:hAnsi="Arial"/>
                <w:sz w:val="14"/>
                <w:szCs w:val="14"/>
                <w:color w:val="auto"/>
              </w:rPr>
              <w:t>Exceed DJ U.S. Real Estate Office Index by 250 Basis Points</w:t>
            </w:r>
          </w:p>
        </w:tc>
        <w:tc>
          <w:tcPr>
            <w:tcW w:w="180" w:type="dxa"/>
            <w:vAlign w:val="bottom"/>
          </w:tcPr>
          <w:p>
            <w:pPr>
              <w:ind w:left="1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89"/>
        </w:trPr>
        <w:tc>
          <w:tcPr>
            <w:tcW w:w="4000" w:type="dxa"/>
            <w:vAlign w:val="bottom"/>
            <w:tcBorders>
              <w:bottom w:val="single" w:sz="8" w:color="1F2668"/>
            </w:tcBorders>
          </w:tcPr>
          <w:p>
            <w:pPr>
              <w:spacing w:after="0"/>
              <w:rPr>
                <w:sz w:val="7"/>
                <w:szCs w:val="7"/>
                <w:color w:val="auto"/>
              </w:rPr>
            </w:pPr>
          </w:p>
        </w:tc>
        <w:tc>
          <w:tcPr>
            <w:tcW w:w="180" w:type="dxa"/>
            <w:vAlign w:val="bottom"/>
            <w:tcBorders>
              <w:bottom w:val="single" w:sz="8" w:color="1F2668"/>
            </w:tcBorders>
          </w:tcPr>
          <w:p>
            <w:pPr>
              <w:spacing w:after="0"/>
              <w:rPr>
                <w:sz w:val="7"/>
                <w:szCs w:val="7"/>
                <w:color w:val="auto"/>
              </w:rPr>
            </w:pPr>
          </w:p>
        </w:tc>
        <w:tc>
          <w:tcPr>
            <w:tcW w:w="120" w:type="dxa"/>
            <w:vAlign w:val="bottom"/>
            <w:tcBorders>
              <w:bottom w:val="single" w:sz="8" w:color="1F2668"/>
            </w:tcBorders>
          </w:tcPr>
          <w:p>
            <w:pPr>
              <w:spacing w:after="0"/>
              <w:rPr>
                <w:sz w:val="7"/>
                <w:szCs w:val="7"/>
                <w:color w:val="auto"/>
              </w:rPr>
            </w:pPr>
          </w:p>
        </w:tc>
        <w:tc>
          <w:tcPr>
            <w:tcW w:w="380" w:type="dxa"/>
            <w:vAlign w:val="bottom"/>
            <w:tcBorders>
              <w:bottom w:val="single" w:sz="8" w:color="1F2668"/>
            </w:tcBorders>
          </w:tcPr>
          <w:p>
            <w:pPr>
              <w:spacing w:after="0"/>
              <w:rPr>
                <w:sz w:val="7"/>
                <w:szCs w:val="7"/>
                <w:color w:val="auto"/>
              </w:rPr>
            </w:pPr>
          </w:p>
        </w:tc>
      </w:tr>
      <w:tr>
        <w:trPr>
          <w:trHeight w:val="350"/>
        </w:trPr>
        <w:tc>
          <w:tcPr>
            <w:tcW w:w="4000" w:type="dxa"/>
            <w:vAlign w:val="bottom"/>
          </w:tcPr>
          <w:p>
            <w:pPr>
              <w:spacing w:after="0"/>
              <w:rPr>
                <w:sz w:val="20"/>
                <w:szCs w:val="20"/>
                <w:color w:val="auto"/>
              </w:rPr>
            </w:pPr>
            <w:r>
              <w:rPr>
                <w:rFonts w:ascii="Arial" w:cs="Arial" w:eastAsia="Arial" w:hAnsi="Arial"/>
                <w:sz w:val="14"/>
                <w:szCs w:val="14"/>
                <w:color w:val="auto"/>
              </w:rPr>
              <w:t>(1)   Source: Bloomberg.</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3286125</wp:posOffset>
            </wp:positionH>
            <wp:positionV relativeFrom="paragraph">
              <wp:posOffset>-4074795</wp:posOffset>
            </wp:positionV>
            <wp:extent cx="120015" cy="1200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3286125</wp:posOffset>
            </wp:positionH>
            <wp:positionV relativeFrom="paragraph">
              <wp:posOffset>-3869055</wp:posOffset>
            </wp:positionV>
            <wp:extent cx="120015" cy="1200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3286125</wp:posOffset>
            </wp:positionH>
            <wp:positionV relativeFrom="paragraph">
              <wp:posOffset>-3663315</wp:posOffset>
            </wp:positionV>
            <wp:extent cx="120015" cy="1200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3286125</wp:posOffset>
            </wp:positionH>
            <wp:positionV relativeFrom="paragraph">
              <wp:posOffset>-3457575</wp:posOffset>
            </wp:positionV>
            <wp:extent cx="120015" cy="1200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3286125</wp:posOffset>
            </wp:positionH>
            <wp:positionV relativeFrom="paragraph">
              <wp:posOffset>-2686050</wp:posOffset>
            </wp:positionV>
            <wp:extent cx="120015" cy="1200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3286125</wp:posOffset>
            </wp:positionH>
            <wp:positionV relativeFrom="paragraph">
              <wp:posOffset>-2291715</wp:posOffset>
            </wp:positionV>
            <wp:extent cx="120015" cy="1200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3286125</wp:posOffset>
            </wp:positionH>
            <wp:positionV relativeFrom="paragraph">
              <wp:posOffset>-1503045</wp:posOffset>
            </wp:positionV>
            <wp:extent cx="120015" cy="1200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3286125</wp:posOffset>
            </wp:positionH>
            <wp:positionV relativeFrom="paragraph">
              <wp:posOffset>-1280160</wp:posOffset>
            </wp:positionV>
            <wp:extent cx="120015" cy="1200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3286125</wp:posOffset>
            </wp:positionH>
            <wp:positionV relativeFrom="paragraph">
              <wp:posOffset>-1066165</wp:posOffset>
            </wp:positionV>
            <wp:extent cx="120015" cy="1200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3286125</wp:posOffset>
            </wp:positionH>
            <wp:positionV relativeFrom="paragraph">
              <wp:posOffset>-851535</wp:posOffset>
            </wp:positionV>
            <wp:extent cx="120015" cy="1200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3286125</wp:posOffset>
            </wp:positionH>
            <wp:positionV relativeFrom="paragraph">
              <wp:posOffset>-637540</wp:posOffset>
            </wp:positionV>
            <wp:extent cx="120015" cy="1200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3286125</wp:posOffset>
            </wp:positionH>
            <wp:positionV relativeFrom="paragraph">
              <wp:posOffset>-414655</wp:posOffset>
            </wp:positionV>
            <wp:extent cx="120015" cy="1200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338"/>
        </w:trPr>
        <w:tc>
          <w:tcPr>
            <w:tcW w:w="3900" w:type="dxa"/>
            <w:vAlign w:val="bottom"/>
            <w:tcBorders>
              <w:top w:val="single" w:sz="8" w:color="83AD40"/>
              <w:left w:val="single" w:sz="8" w:color="83AD40"/>
              <w:bottom w:val="single" w:sz="8" w:color="1F2668"/>
            </w:tcBorders>
          </w:tcPr>
          <w:p>
            <w:pPr>
              <w:ind w:left="40"/>
              <w:spacing w:after="0"/>
              <w:rPr>
                <w:sz w:val="20"/>
                <w:szCs w:val="20"/>
                <w:color w:val="auto"/>
              </w:rPr>
            </w:pPr>
            <w:r>
              <w:rPr>
                <w:rFonts w:ascii="Arial" w:cs="Arial" w:eastAsia="Arial" w:hAnsi="Arial"/>
                <w:sz w:val="14"/>
                <w:szCs w:val="14"/>
                <w:b w:val="1"/>
                <w:bCs w:val="1"/>
                <w:color w:val="1F2668"/>
              </w:rPr>
              <w:t xml:space="preserve">​ </w:t>
            </w:r>
            <w:r>
              <w:rPr>
                <w:rFonts w:ascii="Arial" w:cs="Arial" w:eastAsia="Arial" w:hAnsi="Arial"/>
                <w:sz w:val="14"/>
                <w:szCs w:val="14"/>
                <w:b w:val="1"/>
                <w:bCs w:val="1"/>
                <w:color w:val="83AD40"/>
              </w:rPr>
              <w:t>How We Did</w:t>
            </w:r>
          </w:p>
        </w:tc>
        <w:tc>
          <w:tcPr>
            <w:tcW w:w="480" w:type="dxa"/>
            <w:vAlign w:val="bottom"/>
            <w:tcBorders>
              <w:top w:val="single" w:sz="8" w:color="83AD40"/>
              <w:bottom w:val="single" w:sz="8" w:color="1F2668"/>
              <w:right w:val="single" w:sz="8" w:color="83AD40"/>
            </w:tcBorders>
          </w:tcPr>
          <w:p>
            <w:pPr>
              <w:ind w:left="380"/>
              <w:spacing w:after="0"/>
              <w:rPr>
                <w:sz w:val="20"/>
                <w:szCs w:val="20"/>
                <w:color w:val="auto"/>
              </w:rPr>
            </w:pPr>
            <w:r>
              <w:rPr>
                <w:rFonts w:ascii="Arial" w:cs="Arial" w:eastAsia="Arial" w:hAnsi="Arial"/>
                <w:sz w:val="14"/>
                <w:szCs w:val="14"/>
                <w:b w:val="1"/>
                <w:bCs w:val="1"/>
                <w:color w:val="1F2668"/>
              </w:rPr>
              <w:t>​</w:t>
            </w:r>
          </w:p>
        </w:tc>
      </w:tr>
      <w:tr>
        <w:trPr>
          <w:trHeight w:val="255"/>
        </w:trPr>
        <w:tc>
          <w:tcPr>
            <w:tcW w:w="3900" w:type="dxa"/>
            <w:vAlign w:val="bottom"/>
            <w:tcBorders>
              <w:left w:val="single" w:sz="8" w:color="83AD40"/>
            </w:tcBorders>
          </w:tcPr>
          <w:p>
            <w:pPr>
              <w:ind w:left="40"/>
              <w:spacing w:after="0"/>
              <w:rPr>
                <w:sz w:val="20"/>
                <w:szCs w:val="20"/>
                <w:color w:val="auto"/>
              </w:rPr>
            </w:pPr>
            <w:r>
              <w:rPr>
                <w:rFonts w:ascii="Arial" w:cs="Arial" w:eastAsia="Arial" w:hAnsi="Arial"/>
                <w:sz w:val="14"/>
                <w:szCs w:val="14"/>
                <w:color w:val="auto"/>
              </w:rPr>
              <w:t>​ Signed 3.6M Square Feet of Manhattan Office Leases</w:t>
            </w:r>
          </w:p>
        </w:tc>
        <w:tc>
          <w:tcPr>
            <w:tcW w:w="480" w:type="dxa"/>
            <w:vAlign w:val="bottom"/>
            <w:tcBorders>
              <w:right w:val="single" w:sz="8" w:color="83AD40"/>
            </w:tcBorders>
          </w:tcPr>
          <w:p>
            <w:pPr>
              <w:ind w:left="380"/>
              <w:spacing w:after="0"/>
              <w:rPr>
                <w:sz w:val="20"/>
                <w:szCs w:val="20"/>
                <w:color w:val="auto"/>
              </w:rPr>
            </w:pPr>
            <w:r>
              <w:rPr>
                <w:rFonts w:ascii="Arial" w:cs="Arial" w:eastAsia="Arial" w:hAnsi="Arial"/>
                <w:sz w:val="14"/>
                <w:szCs w:val="14"/>
                <w:color w:val="auto"/>
              </w:rPr>
              <w:t>​</w:t>
            </w:r>
          </w:p>
        </w:tc>
      </w:tr>
      <w:tr>
        <w:trPr>
          <w:trHeight w:val="48"/>
        </w:trPr>
        <w:tc>
          <w:tcPr>
            <w:tcW w:w="3900" w:type="dxa"/>
            <w:vAlign w:val="bottom"/>
            <w:tcBorders>
              <w:left w:val="single" w:sz="8" w:color="83AD40"/>
              <w:bottom w:val="single" w:sz="8" w:color="4B5088"/>
            </w:tcBorders>
          </w:tcPr>
          <w:p>
            <w:pPr>
              <w:spacing w:after="0"/>
              <w:rPr>
                <w:sz w:val="4"/>
                <w:szCs w:val="4"/>
                <w:color w:val="auto"/>
              </w:rPr>
            </w:pPr>
          </w:p>
        </w:tc>
        <w:tc>
          <w:tcPr>
            <w:tcW w:w="480" w:type="dxa"/>
            <w:vAlign w:val="bottom"/>
            <w:tcBorders>
              <w:bottom w:val="single" w:sz="8" w:color="4B5088"/>
              <w:right w:val="single" w:sz="8" w:color="83AD40"/>
            </w:tcBorders>
          </w:tcPr>
          <w:p>
            <w:pPr>
              <w:spacing w:after="0"/>
              <w:rPr>
                <w:sz w:val="4"/>
                <w:szCs w:val="4"/>
                <w:color w:val="auto"/>
              </w:rPr>
            </w:pPr>
          </w:p>
        </w:tc>
      </w:tr>
      <w:tr>
        <w:trPr>
          <w:trHeight w:val="256"/>
        </w:trPr>
        <w:tc>
          <w:tcPr>
            <w:tcW w:w="3900" w:type="dxa"/>
            <w:vAlign w:val="bottom"/>
            <w:tcBorders>
              <w:left w:val="single" w:sz="8" w:color="83AD40"/>
            </w:tcBorders>
          </w:tcPr>
          <w:p>
            <w:pPr>
              <w:ind w:left="40"/>
              <w:spacing w:after="0"/>
              <w:rPr>
                <w:sz w:val="20"/>
                <w:szCs w:val="20"/>
                <w:color w:val="auto"/>
              </w:rPr>
            </w:pPr>
            <w:r>
              <w:rPr>
                <w:rFonts w:ascii="Arial" w:cs="Arial" w:eastAsia="Arial" w:hAnsi="Arial"/>
                <w:sz w:val="14"/>
                <w:szCs w:val="14"/>
                <w:color w:val="auto"/>
              </w:rPr>
              <w:t>​ Achieved 92.5% Occupancy at Year End</w:t>
            </w:r>
          </w:p>
        </w:tc>
        <w:tc>
          <w:tcPr>
            <w:tcW w:w="480" w:type="dxa"/>
            <w:vAlign w:val="bottom"/>
            <w:tcBorders>
              <w:right w:val="single" w:sz="8" w:color="83AD40"/>
            </w:tcBorders>
          </w:tcPr>
          <w:p>
            <w:pPr>
              <w:ind w:left="380"/>
              <w:spacing w:after="0"/>
              <w:rPr>
                <w:sz w:val="20"/>
                <w:szCs w:val="20"/>
                <w:color w:val="auto"/>
              </w:rPr>
            </w:pPr>
            <w:r>
              <w:rPr>
                <w:rFonts w:ascii="Arial" w:cs="Arial" w:eastAsia="Arial" w:hAnsi="Arial"/>
                <w:sz w:val="14"/>
                <w:szCs w:val="14"/>
                <w:color w:val="auto"/>
              </w:rPr>
              <w:t>​</w:t>
            </w:r>
          </w:p>
        </w:tc>
      </w:tr>
      <w:tr>
        <w:trPr>
          <w:trHeight w:val="48"/>
        </w:trPr>
        <w:tc>
          <w:tcPr>
            <w:tcW w:w="3900" w:type="dxa"/>
            <w:vAlign w:val="bottom"/>
            <w:tcBorders>
              <w:left w:val="single" w:sz="8" w:color="83AD40"/>
              <w:bottom w:val="single" w:sz="8" w:color="4B5088"/>
            </w:tcBorders>
          </w:tcPr>
          <w:p>
            <w:pPr>
              <w:spacing w:after="0"/>
              <w:rPr>
                <w:sz w:val="4"/>
                <w:szCs w:val="4"/>
                <w:color w:val="auto"/>
              </w:rPr>
            </w:pPr>
          </w:p>
        </w:tc>
        <w:tc>
          <w:tcPr>
            <w:tcW w:w="480" w:type="dxa"/>
            <w:vAlign w:val="bottom"/>
            <w:tcBorders>
              <w:bottom w:val="single" w:sz="8" w:color="4B5088"/>
              <w:right w:val="single" w:sz="8" w:color="83AD40"/>
            </w:tcBorders>
          </w:tcPr>
          <w:p>
            <w:pPr>
              <w:spacing w:after="0"/>
              <w:rPr>
                <w:sz w:val="4"/>
                <w:szCs w:val="4"/>
                <w:color w:val="auto"/>
              </w:rPr>
            </w:pPr>
          </w:p>
        </w:tc>
      </w:tr>
      <w:tr>
        <w:trPr>
          <w:trHeight w:val="256"/>
        </w:trPr>
        <w:tc>
          <w:tcPr>
            <w:tcW w:w="3900" w:type="dxa"/>
            <w:vAlign w:val="bottom"/>
            <w:tcBorders>
              <w:left w:val="single" w:sz="8" w:color="83AD40"/>
            </w:tcBorders>
          </w:tcPr>
          <w:p>
            <w:pPr>
              <w:ind w:left="40"/>
              <w:spacing w:after="0"/>
              <w:rPr>
                <w:sz w:val="20"/>
                <w:szCs w:val="20"/>
                <w:color w:val="auto"/>
              </w:rPr>
            </w:pPr>
            <w:r>
              <w:rPr>
                <w:rFonts w:ascii="Arial" w:cs="Arial" w:eastAsia="Arial" w:hAnsi="Arial"/>
                <w:sz w:val="14"/>
                <w:szCs w:val="14"/>
                <w:color w:val="auto"/>
              </w:rPr>
              <w:t>​ 8.5% Mark-to-Market on Signed Leases</w:t>
            </w:r>
          </w:p>
        </w:tc>
        <w:tc>
          <w:tcPr>
            <w:tcW w:w="480" w:type="dxa"/>
            <w:vAlign w:val="bottom"/>
            <w:tcBorders>
              <w:right w:val="single" w:sz="8" w:color="83AD40"/>
            </w:tcBorders>
          </w:tcPr>
          <w:p>
            <w:pPr>
              <w:ind w:left="380"/>
              <w:spacing w:after="0"/>
              <w:rPr>
                <w:sz w:val="20"/>
                <w:szCs w:val="20"/>
                <w:color w:val="auto"/>
              </w:rPr>
            </w:pPr>
            <w:r>
              <w:rPr>
                <w:rFonts w:ascii="Arial" w:cs="Arial" w:eastAsia="Arial" w:hAnsi="Arial"/>
                <w:sz w:val="14"/>
                <w:szCs w:val="14"/>
                <w:color w:val="auto"/>
              </w:rPr>
              <w:t>​</w:t>
            </w:r>
          </w:p>
        </w:tc>
      </w:tr>
      <w:tr>
        <w:trPr>
          <w:trHeight w:val="48"/>
        </w:trPr>
        <w:tc>
          <w:tcPr>
            <w:tcW w:w="3900" w:type="dxa"/>
            <w:vAlign w:val="bottom"/>
            <w:tcBorders>
              <w:left w:val="single" w:sz="8" w:color="83AD40"/>
              <w:bottom w:val="single" w:sz="8" w:color="4B5088"/>
            </w:tcBorders>
          </w:tcPr>
          <w:p>
            <w:pPr>
              <w:spacing w:after="0"/>
              <w:rPr>
                <w:sz w:val="4"/>
                <w:szCs w:val="4"/>
                <w:color w:val="auto"/>
              </w:rPr>
            </w:pPr>
          </w:p>
        </w:tc>
        <w:tc>
          <w:tcPr>
            <w:tcW w:w="480" w:type="dxa"/>
            <w:vAlign w:val="bottom"/>
            <w:tcBorders>
              <w:bottom w:val="single" w:sz="8" w:color="4B5088"/>
              <w:right w:val="single" w:sz="8" w:color="83AD40"/>
            </w:tcBorders>
          </w:tcPr>
          <w:p>
            <w:pPr>
              <w:spacing w:after="0"/>
              <w:rPr>
                <w:sz w:val="4"/>
                <w:szCs w:val="4"/>
                <w:color w:val="auto"/>
              </w:rPr>
            </w:pPr>
          </w:p>
        </w:tc>
      </w:tr>
      <w:tr>
        <w:trPr>
          <w:trHeight w:val="255"/>
        </w:trPr>
        <w:tc>
          <w:tcPr>
            <w:tcW w:w="3900" w:type="dxa"/>
            <w:vAlign w:val="bottom"/>
            <w:tcBorders>
              <w:left w:val="single" w:sz="8" w:color="83AD40"/>
            </w:tcBorders>
          </w:tcPr>
          <w:p>
            <w:pPr>
              <w:ind w:left="40"/>
              <w:spacing w:after="0"/>
              <w:rPr>
                <w:sz w:val="20"/>
                <w:szCs w:val="20"/>
                <w:color w:val="auto"/>
              </w:rPr>
            </w:pPr>
            <w:r>
              <w:rPr>
                <w:rFonts w:ascii="Arial" w:cs="Arial" w:eastAsia="Arial" w:hAnsi="Arial"/>
                <w:sz w:val="14"/>
                <w:szCs w:val="14"/>
                <w:color w:val="auto"/>
              </w:rPr>
              <w:t>​ Fund Closed</w:t>
            </w:r>
          </w:p>
        </w:tc>
        <w:tc>
          <w:tcPr>
            <w:tcW w:w="480" w:type="dxa"/>
            <w:vAlign w:val="bottom"/>
            <w:tcBorders>
              <w:right w:val="single" w:sz="8" w:color="83AD40"/>
            </w:tcBorders>
          </w:tcPr>
          <w:p>
            <w:pPr>
              <w:ind w:left="380"/>
              <w:spacing w:after="0"/>
              <w:rPr>
                <w:sz w:val="20"/>
                <w:szCs w:val="20"/>
                <w:color w:val="auto"/>
              </w:rPr>
            </w:pPr>
            <w:r>
              <w:rPr>
                <w:rFonts w:ascii="Arial" w:cs="Arial" w:eastAsia="Arial" w:hAnsi="Arial"/>
                <w:sz w:val="14"/>
                <w:szCs w:val="14"/>
                <w:color w:val="auto"/>
              </w:rPr>
              <w:t>​</w:t>
            </w:r>
          </w:p>
        </w:tc>
      </w:tr>
      <w:tr>
        <w:trPr>
          <w:trHeight w:val="49"/>
        </w:trPr>
        <w:tc>
          <w:tcPr>
            <w:tcW w:w="3900" w:type="dxa"/>
            <w:vAlign w:val="bottom"/>
            <w:tcBorders>
              <w:left w:val="single" w:sz="8" w:color="83AD40"/>
              <w:bottom w:val="single" w:sz="8" w:color="4B5088"/>
            </w:tcBorders>
          </w:tcPr>
          <w:p>
            <w:pPr>
              <w:spacing w:after="0"/>
              <w:rPr>
                <w:sz w:val="4"/>
                <w:szCs w:val="4"/>
                <w:color w:val="auto"/>
              </w:rPr>
            </w:pPr>
          </w:p>
        </w:tc>
        <w:tc>
          <w:tcPr>
            <w:tcW w:w="480" w:type="dxa"/>
            <w:vAlign w:val="bottom"/>
            <w:tcBorders>
              <w:bottom w:val="single" w:sz="8" w:color="4B5088"/>
              <w:right w:val="single" w:sz="8" w:color="83AD40"/>
            </w:tcBorders>
          </w:tcPr>
          <w:p>
            <w:pPr>
              <w:spacing w:after="0"/>
              <w:rPr>
                <w:sz w:val="4"/>
                <w:szCs w:val="4"/>
                <w:color w:val="auto"/>
              </w:rPr>
            </w:pPr>
          </w:p>
        </w:tc>
      </w:tr>
      <w:tr>
        <w:trPr>
          <w:trHeight w:val="242"/>
        </w:trPr>
        <w:tc>
          <w:tcPr>
            <w:tcW w:w="3900" w:type="dxa"/>
            <w:vAlign w:val="bottom"/>
            <w:tcBorders>
              <w:left w:val="single" w:sz="8" w:color="83AD40"/>
            </w:tcBorders>
          </w:tcPr>
          <w:p>
            <w:pPr>
              <w:ind w:left="40"/>
              <w:spacing w:after="0"/>
              <w:rPr>
                <w:sz w:val="20"/>
                <w:szCs w:val="20"/>
                <w:color w:val="auto"/>
              </w:rPr>
            </w:pPr>
            <w:r>
              <w:rPr>
                <w:rFonts w:ascii="Arial" w:cs="Arial" w:eastAsia="Arial" w:hAnsi="Arial"/>
                <w:sz w:val="14"/>
                <w:szCs w:val="14"/>
                <w:color w:val="auto"/>
              </w:rPr>
              <w:t>​ $118M of Originations</w:t>
            </w:r>
          </w:p>
        </w:tc>
        <w:tc>
          <w:tcPr>
            <w:tcW w:w="480" w:type="dxa"/>
            <w:vAlign w:val="bottom"/>
            <w:tcBorders>
              <w:right w:val="single" w:sz="8" w:color="83AD40"/>
            </w:tcBorders>
          </w:tcPr>
          <w:p>
            <w:pPr>
              <w:ind w:left="380"/>
              <w:spacing w:after="0"/>
              <w:rPr>
                <w:sz w:val="20"/>
                <w:szCs w:val="20"/>
                <w:color w:val="auto"/>
              </w:rPr>
            </w:pPr>
            <w:r>
              <w:rPr>
                <w:rFonts w:ascii="Arial" w:cs="Arial" w:eastAsia="Arial" w:hAnsi="Arial"/>
                <w:sz w:val="14"/>
                <w:szCs w:val="14"/>
                <w:color w:val="auto"/>
              </w:rPr>
              <w:t>​</w:t>
            </w:r>
          </w:p>
        </w:tc>
      </w:tr>
      <w:tr>
        <w:trPr>
          <w:trHeight w:val="35"/>
        </w:trPr>
        <w:tc>
          <w:tcPr>
            <w:tcW w:w="3900" w:type="dxa"/>
            <w:vAlign w:val="bottom"/>
            <w:tcBorders>
              <w:left w:val="single" w:sz="8" w:color="83AD40"/>
              <w:bottom w:val="single" w:sz="8" w:color="4B5088"/>
            </w:tcBorders>
          </w:tcPr>
          <w:p>
            <w:pPr>
              <w:spacing w:after="0"/>
              <w:rPr>
                <w:sz w:val="3"/>
                <w:szCs w:val="3"/>
                <w:color w:val="auto"/>
              </w:rPr>
            </w:pPr>
          </w:p>
        </w:tc>
        <w:tc>
          <w:tcPr>
            <w:tcW w:w="480" w:type="dxa"/>
            <w:vAlign w:val="bottom"/>
            <w:tcBorders>
              <w:bottom w:val="single" w:sz="8" w:color="4B5088"/>
              <w:right w:val="single" w:sz="8" w:color="83AD40"/>
            </w:tcBorders>
          </w:tcPr>
          <w:p>
            <w:pPr>
              <w:spacing w:after="0"/>
              <w:rPr>
                <w:sz w:val="3"/>
                <w:szCs w:val="3"/>
                <w:color w:val="auto"/>
              </w:rPr>
            </w:pPr>
          </w:p>
        </w:tc>
      </w:tr>
      <w:tr>
        <w:trPr>
          <w:trHeight w:val="242"/>
        </w:trPr>
        <w:tc>
          <w:tcPr>
            <w:tcW w:w="3900" w:type="dxa"/>
            <w:vAlign w:val="bottom"/>
            <w:tcBorders>
              <w:left w:val="single" w:sz="8" w:color="83AD40"/>
            </w:tcBorders>
          </w:tcPr>
          <w:p>
            <w:pPr>
              <w:ind w:left="40"/>
              <w:spacing w:after="0"/>
              <w:rPr>
                <w:sz w:val="20"/>
                <w:szCs w:val="20"/>
                <w:color w:val="auto"/>
              </w:rPr>
            </w:pPr>
            <w:r>
              <w:rPr>
                <w:rFonts w:ascii="Arial" w:cs="Arial" w:eastAsia="Arial" w:hAnsi="Arial"/>
                <w:sz w:val="14"/>
                <w:szCs w:val="14"/>
                <w:color w:val="auto"/>
              </w:rPr>
              <w:t>​ $746M of Strategic Dispositions</w:t>
            </w:r>
          </w:p>
        </w:tc>
        <w:tc>
          <w:tcPr>
            <w:tcW w:w="480" w:type="dxa"/>
            <w:vAlign w:val="bottom"/>
            <w:tcBorders>
              <w:right w:val="single" w:sz="8" w:color="83AD40"/>
            </w:tcBorders>
          </w:tcPr>
          <w:p>
            <w:pPr>
              <w:ind w:left="380"/>
              <w:spacing w:after="0"/>
              <w:rPr>
                <w:sz w:val="20"/>
                <w:szCs w:val="20"/>
                <w:color w:val="auto"/>
              </w:rPr>
            </w:pPr>
            <w:r>
              <w:rPr>
                <w:rFonts w:ascii="Arial" w:cs="Arial" w:eastAsia="Arial" w:hAnsi="Arial"/>
                <w:sz w:val="14"/>
                <w:szCs w:val="14"/>
                <w:color w:val="auto"/>
              </w:rPr>
              <w:t>​</w:t>
            </w:r>
          </w:p>
        </w:tc>
      </w:tr>
      <w:tr>
        <w:trPr>
          <w:trHeight w:val="35"/>
        </w:trPr>
        <w:tc>
          <w:tcPr>
            <w:tcW w:w="3900" w:type="dxa"/>
            <w:vAlign w:val="bottom"/>
            <w:tcBorders>
              <w:left w:val="single" w:sz="8" w:color="83AD40"/>
              <w:bottom w:val="single" w:sz="8" w:color="4B5088"/>
            </w:tcBorders>
          </w:tcPr>
          <w:p>
            <w:pPr>
              <w:spacing w:after="0"/>
              <w:rPr>
                <w:sz w:val="3"/>
                <w:szCs w:val="3"/>
                <w:color w:val="auto"/>
              </w:rPr>
            </w:pPr>
          </w:p>
        </w:tc>
        <w:tc>
          <w:tcPr>
            <w:tcW w:w="480" w:type="dxa"/>
            <w:vAlign w:val="bottom"/>
            <w:tcBorders>
              <w:bottom w:val="single" w:sz="8" w:color="4B5088"/>
              <w:right w:val="single" w:sz="8" w:color="83AD40"/>
            </w:tcBorders>
          </w:tcPr>
          <w:p>
            <w:pPr>
              <w:spacing w:after="0"/>
              <w:rPr>
                <w:sz w:val="3"/>
                <w:szCs w:val="3"/>
                <w:color w:val="auto"/>
              </w:rPr>
            </w:pPr>
          </w:p>
        </w:tc>
      </w:tr>
      <w:tr>
        <w:trPr>
          <w:trHeight w:val="242"/>
        </w:trPr>
        <w:tc>
          <w:tcPr>
            <w:tcW w:w="3900" w:type="dxa"/>
            <w:vAlign w:val="bottom"/>
            <w:tcBorders>
              <w:left w:val="single" w:sz="8" w:color="83AD40"/>
            </w:tcBorders>
          </w:tcPr>
          <w:p>
            <w:pPr>
              <w:ind w:left="40"/>
              <w:spacing w:after="0"/>
              <w:rPr>
                <w:sz w:val="20"/>
                <w:szCs w:val="20"/>
                <w:color w:val="auto"/>
              </w:rPr>
            </w:pPr>
            <w:r>
              <w:rPr>
                <w:rFonts w:ascii="Arial" w:cs="Arial" w:eastAsia="Arial" w:hAnsi="Arial"/>
                <w:sz w:val="14"/>
                <w:szCs w:val="14"/>
                <w:color w:val="auto"/>
              </w:rPr>
              <w:t>​ 66.6% Leased</w:t>
            </w:r>
          </w:p>
        </w:tc>
        <w:tc>
          <w:tcPr>
            <w:tcW w:w="480" w:type="dxa"/>
            <w:vAlign w:val="bottom"/>
            <w:tcBorders>
              <w:right w:val="single" w:sz="8" w:color="83AD40"/>
            </w:tcBorders>
          </w:tcPr>
          <w:p>
            <w:pPr>
              <w:ind w:left="380"/>
              <w:spacing w:after="0"/>
              <w:rPr>
                <w:sz w:val="20"/>
                <w:szCs w:val="20"/>
                <w:color w:val="auto"/>
              </w:rPr>
            </w:pPr>
            <w:r>
              <w:rPr>
                <w:rFonts w:ascii="Arial" w:cs="Arial" w:eastAsia="Arial" w:hAnsi="Arial"/>
                <w:sz w:val="14"/>
                <w:szCs w:val="14"/>
                <w:color w:val="auto"/>
              </w:rPr>
              <w:t>​</w:t>
            </w:r>
          </w:p>
        </w:tc>
      </w:tr>
      <w:tr>
        <w:trPr>
          <w:trHeight w:val="35"/>
        </w:trPr>
        <w:tc>
          <w:tcPr>
            <w:tcW w:w="3900" w:type="dxa"/>
            <w:vAlign w:val="bottom"/>
            <w:tcBorders>
              <w:left w:val="single" w:sz="8" w:color="83AD40"/>
              <w:bottom w:val="single" w:sz="8" w:color="4B5088"/>
            </w:tcBorders>
          </w:tcPr>
          <w:p>
            <w:pPr>
              <w:spacing w:after="0"/>
              <w:rPr>
                <w:sz w:val="3"/>
                <w:szCs w:val="3"/>
                <w:color w:val="auto"/>
              </w:rPr>
            </w:pPr>
          </w:p>
        </w:tc>
        <w:tc>
          <w:tcPr>
            <w:tcW w:w="480" w:type="dxa"/>
            <w:vAlign w:val="bottom"/>
            <w:tcBorders>
              <w:bottom w:val="single" w:sz="8" w:color="4B5088"/>
              <w:right w:val="single" w:sz="8" w:color="83AD40"/>
            </w:tcBorders>
          </w:tcPr>
          <w:p>
            <w:pPr>
              <w:spacing w:after="0"/>
              <w:rPr>
                <w:sz w:val="3"/>
                <w:szCs w:val="3"/>
                <w:color w:val="auto"/>
              </w:rPr>
            </w:pPr>
          </w:p>
        </w:tc>
      </w:tr>
      <w:tr>
        <w:trPr>
          <w:trHeight w:val="255"/>
        </w:trPr>
        <w:tc>
          <w:tcPr>
            <w:tcW w:w="3900" w:type="dxa"/>
            <w:vAlign w:val="bottom"/>
            <w:tcBorders>
              <w:left w:val="single" w:sz="8" w:color="83AD40"/>
            </w:tcBorders>
          </w:tcPr>
          <w:p>
            <w:pPr>
              <w:ind w:left="40"/>
              <w:spacing w:after="0"/>
              <w:rPr>
                <w:sz w:val="20"/>
                <w:szCs w:val="20"/>
                <w:color w:val="auto"/>
              </w:rPr>
            </w:pPr>
            <w:r>
              <w:rPr>
                <w:rFonts w:ascii="Arial" w:cs="Arial" w:eastAsia="Arial" w:hAnsi="Arial"/>
                <w:sz w:val="14"/>
                <w:szCs w:val="14"/>
                <w:color w:val="auto"/>
              </w:rPr>
              <w:t>​ 100% Sold</w:t>
            </w:r>
          </w:p>
        </w:tc>
        <w:tc>
          <w:tcPr>
            <w:tcW w:w="480" w:type="dxa"/>
            <w:vAlign w:val="bottom"/>
            <w:tcBorders>
              <w:right w:val="single" w:sz="8" w:color="83AD40"/>
            </w:tcBorders>
          </w:tcPr>
          <w:p>
            <w:pPr>
              <w:ind w:left="380"/>
              <w:spacing w:after="0"/>
              <w:rPr>
                <w:sz w:val="20"/>
                <w:szCs w:val="20"/>
                <w:color w:val="auto"/>
              </w:rPr>
            </w:pPr>
            <w:r>
              <w:rPr>
                <w:rFonts w:ascii="Arial" w:cs="Arial" w:eastAsia="Arial" w:hAnsi="Arial"/>
                <w:sz w:val="14"/>
                <w:szCs w:val="14"/>
                <w:color w:val="auto"/>
              </w:rPr>
              <w:t>​</w:t>
            </w:r>
          </w:p>
        </w:tc>
      </w:tr>
      <w:tr>
        <w:trPr>
          <w:trHeight w:val="49"/>
        </w:trPr>
        <w:tc>
          <w:tcPr>
            <w:tcW w:w="3900" w:type="dxa"/>
            <w:vAlign w:val="bottom"/>
            <w:tcBorders>
              <w:left w:val="single" w:sz="8" w:color="83AD40"/>
              <w:bottom w:val="single" w:sz="8" w:color="4B5088"/>
            </w:tcBorders>
          </w:tcPr>
          <w:p>
            <w:pPr>
              <w:spacing w:after="0"/>
              <w:rPr>
                <w:sz w:val="4"/>
                <w:szCs w:val="4"/>
                <w:color w:val="auto"/>
              </w:rPr>
            </w:pPr>
          </w:p>
        </w:tc>
        <w:tc>
          <w:tcPr>
            <w:tcW w:w="480" w:type="dxa"/>
            <w:vAlign w:val="bottom"/>
            <w:tcBorders>
              <w:bottom w:val="single" w:sz="8" w:color="4B5088"/>
              <w:right w:val="single" w:sz="8" w:color="83AD40"/>
            </w:tcBorders>
          </w:tcPr>
          <w:p>
            <w:pPr>
              <w:spacing w:after="0"/>
              <w:rPr>
                <w:sz w:val="4"/>
                <w:szCs w:val="4"/>
                <w:color w:val="auto"/>
              </w:rPr>
            </w:pPr>
          </w:p>
        </w:tc>
      </w:tr>
      <w:tr>
        <w:trPr>
          <w:trHeight w:val="242"/>
        </w:trPr>
        <w:tc>
          <w:tcPr>
            <w:tcW w:w="3900" w:type="dxa"/>
            <w:vAlign w:val="bottom"/>
            <w:tcBorders>
              <w:left w:val="single" w:sz="8" w:color="83AD40"/>
            </w:tcBorders>
          </w:tcPr>
          <w:p>
            <w:pPr>
              <w:ind w:left="40"/>
              <w:spacing w:after="0"/>
              <w:rPr>
                <w:sz w:val="20"/>
                <w:szCs w:val="20"/>
                <w:color w:val="auto"/>
              </w:rPr>
            </w:pPr>
            <w:r>
              <w:rPr>
                <w:rFonts w:ascii="Arial" w:cs="Arial" w:eastAsia="Arial" w:hAnsi="Arial"/>
                <w:sz w:val="14"/>
                <w:szCs w:val="14"/>
                <w:color w:val="auto"/>
              </w:rPr>
              <w:t>​ Sale Deferred</w:t>
            </w:r>
          </w:p>
        </w:tc>
        <w:tc>
          <w:tcPr>
            <w:tcW w:w="480" w:type="dxa"/>
            <w:vAlign w:val="bottom"/>
            <w:tcBorders>
              <w:right w:val="single" w:sz="8" w:color="83AD40"/>
            </w:tcBorders>
          </w:tcPr>
          <w:p>
            <w:pPr>
              <w:ind w:left="380"/>
              <w:spacing w:after="0"/>
              <w:rPr>
                <w:sz w:val="20"/>
                <w:szCs w:val="20"/>
                <w:color w:val="auto"/>
              </w:rPr>
            </w:pPr>
            <w:r>
              <w:rPr>
                <w:rFonts w:ascii="Arial" w:cs="Arial" w:eastAsia="Arial" w:hAnsi="Arial"/>
                <w:sz w:val="14"/>
                <w:szCs w:val="14"/>
                <w:color w:val="auto"/>
              </w:rPr>
              <w:t>​</w:t>
            </w:r>
          </w:p>
        </w:tc>
      </w:tr>
      <w:tr>
        <w:trPr>
          <w:trHeight w:val="35"/>
        </w:trPr>
        <w:tc>
          <w:tcPr>
            <w:tcW w:w="3900" w:type="dxa"/>
            <w:vAlign w:val="bottom"/>
            <w:tcBorders>
              <w:left w:val="single" w:sz="8" w:color="83AD40"/>
              <w:bottom w:val="single" w:sz="8" w:color="4B5088"/>
            </w:tcBorders>
          </w:tcPr>
          <w:p>
            <w:pPr>
              <w:spacing w:after="0"/>
              <w:rPr>
                <w:sz w:val="3"/>
                <w:szCs w:val="3"/>
                <w:color w:val="auto"/>
              </w:rPr>
            </w:pPr>
          </w:p>
        </w:tc>
        <w:tc>
          <w:tcPr>
            <w:tcW w:w="480" w:type="dxa"/>
            <w:vAlign w:val="bottom"/>
            <w:tcBorders>
              <w:bottom w:val="single" w:sz="8" w:color="4B5088"/>
              <w:right w:val="single" w:sz="8" w:color="83AD40"/>
            </w:tcBorders>
          </w:tcPr>
          <w:p>
            <w:pPr>
              <w:spacing w:after="0"/>
              <w:rPr>
                <w:sz w:val="3"/>
                <w:szCs w:val="3"/>
                <w:color w:val="auto"/>
              </w:rPr>
            </w:pPr>
          </w:p>
        </w:tc>
      </w:tr>
      <w:tr>
        <w:trPr>
          <w:trHeight w:val="255"/>
        </w:trPr>
        <w:tc>
          <w:tcPr>
            <w:tcW w:w="3900" w:type="dxa"/>
            <w:vAlign w:val="bottom"/>
            <w:tcBorders>
              <w:left w:val="single" w:sz="8" w:color="83AD40"/>
            </w:tcBorders>
          </w:tcPr>
          <w:p>
            <w:pPr>
              <w:ind w:left="40"/>
              <w:spacing w:after="0"/>
              <w:rPr>
                <w:sz w:val="20"/>
                <w:szCs w:val="20"/>
                <w:color w:val="auto"/>
              </w:rPr>
            </w:pPr>
            <w:r>
              <w:rPr>
                <w:rFonts w:ascii="Arial" w:cs="Arial" w:eastAsia="Arial" w:hAnsi="Arial"/>
                <w:sz w:val="14"/>
                <w:szCs w:val="14"/>
                <w:color w:val="auto"/>
              </w:rPr>
              <w:t>​ Launched</w:t>
            </w:r>
          </w:p>
        </w:tc>
        <w:tc>
          <w:tcPr>
            <w:tcW w:w="480" w:type="dxa"/>
            <w:vAlign w:val="bottom"/>
            <w:tcBorders>
              <w:right w:val="single" w:sz="8" w:color="83AD40"/>
            </w:tcBorders>
          </w:tcPr>
          <w:p>
            <w:pPr>
              <w:ind w:left="380"/>
              <w:spacing w:after="0"/>
              <w:rPr>
                <w:sz w:val="20"/>
                <w:szCs w:val="20"/>
                <w:color w:val="auto"/>
              </w:rPr>
            </w:pPr>
            <w:r>
              <w:rPr>
                <w:rFonts w:ascii="Arial" w:cs="Arial" w:eastAsia="Arial" w:hAnsi="Arial"/>
                <w:sz w:val="14"/>
                <w:szCs w:val="14"/>
                <w:color w:val="auto"/>
              </w:rPr>
              <w:t>​</w:t>
            </w:r>
          </w:p>
        </w:tc>
      </w:tr>
      <w:tr>
        <w:trPr>
          <w:trHeight w:val="49"/>
        </w:trPr>
        <w:tc>
          <w:tcPr>
            <w:tcW w:w="3900" w:type="dxa"/>
            <w:vAlign w:val="bottom"/>
            <w:tcBorders>
              <w:left w:val="single" w:sz="8" w:color="83AD40"/>
              <w:bottom w:val="single" w:sz="8" w:color="4B5088"/>
            </w:tcBorders>
          </w:tcPr>
          <w:p>
            <w:pPr>
              <w:spacing w:after="0"/>
              <w:rPr>
                <w:sz w:val="4"/>
                <w:szCs w:val="4"/>
                <w:color w:val="auto"/>
              </w:rPr>
            </w:pPr>
          </w:p>
        </w:tc>
        <w:tc>
          <w:tcPr>
            <w:tcW w:w="480" w:type="dxa"/>
            <w:vAlign w:val="bottom"/>
            <w:tcBorders>
              <w:bottom w:val="single" w:sz="8" w:color="4B5088"/>
              <w:right w:val="single" w:sz="8" w:color="83AD40"/>
            </w:tcBorders>
          </w:tcPr>
          <w:p>
            <w:pPr>
              <w:spacing w:after="0"/>
              <w:rPr>
                <w:sz w:val="4"/>
                <w:szCs w:val="4"/>
                <w:color w:val="auto"/>
              </w:rPr>
            </w:pPr>
          </w:p>
        </w:tc>
      </w:tr>
      <w:tr>
        <w:trPr>
          <w:trHeight w:val="242"/>
        </w:trPr>
        <w:tc>
          <w:tcPr>
            <w:tcW w:w="3900" w:type="dxa"/>
            <w:vAlign w:val="bottom"/>
            <w:tcBorders>
              <w:left w:val="single" w:sz="8" w:color="83AD40"/>
            </w:tcBorders>
          </w:tcPr>
          <w:p>
            <w:pPr>
              <w:ind w:left="40"/>
              <w:spacing w:after="0"/>
              <w:rPr>
                <w:sz w:val="20"/>
                <w:szCs w:val="20"/>
                <w:color w:val="auto"/>
              </w:rPr>
            </w:pPr>
            <w:r>
              <w:rPr>
                <w:rFonts w:ascii="Arial" w:cs="Arial" w:eastAsia="Arial" w:hAnsi="Arial"/>
                <w:sz w:val="14"/>
                <w:szCs w:val="14"/>
                <w:color w:val="auto"/>
              </w:rPr>
              <w:t>​ Delayed to 2025</w:t>
            </w:r>
          </w:p>
        </w:tc>
        <w:tc>
          <w:tcPr>
            <w:tcW w:w="480" w:type="dxa"/>
            <w:vAlign w:val="bottom"/>
            <w:tcBorders>
              <w:right w:val="single" w:sz="8" w:color="83AD40"/>
            </w:tcBorders>
          </w:tcPr>
          <w:p>
            <w:pPr>
              <w:ind w:left="380"/>
              <w:spacing w:after="0"/>
              <w:rPr>
                <w:sz w:val="20"/>
                <w:szCs w:val="20"/>
                <w:color w:val="auto"/>
              </w:rPr>
            </w:pPr>
            <w:r>
              <w:rPr>
                <w:rFonts w:ascii="Arial" w:cs="Arial" w:eastAsia="Arial" w:hAnsi="Arial"/>
                <w:sz w:val="14"/>
                <w:szCs w:val="14"/>
                <w:color w:val="auto"/>
              </w:rPr>
              <w:t>​</w:t>
            </w:r>
          </w:p>
        </w:tc>
      </w:tr>
      <w:tr>
        <w:trPr>
          <w:trHeight w:val="35"/>
        </w:trPr>
        <w:tc>
          <w:tcPr>
            <w:tcW w:w="3900" w:type="dxa"/>
            <w:vAlign w:val="bottom"/>
            <w:tcBorders>
              <w:left w:val="single" w:sz="8" w:color="83AD40"/>
              <w:bottom w:val="single" w:sz="8" w:color="4B5088"/>
            </w:tcBorders>
          </w:tcPr>
          <w:p>
            <w:pPr>
              <w:spacing w:after="0"/>
              <w:rPr>
                <w:sz w:val="3"/>
                <w:szCs w:val="3"/>
                <w:color w:val="auto"/>
              </w:rPr>
            </w:pPr>
          </w:p>
        </w:tc>
        <w:tc>
          <w:tcPr>
            <w:tcW w:w="480" w:type="dxa"/>
            <w:vAlign w:val="bottom"/>
            <w:tcBorders>
              <w:bottom w:val="single" w:sz="8" w:color="4B5088"/>
              <w:right w:val="single" w:sz="8" w:color="83AD40"/>
            </w:tcBorders>
          </w:tcPr>
          <w:p>
            <w:pPr>
              <w:spacing w:after="0"/>
              <w:rPr>
                <w:sz w:val="3"/>
                <w:szCs w:val="3"/>
                <w:color w:val="auto"/>
              </w:rPr>
            </w:pPr>
          </w:p>
        </w:tc>
      </w:tr>
      <w:tr>
        <w:trPr>
          <w:trHeight w:val="242"/>
        </w:trPr>
        <w:tc>
          <w:tcPr>
            <w:tcW w:w="3900" w:type="dxa"/>
            <w:vAlign w:val="bottom"/>
            <w:tcBorders>
              <w:left w:val="single" w:sz="8" w:color="83AD40"/>
            </w:tcBorders>
          </w:tcPr>
          <w:p>
            <w:pPr>
              <w:ind w:left="40"/>
              <w:spacing w:after="0"/>
              <w:rPr>
                <w:sz w:val="20"/>
                <w:szCs w:val="20"/>
                <w:color w:val="auto"/>
              </w:rPr>
            </w:pPr>
            <w:r>
              <w:rPr>
                <w:rFonts w:ascii="Arial" w:cs="Arial" w:eastAsia="Arial" w:hAnsi="Arial"/>
                <w:sz w:val="14"/>
                <w:szCs w:val="14"/>
                <w:color w:val="auto"/>
              </w:rPr>
              <w:t>​ Announced SUMMIT Paris, Second Location Delayed</w:t>
            </w:r>
          </w:p>
        </w:tc>
        <w:tc>
          <w:tcPr>
            <w:tcW w:w="480" w:type="dxa"/>
            <w:vAlign w:val="bottom"/>
            <w:tcBorders>
              <w:right w:val="single" w:sz="8" w:color="83AD40"/>
            </w:tcBorders>
          </w:tcPr>
          <w:p>
            <w:pPr>
              <w:ind w:left="380"/>
              <w:spacing w:after="0"/>
              <w:rPr>
                <w:sz w:val="20"/>
                <w:szCs w:val="20"/>
                <w:color w:val="auto"/>
              </w:rPr>
            </w:pPr>
            <w:r>
              <w:rPr>
                <w:rFonts w:ascii="Arial" w:cs="Arial" w:eastAsia="Arial" w:hAnsi="Arial"/>
                <w:sz w:val="14"/>
                <w:szCs w:val="14"/>
                <w:color w:val="auto"/>
              </w:rPr>
              <w:t>​</w:t>
            </w:r>
          </w:p>
        </w:tc>
      </w:tr>
      <w:tr>
        <w:trPr>
          <w:trHeight w:val="35"/>
        </w:trPr>
        <w:tc>
          <w:tcPr>
            <w:tcW w:w="3900" w:type="dxa"/>
            <w:vAlign w:val="bottom"/>
            <w:tcBorders>
              <w:left w:val="single" w:sz="8" w:color="83AD40"/>
              <w:bottom w:val="single" w:sz="8" w:color="4B5088"/>
            </w:tcBorders>
          </w:tcPr>
          <w:p>
            <w:pPr>
              <w:spacing w:after="0"/>
              <w:rPr>
                <w:sz w:val="3"/>
                <w:szCs w:val="3"/>
                <w:color w:val="auto"/>
              </w:rPr>
            </w:pPr>
          </w:p>
        </w:tc>
        <w:tc>
          <w:tcPr>
            <w:tcW w:w="480" w:type="dxa"/>
            <w:vAlign w:val="bottom"/>
            <w:tcBorders>
              <w:bottom w:val="single" w:sz="8" w:color="4B5088"/>
              <w:right w:val="single" w:sz="8" w:color="83AD40"/>
            </w:tcBorders>
          </w:tcPr>
          <w:p>
            <w:pPr>
              <w:spacing w:after="0"/>
              <w:rPr>
                <w:sz w:val="3"/>
                <w:szCs w:val="3"/>
                <w:color w:val="auto"/>
              </w:rPr>
            </w:pPr>
          </w:p>
        </w:tc>
      </w:tr>
      <w:tr>
        <w:trPr>
          <w:trHeight w:val="298"/>
        </w:trPr>
        <w:tc>
          <w:tcPr>
            <w:tcW w:w="3900" w:type="dxa"/>
            <w:vAlign w:val="bottom"/>
            <w:tcBorders>
              <w:left w:val="single" w:sz="8" w:color="83AD40"/>
              <w:bottom w:val="single" w:sz="8" w:color="4B5088"/>
            </w:tcBorders>
          </w:tcPr>
          <w:p>
            <w:pPr>
              <w:ind w:left="40"/>
              <w:spacing w:after="0"/>
              <w:rPr>
                <w:sz w:val="20"/>
                <w:szCs w:val="20"/>
                <w:color w:val="auto"/>
              </w:rPr>
            </w:pPr>
            <w:r>
              <w:rPr>
                <w:rFonts w:ascii="Arial" w:cs="Arial" w:eastAsia="Arial" w:hAnsi="Arial"/>
                <w:sz w:val="14"/>
                <w:szCs w:val="14"/>
                <w:color w:val="auto"/>
              </w:rPr>
              <w:t>​ Same Store Cash NOI</w:t>
            </w:r>
            <w:r>
              <w:rPr>
                <w:rFonts w:ascii="Arial" w:cs="Arial" w:eastAsia="Arial" w:hAnsi="Arial"/>
                <w:sz w:val="17"/>
                <w:szCs w:val="17"/>
                <w:color w:val="auto"/>
                <w:vertAlign w:val="superscript"/>
              </w:rPr>
              <w:t>(2)</w:t>
            </w:r>
            <w:r>
              <w:rPr>
                <w:rFonts w:ascii="Arial" w:cs="Arial" w:eastAsia="Arial" w:hAnsi="Arial"/>
                <w:sz w:val="14"/>
                <w:szCs w:val="14"/>
                <w:color w:val="auto"/>
              </w:rPr>
              <w:t xml:space="preserve"> of (1.2%)</w:t>
            </w:r>
          </w:p>
        </w:tc>
        <w:tc>
          <w:tcPr>
            <w:tcW w:w="480" w:type="dxa"/>
            <w:vAlign w:val="bottom"/>
            <w:tcBorders>
              <w:bottom w:val="single" w:sz="8" w:color="4B5088"/>
              <w:right w:val="single" w:sz="8" w:color="83AD40"/>
            </w:tcBorders>
          </w:tcPr>
          <w:p>
            <w:pPr>
              <w:ind w:left="380"/>
              <w:spacing w:after="0"/>
              <w:rPr>
                <w:sz w:val="20"/>
                <w:szCs w:val="20"/>
                <w:color w:val="auto"/>
              </w:rPr>
            </w:pPr>
            <w:r>
              <w:rPr>
                <w:rFonts w:ascii="Arial" w:cs="Arial" w:eastAsia="Arial" w:hAnsi="Arial"/>
                <w:sz w:val="14"/>
                <w:szCs w:val="14"/>
                <w:color w:val="auto"/>
              </w:rPr>
              <w:t>​</w:t>
            </w:r>
          </w:p>
        </w:tc>
      </w:tr>
      <w:tr>
        <w:trPr>
          <w:trHeight w:val="261"/>
        </w:trPr>
        <w:tc>
          <w:tcPr>
            <w:tcW w:w="3900" w:type="dxa"/>
            <w:vAlign w:val="bottom"/>
            <w:tcBorders>
              <w:left w:val="single" w:sz="8" w:color="83AD40"/>
            </w:tcBorders>
          </w:tcPr>
          <w:p>
            <w:pPr>
              <w:ind w:left="40"/>
              <w:spacing w:after="0"/>
              <w:rPr>
                <w:sz w:val="20"/>
                <w:szCs w:val="20"/>
                <w:color w:val="auto"/>
              </w:rPr>
            </w:pPr>
            <w:r>
              <w:rPr>
                <w:rFonts w:ascii="Arial" w:cs="Arial" w:eastAsia="Arial" w:hAnsi="Arial"/>
                <w:sz w:val="14"/>
                <w:szCs w:val="14"/>
                <w:color w:val="auto"/>
              </w:rPr>
              <w:t>​ Reduced Debt by $1.4B</w:t>
            </w:r>
          </w:p>
        </w:tc>
        <w:tc>
          <w:tcPr>
            <w:tcW w:w="480" w:type="dxa"/>
            <w:vAlign w:val="bottom"/>
            <w:tcBorders>
              <w:right w:val="single" w:sz="8" w:color="83AD40"/>
            </w:tcBorders>
          </w:tcPr>
          <w:p>
            <w:pPr>
              <w:ind w:left="380"/>
              <w:spacing w:after="0"/>
              <w:rPr>
                <w:sz w:val="20"/>
                <w:szCs w:val="20"/>
                <w:color w:val="auto"/>
              </w:rPr>
            </w:pPr>
            <w:r>
              <w:rPr>
                <w:rFonts w:ascii="Arial" w:cs="Arial" w:eastAsia="Arial" w:hAnsi="Arial"/>
                <w:sz w:val="14"/>
                <w:szCs w:val="14"/>
                <w:color w:val="auto"/>
              </w:rPr>
              <w:t>​</w:t>
            </w:r>
          </w:p>
        </w:tc>
      </w:tr>
      <w:tr>
        <w:trPr>
          <w:trHeight w:val="49"/>
        </w:trPr>
        <w:tc>
          <w:tcPr>
            <w:tcW w:w="4380" w:type="dxa"/>
            <w:vAlign w:val="bottom"/>
            <w:tcBorders>
              <w:left w:val="single" w:sz="8" w:color="83AD40"/>
              <w:bottom w:val="single" w:sz="8" w:color="4B5088"/>
              <w:right w:val="single" w:sz="8" w:color="83AD40"/>
            </w:tcBorders>
            <w:gridSpan w:val="2"/>
          </w:tcPr>
          <w:p>
            <w:pPr>
              <w:spacing w:after="0"/>
              <w:rPr>
                <w:sz w:val="4"/>
                <w:szCs w:val="4"/>
                <w:color w:val="auto"/>
              </w:rPr>
            </w:pPr>
          </w:p>
        </w:tc>
      </w:tr>
      <w:tr>
        <w:trPr>
          <w:trHeight w:val="269"/>
        </w:trPr>
        <w:tc>
          <w:tcPr>
            <w:tcW w:w="4380" w:type="dxa"/>
            <w:vAlign w:val="bottom"/>
            <w:tcBorders>
              <w:left w:val="single" w:sz="8" w:color="83AD40"/>
              <w:right w:val="single" w:sz="8" w:color="83AD40"/>
            </w:tcBorders>
            <w:gridSpan w:val="2"/>
          </w:tcPr>
          <w:p>
            <w:pPr>
              <w:ind w:left="40"/>
              <w:spacing w:after="0"/>
              <w:rPr>
                <w:sz w:val="20"/>
                <w:szCs w:val="20"/>
                <w:color w:val="auto"/>
              </w:rPr>
            </w:pPr>
            <w:r>
              <w:rPr>
                <w:rFonts w:ascii="Arial" w:cs="Arial" w:eastAsia="Arial" w:hAnsi="Arial"/>
                <w:sz w:val="14"/>
                <w:szCs w:val="14"/>
                <w:color w:val="auto"/>
              </w:rPr>
              <w:t>​ Achieved $5.2B of Debt Extensions, Modifications &amp; Refinancings ​</w:t>
            </w:r>
          </w:p>
        </w:tc>
      </w:tr>
      <w:tr>
        <w:trPr>
          <w:trHeight w:val="76"/>
        </w:trPr>
        <w:tc>
          <w:tcPr>
            <w:tcW w:w="3900" w:type="dxa"/>
            <w:vAlign w:val="bottom"/>
            <w:tcBorders>
              <w:left w:val="single" w:sz="8" w:color="83AD40"/>
              <w:bottom w:val="single" w:sz="8" w:color="4B5088"/>
            </w:tcBorders>
          </w:tcPr>
          <w:p>
            <w:pPr>
              <w:spacing w:after="0"/>
              <w:rPr>
                <w:sz w:val="6"/>
                <w:szCs w:val="6"/>
                <w:color w:val="auto"/>
              </w:rPr>
            </w:pPr>
          </w:p>
        </w:tc>
        <w:tc>
          <w:tcPr>
            <w:tcW w:w="480" w:type="dxa"/>
            <w:vAlign w:val="bottom"/>
            <w:tcBorders>
              <w:bottom w:val="single" w:sz="8" w:color="4B5088"/>
              <w:right w:val="single" w:sz="8" w:color="83AD40"/>
            </w:tcBorders>
          </w:tcPr>
          <w:p>
            <w:pPr>
              <w:spacing w:after="0"/>
              <w:rPr>
                <w:sz w:val="6"/>
                <w:szCs w:val="6"/>
                <w:color w:val="auto"/>
              </w:rPr>
            </w:pPr>
          </w:p>
        </w:tc>
      </w:tr>
      <w:tr>
        <w:trPr>
          <w:trHeight w:val="255"/>
        </w:trPr>
        <w:tc>
          <w:tcPr>
            <w:tcW w:w="3900" w:type="dxa"/>
            <w:vAlign w:val="bottom"/>
            <w:tcBorders>
              <w:left w:val="single" w:sz="8" w:color="83AD40"/>
            </w:tcBorders>
          </w:tcPr>
          <w:p>
            <w:pPr>
              <w:ind w:left="40"/>
              <w:spacing w:after="0"/>
              <w:rPr>
                <w:sz w:val="20"/>
                <w:szCs w:val="20"/>
                <w:color w:val="auto"/>
              </w:rPr>
            </w:pPr>
            <w:r>
              <w:rPr>
                <w:rFonts w:ascii="Arial" w:cs="Arial" w:eastAsia="Arial" w:hAnsi="Arial"/>
                <w:sz w:val="14"/>
                <w:szCs w:val="14"/>
                <w:color w:val="auto"/>
              </w:rPr>
              <w:t>​ Achieved $216M of Discounted Debt Gain</w:t>
            </w:r>
          </w:p>
        </w:tc>
        <w:tc>
          <w:tcPr>
            <w:tcW w:w="480" w:type="dxa"/>
            <w:vAlign w:val="bottom"/>
            <w:tcBorders>
              <w:right w:val="single" w:sz="8" w:color="83AD40"/>
            </w:tcBorders>
          </w:tcPr>
          <w:p>
            <w:pPr>
              <w:ind w:left="380"/>
              <w:spacing w:after="0"/>
              <w:rPr>
                <w:sz w:val="20"/>
                <w:szCs w:val="20"/>
                <w:color w:val="auto"/>
              </w:rPr>
            </w:pPr>
            <w:r>
              <w:rPr>
                <w:rFonts w:ascii="Arial" w:cs="Arial" w:eastAsia="Arial" w:hAnsi="Arial"/>
                <w:sz w:val="14"/>
                <w:szCs w:val="14"/>
                <w:color w:val="auto"/>
              </w:rPr>
              <w:t>​</w:t>
            </w:r>
          </w:p>
        </w:tc>
      </w:tr>
      <w:tr>
        <w:trPr>
          <w:trHeight w:val="49"/>
        </w:trPr>
        <w:tc>
          <w:tcPr>
            <w:tcW w:w="3900" w:type="dxa"/>
            <w:vAlign w:val="bottom"/>
            <w:tcBorders>
              <w:left w:val="single" w:sz="8" w:color="83AD40"/>
              <w:bottom w:val="single" w:sz="8" w:color="4B5088"/>
            </w:tcBorders>
          </w:tcPr>
          <w:p>
            <w:pPr>
              <w:spacing w:after="0"/>
              <w:rPr>
                <w:sz w:val="4"/>
                <w:szCs w:val="4"/>
                <w:color w:val="auto"/>
              </w:rPr>
            </w:pPr>
          </w:p>
        </w:tc>
        <w:tc>
          <w:tcPr>
            <w:tcW w:w="480" w:type="dxa"/>
            <w:vAlign w:val="bottom"/>
            <w:tcBorders>
              <w:bottom w:val="single" w:sz="8" w:color="4B5088"/>
              <w:right w:val="single" w:sz="8" w:color="83AD40"/>
            </w:tcBorders>
          </w:tcPr>
          <w:p>
            <w:pPr>
              <w:spacing w:after="0"/>
              <w:rPr>
                <w:sz w:val="4"/>
                <w:szCs w:val="4"/>
                <w:color w:val="auto"/>
              </w:rPr>
            </w:pPr>
          </w:p>
        </w:tc>
      </w:tr>
      <w:tr>
        <w:trPr>
          <w:trHeight w:val="314"/>
        </w:trPr>
        <w:tc>
          <w:tcPr>
            <w:tcW w:w="3900" w:type="dxa"/>
            <w:vAlign w:val="bottom"/>
            <w:tcBorders>
              <w:left w:val="single" w:sz="8" w:color="83AD40"/>
              <w:bottom w:val="single" w:sz="8" w:color="4B5088"/>
            </w:tcBorders>
          </w:tcPr>
          <w:p>
            <w:pPr>
              <w:ind w:left="40"/>
              <w:spacing w:after="0"/>
              <w:rPr>
                <w:sz w:val="20"/>
                <w:szCs w:val="20"/>
                <w:color w:val="auto"/>
              </w:rPr>
            </w:pPr>
            <w:r>
              <w:rPr>
                <w:rFonts w:ascii="Arial" w:cs="Arial" w:eastAsia="Arial" w:hAnsi="Arial"/>
                <w:sz w:val="14"/>
                <w:szCs w:val="14"/>
                <w:color w:val="auto"/>
              </w:rPr>
              <w:t>​ Reduced Short Interest to 9.8%</w:t>
            </w:r>
            <w:r>
              <w:rPr>
                <w:rFonts w:ascii="Arial" w:cs="Arial" w:eastAsia="Arial" w:hAnsi="Arial"/>
                <w:sz w:val="17"/>
                <w:szCs w:val="17"/>
                <w:b w:val="1"/>
                <w:bCs w:val="1"/>
                <w:color w:val="auto"/>
                <w:vertAlign w:val="superscript"/>
              </w:rPr>
              <w:t>(1)</w:t>
            </w:r>
          </w:p>
        </w:tc>
        <w:tc>
          <w:tcPr>
            <w:tcW w:w="480" w:type="dxa"/>
            <w:vAlign w:val="bottom"/>
            <w:tcBorders>
              <w:bottom w:val="single" w:sz="8" w:color="4B5088"/>
              <w:right w:val="single" w:sz="8" w:color="83AD40"/>
            </w:tcBorders>
          </w:tcPr>
          <w:p>
            <w:pPr>
              <w:ind w:left="380"/>
              <w:spacing w:after="0"/>
              <w:rPr>
                <w:sz w:val="20"/>
                <w:szCs w:val="20"/>
                <w:color w:val="auto"/>
              </w:rPr>
            </w:pPr>
            <w:r>
              <w:rPr>
                <w:rFonts w:ascii="Arial" w:cs="Arial" w:eastAsia="Arial" w:hAnsi="Arial"/>
                <w:sz w:val="14"/>
                <w:szCs w:val="14"/>
                <w:color w:val="auto"/>
              </w:rPr>
              <w:t>​</w:t>
            </w:r>
          </w:p>
        </w:tc>
      </w:tr>
      <w:tr>
        <w:trPr>
          <w:trHeight w:val="318"/>
        </w:trPr>
        <w:tc>
          <w:tcPr>
            <w:tcW w:w="3900" w:type="dxa"/>
            <w:vAlign w:val="bottom"/>
            <w:tcBorders>
              <w:left w:val="single" w:sz="8" w:color="83AD40"/>
              <w:bottom w:val="single" w:sz="8" w:color="4B5088"/>
            </w:tcBorders>
          </w:tcPr>
          <w:p>
            <w:pPr>
              <w:ind w:left="40"/>
              <w:spacing w:after="0"/>
              <w:rPr>
                <w:sz w:val="20"/>
                <w:szCs w:val="20"/>
                <w:color w:val="auto"/>
              </w:rPr>
            </w:pPr>
            <w:r>
              <w:rPr>
                <w:rFonts w:ascii="Arial" w:cs="Arial" w:eastAsia="Arial" w:hAnsi="Arial"/>
                <w:sz w:val="14"/>
                <w:szCs w:val="14"/>
                <w:color w:val="auto"/>
              </w:rPr>
              <w:t>​ TSR Performance of 58%</w:t>
            </w:r>
            <w:r>
              <w:rPr>
                <w:rFonts w:ascii="Arial" w:cs="Arial" w:eastAsia="Arial" w:hAnsi="Arial"/>
                <w:sz w:val="17"/>
                <w:szCs w:val="17"/>
                <w:b w:val="1"/>
                <w:bCs w:val="1"/>
                <w:color w:val="auto"/>
                <w:vertAlign w:val="superscript"/>
              </w:rPr>
              <w:t>(1)</w:t>
            </w:r>
          </w:p>
        </w:tc>
        <w:tc>
          <w:tcPr>
            <w:tcW w:w="480" w:type="dxa"/>
            <w:vAlign w:val="bottom"/>
            <w:tcBorders>
              <w:bottom w:val="single" w:sz="8" w:color="4B5088"/>
              <w:right w:val="single" w:sz="8" w:color="83AD40"/>
            </w:tcBorders>
          </w:tcPr>
          <w:p>
            <w:pPr>
              <w:ind w:left="380"/>
              <w:spacing w:after="0"/>
              <w:rPr>
                <w:sz w:val="20"/>
                <w:szCs w:val="20"/>
                <w:color w:val="auto"/>
              </w:rPr>
            </w:pPr>
            <w:r>
              <w:rPr>
                <w:rFonts w:ascii="Arial" w:cs="Arial" w:eastAsia="Arial" w:hAnsi="Arial"/>
                <w:sz w:val="14"/>
                <w:szCs w:val="14"/>
                <w:color w:val="auto"/>
              </w:rPr>
              <w:t>​</w:t>
            </w:r>
          </w:p>
        </w:tc>
      </w:tr>
      <w:tr>
        <w:trPr>
          <w:trHeight w:val="314"/>
        </w:trPr>
        <w:tc>
          <w:tcPr>
            <w:tcW w:w="3900" w:type="dxa"/>
            <w:vAlign w:val="bottom"/>
            <w:tcBorders>
              <w:left w:val="single" w:sz="8" w:color="83AD40"/>
            </w:tcBorders>
          </w:tcPr>
          <w:p>
            <w:pPr>
              <w:ind w:left="40"/>
              <w:spacing w:after="0"/>
              <w:rPr>
                <w:sz w:val="20"/>
                <w:szCs w:val="20"/>
                <w:color w:val="auto"/>
              </w:rPr>
            </w:pPr>
            <w:r>
              <w:rPr>
                <w:rFonts w:ascii="Arial" w:cs="Arial" w:eastAsia="Arial" w:hAnsi="Arial"/>
                <w:sz w:val="14"/>
                <w:szCs w:val="14"/>
                <w:color w:val="auto"/>
              </w:rPr>
              <w:t>​ Outperformed Index by 5,394 Basis Points</w:t>
            </w:r>
            <w:r>
              <w:rPr>
                <w:rFonts w:ascii="Arial" w:cs="Arial" w:eastAsia="Arial" w:hAnsi="Arial"/>
                <w:sz w:val="17"/>
                <w:szCs w:val="17"/>
                <w:b w:val="1"/>
                <w:bCs w:val="1"/>
                <w:color w:val="auto"/>
                <w:vertAlign w:val="superscript"/>
              </w:rPr>
              <w:t>(1)</w:t>
            </w:r>
          </w:p>
        </w:tc>
        <w:tc>
          <w:tcPr>
            <w:tcW w:w="480" w:type="dxa"/>
            <w:vAlign w:val="bottom"/>
            <w:tcBorders>
              <w:right w:val="single" w:sz="8" w:color="83AD40"/>
            </w:tcBorders>
          </w:tcPr>
          <w:p>
            <w:pPr>
              <w:ind w:left="380"/>
              <w:spacing w:after="0"/>
              <w:rPr>
                <w:sz w:val="20"/>
                <w:szCs w:val="20"/>
                <w:color w:val="auto"/>
              </w:rPr>
            </w:pPr>
            <w:r>
              <w:rPr>
                <w:rFonts w:ascii="Arial" w:cs="Arial" w:eastAsia="Arial" w:hAnsi="Arial"/>
                <w:sz w:val="14"/>
                <w:szCs w:val="14"/>
                <w:color w:val="auto"/>
              </w:rPr>
              <w:t>​</w:t>
            </w:r>
          </w:p>
        </w:tc>
      </w:tr>
      <w:tr>
        <w:trPr>
          <w:trHeight w:val="55"/>
        </w:trPr>
        <w:tc>
          <w:tcPr>
            <w:tcW w:w="3900" w:type="dxa"/>
            <w:vAlign w:val="bottom"/>
            <w:tcBorders>
              <w:left w:val="single" w:sz="8" w:color="83AD40"/>
              <w:bottom w:val="single" w:sz="8" w:color="83AD40"/>
            </w:tcBorders>
          </w:tcPr>
          <w:p>
            <w:pPr>
              <w:spacing w:after="0"/>
              <w:rPr>
                <w:sz w:val="4"/>
                <w:szCs w:val="4"/>
                <w:color w:val="auto"/>
              </w:rPr>
            </w:pPr>
          </w:p>
        </w:tc>
        <w:tc>
          <w:tcPr>
            <w:tcW w:w="480" w:type="dxa"/>
            <w:vAlign w:val="bottom"/>
            <w:tcBorders>
              <w:bottom w:val="single" w:sz="8" w:color="83AD40"/>
              <w:right w:val="single" w:sz="8" w:color="83AD40"/>
            </w:tcBorders>
          </w:tcPr>
          <w:p>
            <w:pPr>
              <w:spacing w:after="0"/>
              <w:rPr>
                <w:sz w:val="4"/>
                <w:szCs w:val="4"/>
                <w:color w:val="auto"/>
              </w:rPr>
            </w:pPr>
          </w:p>
        </w:tc>
      </w:tr>
    </w:tbl>
    <w:p>
      <w:pPr>
        <w:spacing w:after="0" w:line="408" w:lineRule="exact"/>
        <w:rPr>
          <w:sz w:val="20"/>
          <w:szCs w:val="20"/>
          <w:color w:val="auto"/>
        </w:rPr>
      </w:pPr>
    </w:p>
    <w:p>
      <w:pPr>
        <w:sectPr>
          <w:pgSz w:w="11900" w:h="16838" w:orient="portrait"/>
          <w:cols w:equalWidth="0" w:num="2">
            <w:col w:w="5500" w:space="0"/>
            <w:col w:w="4420"/>
          </w:cols>
          <w:pgMar w:left="580" w:top="97" w:right="1399" w:bottom="1440" w:gutter="0" w:footer="0" w:header="0"/>
          <w:type w:val="continuous"/>
        </w:sectPr>
      </w:pPr>
    </w:p>
    <w:p>
      <w:pPr>
        <w:ind w:left="1180" w:right="160" w:hanging="364"/>
        <w:spacing w:after="0" w:line="282" w:lineRule="auto"/>
        <w:tabs>
          <w:tab w:leader="none" w:pos="11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Refer to Appendix A to this proxy statement for reconciliations of Normalized FFO Per Share, Normalized Funds Available for Distribution and Same Store Cash NOI. Normalized FFO Per Share and Normalized Funds Available for Distribution include Gain on Discounted Debt Extinguishment of $20.0M, with gains on Discounted Debt Extinguishment in excess of $20.0M excluded from the final calculations. Same Store Cash NOI is presented excluding lease termination income.</w:t>
      </w:r>
    </w:p>
    <w:p>
      <w:pPr>
        <w:sectPr>
          <w:pgSz w:w="11900" w:h="16838" w:orient="portrait"/>
          <w:cols w:equalWidth="0" w:num="1">
            <w:col w:w="9920"/>
          </w:cols>
          <w:pgMar w:left="580" w:top="97" w:right="1399" w:bottom="1440" w:gutter="0" w:footer="0" w:header="0"/>
          <w:type w:val="continuous"/>
        </w:sectPr>
      </w:pPr>
    </w:p>
    <w:p>
      <w:pPr>
        <w:spacing w:after="0" w:line="237" w:lineRule="exact"/>
        <w:rPr>
          <w:sz w:val="20"/>
          <w:szCs w:val="20"/>
          <w:color w:val="auto"/>
        </w:rPr>
      </w:pPr>
    </w:p>
    <w:p>
      <w:pPr>
        <w:ind w:left="980" w:right="100" w:hanging="164"/>
        <w:spacing w:after="0" w:line="185" w:lineRule="auto"/>
        <w:tabs>
          <w:tab w:leader="none" w:pos="980" w:val="left"/>
        </w:tabs>
        <w:numPr>
          <w:ilvl w:val="0"/>
          <w:numId w:val="50"/>
        </w:numPr>
        <w:rPr>
          <w:rFonts w:ascii="Arial" w:cs="Arial" w:eastAsia="Arial" w:hAnsi="Arial"/>
          <w:sz w:val="29"/>
          <w:szCs w:val="29"/>
          <w:color w:val="auto"/>
          <w:vertAlign w:val="superscript"/>
        </w:rPr>
      </w:pPr>
      <w:r>
        <w:rPr>
          <w:rFonts w:ascii="Arial" w:cs="Arial" w:eastAsia="Arial" w:hAnsi="Arial"/>
          <w:sz w:val="15"/>
          <w:szCs w:val="15"/>
          <w:color w:val="auto"/>
        </w:rPr>
        <w:t>The goals established as part of our performance-based compensation programs in January 2024 were in line with those outlined at our December 2023 Institutional Investor Conference established as a roadmap for fiscal year 2024.</w:t>
      </w:r>
    </w:p>
    <w:p>
      <w:pPr>
        <w:spacing w:after="0" w:line="55" w:lineRule="exact"/>
        <w:rPr>
          <w:rFonts w:ascii="Arial" w:cs="Arial" w:eastAsia="Arial" w:hAnsi="Arial"/>
          <w:sz w:val="29"/>
          <w:szCs w:val="29"/>
          <w:color w:val="auto"/>
          <w:vertAlign w:val="superscript"/>
        </w:rPr>
      </w:pPr>
    </w:p>
    <w:p>
      <w:pPr>
        <w:jc w:val="both"/>
        <w:ind w:left="980" w:hanging="164"/>
        <w:spacing w:after="0" w:line="191" w:lineRule="auto"/>
        <w:tabs>
          <w:tab w:leader="none" w:pos="980" w:val="left"/>
        </w:tabs>
        <w:numPr>
          <w:ilvl w:val="0"/>
          <w:numId w:val="50"/>
        </w:numPr>
        <w:rPr>
          <w:rFonts w:ascii="Arial" w:cs="Arial" w:eastAsia="Arial" w:hAnsi="Arial"/>
          <w:sz w:val="32"/>
          <w:szCs w:val="32"/>
          <w:color w:val="auto"/>
          <w:vertAlign w:val="superscript"/>
        </w:rPr>
      </w:pPr>
      <w:r>
        <w:rPr>
          <w:rFonts w:ascii="Arial" w:cs="Arial" w:eastAsia="Arial" w:hAnsi="Arial"/>
          <w:sz w:val="16"/>
          <w:szCs w:val="16"/>
          <w:color w:val="auto"/>
        </w:rPr>
        <w:t xml:space="preserve">As in prior years, the Company </w:t>
      </w:r>
      <w:r>
        <w:rPr>
          <w:rFonts w:ascii="Arial" w:cs="Arial" w:eastAsia="Arial" w:hAnsi="Arial"/>
          <w:sz w:val="16"/>
          <w:szCs w:val="16"/>
          <w:b w:val="1"/>
          <w:bCs w:val="1"/>
          <w:color w:val="auto"/>
        </w:rPr>
        <w:t>remained agile and prioritized short-term and long-term stockholder return</w:t>
      </w:r>
      <w:r>
        <w:rPr>
          <w:rFonts w:ascii="Arial" w:cs="Arial" w:eastAsia="Arial" w:hAnsi="Arial"/>
          <w:sz w:val="16"/>
          <w:szCs w:val="16"/>
          <w:color w:val="auto"/>
        </w:rPr>
        <w:t xml:space="preserve"> ahead of certain goals, such as debt and preferred equity originations and strategic dispositions, </w:t>
      </w:r>
      <w:r>
        <w:rPr>
          <w:rFonts w:ascii="Arial" w:cs="Arial" w:eastAsia="Arial" w:hAnsi="Arial"/>
          <w:sz w:val="16"/>
          <w:szCs w:val="16"/>
          <w:b w:val="1"/>
          <w:bCs w:val="1"/>
          <w:color w:val="auto"/>
        </w:rPr>
        <w:t>even where pursuing such goals</w:t>
      </w:r>
      <w:r>
        <w:rPr>
          <w:rFonts w:ascii="Arial" w:cs="Arial" w:eastAsia="Arial" w:hAnsi="Arial"/>
          <w:sz w:val="16"/>
          <w:szCs w:val="16"/>
          <w:color w:val="auto"/>
        </w:rPr>
        <w:t xml:space="preserve"> </w:t>
      </w:r>
      <w:r>
        <w:rPr>
          <w:rFonts w:ascii="Arial" w:cs="Arial" w:eastAsia="Arial" w:hAnsi="Arial"/>
          <w:sz w:val="16"/>
          <w:szCs w:val="16"/>
          <w:b w:val="1"/>
          <w:bCs w:val="1"/>
          <w:color w:val="auto"/>
        </w:rPr>
        <w:t>might have increased the payout of earned performance-based awards and annual bonuses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-722630</wp:posOffset>
            </wp:positionV>
            <wp:extent cx="5760720" cy="7804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760720" cy="78041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1801495</wp:posOffset>
            </wp:positionV>
            <wp:extent cx="683196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ectPr>
          <w:pgSz w:w="11900" w:h="16838" w:orient="portrait"/>
          <w:cols w:equalWidth="0" w:num="2">
            <w:col w:w="9540" w:space="180"/>
            <w:col w:w="200"/>
          </w:cols>
          <w:pgMar w:left="580" w:top="97" w:right="1399"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p>
      <w:pPr>
        <w:ind w:left="820"/>
        <w:spacing w:after="0"/>
        <w:tabs>
          <w:tab w:leader="none" w:pos="1440" w:val="left"/>
          <w:tab w:leader="none" w:pos="9860" w:val="left"/>
        </w:tabs>
        <w:rPr>
          <w:sz w:val="20"/>
          <w:szCs w:val="20"/>
          <w:color w:val="auto"/>
        </w:rPr>
      </w:pPr>
      <w:r>
        <w:rPr>
          <w:rFonts w:ascii="Arial" w:cs="Arial" w:eastAsia="Arial" w:hAnsi="Arial"/>
          <w:sz w:val="22"/>
          <w:szCs w:val="22"/>
          <w:b w:val="1"/>
          <w:bCs w:val="1"/>
          <w:color w:val="1F2668"/>
        </w:rPr>
        <w:t>​44</w:t>
      </w:r>
      <w:r>
        <w:rPr>
          <w:sz w:val="20"/>
          <w:szCs w:val="20"/>
          <w:color w:val="auto"/>
        </w:rPr>
        <w:tab/>
      </w:r>
      <w:r>
        <w:rPr>
          <w:rFonts w:ascii="Arial" w:cs="Arial" w:eastAsia="Arial" w:hAnsi="Arial"/>
          <w:sz w:val="22"/>
          <w:szCs w:val="22"/>
          <w:b w:val="1"/>
          <w:bCs w:val="1"/>
          <w:color w:val="1F2668"/>
        </w:rPr>
        <w:t xml:space="preserve">​ ​ </w:t>
      </w:r>
      <w:r>
        <w:rPr>
          <w:rFonts w:ascii="Arial" w:cs="Arial" w:eastAsia="Arial" w:hAnsi="Arial"/>
          <w:sz w:val="14"/>
          <w:szCs w:val="14"/>
          <w:b w:val="1"/>
          <w:bCs w:val="1"/>
          <w:color w:val="1F2668"/>
        </w:rPr>
        <w:t>SL GREEN REALTY CORP. 2025 PROXY STATEMENT</w:t>
      </w:r>
      <w:r>
        <w:rPr>
          <w:sz w:val="20"/>
          <w:szCs w:val="20"/>
          <w:color w:val="auto"/>
        </w:rPr>
        <w:tab/>
      </w:r>
      <w:r>
        <w:rPr>
          <w:rFonts w:ascii="Arial" w:cs="Arial" w:eastAsia="Arial" w:hAnsi="Arial"/>
          <w:sz w:val="22"/>
          <w:szCs w:val="22"/>
          <w:b w:val="1"/>
          <w:bCs w:val="1"/>
          <w:color w:val="1F2668"/>
        </w:rPr>
        <w:t>​</w:t>
      </w:r>
    </w:p>
    <w:p>
      <w:pPr>
        <w:spacing w:after="0" w:line="200" w:lineRule="exact"/>
        <w:rPr>
          <w:sz w:val="20"/>
          <w:szCs w:val="20"/>
          <w:color w:val="auto"/>
        </w:rPr>
      </w:pPr>
    </w:p>
    <w:p>
      <w:pPr>
        <w:spacing w:after="0" w:line="285"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Compensation Program Overview</w:t>
      </w:r>
    </w:p>
    <w:p>
      <w:pPr>
        <w:spacing w:after="0" w:line="110"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83AD40"/>
        </w:rPr>
        <w:t>Majority of 2024 Pay at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885825</wp:posOffset>
            </wp:positionH>
            <wp:positionV relativeFrom="paragraph">
              <wp:posOffset>109220</wp:posOffset>
            </wp:positionV>
            <wp:extent cx="5031740" cy="22542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031740"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83AD40"/>
        </w:rPr>
        <w:t>Majority of 2024 Compensation Paid in Equity*</w:t>
      </w:r>
    </w:p>
    <w:p>
      <w:pPr>
        <w:spacing w:after="0" w:line="149" w:lineRule="exact"/>
        <w:rPr>
          <w:sz w:val="20"/>
          <w:szCs w:val="20"/>
          <w:color w:val="auto"/>
        </w:rPr>
      </w:pPr>
    </w:p>
    <w:p>
      <w:pPr>
        <w:ind w:left="820"/>
        <w:spacing w:after="0"/>
        <w:tabs>
          <w:tab w:leader="none" w:pos="3700" w:val="left"/>
          <w:tab w:leader="none" w:pos="5160" w:val="left"/>
          <w:tab w:leader="none" w:pos="6800" w:val="left"/>
          <w:tab w:leader="none" w:pos="8040" w:val="left"/>
          <w:tab w:leader="none" w:pos="9860" w:val="left"/>
        </w:tabs>
        <w:rPr>
          <w:sz w:val="20"/>
          <w:szCs w:val="20"/>
          <w:color w:val="auto"/>
        </w:rPr>
      </w:pPr>
      <w:r>
        <w:rPr>
          <w:rFonts w:ascii="Arial" w:cs="Arial" w:eastAsia="Arial" w:hAnsi="Arial"/>
          <w:sz w:val="14"/>
          <w:szCs w:val="14"/>
          <w:color w:val="1F2668"/>
        </w:rPr>
        <w:t>​</w:t>
      </w:r>
      <w:r>
        <w:rPr>
          <w:sz w:val="20"/>
          <w:szCs w:val="20"/>
          <w:color w:val="auto"/>
        </w:rPr>
        <w:tab/>
      </w:r>
      <w:r>
        <w:rPr>
          <w:rFonts w:ascii="Arial" w:cs="Arial" w:eastAsia="Arial" w:hAnsi="Arial"/>
          <w:sz w:val="14"/>
          <w:szCs w:val="14"/>
          <w:color w:val="1F2668"/>
        </w:rPr>
        <w:t>​ ​</w:t>
      </w:r>
      <w:r>
        <w:rPr>
          <w:sz w:val="20"/>
          <w:szCs w:val="20"/>
          <w:color w:val="auto"/>
        </w:rPr>
        <w:tab/>
      </w:r>
      <w:r>
        <w:rPr>
          <w:rFonts w:ascii="Arial" w:cs="Arial" w:eastAsia="Arial" w:hAnsi="Arial"/>
          <w:sz w:val="14"/>
          <w:szCs w:val="14"/>
          <w:color w:val="1F2668"/>
        </w:rPr>
        <w:t>CEO</w:t>
      </w:r>
      <w:r>
        <w:rPr>
          <w:sz w:val="20"/>
          <w:szCs w:val="20"/>
          <w:color w:val="auto"/>
        </w:rPr>
        <w:tab/>
      </w:r>
      <w:r>
        <w:rPr>
          <w:rFonts w:ascii="Arial" w:cs="Arial" w:eastAsia="Arial" w:hAnsi="Arial"/>
          <w:sz w:val="14"/>
          <w:szCs w:val="14"/>
          <w:color w:val="1F2668"/>
        </w:rPr>
        <w:t>​ ​</w:t>
      </w:r>
      <w:r>
        <w:rPr>
          <w:sz w:val="20"/>
          <w:szCs w:val="20"/>
          <w:color w:val="auto"/>
        </w:rPr>
        <w:tab/>
      </w:r>
      <w:r>
        <w:rPr>
          <w:rFonts w:ascii="Arial" w:cs="Arial" w:eastAsia="Arial" w:hAnsi="Arial"/>
          <w:sz w:val="14"/>
          <w:szCs w:val="14"/>
          <w:color w:val="1F2668"/>
        </w:rPr>
        <w:t>Other NEOs</w:t>
      </w:r>
      <w:r>
        <w:rPr>
          <w:sz w:val="20"/>
          <w:szCs w:val="20"/>
          <w:color w:val="auto"/>
        </w:rPr>
        <w:tab/>
      </w:r>
      <w:r>
        <w:rPr>
          <w:rFonts w:ascii="Arial" w:cs="Arial" w:eastAsia="Arial" w:hAnsi="Arial"/>
          <w:sz w:val="14"/>
          <w:szCs w:val="14"/>
          <w:color w:val="1F2668"/>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23495</wp:posOffset>
            </wp:positionV>
            <wp:extent cx="576072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p>
      <w:pPr>
        <w:spacing w:after="0" w:line="11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1F2668"/>
        </w:rPr>
        <w:t>Equity Compensation</w:t>
      </w:r>
    </w:p>
    <w:p>
      <w:pPr>
        <w:spacing w:after="0" w:line="107" w:lineRule="exact"/>
        <w:rPr>
          <w:sz w:val="20"/>
          <w:szCs w:val="20"/>
          <w:color w:val="auto"/>
        </w:rPr>
      </w:pPr>
    </w:p>
    <w:p>
      <w:pPr>
        <w:ind w:left="980" w:hanging="164"/>
        <w:spacing w:after="0"/>
        <w:tabs>
          <w:tab w:leader="none" w:pos="980" w:val="left"/>
        </w:tabs>
        <w:numPr>
          <w:ilvl w:val="0"/>
          <w:numId w:val="51"/>
        </w:numPr>
        <w:rPr>
          <w:rFonts w:ascii="Arial" w:cs="Arial" w:eastAsia="Arial" w:hAnsi="Arial"/>
          <w:sz w:val="16"/>
          <w:szCs w:val="16"/>
          <w:color w:val="1F2668"/>
        </w:rPr>
      </w:pPr>
      <w:r>
        <w:rPr>
          <w:rFonts w:ascii="Arial" w:cs="Arial" w:eastAsia="Arial" w:hAnsi="Arial"/>
          <w:sz w:val="16"/>
          <w:szCs w:val="16"/>
          <w:color w:val="auto"/>
        </w:rPr>
        <w:t>Performance-Based Equity Awards</w:t>
      </w:r>
    </w:p>
    <w:tbl>
      <w:tblPr>
        <w:tblLayout w:type="fixed"/>
        <w:tblInd w:w="820" w:type="dxa"/>
        <w:tblCellMar>
          <w:top w:w="0" w:type="dxa"/>
          <w:left w:w="0" w:type="dxa"/>
          <w:bottom w:w="0" w:type="dxa"/>
          <w:right w:w="0" w:type="dxa"/>
        </w:tblCellMar>
      </w:tblPr>
      <w:tr>
        <w:trPr>
          <w:trHeight w:val="215"/>
        </w:trPr>
        <w:tc>
          <w:tcPr>
            <w:tcW w:w="2480" w:type="dxa"/>
            <w:vAlign w:val="bottom"/>
            <w:vMerge w:val="restart"/>
          </w:tcPr>
          <w:p>
            <w:pPr>
              <w:spacing w:after="0"/>
              <w:rPr>
                <w:sz w:val="20"/>
                <w:szCs w:val="20"/>
                <w:color w:val="auto"/>
              </w:rPr>
            </w:pPr>
            <w:r>
              <w:rPr>
                <w:rFonts w:ascii="Arial" w:cs="Arial" w:eastAsia="Arial" w:hAnsi="Arial"/>
                <w:sz w:val="16"/>
                <w:szCs w:val="16"/>
                <w:color w:val="1F2668"/>
              </w:rPr>
              <w:t xml:space="preserve">• </w:t>
            </w:r>
            <w:r>
              <w:rPr>
                <w:rFonts w:ascii="Arial" w:cs="Arial" w:eastAsia="Arial" w:hAnsi="Arial"/>
                <w:sz w:val="16"/>
                <w:szCs w:val="16"/>
                <w:color w:val="000000"/>
              </w:rPr>
              <w:t>Time-Based Equity Awards</w:t>
            </w:r>
          </w:p>
        </w:tc>
        <w:tc>
          <w:tcPr>
            <w:tcW w:w="580" w:type="dxa"/>
            <w:vAlign w:val="bottom"/>
          </w:tcPr>
          <w:p>
            <w:pPr>
              <w:ind w:left="420"/>
              <w:spacing w:after="0"/>
              <w:rPr>
                <w:sz w:val="20"/>
                <w:szCs w:val="20"/>
                <w:color w:val="auto"/>
              </w:rPr>
            </w:pPr>
            <w:r>
              <w:rPr>
                <w:rFonts w:ascii="Arial" w:cs="Arial" w:eastAsia="Arial" w:hAnsi="Arial"/>
                <w:sz w:val="16"/>
                <w:szCs w:val="16"/>
                <w:color w:val="1F2668"/>
              </w:rPr>
              <w:t>​ ​</w:t>
            </w:r>
          </w:p>
        </w:tc>
        <w:tc>
          <w:tcPr>
            <w:tcW w:w="0" w:type="dxa"/>
            <w:vAlign w:val="bottom"/>
          </w:tcPr>
          <w:p>
            <w:pPr>
              <w:spacing w:after="0"/>
              <w:rPr>
                <w:sz w:val="1"/>
                <w:szCs w:val="1"/>
                <w:color w:val="auto"/>
              </w:rPr>
            </w:pPr>
          </w:p>
        </w:tc>
      </w:tr>
      <w:tr>
        <w:trPr>
          <w:trHeight w:val="79"/>
        </w:trPr>
        <w:tc>
          <w:tcPr>
            <w:tcW w:w="24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980" w:hanging="164"/>
        <w:spacing w:after="0"/>
        <w:tabs>
          <w:tab w:leader="none" w:pos="980" w:val="left"/>
        </w:tabs>
        <w:numPr>
          <w:ilvl w:val="0"/>
          <w:numId w:val="52"/>
        </w:numPr>
        <w:rPr>
          <w:rFonts w:ascii="Arial" w:cs="Arial" w:eastAsia="Arial" w:hAnsi="Arial"/>
          <w:sz w:val="16"/>
          <w:szCs w:val="16"/>
          <w:color w:val="1F2668"/>
        </w:rPr>
      </w:pPr>
      <w:r>
        <w:rPr>
          <w:rFonts w:ascii="Arial" w:cs="Arial" w:eastAsia="Arial" w:hAnsi="Arial"/>
          <w:sz w:val="16"/>
          <w:szCs w:val="16"/>
          <w:color w:val="auto"/>
        </w:rPr>
        <w:t>Annual Bonus Received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149225</wp:posOffset>
            </wp:positionV>
            <wp:extent cx="18084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350"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1F2668"/>
        </w:rPr>
        <w:t>Cash Compensation</w:t>
      </w:r>
    </w:p>
    <w:p>
      <w:pPr>
        <w:spacing w:after="0" w:line="86" w:lineRule="exact"/>
        <w:rPr>
          <w:sz w:val="20"/>
          <w:szCs w:val="20"/>
          <w:color w:val="auto"/>
        </w:rPr>
      </w:pPr>
    </w:p>
    <w:p>
      <w:pPr>
        <w:ind w:left="820"/>
        <w:spacing w:after="0"/>
        <w:tabs>
          <w:tab w:leader="none" w:pos="3700" w:val="left"/>
        </w:tabs>
        <w:rPr>
          <w:sz w:val="20"/>
          <w:szCs w:val="20"/>
          <w:color w:val="auto"/>
        </w:rPr>
      </w:pPr>
      <w:r>
        <w:rPr>
          <w:rFonts w:ascii="Arial" w:cs="Arial" w:eastAsia="Arial" w:hAnsi="Arial"/>
          <w:sz w:val="16"/>
          <w:szCs w:val="16"/>
          <w:color w:val="1F2668"/>
        </w:rPr>
        <w:t xml:space="preserve">• </w:t>
      </w:r>
      <w:r>
        <w:rPr>
          <w:rFonts w:ascii="Arial" w:cs="Arial" w:eastAsia="Arial" w:hAnsi="Arial"/>
          <w:sz w:val="16"/>
          <w:szCs w:val="16"/>
          <w:color w:val="000000"/>
        </w:rPr>
        <w:t>Base Salary</w:t>
      </w:r>
      <w:r>
        <w:rPr>
          <w:sz w:val="20"/>
          <w:szCs w:val="20"/>
          <w:color w:val="auto"/>
        </w:rPr>
        <w:tab/>
      </w:r>
      <w:r>
        <w:rPr>
          <w:rFonts w:ascii="Arial" w:cs="Arial" w:eastAsia="Arial" w:hAnsi="Arial"/>
          <w:sz w:val="16"/>
          <w:szCs w:val="16"/>
          <w:color w:val="1F2668"/>
        </w:rPr>
        <w:t>​ ​</w:t>
      </w:r>
    </w:p>
    <w:p>
      <w:pPr>
        <w:spacing w:after="0" w:line="100" w:lineRule="exact"/>
        <w:rPr>
          <w:sz w:val="20"/>
          <w:szCs w:val="20"/>
          <w:color w:val="auto"/>
        </w:rPr>
      </w:pPr>
    </w:p>
    <w:p>
      <w:pPr>
        <w:ind w:left="980" w:hanging="164"/>
        <w:spacing w:after="0"/>
        <w:tabs>
          <w:tab w:leader="none" w:pos="980" w:val="left"/>
        </w:tabs>
        <w:numPr>
          <w:ilvl w:val="0"/>
          <w:numId w:val="53"/>
        </w:numPr>
        <w:rPr>
          <w:rFonts w:ascii="Arial" w:cs="Arial" w:eastAsia="Arial" w:hAnsi="Arial"/>
          <w:sz w:val="16"/>
          <w:szCs w:val="16"/>
          <w:color w:val="1F2668"/>
        </w:rPr>
      </w:pPr>
      <w:r>
        <w:rPr>
          <w:rFonts w:ascii="Arial" w:cs="Arial" w:eastAsia="Arial" w:hAnsi="Arial"/>
          <w:sz w:val="16"/>
          <w:szCs w:val="16"/>
          <w:color w:val="auto"/>
        </w:rPr>
        <w:t>Annual Bonus Received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97790</wp:posOffset>
            </wp:positionV>
            <wp:extent cx="18084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jc w:val="center"/>
        <w:ind w:right="160"/>
        <w:spacing w:after="0"/>
        <w:rPr>
          <w:sz w:val="20"/>
          <w:szCs w:val="20"/>
          <w:color w:val="auto"/>
        </w:rPr>
      </w:pPr>
      <w:r>
        <w:rPr>
          <w:rFonts w:ascii="Arial" w:cs="Arial" w:eastAsia="Arial" w:hAnsi="Arial"/>
          <w:sz w:val="43"/>
          <w:szCs w:val="43"/>
          <w:color w:val="1F2668"/>
        </w:rPr>
        <w:t>93.7%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-533400</wp:posOffset>
            </wp:positionH>
            <wp:positionV relativeFrom="paragraph">
              <wp:posOffset>252095</wp:posOffset>
            </wp:positionV>
            <wp:extent cx="183451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60"/>
        <w:spacing w:after="0"/>
        <w:rPr>
          <w:sz w:val="20"/>
          <w:szCs w:val="20"/>
          <w:color w:val="auto"/>
        </w:rPr>
      </w:pPr>
      <w:r>
        <w:rPr>
          <w:rFonts w:ascii="Arial" w:cs="Arial" w:eastAsia="Arial" w:hAnsi="Arial"/>
          <w:sz w:val="43"/>
          <w:szCs w:val="43"/>
          <w:color w:val="1F2668"/>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-533400</wp:posOffset>
            </wp:positionH>
            <wp:positionV relativeFrom="paragraph">
              <wp:posOffset>192405</wp:posOffset>
            </wp:positionV>
            <wp:extent cx="183451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1F2668"/>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1F2668"/>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jc w:val="center"/>
        <w:ind w:right="120"/>
        <w:spacing w:after="0"/>
        <w:rPr>
          <w:sz w:val="20"/>
          <w:szCs w:val="20"/>
          <w:color w:val="auto"/>
        </w:rPr>
      </w:pPr>
      <w:r>
        <w:rPr>
          <w:rFonts w:ascii="Arial" w:cs="Arial" w:eastAsia="Arial" w:hAnsi="Arial"/>
          <w:sz w:val="43"/>
          <w:szCs w:val="43"/>
          <w:color w:val="1F2668"/>
        </w:rPr>
        <w:t>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-530225</wp:posOffset>
            </wp:positionH>
            <wp:positionV relativeFrom="paragraph">
              <wp:posOffset>252095</wp:posOffset>
            </wp:positionV>
            <wp:extent cx="184340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8434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20"/>
        <w:spacing w:after="0"/>
        <w:rPr>
          <w:sz w:val="20"/>
          <w:szCs w:val="20"/>
          <w:color w:val="auto"/>
        </w:rPr>
      </w:pPr>
      <w:r>
        <w:rPr>
          <w:rFonts w:ascii="Arial" w:cs="Arial" w:eastAsia="Arial" w:hAnsi="Arial"/>
          <w:sz w:val="43"/>
          <w:szCs w:val="43"/>
          <w:color w:val="1F2668"/>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-530225</wp:posOffset>
            </wp:positionH>
            <wp:positionV relativeFrom="paragraph">
              <wp:posOffset>192405</wp:posOffset>
            </wp:positionV>
            <wp:extent cx="184340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8434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jc w:val="center"/>
        <w:ind w:right="780"/>
        <w:spacing w:after="0"/>
        <w:rPr>
          <w:sz w:val="20"/>
          <w:szCs w:val="20"/>
          <w:color w:val="auto"/>
        </w:rPr>
      </w:pPr>
      <w:r>
        <w:rPr>
          <w:rFonts w:ascii="Arial" w:cs="Arial" w:eastAsia="Arial" w:hAnsi="Arial"/>
          <w:sz w:val="16"/>
          <w:szCs w:val="16"/>
          <w:color w:val="1F2668"/>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780"/>
        <w:spacing w:after="0"/>
        <w:rPr>
          <w:sz w:val="20"/>
          <w:szCs w:val="20"/>
          <w:color w:val="auto"/>
        </w:rPr>
      </w:pPr>
      <w:r>
        <w:rPr>
          <w:rFonts w:ascii="Arial" w:cs="Arial" w:eastAsia="Arial" w:hAnsi="Arial"/>
          <w:sz w:val="16"/>
          <w:szCs w:val="16"/>
          <w:color w:val="1F2668"/>
        </w:rPr>
        <w:t>​</w:t>
      </w:r>
    </w:p>
    <w:p>
      <w:pPr>
        <w:spacing w:after="0" w:line="483" w:lineRule="exact"/>
        <w:rPr>
          <w:sz w:val="20"/>
          <w:szCs w:val="20"/>
          <w:color w:val="auto"/>
        </w:rPr>
      </w:pPr>
    </w:p>
    <w:p>
      <w:pPr>
        <w:sectPr>
          <w:pgSz w:w="11900" w:h="16838" w:orient="portrait"/>
          <w:cols w:equalWidth="0" w:num="5">
            <w:col w:w="4000" w:space="720"/>
            <w:col w:w="1380" w:space="720"/>
            <w:col w:w="280" w:space="720"/>
            <w:col w:w="1340" w:space="720"/>
            <w:col w:w="840"/>
          </w:cols>
          <w:pgMar w:left="580" w:top="97" w:right="599" w:bottom="1440" w:gutter="0" w:footer="0" w:header="0"/>
          <w:type w:val="continuous"/>
        </w:sectPr>
      </w:pPr>
    </w:p>
    <w:p>
      <w:pPr>
        <w:spacing w:after="0" w:line="170" w:lineRule="exact"/>
        <w:rPr>
          <w:sz w:val="20"/>
          <w:szCs w:val="20"/>
          <w:color w:val="auto"/>
        </w:rPr>
      </w:pPr>
    </w:p>
    <w:p>
      <w:pPr>
        <w:jc w:val="center"/>
        <w:ind w:right="80"/>
        <w:spacing w:after="0"/>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Focus on incentive-based compensation aligns payouts with Company performance and stockholder value creation.</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-224155</wp:posOffset>
            </wp:positionV>
            <wp:extent cx="5760720" cy="27432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760720" cy="274320"/>
                    </a:xfrm>
                    <a:prstGeom prst="rect">
                      <a:avLst/>
                    </a:prstGeom>
                    <a:noFill/>
                  </pic:spPr>
                </pic:pic>
              </a:graphicData>
            </a:graphic>
          </wp:anchor>
        </w:drawing>
      </w:r>
    </w:p>
    <w:p>
      <w:pPr>
        <w:spacing w:after="0" w:line="274" w:lineRule="exact"/>
        <w:rPr>
          <w:sz w:val="20"/>
          <w:szCs w:val="20"/>
          <w:color w:val="auto"/>
        </w:rPr>
      </w:pPr>
    </w:p>
    <w:p>
      <w:pPr>
        <w:ind w:left="1180" w:right="900" w:hanging="364"/>
        <w:spacing w:after="0" w:line="306" w:lineRule="auto"/>
        <w:tabs>
          <w:tab w:leader="none" w:pos="1180"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Percentages do not include the value of the retention performance incentive granted to our CEO in December 2024 in connection with entering a new employment agreement and exclude amounts categorized as “Other Compensation” in the Summary Compensation Table</w:t>
      </w:r>
    </w:p>
    <w:p>
      <w:pPr>
        <w:spacing w:after="0" w:line="137" w:lineRule="exact"/>
        <w:rPr>
          <w:sz w:val="20"/>
          <w:szCs w:val="20"/>
          <w:color w:val="auto"/>
        </w:rPr>
      </w:pPr>
    </w:p>
    <w:p>
      <w:pPr>
        <w:ind w:left="820" w:right="1060"/>
        <w:spacing w:after="0" w:line="284" w:lineRule="auto"/>
        <w:rPr>
          <w:sz w:val="20"/>
          <w:szCs w:val="20"/>
          <w:color w:val="auto"/>
        </w:rPr>
      </w:pPr>
      <w:r>
        <w:rPr>
          <w:rFonts w:ascii="Arial" w:cs="Arial" w:eastAsia="Arial" w:hAnsi="Arial"/>
          <w:sz w:val="20"/>
          <w:szCs w:val="20"/>
          <w:b w:val="1"/>
          <w:bCs w:val="1"/>
          <w:color w:val="83AD40"/>
        </w:rPr>
        <w:t>CEO Agreement Extends Our Track Record of Board Responsiveness; Consideration of Say-on-Pay Vote</w:t>
      </w:r>
    </w:p>
    <w:p>
      <w:pPr>
        <w:spacing w:after="0" w:line="46" w:lineRule="exact"/>
        <w:rPr>
          <w:sz w:val="20"/>
          <w:szCs w:val="20"/>
          <w:color w:val="auto"/>
        </w:rPr>
      </w:pPr>
    </w:p>
    <w:p>
      <w:pPr>
        <w:ind w:left="820" w:right="1040"/>
        <w:spacing w:after="0" w:line="327" w:lineRule="auto"/>
        <w:rPr>
          <w:sz w:val="20"/>
          <w:szCs w:val="20"/>
          <w:color w:val="auto"/>
        </w:rPr>
      </w:pPr>
      <w:r>
        <w:rPr>
          <w:rFonts w:ascii="Arial" w:cs="Arial" w:eastAsia="Arial" w:hAnsi="Arial"/>
          <w:sz w:val="15"/>
          <w:szCs w:val="15"/>
          <w:color w:val="auto"/>
        </w:rPr>
        <w:t>In line with stockholder feedback received over the past several years, our executive pay structure has been deliberately and decisively transformed to focus on incentivizing and rewarding executives for actions that create sustainable stockholder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67"/>
        </w:trPr>
        <w:tc>
          <w:tcPr>
            <w:tcW w:w="82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Arial" w:cs="Arial" w:eastAsia="Arial" w:hAnsi="Arial"/>
                <w:sz w:val="14"/>
                <w:szCs w:val="14"/>
                <w:color w:val="1F2668"/>
              </w:rPr>
              <w:t>​</w:t>
            </w:r>
          </w:p>
        </w:tc>
        <w:tc>
          <w:tcPr>
            <w:tcW w:w="120" w:type="dxa"/>
            <w:vAlign w:val="bottom"/>
          </w:tcPr>
          <w:p>
            <w:pPr>
              <w:spacing w:after="0"/>
              <w:rPr>
                <w:sz w:val="20"/>
                <w:szCs w:val="20"/>
                <w:color w:val="auto"/>
              </w:rPr>
            </w:pPr>
            <w:r>
              <w:rPr>
                <w:rFonts w:ascii="Arial" w:cs="Arial" w:eastAsia="Arial" w:hAnsi="Arial"/>
                <w:sz w:val="14"/>
                <w:szCs w:val="14"/>
                <w:color w:val="1F2668"/>
              </w:rPr>
              <w:t>​​</w:t>
            </w:r>
          </w:p>
        </w:tc>
        <w:tc>
          <w:tcPr>
            <w:tcW w:w="80" w:type="dxa"/>
            <w:vAlign w:val="bottom"/>
          </w:tcPr>
          <w:p>
            <w:pPr>
              <w:spacing w:after="0"/>
              <w:rPr>
                <w:sz w:val="24"/>
                <w:szCs w:val="24"/>
                <w:color w:val="auto"/>
              </w:rPr>
            </w:pPr>
          </w:p>
        </w:tc>
        <w:tc>
          <w:tcPr>
            <w:tcW w:w="3960" w:type="dxa"/>
            <w:vAlign w:val="bottom"/>
            <w:gridSpan w:val="15"/>
          </w:tcPr>
          <w:p>
            <w:pPr>
              <w:ind w:left="40"/>
              <w:spacing w:after="0"/>
              <w:rPr>
                <w:sz w:val="20"/>
                <w:szCs w:val="20"/>
                <w:color w:val="auto"/>
              </w:rPr>
            </w:pPr>
            <w:r>
              <w:rPr>
                <w:rFonts w:ascii="Arial" w:cs="Arial" w:eastAsia="Arial" w:hAnsi="Arial"/>
                <w:sz w:val="14"/>
                <w:szCs w:val="14"/>
                <w:color w:val="1F2668"/>
              </w:rPr>
              <w:t xml:space="preserve">Stockholder Outreach following Annual Meeting  </w:t>
            </w:r>
            <w:r>
              <w:rPr>
                <w:rFonts w:ascii="Arial" w:cs="Arial" w:eastAsia="Arial" w:hAnsi="Arial"/>
                <w:sz w:val="28"/>
                <w:szCs w:val="28"/>
                <w:color w:val="1F2668"/>
                <w:vertAlign w:val="subscript"/>
              </w:rPr>
              <w:t>​</w:t>
            </w:r>
          </w:p>
        </w:tc>
      </w:tr>
      <w:tr>
        <w:trPr>
          <w:trHeight w:val="20"/>
        </w:trPr>
        <w:tc>
          <w:tcPr>
            <w:tcW w:w="8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1F2668"/>
          </w:tcPr>
          <w:p>
            <w:pPr>
              <w:spacing w:after="0" w:line="20" w:lineRule="exact"/>
              <w:rPr>
                <w:sz w:val="1"/>
                <w:szCs w:val="1"/>
                <w:color w:val="auto"/>
              </w:rPr>
            </w:pPr>
          </w:p>
        </w:tc>
        <w:tc>
          <w:tcPr>
            <w:tcW w:w="700" w:type="dxa"/>
            <w:vAlign w:val="bottom"/>
            <w:gridSpan w:val="3"/>
            <w:shd w:val="clear" w:color="auto" w:fill="1F2668"/>
          </w:tcPr>
          <w:p>
            <w:pPr>
              <w:spacing w:after="0" w:line="20" w:lineRule="exact"/>
              <w:rPr>
                <w:sz w:val="1"/>
                <w:szCs w:val="1"/>
                <w:color w:val="auto"/>
              </w:rPr>
            </w:pPr>
          </w:p>
        </w:tc>
        <w:tc>
          <w:tcPr>
            <w:tcW w:w="660" w:type="dxa"/>
            <w:vAlign w:val="bottom"/>
            <w:gridSpan w:val="3"/>
            <w:shd w:val="clear" w:color="auto" w:fill="1F2668"/>
          </w:tcPr>
          <w:p>
            <w:pPr>
              <w:spacing w:after="0" w:line="20" w:lineRule="exact"/>
              <w:rPr>
                <w:sz w:val="1"/>
                <w:szCs w:val="1"/>
                <w:color w:val="auto"/>
              </w:rPr>
            </w:pPr>
          </w:p>
        </w:tc>
        <w:tc>
          <w:tcPr>
            <w:tcW w:w="660" w:type="dxa"/>
            <w:vAlign w:val="bottom"/>
            <w:gridSpan w:val="3"/>
            <w:shd w:val="clear" w:color="auto" w:fill="1F2668"/>
          </w:tcPr>
          <w:p>
            <w:pPr>
              <w:spacing w:after="0" w:line="20" w:lineRule="exact"/>
              <w:rPr>
                <w:sz w:val="1"/>
                <w:szCs w:val="1"/>
                <w:color w:val="auto"/>
              </w:rPr>
            </w:pPr>
          </w:p>
        </w:tc>
        <w:tc>
          <w:tcPr>
            <w:tcW w:w="660" w:type="dxa"/>
            <w:vAlign w:val="bottom"/>
            <w:gridSpan w:val="4"/>
            <w:shd w:val="clear" w:color="auto" w:fill="1F2668"/>
          </w:tcPr>
          <w:p>
            <w:pPr>
              <w:spacing w:after="0" w:line="20" w:lineRule="exact"/>
              <w:rPr>
                <w:sz w:val="1"/>
                <w:szCs w:val="1"/>
                <w:color w:val="auto"/>
              </w:rPr>
            </w:pPr>
          </w:p>
        </w:tc>
        <w:tc>
          <w:tcPr>
            <w:tcW w:w="440" w:type="dxa"/>
            <w:vAlign w:val="bottom"/>
            <w:shd w:val="clear" w:color="auto" w:fill="1F266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64"/>
        </w:trPr>
        <w:tc>
          <w:tcPr>
            <w:tcW w:w="820" w:type="dxa"/>
            <w:vAlign w:val="bottom"/>
          </w:tcPr>
          <w:p>
            <w:pPr>
              <w:spacing w:after="0"/>
              <w:rPr>
                <w:sz w:val="22"/>
                <w:szCs w:val="22"/>
                <w:color w:val="auto"/>
              </w:rPr>
            </w:pPr>
          </w:p>
        </w:tc>
        <w:tc>
          <w:tcPr>
            <w:tcW w:w="5740" w:type="dxa"/>
            <w:vAlign w:val="bottom"/>
          </w:tcPr>
          <w:p>
            <w:pPr>
              <w:spacing w:after="0"/>
              <w:rPr>
                <w:sz w:val="20"/>
                <w:szCs w:val="20"/>
                <w:color w:val="auto"/>
              </w:rPr>
            </w:pPr>
            <w:r>
              <w:rPr>
                <w:rFonts w:ascii="Arial" w:cs="Arial" w:eastAsia="Arial" w:hAnsi="Arial"/>
                <w:sz w:val="14"/>
                <w:szCs w:val="14"/>
                <w:color w:val="1F2668"/>
              </w:rPr>
              <w:t>​</w:t>
            </w:r>
          </w:p>
        </w:tc>
        <w:tc>
          <w:tcPr>
            <w:tcW w:w="200" w:type="dxa"/>
            <w:vAlign w:val="bottom"/>
            <w:gridSpan w:val="2"/>
          </w:tcPr>
          <w:p>
            <w:pPr>
              <w:ind w:left="60"/>
              <w:spacing w:after="0"/>
              <w:rPr>
                <w:sz w:val="20"/>
                <w:szCs w:val="20"/>
                <w:color w:val="auto"/>
              </w:rPr>
            </w:pPr>
            <w:r>
              <w:rPr>
                <w:rFonts w:ascii="Arial" w:cs="Arial" w:eastAsia="Arial" w:hAnsi="Arial"/>
                <w:sz w:val="14"/>
                <w:szCs w:val="14"/>
                <w:color w:val="1F2668"/>
              </w:rPr>
              <w:t>​​</w:t>
            </w:r>
          </w:p>
        </w:tc>
        <w:tc>
          <w:tcPr>
            <w:tcW w:w="700" w:type="dxa"/>
            <w:vAlign w:val="bottom"/>
            <w:gridSpan w:val="3"/>
          </w:tcPr>
          <w:p>
            <w:pPr>
              <w:ind w:left="140"/>
              <w:spacing w:after="0" w:line="263" w:lineRule="exact"/>
              <w:rPr>
                <w:sz w:val="20"/>
                <w:szCs w:val="20"/>
                <w:color w:val="auto"/>
              </w:rPr>
            </w:pPr>
            <w:r>
              <w:rPr>
                <w:rFonts w:ascii="Arial" w:cs="Arial" w:eastAsia="Arial" w:hAnsi="Arial"/>
                <w:sz w:val="14"/>
                <w:szCs w:val="14"/>
                <w:color w:val="1F2668"/>
              </w:rPr>
              <w:t xml:space="preserve">2024 </w:t>
            </w:r>
            <w:r>
              <w:rPr>
                <w:rFonts w:ascii="Arial" w:cs="Arial" w:eastAsia="Arial" w:hAnsi="Arial"/>
                <w:sz w:val="28"/>
                <w:szCs w:val="28"/>
                <w:color w:val="1F2668"/>
                <w:vertAlign w:val="subscript"/>
              </w:rPr>
              <w:t>​​</w:t>
            </w:r>
          </w:p>
        </w:tc>
        <w:tc>
          <w:tcPr>
            <w:tcW w:w="660" w:type="dxa"/>
            <w:vAlign w:val="bottom"/>
            <w:gridSpan w:val="3"/>
          </w:tcPr>
          <w:p>
            <w:pPr>
              <w:ind w:left="100"/>
              <w:spacing w:after="0" w:line="263" w:lineRule="exact"/>
              <w:rPr>
                <w:sz w:val="20"/>
                <w:szCs w:val="20"/>
                <w:color w:val="auto"/>
              </w:rPr>
            </w:pPr>
            <w:r>
              <w:rPr>
                <w:rFonts w:ascii="Arial" w:cs="Arial" w:eastAsia="Arial" w:hAnsi="Arial"/>
                <w:sz w:val="14"/>
                <w:szCs w:val="14"/>
                <w:color w:val="1F2668"/>
              </w:rPr>
              <w:t xml:space="preserve">2023 </w:t>
            </w:r>
            <w:r>
              <w:rPr>
                <w:rFonts w:ascii="Arial" w:cs="Arial" w:eastAsia="Arial" w:hAnsi="Arial"/>
                <w:sz w:val="28"/>
                <w:szCs w:val="28"/>
                <w:color w:val="1F2668"/>
                <w:vertAlign w:val="subscript"/>
              </w:rPr>
              <w:t>​​</w:t>
            </w:r>
          </w:p>
        </w:tc>
        <w:tc>
          <w:tcPr>
            <w:tcW w:w="660" w:type="dxa"/>
            <w:vAlign w:val="bottom"/>
            <w:gridSpan w:val="3"/>
          </w:tcPr>
          <w:p>
            <w:pPr>
              <w:ind w:left="100"/>
              <w:spacing w:after="0" w:line="263" w:lineRule="exact"/>
              <w:rPr>
                <w:sz w:val="20"/>
                <w:szCs w:val="20"/>
                <w:color w:val="auto"/>
              </w:rPr>
            </w:pPr>
            <w:r>
              <w:rPr>
                <w:rFonts w:ascii="Arial" w:cs="Arial" w:eastAsia="Arial" w:hAnsi="Arial"/>
                <w:sz w:val="14"/>
                <w:szCs w:val="14"/>
                <w:color w:val="1F2668"/>
              </w:rPr>
              <w:t xml:space="preserve">2022 </w:t>
            </w:r>
            <w:r>
              <w:rPr>
                <w:rFonts w:ascii="Arial" w:cs="Arial" w:eastAsia="Arial" w:hAnsi="Arial"/>
                <w:sz w:val="28"/>
                <w:szCs w:val="28"/>
                <w:color w:val="1F2668"/>
                <w:vertAlign w:val="subscript"/>
              </w:rPr>
              <w:t>​​</w:t>
            </w:r>
          </w:p>
        </w:tc>
        <w:tc>
          <w:tcPr>
            <w:tcW w:w="660" w:type="dxa"/>
            <w:vAlign w:val="bottom"/>
            <w:gridSpan w:val="4"/>
          </w:tcPr>
          <w:p>
            <w:pPr>
              <w:ind w:left="120"/>
              <w:spacing w:after="0" w:line="263" w:lineRule="exact"/>
              <w:rPr>
                <w:sz w:val="20"/>
                <w:szCs w:val="20"/>
                <w:color w:val="auto"/>
              </w:rPr>
            </w:pPr>
            <w:r>
              <w:rPr>
                <w:rFonts w:ascii="Arial" w:cs="Arial" w:eastAsia="Arial" w:hAnsi="Arial"/>
                <w:sz w:val="14"/>
                <w:szCs w:val="14"/>
                <w:color w:val="1F2668"/>
              </w:rPr>
              <w:t xml:space="preserve">2021 </w:t>
            </w:r>
            <w:r>
              <w:rPr>
                <w:rFonts w:ascii="Arial" w:cs="Arial" w:eastAsia="Arial" w:hAnsi="Arial"/>
                <w:sz w:val="28"/>
                <w:szCs w:val="28"/>
                <w:color w:val="1F2668"/>
                <w:vertAlign w:val="subscript"/>
              </w:rPr>
              <w:t>​​</w:t>
            </w:r>
          </w:p>
        </w:tc>
        <w:tc>
          <w:tcPr>
            <w:tcW w:w="1280" w:type="dxa"/>
            <w:vAlign w:val="bottom"/>
            <w:gridSpan w:val="2"/>
          </w:tcPr>
          <w:p>
            <w:pPr>
              <w:jc w:val="right"/>
              <w:ind w:right="800"/>
              <w:spacing w:after="0" w:line="263" w:lineRule="exact"/>
              <w:rPr>
                <w:sz w:val="20"/>
                <w:szCs w:val="20"/>
                <w:color w:val="auto"/>
              </w:rPr>
            </w:pPr>
            <w:r>
              <w:rPr>
                <w:rFonts w:ascii="Arial" w:cs="Arial" w:eastAsia="Arial" w:hAnsi="Arial"/>
                <w:sz w:val="14"/>
                <w:szCs w:val="14"/>
                <w:color w:val="1F2668"/>
              </w:rPr>
              <w:t>2020</w:t>
            </w:r>
            <w:r>
              <w:rPr>
                <w:rFonts w:ascii="Arial" w:cs="Arial" w:eastAsia="Arial" w:hAnsi="Arial"/>
                <w:sz w:val="28"/>
                <w:szCs w:val="28"/>
                <w:color w:val="1F2668"/>
                <w:vertAlign w:val="subscript"/>
              </w:rPr>
              <w:t>​</w:t>
            </w:r>
          </w:p>
        </w:tc>
      </w:tr>
      <w:tr>
        <w:trPr>
          <w:trHeight w:val="20"/>
        </w:trPr>
        <w:tc>
          <w:tcPr>
            <w:tcW w:w="8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1F2668"/>
          </w:tcPr>
          <w:p>
            <w:pPr>
              <w:spacing w:after="0" w:line="20" w:lineRule="exact"/>
              <w:rPr>
                <w:sz w:val="1"/>
                <w:szCs w:val="1"/>
                <w:color w:val="auto"/>
              </w:rPr>
            </w:pPr>
          </w:p>
        </w:tc>
        <w:tc>
          <w:tcPr>
            <w:tcW w:w="460" w:type="dxa"/>
            <w:vAlign w:val="bottom"/>
            <w:shd w:val="clear" w:color="auto" w:fill="1F266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1F2668"/>
          </w:tcPr>
          <w:p>
            <w:pPr>
              <w:spacing w:after="0" w:line="20" w:lineRule="exact"/>
              <w:rPr>
                <w:sz w:val="1"/>
                <w:szCs w:val="1"/>
                <w:color w:val="auto"/>
              </w:rPr>
            </w:pPr>
          </w:p>
        </w:tc>
        <w:tc>
          <w:tcPr>
            <w:tcW w:w="420" w:type="dxa"/>
            <w:vAlign w:val="bottom"/>
            <w:shd w:val="clear" w:color="auto" w:fill="1F266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1F2668"/>
          </w:tcPr>
          <w:p>
            <w:pPr>
              <w:spacing w:after="0" w:line="20" w:lineRule="exact"/>
              <w:rPr>
                <w:sz w:val="1"/>
                <w:szCs w:val="1"/>
                <w:color w:val="auto"/>
              </w:rPr>
            </w:pPr>
          </w:p>
        </w:tc>
        <w:tc>
          <w:tcPr>
            <w:tcW w:w="420" w:type="dxa"/>
            <w:vAlign w:val="bottom"/>
            <w:shd w:val="clear" w:color="auto" w:fill="1F266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1F2668"/>
          </w:tcPr>
          <w:p>
            <w:pPr>
              <w:spacing w:after="0" w:line="20" w:lineRule="exact"/>
              <w:rPr>
                <w:sz w:val="1"/>
                <w:szCs w:val="1"/>
                <w:color w:val="auto"/>
              </w:rPr>
            </w:pPr>
          </w:p>
        </w:tc>
        <w:tc>
          <w:tcPr>
            <w:tcW w:w="44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shd w:val="clear" w:color="auto" w:fill="1F2668"/>
          </w:tcPr>
          <w:p>
            <w:pPr>
              <w:spacing w:after="0" w:line="20" w:lineRule="exact"/>
              <w:rPr>
                <w:sz w:val="1"/>
                <w:szCs w:val="1"/>
                <w:color w:val="auto"/>
              </w:rPr>
            </w:pPr>
          </w:p>
        </w:tc>
        <w:tc>
          <w:tcPr>
            <w:tcW w:w="440" w:type="dxa"/>
            <w:vAlign w:val="bottom"/>
            <w:shd w:val="clear" w:color="auto" w:fill="1F266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77"/>
        </w:trPr>
        <w:tc>
          <w:tcPr>
            <w:tcW w:w="82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Arial" w:cs="Arial" w:eastAsia="Arial" w:hAnsi="Arial"/>
                <w:sz w:val="16"/>
                <w:szCs w:val="16"/>
                <w:color w:val="1F2668"/>
              </w:rPr>
              <w:t>Offered Engagement to stockholders representing approx.</w:t>
            </w:r>
          </w:p>
        </w:tc>
        <w:tc>
          <w:tcPr>
            <w:tcW w:w="2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700" w:type="dxa"/>
            <w:vAlign w:val="bottom"/>
            <w:gridSpan w:val="3"/>
          </w:tcPr>
          <w:p>
            <w:pPr>
              <w:ind w:left="120"/>
              <w:spacing w:after="0" w:line="276" w:lineRule="exact"/>
              <w:rPr>
                <w:sz w:val="20"/>
                <w:szCs w:val="20"/>
                <w:color w:val="auto"/>
              </w:rPr>
            </w:pPr>
            <w:r>
              <w:rPr>
                <w:rFonts w:ascii="Arial" w:cs="Arial" w:eastAsia="Arial" w:hAnsi="Arial"/>
                <w:sz w:val="16"/>
                <w:szCs w:val="16"/>
                <w:color w:val="auto"/>
              </w:rPr>
              <w:t>​</w:t>
            </w:r>
            <w:r>
              <w:rPr>
                <w:rFonts w:ascii="Arial" w:cs="Arial" w:eastAsia="Arial" w:hAnsi="Arial"/>
                <w:sz w:val="32"/>
                <w:szCs w:val="32"/>
                <w:b w:val="1"/>
                <w:bCs w:val="1"/>
                <w:color w:val="auto"/>
                <w:vertAlign w:val="superscript"/>
              </w:rPr>
              <w:t>​68%</w:t>
            </w:r>
            <w:r>
              <w:rPr>
                <w:rFonts w:ascii="Arial" w:cs="Arial" w:eastAsia="Arial" w:hAnsi="Arial"/>
                <w:sz w:val="16"/>
                <w:szCs w:val="16"/>
                <w:color w:val="auto"/>
              </w:rPr>
              <w:t>​​​</w:t>
            </w:r>
          </w:p>
        </w:tc>
        <w:tc>
          <w:tcPr>
            <w:tcW w:w="660" w:type="dxa"/>
            <w:vAlign w:val="bottom"/>
            <w:gridSpan w:val="3"/>
          </w:tcPr>
          <w:p>
            <w:pPr>
              <w:ind w:left="80"/>
              <w:spacing w:after="0" w:line="276" w:lineRule="exact"/>
              <w:rPr>
                <w:sz w:val="20"/>
                <w:szCs w:val="20"/>
                <w:color w:val="auto"/>
              </w:rPr>
            </w:pPr>
            <w:r>
              <w:rPr>
                <w:rFonts w:ascii="Arial" w:cs="Arial" w:eastAsia="Arial" w:hAnsi="Arial"/>
                <w:sz w:val="16"/>
                <w:szCs w:val="16"/>
                <w:color w:val="auto"/>
              </w:rPr>
              <w:t>​</w:t>
            </w:r>
            <w:r>
              <w:rPr>
                <w:rFonts w:ascii="Arial" w:cs="Arial" w:eastAsia="Arial" w:hAnsi="Arial"/>
                <w:sz w:val="32"/>
                <w:szCs w:val="32"/>
                <w:b w:val="1"/>
                <w:bCs w:val="1"/>
                <w:color w:val="auto"/>
                <w:vertAlign w:val="superscript"/>
              </w:rPr>
              <w:t>​75%</w:t>
            </w:r>
            <w:r>
              <w:rPr>
                <w:rFonts w:ascii="Arial" w:cs="Arial" w:eastAsia="Arial" w:hAnsi="Arial"/>
                <w:sz w:val="16"/>
                <w:szCs w:val="16"/>
                <w:color w:val="auto"/>
              </w:rPr>
              <w:t>​​​</w:t>
            </w:r>
          </w:p>
        </w:tc>
        <w:tc>
          <w:tcPr>
            <w:tcW w:w="660" w:type="dxa"/>
            <w:vAlign w:val="bottom"/>
            <w:gridSpan w:val="3"/>
          </w:tcPr>
          <w:p>
            <w:pPr>
              <w:ind w:left="80"/>
              <w:spacing w:after="0" w:line="276" w:lineRule="exact"/>
              <w:rPr>
                <w:sz w:val="20"/>
                <w:szCs w:val="20"/>
                <w:color w:val="auto"/>
              </w:rPr>
            </w:pPr>
            <w:r>
              <w:rPr>
                <w:rFonts w:ascii="Arial" w:cs="Arial" w:eastAsia="Arial" w:hAnsi="Arial"/>
                <w:sz w:val="16"/>
                <w:szCs w:val="16"/>
                <w:color w:val="auto"/>
              </w:rPr>
              <w:t>​</w:t>
            </w:r>
            <w:r>
              <w:rPr>
                <w:rFonts w:ascii="Arial" w:cs="Arial" w:eastAsia="Arial" w:hAnsi="Arial"/>
                <w:sz w:val="32"/>
                <w:szCs w:val="32"/>
                <w:b w:val="1"/>
                <w:bCs w:val="1"/>
                <w:color w:val="auto"/>
                <w:vertAlign w:val="superscript"/>
              </w:rPr>
              <w:t>​66%</w:t>
            </w:r>
            <w:r>
              <w:rPr>
                <w:rFonts w:ascii="Arial" w:cs="Arial" w:eastAsia="Arial" w:hAnsi="Arial"/>
                <w:sz w:val="16"/>
                <w:szCs w:val="16"/>
                <w:color w:val="auto"/>
              </w:rPr>
              <w:t>​​​</w:t>
            </w:r>
          </w:p>
        </w:tc>
        <w:tc>
          <w:tcPr>
            <w:tcW w:w="660" w:type="dxa"/>
            <w:vAlign w:val="bottom"/>
            <w:gridSpan w:val="4"/>
          </w:tcPr>
          <w:p>
            <w:pPr>
              <w:ind w:left="100"/>
              <w:spacing w:after="0" w:line="276" w:lineRule="exact"/>
              <w:rPr>
                <w:sz w:val="20"/>
                <w:szCs w:val="20"/>
                <w:color w:val="auto"/>
              </w:rPr>
            </w:pPr>
            <w:r>
              <w:rPr>
                <w:rFonts w:ascii="Arial" w:cs="Arial" w:eastAsia="Arial" w:hAnsi="Arial"/>
                <w:sz w:val="16"/>
                <w:szCs w:val="16"/>
                <w:color w:val="auto"/>
              </w:rPr>
              <w:t>​</w:t>
            </w:r>
            <w:r>
              <w:rPr>
                <w:rFonts w:ascii="Arial" w:cs="Arial" w:eastAsia="Arial" w:hAnsi="Arial"/>
                <w:sz w:val="32"/>
                <w:szCs w:val="32"/>
                <w:b w:val="1"/>
                <w:bCs w:val="1"/>
                <w:color w:val="auto"/>
                <w:vertAlign w:val="superscript"/>
              </w:rPr>
              <w:t>​65%</w:t>
            </w:r>
            <w:r>
              <w:rPr>
                <w:rFonts w:ascii="Arial" w:cs="Arial" w:eastAsia="Arial" w:hAnsi="Arial"/>
                <w:sz w:val="16"/>
                <w:szCs w:val="16"/>
                <w:color w:val="auto"/>
              </w:rPr>
              <w:t>​​​</w:t>
            </w:r>
          </w:p>
        </w:tc>
        <w:tc>
          <w:tcPr>
            <w:tcW w:w="1280" w:type="dxa"/>
            <w:vAlign w:val="bottom"/>
            <w:gridSpan w:val="2"/>
          </w:tcPr>
          <w:p>
            <w:pPr>
              <w:jc w:val="right"/>
              <w:ind w:right="78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b w:val="1"/>
                <w:bCs w:val="1"/>
                <w:color w:val="auto"/>
              </w:rPr>
              <w:t>​65%</w:t>
            </w:r>
            <w:r>
              <w:rPr>
                <w:rFonts w:ascii="Arial" w:cs="Arial" w:eastAsia="Arial" w:hAnsi="Arial"/>
                <w:sz w:val="32"/>
                <w:szCs w:val="32"/>
                <w:color w:val="auto"/>
                <w:vertAlign w:val="subscript"/>
              </w:rPr>
              <w:t>​</w:t>
            </w:r>
          </w:p>
        </w:tc>
      </w:tr>
      <w:tr>
        <w:trPr>
          <w:trHeight w:val="20"/>
        </w:trPr>
        <w:tc>
          <w:tcPr>
            <w:tcW w:w="820" w:type="dxa"/>
            <w:vAlign w:val="bottom"/>
          </w:tcPr>
          <w:p>
            <w:pPr>
              <w:spacing w:after="0" w:line="20" w:lineRule="exact"/>
              <w:rPr>
                <w:sz w:val="1"/>
                <w:szCs w:val="1"/>
                <w:color w:val="auto"/>
              </w:rPr>
            </w:pPr>
          </w:p>
        </w:tc>
        <w:tc>
          <w:tcPr>
            <w:tcW w:w="574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46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4B5088"/>
          </w:tcPr>
          <w:p>
            <w:pPr>
              <w:spacing w:after="0" w:line="20" w:lineRule="exact"/>
              <w:rPr>
                <w:sz w:val="1"/>
                <w:szCs w:val="1"/>
                <w:color w:val="auto"/>
              </w:rPr>
            </w:pPr>
          </w:p>
        </w:tc>
        <w:tc>
          <w:tcPr>
            <w:tcW w:w="42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4B5088"/>
          </w:tcPr>
          <w:p>
            <w:pPr>
              <w:spacing w:after="0" w:line="20" w:lineRule="exact"/>
              <w:rPr>
                <w:sz w:val="1"/>
                <w:szCs w:val="1"/>
                <w:color w:val="auto"/>
              </w:rPr>
            </w:pPr>
          </w:p>
        </w:tc>
        <w:tc>
          <w:tcPr>
            <w:tcW w:w="42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4B5088"/>
          </w:tcPr>
          <w:p>
            <w:pPr>
              <w:spacing w:after="0" w:line="20" w:lineRule="exact"/>
              <w:rPr>
                <w:sz w:val="1"/>
                <w:szCs w:val="1"/>
                <w:color w:val="auto"/>
              </w:rPr>
            </w:pPr>
          </w:p>
        </w:tc>
        <w:tc>
          <w:tcPr>
            <w:tcW w:w="4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440" w:type="dxa"/>
            <w:vAlign w:val="bottom"/>
            <w:shd w:val="clear" w:color="auto" w:fill="4B5088"/>
          </w:tcPr>
          <w:p>
            <w:pPr>
              <w:spacing w:after="0" w:line="20" w:lineRule="exact"/>
              <w:rPr>
                <w:sz w:val="1"/>
                <w:szCs w:val="1"/>
                <w:color w:val="auto"/>
              </w:rPr>
            </w:pPr>
          </w:p>
        </w:tc>
        <w:tc>
          <w:tcPr>
            <w:tcW w:w="840" w:type="dxa"/>
            <w:vAlign w:val="bottom"/>
            <w:tcBorders>
              <w:left w:val="single" w:sz="8" w:color="4B5088"/>
            </w:tcBorders>
          </w:tcPr>
          <w:p>
            <w:pPr>
              <w:spacing w:after="0" w:line="20" w:lineRule="exact"/>
              <w:rPr>
                <w:sz w:val="1"/>
                <w:szCs w:val="1"/>
                <w:color w:val="auto"/>
              </w:rPr>
            </w:pPr>
          </w:p>
        </w:tc>
      </w:tr>
      <w:tr>
        <w:trPr>
          <w:trHeight w:val="277"/>
        </w:trPr>
        <w:tc>
          <w:tcPr>
            <w:tcW w:w="82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Arial" w:cs="Arial" w:eastAsia="Arial" w:hAnsi="Arial"/>
                <w:sz w:val="16"/>
                <w:szCs w:val="16"/>
                <w:color w:val="1F2668"/>
              </w:rPr>
              <w:t>Had one-on-one discussions with stockholders representing approx.</w:t>
            </w:r>
          </w:p>
        </w:tc>
        <w:tc>
          <w:tcPr>
            <w:tcW w:w="2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700" w:type="dxa"/>
            <w:vAlign w:val="bottom"/>
            <w:gridSpan w:val="3"/>
          </w:tcPr>
          <w:p>
            <w:pPr>
              <w:ind w:left="120"/>
              <w:spacing w:after="0" w:line="276" w:lineRule="exact"/>
              <w:rPr>
                <w:sz w:val="20"/>
                <w:szCs w:val="20"/>
                <w:color w:val="auto"/>
              </w:rPr>
            </w:pPr>
            <w:r>
              <w:rPr>
                <w:rFonts w:ascii="Arial" w:cs="Arial" w:eastAsia="Arial" w:hAnsi="Arial"/>
                <w:sz w:val="16"/>
                <w:szCs w:val="16"/>
                <w:color w:val="auto"/>
              </w:rPr>
              <w:t>​</w:t>
            </w:r>
            <w:r>
              <w:rPr>
                <w:rFonts w:ascii="Arial" w:cs="Arial" w:eastAsia="Arial" w:hAnsi="Arial"/>
                <w:sz w:val="32"/>
                <w:szCs w:val="32"/>
                <w:b w:val="1"/>
                <w:bCs w:val="1"/>
                <w:color w:val="auto"/>
                <w:vertAlign w:val="superscript"/>
              </w:rPr>
              <w:t>​44%</w:t>
            </w:r>
            <w:r>
              <w:rPr>
                <w:rFonts w:ascii="Arial" w:cs="Arial" w:eastAsia="Arial" w:hAnsi="Arial"/>
                <w:sz w:val="16"/>
                <w:szCs w:val="16"/>
                <w:color w:val="auto"/>
              </w:rPr>
              <w:t>​​​</w:t>
            </w:r>
          </w:p>
        </w:tc>
        <w:tc>
          <w:tcPr>
            <w:tcW w:w="660" w:type="dxa"/>
            <w:vAlign w:val="bottom"/>
            <w:gridSpan w:val="3"/>
          </w:tcPr>
          <w:p>
            <w:pPr>
              <w:ind w:left="80"/>
              <w:spacing w:after="0" w:line="276" w:lineRule="exact"/>
              <w:rPr>
                <w:sz w:val="20"/>
                <w:szCs w:val="20"/>
                <w:color w:val="auto"/>
              </w:rPr>
            </w:pPr>
            <w:r>
              <w:rPr>
                <w:rFonts w:ascii="Arial" w:cs="Arial" w:eastAsia="Arial" w:hAnsi="Arial"/>
                <w:sz w:val="16"/>
                <w:szCs w:val="16"/>
                <w:color w:val="auto"/>
              </w:rPr>
              <w:t>​</w:t>
            </w:r>
            <w:r>
              <w:rPr>
                <w:rFonts w:ascii="Arial" w:cs="Arial" w:eastAsia="Arial" w:hAnsi="Arial"/>
                <w:sz w:val="32"/>
                <w:szCs w:val="32"/>
                <w:b w:val="1"/>
                <w:bCs w:val="1"/>
                <w:color w:val="auto"/>
                <w:vertAlign w:val="superscript"/>
              </w:rPr>
              <w:t>​69%</w:t>
            </w:r>
            <w:r>
              <w:rPr>
                <w:rFonts w:ascii="Arial" w:cs="Arial" w:eastAsia="Arial" w:hAnsi="Arial"/>
                <w:sz w:val="16"/>
                <w:szCs w:val="16"/>
                <w:color w:val="auto"/>
              </w:rPr>
              <w:t>​​​</w:t>
            </w:r>
          </w:p>
        </w:tc>
        <w:tc>
          <w:tcPr>
            <w:tcW w:w="660" w:type="dxa"/>
            <w:vAlign w:val="bottom"/>
            <w:gridSpan w:val="3"/>
          </w:tcPr>
          <w:p>
            <w:pPr>
              <w:ind w:left="80"/>
              <w:spacing w:after="0" w:line="276" w:lineRule="exact"/>
              <w:rPr>
                <w:sz w:val="20"/>
                <w:szCs w:val="20"/>
                <w:color w:val="auto"/>
              </w:rPr>
            </w:pPr>
            <w:r>
              <w:rPr>
                <w:rFonts w:ascii="Arial" w:cs="Arial" w:eastAsia="Arial" w:hAnsi="Arial"/>
                <w:sz w:val="16"/>
                <w:szCs w:val="16"/>
                <w:color w:val="auto"/>
              </w:rPr>
              <w:t>​</w:t>
            </w:r>
            <w:r>
              <w:rPr>
                <w:rFonts w:ascii="Arial" w:cs="Arial" w:eastAsia="Arial" w:hAnsi="Arial"/>
                <w:sz w:val="32"/>
                <w:szCs w:val="32"/>
                <w:b w:val="1"/>
                <w:bCs w:val="1"/>
                <w:color w:val="auto"/>
                <w:vertAlign w:val="superscript"/>
              </w:rPr>
              <w:t>​30%</w:t>
            </w:r>
            <w:r>
              <w:rPr>
                <w:rFonts w:ascii="Arial" w:cs="Arial" w:eastAsia="Arial" w:hAnsi="Arial"/>
                <w:sz w:val="16"/>
                <w:szCs w:val="16"/>
                <w:color w:val="auto"/>
              </w:rPr>
              <w:t>​​​</w:t>
            </w:r>
          </w:p>
        </w:tc>
        <w:tc>
          <w:tcPr>
            <w:tcW w:w="660" w:type="dxa"/>
            <w:vAlign w:val="bottom"/>
            <w:gridSpan w:val="4"/>
          </w:tcPr>
          <w:p>
            <w:pPr>
              <w:ind w:left="100"/>
              <w:spacing w:after="0" w:line="276" w:lineRule="exact"/>
              <w:rPr>
                <w:sz w:val="20"/>
                <w:szCs w:val="20"/>
                <w:color w:val="auto"/>
              </w:rPr>
            </w:pPr>
            <w:r>
              <w:rPr>
                <w:rFonts w:ascii="Arial" w:cs="Arial" w:eastAsia="Arial" w:hAnsi="Arial"/>
                <w:sz w:val="16"/>
                <w:szCs w:val="16"/>
                <w:color w:val="auto"/>
              </w:rPr>
              <w:t>​</w:t>
            </w:r>
            <w:r>
              <w:rPr>
                <w:rFonts w:ascii="Arial" w:cs="Arial" w:eastAsia="Arial" w:hAnsi="Arial"/>
                <w:sz w:val="32"/>
                <w:szCs w:val="32"/>
                <w:b w:val="1"/>
                <w:bCs w:val="1"/>
                <w:color w:val="auto"/>
                <w:vertAlign w:val="superscript"/>
              </w:rPr>
              <w:t>​50%</w:t>
            </w:r>
            <w:r>
              <w:rPr>
                <w:rFonts w:ascii="Arial" w:cs="Arial" w:eastAsia="Arial" w:hAnsi="Arial"/>
                <w:sz w:val="16"/>
                <w:szCs w:val="16"/>
                <w:color w:val="auto"/>
              </w:rPr>
              <w:t>​​​</w:t>
            </w:r>
          </w:p>
        </w:tc>
        <w:tc>
          <w:tcPr>
            <w:tcW w:w="1280" w:type="dxa"/>
            <w:vAlign w:val="bottom"/>
            <w:gridSpan w:val="2"/>
          </w:tcPr>
          <w:p>
            <w:pPr>
              <w:jc w:val="right"/>
              <w:ind w:right="78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b w:val="1"/>
                <w:bCs w:val="1"/>
                <w:color w:val="auto"/>
              </w:rPr>
              <w:t>​41%</w:t>
            </w:r>
            <w:r>
              <w:rPr>
                <w:rFonts w:ascii="Arial" w:cs="Arial" w:eastAsia="Arial" w:hAnsi="Arial"/>
                <w:sz w:val="32"/>
                <w:szCs w:val="32"/>
                <w:color w:val="auto"/>
                <w:vertAlign w:val="subscript"/>
              </w:rPr>
              <w:t>​</w:t>
            </w:r>
          </w:p>
        </w:tc>
      </w:tr>
      <w:tr>
        <w:trPr>
          <w:trHeight w:val="20"/>
        </w:trPr>
        <w:tc>
          <w:tcPr>
            <w:tcW w:w="820" w:type="dxa"/>
            <w:vAlign w:val="bottom"/>
          </w:tcPr>
          <w:p>
            <w:pPr>
              <w:spacing w:after="0" w:line="20" w:lineRule="exact"/>
              <w:rPr>
                <w:sz w:val="1"/>
                <w:szCs w:val="1"/>
                <w:color w:val="auto"/>
              </w:rPr>
            </w:pPr>
          </w:p>
        </w:tc>
        <w:tc>
          <w:tcPr>
            <w:tcW w:w="574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46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4B5088"/>
          </w:tcPr>
          <w:p>
            <w:pPr>
              <w:spacing w:after="0" w:line="20" w:lineRule="exact"/>
              <w:rPr>
                <w:sz w:val="1"/>
                <w:szCs w:val="1"/>
                <w:color w:val="auto"/>
              </w:rPr>
            </w:pPr>
          </w:p>
        </w:tc>
        <w:tc>
          <w:tcPr>
            <w:tcW w:w="42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4B5088"/>
          </w:tcPr>
          <w:p>
            <w:pPr>
              <w:spacing w:after="0" w:line="20" w:lineRule="exact"/>
              <w:rPr>
                <w:sz w:val="1"/>
                <w:szCs w:val="1"/>
                <w:color w:val="auto"/>
              </w:rPr>
            </w:pPr>
          </w:p>
        </w:tc>
        <w:tc>
          <w:tcPr>
            <w:tcW w:w="42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4B5088"/>
          </w:tcPr>
          <w:p>
            <w:pPr>
              <w:spacing w:after="0" w:line="20" w:lineRule="exact"/>
              <w:rPr>
                <w:sz w:val="1"/>
                <w:szCs w:val="1"/>
                <w:color w:val="auto"/>
              </w:rPr>
            </w:pPr>
          </w:p>
        </w:tc>
        <w:tc>
          <w:tcPr>
            <w:tcW w:w="4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440" w:type="dxa"/>
            <w:vAlign w:val="bottom"/>
            <w:shd w:val="clear" w:color="auto" w:fill="4B5088"/>
          </w:tcPr>
          <w:p>
            <w:pPr>
              <w:spacing w:after="0" w:line="20" w:lineRule="exact"/>
              <w:rPr>
                <w:sz w:val="1"/>
                <w:szCs w:val="1"/>
                <w:color w:val="auto"/>
              </w:rPr>
            </w:pPr>
          </w:p>
        </w:tc>
        <w:tc>
          <w:tcPr>
            <w:tcW w:w="840" w:type="dxa"/>
            <w:vAlign w:val="bottom"/>
            <w:tcBorders>
              <w:left w:val="single" w:sz="8" w:color="4B5088"/>
            </w:tcBorders>
          </w:tcPr>
          <w:p>
            <w:pPr>
              <w:spacing w:after="0" w:line="20" w:lineRule="exact"/>
              <w:rPr>
                <w:sz w:val="1"/>
                <w:szCs w:val="1"/>
                <w:color w:val="auto"/>
              </w:rPr>
            </w:pPr>
          </w:p>
        </w:tc>
      </w:tr>
      <w:tr>
        <w:trPr>
          <w:trHeight w:val="277"/>
        </w:trPr>
        <w:tc>
          <w:tcPr>
            <w:tcW w:w="82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Arial" w:cs="Arial" w:eastAsia="Arial" w:hAnsi="Arial"/>
                <w:sz w:val="16"/>
                <w:szCs w:val="16"/>
                <w:color w:val="1F2668"/>
              </w:rPr>
              <w:t>Directors participated in calls with stockholders representing approx.</w:t>
            </w:r>
          </w:p>
        </w:tc>
        <w:tc>
          <w:tcPr>
            <w:tcW w:w="200" w:type="dxa"/>
            <w:vAlign w:val="bottom"/>
            <w:gridSpan w:val="2"/>
          </w:tcPr>
          <w:p>
            <w:pPr>
              <w:ind w:left="40"/>
              <w:spacing w:after="0"/>
              <w:rPr>
                <w:sz w:val="20"/>
                <w:szCs w:val="20"/>
                <w:color w:val="auto"/>
              </w:rPr>
            </w:pPr>
            <w:r>
              <w:rPr>
                <w:rFonts w:ascii="Arial" w:cs="Arial" w:eastAsia="Arial" w:hAnsi="Arial"/>
                <w:sz w:val="16"/>
                <w:szCs w:val="16"/>
                <w:b w:val="1"/>
                <w:bCs w:val="1"/>
                <w:color w:val="auto"/>
              </w:rPr>
              <w:t>​​</w:t>
            </w:r>
          </w:p>
        </w:tc>
        <w:tc>
          <w:tcPr>
            <w:tcW w:w="700" w:type="dxa"/>
            <w:vAlign w:val="bottom"/>
            <w:gridSpan w:val="3"/>
          </w:tcPr>
          <w:p>
            <w:pPr>
              <w:ind w:left="120"/>
              <w:spacing w:after="0" w:line="276"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b w:val="1"/>
                <w:bCs w:val="1"/>
                <w:color w:val="auto"/>
                <w:vertAlign w:val="superscript"/>
              </w:rPr>
              <w:t>​39%</w:t>
            </w:r>
            <w:r>
              <w:rPr>
                <w:rFonts w:ascii="Arial" w:cs="Arial" w:eastAsia="Arial" w:hAnsi="Arial"/>
                <w:sz w:val="16"/>
                <w:szCs w:val="16"/>
                <w:b w:val="1"/>
                <w:bCs w:val="1"/>
                <w:color w:val="auto"/>
              </w:rPr>
              <w:t>​​​</w:t>
            </w:r>
          </w:p>
        </w:tc>
        <w:tc>
          <w:tcPr>
            <w:tcW w:w="660" w:type="dxa"/>
            <w:vAlign w:val="bottom"/>
            <w:gridSpan w:val="3"/>
          </w:tcPr>
          <w:p>
            <w:pPr>
              <w:ind w:left="80"/>
              <w:spacing w:after="0" w:line="276"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b w:val="1"/>
                <w:bCs w:val="1"/>
                <w:color w:val="auto"/>
                <w:vertAlign w:val="superscript"/>
              </w:rPr>
              <w:t>​38%</w:t>
            </w:r>
            <w:r>
              <w:rPr>
                <w:rFonts w:ascii="Arial" w:cs="Arial" w:eastAsia="Arial" w:hAnsi="Arial"/>
                <w:sz w:val="16"/>
                <w:szCs w:val="16"/>
                <w:b w:val="1"/>
                <w:bCs w:val="1"/>
                <w:color w:val="auto"/>
              </w:rPr>
              <w:t>​​​</w:t>
            </w:r>
          </w:p>
        </w:tc>
        <w:tc>
          <w:tcPr>
            <w:tcW w:w="660" w:type="dxa"/>
            <w:vAlign w:val="bottom"/>
            <w:gridSpan w:val="3"/>
          </w:tcPr>
          <w:p>
            <w:pPr>
              <w:ind w:left="80"/>
              <w:spacing w:after="0" w:line="276"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b w:val="1"/>
                <w:bCs w:val="1"/>
                <w:color w:val="auto"/>
                <w:vertAlign w:val="superscript"/>
              </w:rPr>
              <w:t>​29%</w:t>
            </w:r>
            <w:r>
              <w:rPr>
                <w:rFonts w:ascii="Arial" w:cs="Arial" w:eastAsia="Arial" w:hAnsi="Arial"/>
                <w:sz w:val="16"/>
                <w:szCs w:val="16"/>
                <w:b w:val="1"/>
                <w:bCs w:val="1"/>
                <w:color w:val="auto"/>
              </w:rPr>
              <w:t>​​​</w:t>
            </w:r>
          </w:p>
        </w:tc>
        <w:tc>
          <w:tcPr>
            <w:tcW w:w="660" w:type="dxa"/>
            <w:vAlign w:val="bottom"/>
            <w:gridSpan w:val="4"/>
          </w:tcPr>
          <w:p>
            <w:pPr>
              <w:ind w:left="100"/>
              <w:spacing w:after="0" w:line="276"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b w:val="1"/>
                <w:bCs w:val="1"/>
                <w:color w:val="auto"/>
                <w:vertAlign w:val="superscript"/>
              </w:rPr>
              <w:t>​36%</w:t>
            </w:r>
            <w:r>
              <w:rPr>
                <w:rFonts w:ascii="Arial" w:cs="Arial" w:eastAsia="Arial" w:hAnsi="Arial"/>
                <w:sz w:val="16"/>
                <w:szCs w:val="16"/>
                <w:b w:val="1"/>
                <w:bCs w:val="1"/>
                <w:color w:val="auto"/>
              </w:rPr>
              <w:t>​​​</w:t>
            </w:r>
          </w:p>
        </w:tc>
        <w:tc>
          <w:tcPr>
            <w:tcW w:w="1280" w:type="dxa"/>
            <w:vAlign w:val="bottom"/>
            <w:gridSpan w:val="2"/>
          </w:tcPr>
          <w:p>
            <w:pPr>
              <w:jc w:val="right"/>
              <w:ind w:right="780"/>
              <w:spacing w:after="0" w:line="276"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b w:val="1"/>
                <w:bCs w:val="1"/>
                <w:color w:val="auto"/>
              </w:rPr>
              <w:t>​41%</w:t>
            </w:r>
            <w:r>
              <w:rPr>
                <w:rFonts w:ascii="Arial" w:cs="Arial" w:eastAsia="Arial" w:hAnsi="Arial"/>
                <w:sz w:val="32"/>
                <w:szCs w:val="32"/>
                <w:b w:val="1"/>
                <w:bCs w:val="1"/>
                <w:color w:val="auto"/>
                <w:vertAlign w:val="subscript"/>
              </w:rPr>
              <w:t>​</w:t>
            </w:r>
          </w:p>
        </w:tc>
      </w:tr>
      <w:tr>
        <w:trPr>
          <w:trHeight w:val="136"/>
        </w:trPr>
        <w:tc>
          <w:tcPr>
            <w:tcW w:w="820" w:type="dxa"/>
            <w:vAlign w:val="bottom"/>
            <w:tcBorders>
              <w:bottom w:val="single" w:sz="8" w:color="9A9A9A"/>
            </w:tcBorders>
          </w:tcPr>
          <w:p>
            <w:pPr>
              <w:spacing w:after="0"/>
              <w:rPr>
                <w:sz w:val="11"/>
                <w:szCs w:val="11"/>
                <w:color w:val="auto"/>
              </w:rPr>
            </w:pPr>
          </w:p>
        </w:tc>
        <w:tc>
          <w:tcPr>
            <w:tcW w:w="5740" w:type="dxa"/>
            <w:vAlign w:val="bottom"/>
            <w:tcBorders>
              <w:top w:val="single" w:sz="8" w:color="1F2668"/>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80" w:type="dxa"/>
            <w:vAlign w:val="bottom"/>
            <w:tcBorders>
              <w:top w:val="single" w:sz="8" w:color="1F2668"/>
              <w:bottom w:val="single" w:sz="8" w:color="9A9A9A"/>
            </w:tcBorders>
          </w:tcPr>
          <w:p>
            <w:pPr>
              <w:spacing w:after="0"/>
              <w:rPr>
                <w:sz w:val="11"/>
                <w:szCs w:val="11"/>
                <w:color w:val="auto"/>
              </w:rPr>
            </w:pPr>
          </w:p>
        </w:tc>
        <w:tc>
          <w:tcPr>
            <w:tcW w:w="460" w:type="dxa"/>
            <w:vAlign w:val="bottom"/>
            <w:tcBorders>
              <w:top w:val="single" w:sz="8" w:color="1F2668"/>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20" w:type="dxa"/>
            <w:vAlign w:val="bottom"/>
            <w:tcBorders>
              <w:top w:val="single" w:sz="8" w:color="1F2668"/>
              <w:bottom w:val="single" w:sz="8" w:color="9A9A9A"/>
            </w:tcBorders>
          </w:tcPr>
          <w:p>
            <w:pPr>
              <w:spacing w:after="0"/>
              <w:rPr>
                <w:sz w:val="11"/>
                <w:szCs w:val="11"/>
                <w:color w:val="auto"/>
              </w:rPr>
            </w:pPr>
          </w:p>
        </w:tc>
        <w:tc>
          <w:tcPr>
            <w:tcW w:w="420" w:type="dxa"/>
            <w:vAlign w:val="bottom"/>
            <w:tcBorders>
              <w:top w:val="single" w:sz="8" w:color="1F2668"/>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20" w:type="dxa"/>
            <w:vAlign w:val="bottom"/>
            <w:tcBorders>
              <w:top w:val="single" w:sz="8" w:color="1F2668"/>
              <w:bottom w:val="single" w:sz="8" w:color="9A9A9A"/>
            </w:tcBorders>
          </w:tcPr>
          <w:p>
            <w:pPr>
              <w:spacing w:after="0"/>
              <w:rPr>
                <w:sz w:val="11"/>
                <w:szCs w:val="11"/>
                <w:color w:val="auto"/>
              </w:rPr>
            </w:pPr>
          </w:p>
        </w:tc>
        <w:tc>
          <w:tcPr>
            <w:tcW w:w="420" w:type="dxa"/>
            <w:vAlign w:val="bottom"/>
            <w:tcBorders>
              <w:top w:val="single" w:sz="8" w:color="1F2668"/>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20" w:type="dxa"/>
            <w:vAlign w:val="bottom"/>
            <w:tcBorders>
              <w:top w:val="single" w:sz="8" w:color="1F2668"/>
              <w:bottom w:val="single" w:sz="8" w:color="9A9A9A"/>
            </w:tcBorders>
          </w:tcPr>
          <w:p>
            <w:pPr>
              <w:spacing w:after="0"/>
              <w:rPr>
                <w:sz w:val="11"/>
                <w:szCs w:val="11"/>
                <w:color w:val="auto"/>
              </w:rPr>
            </w:pPr>
          </w:p>
        </w:tc>
        <w:tc>
          <w:tcPr>
            <w:tcW w:w="440" w:type="dxa"/>
            <w:vAlign w:val="bottom"/>
            <w:tcBorders>
              <w:top w:val="single" w:sz="8" w:color="1F2668"/>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00" w:type="dxa"/>
            <w:vAlign w:val="bottom"/>
            <w:tcBorders>
              <w:top w:val="single" w:sz="8" w:color="1F2668"/>
              <w:bottom w:val="single" w:sz="8" w:color="9A9A9A"/>
            </w:tcBorders>
          </w:tcPr>
          <w:p>
            <w:pPr>
              <w:spacing w:after="0"/>
              <w:rPr>
                <w:sz w:val="11"/>
                <w:szCs w:val="11"/>
                <w:color w:val="auto"/>
              </w:rPr>
            </w:pPr>
          </w:p>
        </w:tc>
        <w:tc>
          <w:tcPr>
            <w:tcW w:w="440" w:type="dxa"/>
            <w:vAlign w:val="bottom"/>
            <w:tcBorders>
              <w:top w:val="single" w:sz="8" w:color="1F2668"/>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5100" w:type="dxa"/>
            <w:vAlign w:val="bottom"/>
          </w:tcPr>
          <w:p>
            <w:pPr>
              <w:spacing w:after="0"/>
              <w:rPr>
                <w:sz w:val="20"/>
                <w:szCs w:val="20"/>
                <w:color w:val="auto"/>
              </w:rPr>
            </w:pPr>
            <w:r>
              <w:rPr>
                <w:rFonts w:ascii="Arial" w:cs="Arial" w:eastAsia="Arial" w:hAnsi="Arial"/>
                <w:sz w:val="14"/>
                <w:szCs w:val="14"/>
                <w:b w:val="1"/>
                <w:bCs w:val="1"/>
                <w:color w:val="auto"/>
              </w:rPr>
              <w:t>​</w:t>
            </w:r>
          </w:p>
        </w:tc>
        <w:tc>
          <w:tcPr>
            <w:tcW w:w="3480" w:type="dxa"/>
            <w:vAlign w:val="bottom"/>
          </w:tcPr>
          <w:p>
            <w:pPr>
              <w:ind w:left="3100"/>
              <w:spacing w:after="0"/>
              <w:rPr>
                <w:sz w:val="20"/>
                <w:szCs w:val="20"/>
                <w:color w:val="auto"/>
              </w:rPr>
            </w:pPr>
            <w:r>
              <w:rPr>
                <w:rFonts w:ascii="Arial" w:cs="Arial" w:eastAsia="Arial" w:hAnsi="Arial"/>
                <w:sz w:val="14"/>
                <w:szCs w:val="14"/>
                <w:b w:val="1"/>
                <w:bCs w:val="1"/>
                <w:color w:val="auto"/>
              </w:rPr>
              <w:t>​ ​</w:t>
            </w:r>
          </w:p>
        </w:tc>
        <w:tc>
          <w:tcPr>
            <w:tcW w:w="480" w:type="dxa"/>
            <w:vAlign w:val="bottom"/>
            <w:vMerge w:val="restart"/>
          </w:tcPr>
          <w:p>
            <w:pPr>
              <w:jc w:val="right"/>
              <w:spacing w:after="0"/>
              <w:rPr>
                <w:sz w:val="20"/>
                <w:szCs w:val="20"/>
                <w:color w:val="auto"/>
              </w:rPr>
            </w:pPr>
            <w:r>
              <w:rPr>
                <w:rFonts w:ascii="Arial" w:cs="Arial" w:eastAsia="Arial" w:hAnsi="Arial"/>
                <w:sz w:val="22"/>
                <w:szCs w:val="22"/>
                <w:b w:val="1"/>
                <w:bCs w:val="1"/>
                <w:color w:val="1F2668"/>
              </w:rPr>
              <w:t>45</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5100" w:type="dxa"/>
            <w:vAlign w:val="bottom"/>
          </w:tcPr>
          <w:p>
            <w:pPr>
              <w:spacing w:after="0"/>
              <w:rPr>
                <w:sz w:val="20"/>
                <w:szCs w:val="20"/>
                <w:color w:val="auto"/>
              </w:rPr>
            </w:pPr>
            <w:r>
              <w:rPr>
                <w:rFonts w:ascii="Arial" w:cs="Arial" w:eastAsia="Arial" w:hAnsi="Arial"/>
                <w:sz w:val="14"/>
                <w:szCs w:val="14"/>
                <w:b w:val="1"/>
                <w:bCs w:val="1"/>
                <w:color w:val="auto"/>
              </w:rPr>
              <w:t>EXECUTIVE COMPENSATION</w:t>
            </w:r>
          </w:p>
        </w:tc>
        <w:tc>
          <w:tcPr>
            <w:tcW w:w="348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57" w:lineRule="exact"/>
        <w:rPr>
          <w:sz w:val="20"/>
          <w:szCs w:val="20"/>
          <w:color w:val="auto"/>
        </w:rPr>
      </w:pPr>
    </w:p>
    <w:p>
      <w:pPr>
        <w:ind w:left="820" w:right="480"/>
        <w:spacing w:after="0" w:line="295" w:lineRule="auto"/>
        <w:rPr>
          <w:sz w:val="20"/>
          <w:szCs w:val="20"/>
          <w:color w:val="auto"/>
        </w:rPr>
      </w:pPr>
      <w:r>
        <w:rPr>
          <w:rFonts w:ascii="Arial" w:cs="Arial" w:eastAsia="Arial" w:hAnsi="Arial"/>
          <w:sz w:val="16"/>
          <w:szCs w:val="16"/>
          <w:b w:val="1"/>
          <w:bCs w:val="1"/>
          <w:color w:val="auto"/>
        </w:rPr>
        <w:t xml:space="preserve">Stockholder feedback </w:t>
      </w:r>
      <w:r>
        <w:rPr>
          <w:rFonts w:ascii="Arial" w:cs="Arial" w:eastAsia="Arial" w:hAnsi="Arial"/>
          <w:sz w:val="16"/>
          <w:szCs w:val="16"/>
          <w:color w:val="auto"/>
        </w:rPr>
        <w:t>over the last several years, as well as during the design of our CEO’s new employment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informed the final structure of the agreement. That feedback, together with the Committee’s prior commitment, incorporated elements that appropriately incentivize and reward our CEO based on Company performance against preset goals. The highlights of our CEO’s new agreement include:</w:t>
      </w:r>
    </w:p>
    <w:p>
      <w:pPr>
        <w:sectPr>
          <w:pgSz w:w="11900" w:h="16838" w:orient="portrait"/>
          <w:cols w:equalWidth="0" w:num="1">
            <w:col w:w="9920"/>
          </w:cols>
          <w:pgMar w:left="580" w:top="97" w:right="1399" w:bottom="1440" w:gutter="0" w:footer="0" w:header="0"/>
        </w:sectPr>
      </w:pPr>
    </w:p>
    <w:p>
      <w:pPr>
        <w:spacing w:after="0" w:line="140"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460" w:type="dxa"/>
            <w:vAlign w:val="bottom"/>
            <w:gridSpan w:val="2"/>
          </w:tcPr>
          <w:p>
            <w:pPr>
              <w:ind w:left="60"/>
              <w:spacing w:after="0"/>
              <w:rPr>
                <w:sz w:val="20"/>
                <w:szCs w:val="20"/>
                <w:color w:val="auto"/>
              </w:rPr>
            </w:pPr>
            <w:r>
              <w:rPr>
                <w:rFonts w:ascii="Arial" w:cs="Arial" w:eastAsia="Arial" w:hAnsi="Arial"/>
                <w:sz w:val="14"/>
                <w:szCs w:val="14"/>
                <w:b w:val="1"/>
                <w:bCs w:val="1"/>
                <w:color w:val="1F2668"/>
              </w:rPr>
              <w:t>Pay</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gridSpan w:val="4"/>
          </w:tcPr>
          <w:p>
            <w:pPr>
              <w:spacing w:after="0"/>
              <w:rPr>
                <w:sz w:val="20"/>
                <w:szCs w:val="20"/>
                <w:color w:val="auto"/>
              </w:rPr>
            </w:pPr>
            <w:r>
              <w:rPr>
                <w:rFonts w:ascii="Arial" w:cs="Arial" w:eastAsia="Arial" w:hAnsi="Arial"/>
                <w:sz w:val="14"/>
                <w:szCs w:val="14"/>
                <w:b w:val="1"/>
                <w:bCs w:val="1"/>
                <w:color w:val="1F2668"/>
              </w:rPr>
              <w:t>​ Element</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8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gridSpan w:val="3"/>
            <w:vMerge w:val="restart"/>
            <w:textDirection w:val="btLr"/>
          </w:tcPr>
          <w:p>
            <w:pPr>
              <w:ind w:left="457"/>
              <w:spacing w:after="0"/>
              <w:rPr>
                <w:sz w:val="20"/>
                <w:szCs w:val="20"/>
                <w:color w:val="auto"/>
              </w:rPr>
            </w:pPr>
            <w:r>
              <w:rPr>
                <w:rFonts w:ascii="Arial" w:cs="Arial" w:eastAsia="Arial" w:hAnsi="Arial"/>
                <w:sz w:val="12"/>
                <w:szCs w:val="12"/>
                <w:b w:val="1"/>
                <w:bCs w:val="1"/>
                <w:color w:val="1F2668"/>
                <w:w w:val="75"/>
              </w:rPr>
              <w:t>Basesalary</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62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80" w:type="dxa"/>
            <w:vAlign w:val="bottom"/>
            <w:vMerge w:val="restart"/>
            <w:textDirection w:val="btLr"/>
          </w:tcPr>
          <w:p>
            <w:pPr>
              <w:spacing w:after="0"/>
              <w:rPr>
                <w:sz w:val="20"/>
                <w:szCs w:val="20"/>
                <w:color w:val="auto"/>
              </w:rPr>
            </w:pPr>
            <w:r>
              <w:rPr>
                <w:rFonts w:ascii="Arial" w:cs="Arial" w:eastAsia="Arial" w:hAnsi="Arial"/>
                <w:sz w:val="16"/>
                <w:szCs w:val="16"/>
                <w:b w:val="1"/>
                <w:bCs w:val="1"/>
                <w:color w:val="1F2668"/>
                <w:w w:val="98"/>
              </w:rPr>
              <w:t>Annual Incentive</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34"/>
        </w:trPr>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8"/>
        </w:trPr>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extDirection w:val="btLr"/>
          </w:tcPr>
          <w:p>
            <w:pPr>
              <w:spacing w:after="0"/>
              <w:rPr>
                <w:sz w:val="20"/>
                <w:szCs w:val="20"/>
                <w:color w:val="auto"/>
              </w:rPr>
            </w:pPr>
            <w:r>
              <w:rPr>
                <w:rFonts w:ascii="Arial" w:cs="Arial" w:eastAsia="Arial" w:hAnsi="Arial"/>
                <w:sz w:val="16"/>
                <w:szCs w:val="16"/>
                <w:b w:val="1"/>
                <w:bCs w:val="1"/>
                <w:color w:val="1F2668"/>
                <w:w w:val="98"/>
              </w:rPr>
              <w:t>Long-Term Incentives</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7"/>
        </w:trPr>
        <w:tc>
          <w:tcPr>
            <w:tcW w:w="40" w:type="dxa"/>
            <w:vAlign w:val="bottom"/>
            <w:vMerge w:val="restart"/>
          </w:tcPr>
          <w:p>
            <w:pPr>
              <w:spacing w:after="0"/>
              <w:rPr>
                <w:sz w:val="20"/>
                <w:szCs w:val="20"/>
                <w:color w:val="auto"/>
              </w:rPr>
            </w:pPr>
            <w:r>
              <w:rPr>
                <w:rFonts w:ascii="Arial" w:cs="Arial" w:eastAsia="Arial" w:hAnsi="Arial"/>
                <w:sz w:val="16"/>
                <w:szCs w:val="16"/>
                <w:color w:val="auto"/>
              </w:rPr>
              <w:t>​</w:t>
            </w:r>
          </w:p>
        </w:tc>
        <w:tc>
          <w:tcPr>
            <w:tcW w:w="28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0" w:type="dxa"/>
            <w:vAlign w:val="bottom"/>
            <w:vMerge w:val="continue"/>
          </w:tcPr>
          <w:p>
            <w:pPr>
              <w:spacing w:after="0"/>
              <w:rPr>
                <w:sz w:val="16"/>
                <w:szCs w:val="16"/>
                <w:color w:val="auto"/>
              </w:rPr>
            </w:pPr>
          </w:p>
        </w:tc>
        <w:tc>
          <w:tcPr>
            <w:tcW w:w="620" w:type="dxa"/>
            <w:vAlign w:val="bottom"/>
            <w:gridSpan w:val="3"/>
            <w:vMerge w:val="restart"/>
            <w:textDirection w:val="btLr"/>
          </w:tcPr>
          <w:p>
            <w:pPr>
              <w:ind w:left="446"/>
              <w:spacing w:after="0"/>
              <w:rPr>
                <w:sz w:val="20"/>
                <w:szCs w:val="20"/>
                <w:color w:val="auto"/>
              </w:rPr>
            </w:pPr>
            <w:r>
              <w:rPr>
                <w:rFonts w:ascii="Arial" w:cs="Arial" w:eastAsia="Arial" w:hAnsi="Arial"/>
                <w:sz w:val="13"/>
                <w:szCs w:val="13"/>
                <w:b w:val="1"/>
                <w:bCs w:val="1"/>
                <w:color w:val="1F2668"/>
                <w:w w:val="70"/>
              </w:rPr>
              <w:t>CasinoIncentive</w:t>
            </w:r>
          </w:p>
        </w:tc>
        <w:tc>
          <w:tcPr>
            <w:tcW w:w="0" w:type="dxa"/>
            <w:vAlign w:val="bottom"/>
          </w:tcPr>
          <w:p>
            <w:pPr>
              <w:spacing w:after="0"/>
              <w:rPr>
                <w:sz w:val="1"/>
                <w:szCs w:val="1"/>
                <w:color w:val="auto"/>
              </w:rPr>
            </w:pPr>
          </w:p>
        </w:tc>
      </w:tr>
      <w:tr>
        <w:trPr>
          <w:trHeight w:val="711"/>
        </w:trPr>
        <w:tc>
          <w:tcPr>
            <w:tcW w:w="40" w:type="dxa"/>
            <w:vAlign w:val="bottom"/>
          </w:tcPr>
          <w:p>
            <w:pPr>
              <w:spacing w:after="0"/>
              <w:rPr>
                <w:sz w:val="24"/>
                <w:szCs w:val="24"/>
                <w:color w:val="auto"/>
              </w:rPr>
            </w:pPr>
          </w:p>
        </w:tc>
        <w:tc>
          <w:tcPr>
            <w:tcW w:w="62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40" w:type="dxa"/>
            <w:vAlign w:val="bottom"/>
          </w:tcPr>
          <w:p>
            <w:pPr>
              <w:spacing w:after="0"/>
              <w:rPr>
                <w:sz w:val="20"/>
                <w:szCs w:val="20"/>
                <w:color w:val="auto"/>
              </w:rPr>
            </w:pPr>
            <w:r>
              <w:rPr>
                <w:rFonts w:ascii="Arial" w:cs="Arial" w:eastAsia="Arial" w:hAnsi="Arial"/>
                <w:sz w:val="16"/>
                <w:szCs w:val="16"/>
                <w:color w:val="auto"/>
              </w:rPr>
              <w:t>​</w:t>
            </w:r>
          </w:p>
        </w:tc>
        <w:tc>
          <w:tcPr>
            <w:tcW w:w="280" w:type="dxa"/>
            <w:vAlign w:val="bottom"/>
            <w:vMerge w:val="restart"/>
            <w:textDirection w:val="btLr"/>
          </w:tcPr>
          <w:p>
            <w:pPr>
              <w:ind w:left="96"/>
              <w:spacing w:after="0"/>
              <w:rPr>
                <w:sz w:val="20"/>
                <w:szCs w:val="20"/>
                <w:color w:val="auto"/>
              </w:rPr>
            </w:pPr>
            <w:r>
              <w:rPr>
                <w:rFonts w:ascii="Arial" w:cs="Arial" w:eastAsia="Arial" w:hAnsi="Arial"/>
                <w:sz w:val="16"/>
                <w:szCs w:val="16"/>
                <w:b w:val="1"/>
                <w:bCs w:val="1"/>
                <w:color w:val="1F2668"/>
                <w:w w:val="98"/>
              </w:rPr>
              <w:t>Debt Fund</w:t>
            </w:r>
          </w:p>
        </w:tc>
        <w:tc>
          <w:tcPr>
            <w:tcW w:w="180" w:type="dxa"/>
            <w:vAlign w:val="bottom"/>
            <w:vMerge w:val="restart"/>
            <w:textDirection w:val="btLr"/>
          </w:tcPr>
          <w:p>
            <w:pPr>
              <w:spacing w:after="0"/>
              <w:rPr>
                <w:sz w:val="20"/>
                <w:szCs w:val="20"/>
                <w:color w:val="auto"/>
              </w:rPr>
            </w:pPr>
            <w:r>
              <w:rPr>
                <w:rFonts w:ascii="Arial" w:cs="Arial" w:eastAsia="Arial" w:hAnsi="Arial"/>
                <w:sz w:val="16"/>
                <w:szCs w:val="16"/>
                <w:b w:val="1"/>
                <w:bCs w:val="1"/>
                <w:color w:val="1F2668"/>
                <w:w w:val="99"/>
              </w:rPr>
              <w:t>Carried</w:t>
            </w:r>
          </w:p>
        </w:tc>
        <w:tc>
          <w:tcPr>
            <w:tcW w:w="160" w:type="dxa"/>
            <w:vAlign w:val="bottom"/>
            <w:vMerge w:val="restart"/>
            <w:textDirection w:val="btLr"/>
          </w:tcPr>
          <w:p>
            <w:pPr>
              <w:spacing w:after="0"/>
              <w:rPr>
                <w:sz w:val="20"/>
                <w:szCs w:val="20"/>
                <w:color w:val="auto"/>
              </w:rPr>
            </w:pPr>
            <w:r>
              <w:rPr>
                <w:rFonts w:ascii="Arial" w:cs="Arial" w:eastAsia="Arial" w:hAnsi="Arial"/>
                <w:sz w:val="16"/>
                <w:szCs w:val="16"/>
                <w:b w:val="1"/>
                <w:bCs w:val="1"/>
                <w:color w:val="1F2668"/>
              </w:rPr>
              <w:t>Interest</w:t>
            </w:r>
          </w:p>
        </w:tc>
        <w:tc>
          <w:tcPr>
            <w:tcW w:w="0" w:type="dxa"/>
            <w:vAlign w:val="bottom"/>
          </w:tcPr>
          <w:p>
            <w:pPr>
              <w:spacing w:after="0"/>
              <w:rPr>
                <w:sz w:val="1"/>
                <w:szCs w:val="1"/>
                <w:color w:val="auto"/>
              </w:rPr>
            </w:pPr>
          </w:p>
        </w:tc>
      </w:tr>
      <w:tr>
        <w:trPr>
          <w:trHeight w:val="685"/>
        </w:trPr>
        <w:tc>
          <w:tcPr>
            <w:tcW w:w="4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180" w:type="dxa"/>
            <w:vAlign w:val="bottom"/>
            <w:vMerge w:val="continue"/>
          </w:tcPr>
          <w:p>
            <w:pPr>
              <w:spacing w:after="0"/>
              <w:rPr>
                <w:sz w:val="24"/>
                <w:szCs w:val="24"/>
                <w:color w:val="auto"/>
              </w:rPr>
            </w:pPr>
          </w:p>
        </w:tc>
        <w:tc>
          <w:tcPr>
            <w:tcW w:w="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40" w:type="dxa"/>
            <w:vAlign w:val="bottom"/>
            <w:vMerge w:val="restart"/>
          </w:tcPr>
          <w:p>
            <w:pPr>
              <w:spacing w:after="0"/>
              <w:rPr>
                <w:sz w:val="20"/>
                <w:szCs w:val="20"/>
                <w:color w:val="auto"/>
              </w:rPr>
            </w:pPr>
            <w:r>
              <w:rPr>
                <w:rFonts w:ascii="Arial" w:cs="Arial" w:eastAsia="Arial" w:hAnsi="Arial"/>
                <w:sz w:val="16"/>
                <w:szCs w:val="16"/>
                <w:color w:val="auto"/>
              </w:rPr>
              <w:t>​</w:t>
            </w:r>
          </w:p>
        </w:tc>
        <w:tc>
          <w:tcPr>
            <w:tcW w:w="28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vMerge w:val="restart"/>
            <w:textDirection w:val="btLr"/>
          </w:tcPr>
          <w:p>
            <w:pPr>
              <w:spacing w:after="0"/>
              <w:rPr>
                <w:sz w:val="20"/>
                <w:szCs w:val="20"/>
                <w:color w:val="auto"/>
              </w:rPr>
            </w:pPr>
            <w:r>
              <w:rPr>
                <w:rFonts w:ascii="Arial" w:cs="Arial" w:eastAsia="Arial" w:hAnsi="Arial"/>
                <w:sz w:val="16"/>
                <w:szCs w:val="16"/>
                <w:b w:val="1"/>
                <w:bCs w:val="1"/>
                <w:color w:val="1F2668"/>
              </w:rPr>
              <w:t>Performance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84"/>
        </w:trPr>
        <w:tc>
          <w:tcPr>
            <w:tcW w:w="40" w:type="dxa"/>
            <w:vAlign w:val="bottom"/>
          </w:tcPr>
          <w:p>
            <w:pPr>
              <w:spacing w:after="0"/>
              <w:rPr>
                <w:sz w:val="24"/>
                <w:szCs w:val="24"/>
                <w:color w:val="auto"/>
              </w:rPr>
            </w:pPr>
          </w:p>
        </w:tc>
        <w:tc>
          <w:tcPr>
            <w:tcW w:w="280" w:type="dxa"/>
            <w:vAlign w:val="bottom"/>
            <w:textDirection w:val="btLr"/>
          </w:tcPr>
          <w:p>
            <w:pPr>
              <w:ind w:left="96"/>
              <w:spacing w:after="0"/>
              <w:rPr>
                <w:sz w:val="20"/>
                <w:szCs w:val="20"/>
                <w:color w:val="auto"/>
              </w:rPr>
            </w:pPr>
            <w:r>
              <w:rPr>
                <w:rFonts w:ascii="Arial" w:cs="Arial" w:eastAsia="Arial" w:hAnsi="Arial"/>
                <w:sz w:val="16"/>
                <w:szCs w:val="16"/>
                <w:b w:val="1"/>
                <w:bCs w:val="1"/>
                <w:color w:val="1F2668"/>
              </w:rPr>
              <w:t>Retention</w:t>
            </w:r>
          </w:p>
        </w:tc>
        <w:tc>
          <w:tcPr>
            <w:tcW w:w="180" w:type="dxa"/>
            <w:vAlign w:val="bottom"/>
            <w:vMerge w:val="continue"/>
          </w:tcPr>
          <w:p>
            <w:pPr>
              <w:spacing w:after="0"/>
              <w:rPr>
                <w:sz w:val="24"/>
                <w:szCs w:val="24"/>
                <w:color w:val="auto"/>
              </w:rPr>
            </w:pPr>
          </w:p>
        </w:tc>
        <w:tc>
          <w:tcPr>
            <w:tcW w:w="160" w:type="dxa"/>
            <w:vAlign w:val="bottom"/>
            <w:textDirection w:val="btLr"/>
          </w:tcPr>
          <w:p>
            <w:pPr>
              <w:spacing w:after="0"/>
              <w:rPr>
                <w:sz w:val="20"/>
                <w:szCs w:val="20"/>
                <w:color w:val="auto"/>
              </w:rPr>
            </w:pPr>
            <w:r>
              <w:rPr>
                <w:rFonts w:ascii="Arial" w:cs="Arial" w:eastAsia="Arial" w:hAnsi="Arial"/>
                <w:sz w:val="16"/>
                <w:szCs w:val="16"/>
                <w:b w:val="1"/>
                <w:bCs w:val="1"/>
                <w:color w:val="1F2668"/>
                <w:w w:val="97"/>
              </w:rPr>
              <w:t>Incentive</w:t>
            </w:r>
          </w:p>
        </w:tc>
        <w:tc>
          <w:tcPr>
            <w:tcW w:w="0" w:type="dxa"/>
            <w:vAlign w:val="bottom"/>
          </w:tcPr>
          <w:p>
            <w:pPr>
              <w:spacing w:after="0"/>
              <w:rPr>
                <w:sz w:val="1"/>
                <w:szCs w:val="1"/>
                <w:color w:val="auto"/>
              </w:rPr>
            </w:pPr>
          </w:p>
        </w:tc>
      </w:tr>
      <w:tr>
        <w:trPr>
          <w:trHeight w:val="428"/>
        </w:trPr>
        <w:tc>
          <w:tcPr>
            <w:tcW w:w="40" w:type="dxa"/>
            <w:vAlign w:val="bottom"/>
            <w:vMerge w:val="restart"/>
          </w:tcPr>
          <w:p>
            <w:pPr>
              <w:spacing w:after="0"/>
              <w:rPr>
                <w:sz w:val="20"/>
                <w:szCs w:val="20"/>
                <w:color w:val="auto"/>
              </w:rPr>
            </w:pPr>
            <w:r>
              <w:rPr>
                <w:rFonts w:ascii="Arial" w:cs="Arial" w:eastAsia="Arial" w:hAnsi="Arial"/>
                <w:sz w:val="16"/>
                <w:szCs w:val="16"/>
                <w:color w:val="auto"/>
              </w:rPr>
              <w:t>​</w:t>
            </w:r>
          </w:p>
        </w:tc>
        <w:tc>
          <w:tcPr>
            <w:tcW w:w="28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6"/>
        </w:trPr>
        <w:tc>
          <w:tcPr>
            <w:tcW w:w="40" w:type="dxa"/>
            <w:vAlign w:val="bottom"/>
          </w:tcPr>
          <w:p>
            <w:pPr>
              <w:spacing w:after="0"/>
              <w:rPr>
                <w:sz w:val="24"/>
                <w:szCs w:val="24"/>
                <w:color w:val="auto"/>
              </w:rPr>
            </w:pPr>
          </w:p>
        </w:tc>
        <w:tc>
          <w:tcPr>
            <w:tcW w:w="280" w:type="dxa"/>
            <w:vAlign w:val="bottom"/>
            <w:textDirection w:val="btLr"/>
          </w:tcPr>
          <w:p>
            <w:pPr>
              <w:ind w:left="96"/>
              <w:spacing w:after="0"/>
              <w:rPr>
                <w:sz w:val="20"/>
                <w:szCs w:val="20"/>
                <w:color w:val="auto"/>
              </w:rPr>
            </w:pPr>
            <w:r>
              <w:rPr>
                <w:rFonts w:ascii="Arial" w:cs="Arial" w:eastAsia="Arial" w:hAnsi="Arial"/>
                <w:sz w:val="16"/>
                <w:szCs w:val="16"/>
                <w:b w:val="1"/>
                <w:bCs w:val="1"/>
                <w:color w:val="1F2668"/>
                <w:w w:val="99"/>
              </w:rPr>
              <w:t>Severance</w:t>
            </w:r>
          </w:p>
        </w:tc>
        <w:tc>
          <w:tcPr>
            <w:tcW w:w="180" w:type="dxa"/>
            <w:vAlign w:val="bottom"/>
            <w:textDirection w:val="btLr"/>
          </w:tcPr>
          <w:p>
            <w:pPr>
              <w:spacing w:after="0"/>
              <w:rPr>
                <w:sz w:val="20"/>
                <w:szCs w:val="20"/>
                <w:color w:val="auto"/>
              </w:rPr>
            </w:pPr>
            <w:r>
              <w:rPr>
                <w:rFonts w:ascii="Arial" w:cs="Arial" w:eastAsia="Arial" w:hAnsi="Arial"/>
                <w:sz w:val="16"/>
                <w:szCs w:val="16"/>
                <w:b w:val="1"/>
                <w:bCs w:val="1"/>
                <w:color w:val="1F2668"/>
                <w:w w:val="98"/>
              </w:rPr>
              <w:t>Provision</w:t>
            </w:r>
          </w:p>
        </w:tc>
        <w:tc>
          <w:tcPr>
            <w:tcW w:w="160" w:type="dxa"/>
            <w:vAlign w:val="bottom"/>
            <w:textDirection w:val="btLr"/>
          </w:tcPr>
          <w:p>
            <w:pPr>
              <w:spacing w:after="0"/>
              <w:rPr>
                <w:sz w:val="20"/>
                <w:szCs w:val="20"/>
                <w:color w:val="auto"/>
              </w:rPr>
            </w:pPr>
            <w:r>
              <w:rPr>
                <w:rFonts w:ascii="Arial" w:cs="Arial" w:eastAsia="Arial" w:hAnsi="Arial"/>
                <w:sz w:val="16"/>
                <w:szCs w:val="16"/>
                <w:b w:val="1"/>
                <w:bCs w:val="1"/>
                <w:color w:val="1F2668"/>
              </w:rPr>
              <w:t>Updates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8"/>
        </w:trPr>
        <w:tc>
          <w:tcPr>
            <w:tcW w:w="2720" w:type="dxa"/>
            <w:vAlign w:val="bottom"/>
            <w:gridSpan w:val="2"/>
          </w:tcPr>
          <w:p>
            <w:pPr>
              <w:spacing w:after="0"/>
              <w:rPr>
                <w:sz w:val="20"/>
                <w:szCs w:val="20"/>
                <w:color w:val="auto"/>
              </w:rPr>
            </w:pPr>
            <w:r>
              <w:rPr>
                <w:rFonts w:ascii="Arial" w:cs="Arial" w:eastAsia="Arial" w:hAnsi="Arial"/>
                <w:sz w:val="14"/>
                <w:szCs w:val="14"/>
                <w:b w:val="1"/>
                <w:bCs w:val="1"/>
                <w:color w:val="1F2668"/>
              </w:rPr>
              <w:t>​ ​ Key Features</w:t>
            </w:r>
          </w:p>
        </w:tc>
        <w:tc>
          <w:tcPr>
            <w:tcW w:w="2720" w:type="dxa"/>
            <w:vAlign w:val="bottom"/>
            <w:gridSpan w:val="2"/>
          </w:tcPr>
          <w:p>
            <w:pPr>
              <w:ind w:left="20"/>
              <w:spacing w:after="0"/>
              <w:rPr>
                <w:sz w:val="20"/>
                <w:szCs w:val="20"/>
                <w:color w:val="auto"/>
              </w:rPr>
            </w:pPr>
            <w:r>
              <w:rPr>
                <w:rFonts w:ascii="Arial" w:cs="Arial" w:eastAsia="Arial" w:hAnsi="Arial"/>
                <w:sz w:val="14"/>
                <w:szCs w:val="14"/>
                <w:b w:val="1"/>
                <w:bCs w:val="1"/>
                <w:color w:val="1F2668"/>
              </w:rPr>
              <w:t>​ ​ Update from Prior Contract</w:t>
            </w:r>
          </w:p>
        </w:tc>
        <w:tc>
          <w:tcPr>
            <w:tcW w:w="100" w:type="dxa"/>
            <w:vAlign w:val="bottom"/>
          </w:tcPr>
          <w:p>
            <w:pPr>
              <w:ind w:left="20"/>
              <w:spacing w:after="0"/>
              <w:rPr>
                <w:sz w:val="20"/>
                <w:szCs w:val="20"/>
                <w:color w:val="auto"/>
              </w:rPr>
            </w:pPr>
            <w:r>
              <w:rPr>
                <w:rFonts w:ascii="Arial" w:cs="Arial" w:eastAsia="Arial" w:hAnsi="Arial"/>
                <w:sz w:val="14"/>
                <w:szCs w:val="14"/>
                <w:b w:val="1"/>
                <w:bCs w:val="1"/>
                <w:color w:val="1F2668"/>
              </w:rPr>
              <w:t>​</w:t>
            </w:r>
          </w:p>
        </w:tc>
        <w:tc>
          <w:tcPr>
            <w:tcW w:w="2640" w:type="dxa"/>
            <w:vAlign w:val="bottom"/>
            <w:gridSpan w:val="3"/>
            <w:shd w:val="clear" w:color="auto" w:fill="E2F7CB"/>
          </w:tcPr>
          <w:p>
            <w:pPr>
              <w:spacing w:after="0"/>
              <w:rPr>
                <w:sz w:val="20"/>
                <w:szCs w:val="20"/>
                <w:color w:val="auto"/>
              </w:rPr>
            </w:pPr>
            <w:r>
              <w:rPr>
                <w:rFonts w:ascii="Arial" w:cs="Arial" w:eastAsia="Arial" w:hAnsi="Arial"/>
                <w:sz w:val="14"/>
                <w:szCs w:val="14"/>
                <w:b w:val="1"/>
                <w:bCs w:val="1"/>
                <w:color w:val="1F2668"/>
              </w:rPr>
              <w:t>​ Pay for Performance Alignment</w:t>
            </w:r>
          </w:p>
        </w:tc>
        <w:tc>
          <w:tcPr>
            <w:tcW w:w="100" w:type="dxa"/>
            <w:vAlign w:val="bottom"/>
            <w:shd w:val="clear" w:color="auto" w:fill="E2F7CB"/>
          </w:tcPr>
          <w:p>
            <w:pPr>
              <w:spacing w:after="0"/>
              <w:rPr>
                <w:sz w:val="20"/>
                <w:szCs w:val="20"/>
                <w:color w:val="auto"/>
              </w:rPr>
            </w:pPr>
            <w:r>
              <w:rPr>
                <w:rFonts w:ascii="Arial" w:cs="Arial" w:eastAsia="Arial" w:hAnsi="Arial"/>
                <w:sz w:val="14"/>
                <w:szCs w:val="14"/>
                <w:b w:val="1"/>
                <w:bCs w:val="1"/>
                <w:color w:val="1F2668"/>
              </w:rPr>
              <w:t>​</w:t>
            </w:r>
          </w:p>
        </w:tc>
        <w:tc>
          <w:tcPr>
            <w:tcW w:w="0" w:type="dxa"/>
            <w:vAlign w:val="bottom"/>
          </w:tcPr>
          <w:p>
            <w:pPr>
              <w:spacing w:after="0"/>
              <w:rPr>
                <w:sz w:val="1"/>
                <w:szCs w:val="1"/>
                <w:color w:val="auto"/>
              </w:rPr>
            </w:pPr>
          </w:p>
        </w:tc>
      </w:tr>
      <w:tr>
        <w:trPr>
          <w:trHeight w:val="243"/>
        </w:trPr>
        <w:tc>
          <w:tcPr>
            <w:tcW w:w="2720" w:type="dxa"/>
            <w:vAlign w:val="bottom"/>
            <w:gridSpan w:val="2"/>
          </w:tcPr>
          <w:p>
            <w:pPr>
              <w:ind w:left="60"/>
              <w:spacing w:after="0"/>
              <w:rPr>
                <w:sz w:val="20"/>
                <w:szCs w:val="20"/>
                <w:color w:val="auto"/>
              </w:rPr>
            </w:pPr>
            <w:r>
              <w:rPr>
                <w:rFonts w:ascii="Arial" w:cs="Arial" w:eastAsia="Arial" w:hAnsi="Arial"/>
                <w:sz w:val="16"/>
                <w:szCs w:val="16"/>
                <w:b w:val="1"/>
                <w:bCs w:val="1"/>
                <w:color w:val="auto"/>
              </w:rPr>
              <w:t>​ ​</w:t>
            </w:r>
          </w:p>
        </w:tc>
        <w:tc>
          <w:tcPr>
            <w:tcW w:w="240" w:type="dxa"/>
            <w:vAlign w:val="bottom"/>
          </w:tcPr>
          <w:p>
            <w:pPr>
              <w:spacing w:after="0"/>
              <w:rPr>
                <w:sz w:val="21"/>
                <w:szCs w:val="21"/>
                <w:color w:val="auto"/>
              </w:rPr>
            </w:pPr>
          </w:p>
        </w:tc>
        <w:tc>
          <w:tcPr>
            <w:tcW w:w="2480" w:type="dxa"/>
            <w:vAlign w:val="bottom"/>
          </w:tcPr>
          <w:p>
            <w:pPr>
              <w:jc w:val="center"/>
              <w:spacing w:after="0"/>
              <w:rPr>
                <w:sz w:val="20"/>
                <w:szCs w:val="20"/>
                <w:color w:val="auto"/>
              </w:rPr>
            </w:pPr>
            <w:r>
              <w:rPr>
                <w:rFonts w:ascii="Arial" w:cs="Arial" w:eastAsia="Arial" w:hAnsi="Arial"/>
                <w:sz w:val="16"/>
                <w:szCs w:val="16"/>
                <w:b w:val="1"/>
                <w:bCs w:val="1"/>
                <w:color w:val="auto"/>
                <w:w w:val="99"/>
              </w:rPr>
              <w:t>Annual Compensation Structure</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00" w:type="dxa"/>
            <w:vAlign w:val="bottom"/>
          </w:tcPr>
          <w:p>
            <w:pPr>
              <w:ind w:left="6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9"/>
        </w:trPr>
        <w:tc>
          <w:tcPr>
            <w:tcW w:w="2720" w:type="dxa"/>
            <w:vAlign w:val="bottom"/>
            <w:gridSpan w:val="2"/>
          </w:tcPr>
          <w:p>
            <w:pPr>
              <w:spacing w:after="0" w:line="228"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4"/>
                <w:szCs w:val="14"/>
                <w:color w:val="auto"/>
              </w:rPr>
              <w:t xml:space="preserve"> $1.4 million per year</w:t>
            </w:r>
          </w:p>
        </w:tc>
        <w:tc>
          <w:tcPr>
            <w:tcW w:w="240" w:type="dxa"/>
            <w:vAlign w:val="bottom"/>
          </w:tcPr>
          <w:p>
            <w:pPr>
              <w:jc w:val="right"/>
              <w:spacing w:after="0" w:line="228"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6"/>
                <w:szCs w:val="26"/>
                <w:color w:val="auto"/>
                <w:vertAlign w:val="subscript"/>
              </w:rPr>
              <w:t>•</w:t>
            </w:r>
          </w:p>
        </w:tc>
        <w:tc>
          <w:tcPr>
            <w:tcW w:w="2480" w:type="dxa"/>
            <w:vAlign w:val="bottom"/>
          </w:tcPr>
          <w:p>
            <w:pPr>
              <w:ind w:left="100"/>
              <w:spacing w:after="0"/>
              <w:rPr>
                <w:sz w:val="20"/>
                <w:szCs w:val="20"/>
                <w:color w:val="auto"/>
              </w:rPr>
            </w:pPr>
            <w:r>
              <w:rPr>
                <w:rFonts w:ascii="Arial" w:cs="Arial" w:eastAsia="Arial" w:hAnsi="Arial"/>
                <w:sz w:val="16"/>
                <w:szCs w:val="16"/>
                <w:color w:val="auto"/>
              </w:rPr>
              <w:t>First increase since 2018</w:t>
            </w:r>
          </w:p>
        </w:tc>
        <w:tc>
          <w:tcPr>
            <w:tcW w:w="100" w:type="dxa"/>
            <w:vAlign w:val="bottom"/>
          </w:tcPr>
          <w:p>
            <w:pPr>
              <w:ind w:left="20"/>
              <w:spacing w:after="0"/>
              <w:rPr>
                <w:sz w:val="20"/>
                <w:szCs w:val="20"/>
                <w:color w:val="auto"/>
              </w:rPr>
            </w:pPr>
            <w:r>
              <w:rPr>
                <w:rFonts w:ascii="Arial" w:cs="Arial" w:eastAsia="Arial" w:hAnsi="Arial"/>
                <w:sz w:val="16"/>
                <w:szCs w:val="16"/>
                <w:color w:val="auto"/>
              </w:rPr>
              <w:t>​</w:t>
            </w:r>
          </w:p>
        </w:tc>
        <w:tc>
          <w:tcPr>
            <w:tcW w:w="80" w:type="dxa"/>
            <w:vAlign w:val="bottom"/>
            <w:shd w:val="clear" w:color="auto" w:fill="E9F9D8"/>
          </w:tcPr>
          <w:p>
            <w:pPr>
              <w:spacing w:after="0"/>
              <w:rPr>
                <w:sz w:val="20"/>
                <w:szCs w:val="20"/>
                <w:color w:val="auto"/>
              </w:rPr>
            </w:pPr>
            <w:r>
              <w:rPr>
                <w:rFonts w:ascii="Arial" w:cs="Arial" w:eastAsia="Arial" w:hAnsi="Arial"/>
                <w:sz w:val="16"/>
                <w:szCs w:val="16"/>
                <w:color w:val="auto"/>
              </w:rPr>
              <w:t>​</w:t>
            </w:r>
          </w:p>
        </w:tc>
        <w:tc>
          <w:tcPr>
            <w:tcW w:w="2560" w:type="dxa"/>
            <w:vAlign w:val="bottom"/>
            <w:gridSpan w:val="2"/>
            <w:shd w:val="clear" w:color="auto" w:fill="E9F9D8"/>
          </w:tcPr>
          <w:p>
            <w:pPr>
              <w:spacing w:after="0" w:line="184" w:lineRule="exact"/>
              <w:rPr>
                <w:sz w:val="20"/>
                <w:szCs w:val="20"/>
                <w:color w:val="auto"/>
              </w:rPr>
            </w:pPr>
            <w:r>
              <w:rPr>
                <w:rFonts w:ascii="MS PGothic" w:cs="MS PGothic" w:eastAsia="MS PGothic" w:hAnsi="MS PGothic"/>
                <w:sz w:val="16"/>
                <w:szCs w:val="16"/>
                <w:color w:val="83AD40"/>
              </w:rPr>
              <w:t>✓</w:t>
            </w:r>
            <w:r>
              <w:rPr>
                <w:rFonts w:ascii="Arial" w:cs="Arial" w:eastAsia="Arial" w:hAnsi="Arial"/>
                <w:sz w:val="16"/>
                <w:szCs w:val="16"/>
                <w:color w:val="auto"/>
              </w:rPr>
              <w:t xml:space="preserve"> Remains the only fixed pay</w:t>
            </w:r>
          </w:p>
        </w:tc>
        <w:tc>
          <w:tcPr>
            <w:tcW w:w="100" w:type="dxa"/>
            <w:vAlign w:val="bottom"/>
            <w:shd w:val="clear" w:color="auto" w:fill="E9F9D8"/>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shd w:val="clear" w:color="auto" w:fill="E9F9D8"/>
          </w:tcPr>
          <w:p>
            <w:pPr>
              <w:spacing w:after="0"/>
              <w:rPr>
                <w:sz w:val="18"/>
                <w:szCs w:val="18"/>
                <w:color w:val="auto"/>
              </w:rPr>
            </w:pPr>
          </w:p>
        </w:tc>
        <w:tc>
          <w:tcPr>
            <w:tcW w:w="180" w:type="dxa"/>
            <w:vAlign w:val="bottom"/>
            <w:shd w:val="clear" w:color="auto" w:fill="E9F9D8"/>
          </w:tcPr>
          <w:p>
            <w:pPr>
              <w:spacing w:after="0"/>
              <w:rPr>
                <w:sz w:val="18"/>
                <w:szCs w:val="18"/>
                <w:color w:val="auto"/>
              </w:rPr>
            </w:pPr>
          </w:p>
        </w:tc>
        <w:tc>
          <w:tcPr>
            <w:tcW w:w="2380" w:type="dxa"/>
            <w:vAlign w:val="bottom"/>
            <w:shd w:val="clear" w:color="auto" w:fill="E9F9D8"/>
          </w:tcPr>
          <w:p>
            <w:pPr>
              <w:ind w:left="40"/>
              <w:spacing w:after="0"/>
              <w:rPr>
                <w:sz w:val="20"/>
                <w:szCs w:val="20"/>
                <w:color w:val="auto"/>
              </w:rPr>
            </w:pPr>
            <w:r>
              <w:rPr>
                <w:rFonts w:ascii="Arial" w:cs="Arial" w:eastAsia="Arial" w:hAnsi="Arial"/>
                <w:sz w:val="16"/>
                <w:szCs w:val="16"/>
                <w:color w:val="auto"/>
              </w:rPr>
              <w:t>element</w:t>
            </w:r>
          </w:p>
        </w:tc>
        <w:tc>
          <w:tcPr>
            <w:tcW w:w="100" w:type="dxa"/>
            <w:vAlign w:val="bottom"/>
            <w:shd w:val="clear" w:color="auto" w:fill="E9F9D8"/>
          </w:tcPr>
          <w:p>
            <w:pPr>
              <w:spacing w:after="0"/>
              <w:rPr>
                <w:sz w:val="18"/>
                <w:szCs w:val="18"/>
                <w:color w:val="auto"/>
              </w:rPr>
            </w:pPr>
          </w:p>
        </w:tc>
        <w:tc>
          <w:tcPr>
            <w:tcW w:w="0" w:type="dxa"/>
            <w:vAlign w:val="bottom"/>
          </w:tcPr>
          <w:p>
            <w:pPr>
              <w:spacing w:after="0"/>
              <w:rPr>
                <w:sz w:val="1"/>
                <w:szCs w:val="1"/>
                <w:color w:val="auto"/>
              </w:rPr>
            </w:pPr>
          </w:p>
        </w:tc>
      </w:tr>
      <w:tr>
        <w:trPr>
          <w:trHeight w:val="339"/>
        </w:trPr>
        <w:tc>
          <w:tcPr>
            <w:tcW w:w="2720" w:type="dxa"/>
            <w:vAlign w:val="bottom"/>
            <w:gridSpan w:val="2"/>
          </w:tcPr>
          <w:p>
            <w:pPr>
              <w:spacing w:after="0" w:line="339" w:lineRule="exact"/>
              <w:rPr>
                <w:sz w:val="20"/>
                <w:szCs w:val="20"/>
                <w:color w:val="auto"/>
              </w:rPr>
            </w:pPr>
            <w:r>
              <w:rPr>
                <w:rFonts w:ascii="Arial" w:cs="Arial" w:eastAsia="Arial" w:hAnsi="Arial"/>
                <w:sz w:val="32"/>
                <w:szCs w:val="32"/>
                <w:color w:val="auto"/>
                <w:vertAlign w:val="superscript"/>
              </w:rPr>
              <w:t>​ ​</w:t>
            </w:r>
            <w:r>
              <w:rPr>
                <w:rFonts w:ascii="Arial" w:cs="Arial" w:eastAsia="Arial" w:hAnsi="Arial"/>
                <w:sz w:val="16"/>
                <w:szCs w:val="16"/>
                <w:b w:val="1"/>
                <w:bCs w:val="1"/>
                <w:color w:val="auto"/>
              </w:rPr>
              <w:t xml:space="preserve"> Target Annual Incentive:</w:t>
            </w:r>
          </w:p>
        </w:tc>
        <w:tc>
          <w:tcPr>
            <w:tcW w:w="240" w:type="dxa"/>
            <w:vAlign w:val="bottom"/>
          </w:tcPr>
          <w:p>
            <w:pPr>
              <w:jc w:val="right"/>
              <w:spacing w:after="0" w:line="339"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2"/>
                <w:szCs w:val="32"/>
                <w:color w:val="auto"/>
                <w:vertAlign w:val="subscript"/>
              </w:rPr>
              <w:t>•</w:t>
            </w:r>
          </w:p>
        </w:tc>
        <w:tc>
          <w:tcPr>
            <w:tcW w:w="2480" w:type="dxa"/>
            <w:vAlign w:val="bottom"/>
          </w:tcPr>
          <w:p>
            <w:pPr>
              <w:ind w:left="100"/>
              <w:spacing w:after="0"/>
              <w:rPr>
                <w:sz w:val="20"/>
                <w:szCs w:val="20"/>
                <w:color w:val="auto"/>
              </w:rPr>
            </w:pPr>
            <w:r>
              <w:rPr>
                <w:rFonts w:ascii="Arial" w:cs="Arial" w:eastAsia="Arial" w:hAnsi="Arial"/>
                <w:sz w:val="16"/>
                <w:szCs w:val="16"/>
                <w:color w:val="auto"/>
              </w:rPr>
              <w:t>Maximum increased to 2X of</w:t>
            </w:r>
          </w:p>
        </w:tc>
        <w:tc>
          <w:tcPr>
            <w:tcW w:w="100" w:type="dxa"/>
            <w:vAlign w:val="bottom"/>
          </w:tcPr>
          <w:p>
            <w:pPr>
              <w:ind w:left="20"/>
              <w:spacing w:after="0"/>
              <w:rPr>
                <w:sz w:val="20"/>
                <w:szCs w:val="20"/>
                <w:color w:val="auto"/>
              </w:rPr>
            </w:pPr>
            <w:r>
              <w:rPr>
                <w:rFonts w:ascii="Arial" w:cs="Arial" w:eastAsia="Arial" w:hAnsi="Arial"/>
                <w:sz w:val="16"/>
                <w:szCs w:val="16"/>
                <w:color w:val="auto"/>
              </w:rPr>
              <w:t>​</w:t>
            </w:r>
          </w:p>
        </w:tc>
        <w:tc>
          <w:tcPr>
            <w:tcW w:w="80" w:type="dxa"/>
            <w:vAlign w:val="bottom"/>
            <w:shd w:val="clear" w:color="auto" w:fill="E9F9D8"/>
          </w:tcPr>
          <w:p>
            <w:pPr>
              <w:spacing w:after="0"/>
              <w:rPr>
                <w:sz w:val="20"/>
                <w:szCs w:val="20"/>
                <w:color w:val="auto"/>
              </w:rPr>
            </w:pPr>
            <w:r>
              <w:rPr>
                <w:rFonts w:ascii="Arial" w:cs="Arial" w:eastAsia="Arial" w:hAnsi="Arial"/>
                <w:sz w:val="16"/>
                <w:szCs w:val="16"/>
                <w:color w:val="auto"/>
              </w:rPr>
              <w:t>​</w:t>
            </w:r>
          </w:p>
        </w:tc>
        <w:tc>
          <w:tcPr>
            <w:tcW w:w="180" w:type="dxa"/>
            <w:vAlign w:val="bottom"/>
            <w:shd w:val="clear" w:color="auto" w:fill="E9F9D8"/>
          </w:tcPr>
          <w:p>
            <w:pPr>
              <w:spacing w:after="0" w:line="161" w:lineRule="exact"/>
              <w:rPr>
                <w:sz w:val="20"/>
                <w:szCs w:val="20"/>
                <w:color w:val="auto"/>
              </w:rPr>
            </w:pPr>
            <w:r>
              <w:rPr>
                <w:rFonts w:ascii="MS PGothic" w:cs="MS PGothic" w:eastAsia="MS PGothic" w:hAnsi="MS PGothic"/>
                <w:sz w:val="16"/>
                <w:szCs w:val="16"/>
                <w:color w:val="83AD40"/>
                <w:w w:val="99"/>
              </w:rPr>
              <w:t>✓</w:t>
            </w:r>
          </w:p>
        </w:tc>
        <w:tc>
          <w:tcPr>
            <w:tcW w:w="2380" w:type="dxa"/>
            <w:vAlign w:val="bottom"/>
            <w:shd w:val="clear" w:color="auto" w:fill="E9F9D8"/>
          </w:tcPr>
          <w:p>
            <w:pPr>
              <w:ind w:left="40"/>
              <w:spacing w:after="0"/>
              <w:rPr>
                <w:sz w:val="20"/>
                <w:szCs w:val="20"/>
                <w:color w:val="auto"/>
              </w:rPr>
            </w:pPr>
            <w:r>
              <w:rPr>
                <w:rFonts w:ascii="Arial" w:cs="Arial" w:eastAsia="Arial" w:hAnsi="Arial"/>
                <w:sz w:val="16"/>
                <w:szCs w:val="16"/>
                <w:color w:val="auto"/>
              </w:rPr>
              <w:t>100% of CEO annual incentive</w:t>
            </w:r>
          </w:p>
        </w:tc>
        <w:tc>
          <w:tcPr>
            <w:tcW w:w="100" w:type="dxa"/>
            <w:vAlign w:val="bottom"/>
            <w:shd w:val="clear" w:color="auto" w:fill="E9F9D8"/>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2620" w:type="dxa"/>
            <w:vAlign w:val="bottom"/>
          </w:tcPr>
          <w:p>
            <w:pPr>
              <w:ind w:left="120"/>
              <w:spacing w:after="0"/>
              <w:rPr>
                <w:sz w:val="20"/>
                <w:szCs w:val="20"/>
                <w:color w:val="auto"/>
              </w:rPr>
            </w:pPr>
            <w:r>
              <w:rPr>
                <w:rFonts w:ascii="Arial" w:cs="Arial" w:eastAsia="Arial" w:hAnsi="Arial"/>
                <w:sz w:val="16"/>
                <w:szCs w:val="16"/>
                <w:color w:val="auto"/>
                <w:w w:val="98"/>
              </w:rPr>
              <w:t>200% of base salary, with threshold</w:t>
            </w:r>
          </w:p>
        </w:tc>
        <w:tc>
          <w:tcPr>
            <w:tcW w:w="240" w:type="dxa"/>
            <w:vAlign w:val="bottom"/>
          </w:tcPr>
          <w:p>
            <w:pPr>
              <w:spacing w:after="0"/>
              <w:rPr>
                <w:sz w:val="17"/>
                <w:szCs w:val="17"/>
                <w:color w:val="auto"/>
              </w:rPr>
            </w:pPr>
          </w:p>
        </w:tc>
        <w:tc>
          <w:tcPr>
            <w:tcW w:w="2480" w:type="dxa"/>
            <w:vAlign w:val="bottom"/>
          </w:tcPr>
          <w:p>
            <w:pPr>
              <w:ind w:left="100"/>
              <w:spacing w:after="0"/>
              <w:rPr>
                <w:sz w:val="20"/>
                <w:szCs w:val="20"/>
                <w:color w:val="auto"/>
              </w:rPr>
            </w:pPr>
            <w:r>
              <w:rPr>
                <w:rFonts w:ascii="Arial" w:cs="Arial" w:eastAsia="Arial" w:hAnsi="Arial"/>
                <w:sz w:val="16"/>
                <w:szCs w:val="16"/>
                <w:color w:val="auto"/>
              </w:rPr>
              <w:t>target (from 1.5X of target),</w:t>
            </w:r>
          </w:p>
        </w:tc>
        <w:tc>
          <w:tcPr>
            <w:tcW w:w="100" w:type="dxa"/>
            <w:vAlign w:val="bottom"/>
          </w:tcPr>
          <w:p>
            <w:pPr>
              <w:spacing w:after="0"/>
              <w:rPr>
                <w:sz w:val="17"/>
                <w:szCs w:val="17"/>
                <w:color w:val="auto"/>
              </w:rPr>
            </w:pPr>
          </w:p>
        </w:tc>
        <w:tc>
          <w:tcPr>
            <w:tcW w:w="80" w:type="dxa"/>
            <w:vAlign w:val="bottom"/>
            <w:shd w:val="clear" w:color="auto" w:fill="E9F9D8"/>
          </w:tcPr>
          <w:p>
            <w:pPr>
              <w:spacing w:after="0"/>
              <w:rPr>
                <w:sz w:val="17"/>
                <w:szCs w:val="17"/>
                <w:color w:val="auto"/>
              </w:rPr>
            </w:pPr>
          </w:p>
        </w:tc>
        <w:tc>
          <w:tcPr>
            <w:tcW w:w="180" w:type="dxa"/>
            <w:vAlign w:val="bottom"/>
            <w:shd w:val="clear" w:color="auto" w:fill="E9F9D8"/>
          </w:tcPr>
          <w:p>
            <w:pPr>
              <w:spacing w:after="0"/>
              <w:rPr>
                <w:sz w:val="17"/>
                <w:szCs w:val="17"/>
                <w:color w:val="auto"/>
              </w:rPr>
            </w:pPr>
          </w:p>
        </w:tc>
        <w:tc>
          <w:tcPr>
            <w:tcW w:w="2380" w:type="dxa"/>
            <w:vAlign w:val="bottom"/>
            <w:shd w:val="clear" w:color="auto" w:fill="E9F9D8"/>
          </w:tcPr>
          <w:p>
            <w:pPr>
              <w:ind w:left="40"/>
              <w:spacing w:after="0"/>
              <w:rPr>
                <w:sz w:val="20"/>
                <w:szCs w:val="20"/>
                <w:color w:val="auto"/>
              </w:rPr>
            </w:pPr>
            <w:r>
              <w:rPr>
                <w:rFonts w:ascii="Arial" w:cs="Arial" w:eastAsia="Arial" w:hAnsi="Arial"/>
                <w:sz w:val="16"/>
                <w:szCs w:val="16"/>
                <w:color w:val="auto"/>
              </w:rPr>
              <w:t>based on formulaic outcome</w:t>
            </w:r>
          </w:p>
        </w:tc>
        <w:tc>
          <w:tcPr>
            <w:tcW w:w="100" w:type="dxa"/>
            <w:vAlign w:val="bottom"/>
            <w:shd w:val="clear" w:color="auto" w:fill="E9F9D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2620" w:type="dxa"/>
            <w:vAlign w:val="bottom"/>
          </w:tcPr>
          <w:p>
            <w:pPr>
              <w:ind w:left="120"/>
              <w:spacing w:after="0"/>
              <w:rPr>
                <w:sz w:val="20"/>
                <w:szCs w:val="20"/>
                <w:color w:val="auto"/>
              </w:rPr>
            </w:pPr>
            <w:r>
              <w:rPr>
                <w:rFonts w:ascii="Arial" w:cs="Arial" w:eastAsia="Arial" w:hAnsi="Arial"/>
                <w:sz w:val="16"/>
                <w:szCs w:val="16"/>
                <w:color w:val="auto"/>
                <w:w w:val="99"/>
              </w:rPr>
              <w:t>and max performance earning 50%</w:t>
            </w:r>
          </w:p>
        </w:tc>
        <w:tc>
          <w:tcPr>
            <w:tcW w:w="240" w:type="dxa"/>
            <w:vAlign w:val="bottom"/>
          </w:tcPr>
          <w:p>
            <w:pPr>
              <w:spacing w:after="0"/>
              <w:rPr>
                <w:sz w:val="17"/>
                <w:szCs w:val="17"/>
                <w:color w:val="auto"/>
              </w:rPr>
            </w:pPr>
          </w:p>
        </w:tc>
        <w:tc>
          <w:tcPr>
            <w:tcW w:w="2480" w:type="dxa"/>
            <w:vAlign w:val="bottom"/>
          </w:tcPr>
          <w:p>
            <w:pPr>
              <w:ind w:left="100"/>
              <w:spacing w:after="0"/>
              <w:rPr>
                <w:sz w:val="20"/>
                <w:szCs w:val="20"/>
                <w:color w:val="auto"/>
              </w:rPr>
            </w:pPr>
            <w:r>
              <w:rPr>
                <w:rFonts w:ascii="Arial" w:cs="Arial" w:eastAsia="Arial" w:hAnsi="Arial"/>
                <w:sz w:val="16"/>
                <w:szCs w:val="16"/>
                <w:color w:val="auto"/>
              </w:rPr>
              <w:t>subject to rigorous incentive</w:t>
            </w:r>
          </w:p>
        </w:tc>
        <w:tc>
          <w:tcPr>
            <w:tcW w:w="100" w:type="dxa"/>
            <w:vAlign w:val="bottom"/>
          </w:tcPr>
          <w:p>
            <w:pPr>
              <w:spacing w:after="0"/>
              <w:rPr>
                <w:sz w:val="17"/>
                <w:szCs w:val="17"/>
                <w:color w:val="auto"/>
              </w:rPr>
            </w:pPr>
          </w:p>
        </w:tc>
        <w:tc>
          <w:tcPr>
            <w:tcW w:w="80" w:type="dxa"/>
            <w:vAlign w:val="bottom"/>
            <w:shd w:val="clear" w:color="auto" w:fill="E9F9D8"/>
          </w:tcPr>
          <w:p>
            <w:pPr>
              <w:spacing w:after="0"/>
              <w:rPr>
                <w:sz w:val="17"/>
                <w:szCs w:val="17"/>
                <w:color w:val="auto"/>
              </w:rPr>
            </w:pPr>
          </w:p>
        </w:tc>
        <w:tc>
          <w:tcPr>
            <w:tcW w:w="2560" w:type="dxa"/>
            <w:vAlign w:val="bottom"/>
            <w:gridSpan w:val="2"/>
            <w:shd w:val="clear" w:color="auto" w:fill="E9F9D8"/>
          </w:tcPr>
          <w:p>
            <w:pPr>
              <w:spacing w:after="0" w:line="184" w:lineRule="exact"/>
              <w:rPr>
                <w:sz w:val="20"/>
                <w:szCs w:val="20"/>
                <w:color w:val="auto"/>
              </w:rPr>
            </w:pPr>
            <w:r>
              <w:rPr>
                <w:rFonts w:ascii="MS PGothic" w:cs="MS PGothic" w:eastAsia="MS PGothic" w:hAnsi="MS PGothic"/>
                <w:sz w:val="16"/>
                <w:szCs w:val="16"/>
                <w:color w:val="83AD40"/>
              </w:rPr>
              <w:t>✓</w:t>
            </w:r>
            <w:r>
              <w:rPr>
                <w:rFonts w:ascii="Arial" w:cs="Arial" w:eastAsia="Arial" w:hAnsi="Arial"/>
                <w:sz w:val="16"/>
                <w:szCs w:val="16"/>
                <w:color w:val="auto"/>
              </w:rPr>
              <w:t xml:space="preserve"> No discretionary adjustments</w:t>
            </w:r>
          </w:p>
        </w:tc>
        <w:tc>
          <w:tcPr>
            <w:tcW w:w="100" w:type="dxa"/>
            <w:vAlign w:val="bottom"/>
            <w:shd w:val="clear" w:color="auto" w:fill="E9F9D8"/>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2620" w:type="dxa"/>
            <w:vAlign w:val="bottom"/>
          </w:tcPr>
          <w:p>
            <w:pPr>
              <w:ind w:left="120"/>
              <w:spacing w:after="0"/>
              <w:rPr>
                <w:sz w:val="20"/>
                <w:szCs w:val="20"/>
                <w:color w:val="auto"/>
              </w:rPr>
            </w:pPr>
            <w:r>
              <w:rPr>
                <w:rFonts w:ascii="Arial" w:cs="Arial" w:eastAsia="Arial" w:hAnsi="Arial"/>
                <w:sz w:val="16"/>
                <w:szCs w:val="16"/>
                <w:color w:val="auto"/>
              </w:rPr>
              <w:t>and 400%, respectively</w:t>
            </w:r>
          </w:p>
        </w:tc>
        <w:tc>
          <w:tcPr>
            <w:tcW w:w="240" w:type="dxa"/>
            <w:vAlign w:val="bottom"/>
          </w:tcPr>
          <w:p>
            <w:pPr>
              <w:spacing w:after="0"/>
              <w:rPr>
                <w:sz w:val="21"/>
                <w:szCs w:val="21"/>
                <w:color w:val="auto"/>
              </w:rPr>
            </w:pPr>
          </w:p>
        </w:tc>
        <w:tc>
          <w:tcPr>
            <w:tcW w:w="2480" w:type="dxa"/>
            <w:vAlign w:val="bottom"/>
          </w:tcPr>
          <w:p>
            <w:pPr>
              <w:ind w:left="100"/>
              <w:spacing w:after="0"/>
              <w:rPr>
                <w:sz w:val="20"/>
                <w:szCs w:val="20"/>
                <w:color w:val="auto"/>
              </w:rPr>
            </w:pPr>
            <w:r>
              <w:rPr>
                <w:rFonts w:ascii="Arial" w:cs="Arial" w:eastAsia="Arial" w:hAnsi="Arial"/>
                <w:sz w:val="16"/>
                <w:szCs w:val="16"/>
                <w:color w:val="auto"/>
              </w:rPr>
              <w:t>payout curve</w:t>
            </w:r>
          </w:p>
        </w:tc>
        <w:tc>
          <w:tcPr>
            <w:tcW w:w="100" w:type="dxa"/>
            <w:vAlign w:val="bottom"/>
          </w:tcPr>
          <w:p>
            <w:pPr>
              <w:spacing w:after="0"/>
              <w:rPr>
                <w:sz w:val="21"/>
                <w:szCs w:val="21"/>
                <w:color w:val="auto"/>
              </w:rPr>
            </w:pPr>
          </w:p>
        </w:tc>
        <w:tc>
          <w:tcPr>
            <w:tcW w:w="80" w:type="dxa"/>
            <w:vAlign w:val="bottom"/>
            <w:shd w:val="clear" w:color="auto" w:fill="E9F9D8"/>
          </w:tcPr>
          <w:p>
            <w:pPr>
              <w:spacing w:after="0"/>
              <w:rPr>
                <w:sz w:val="21"/>
                <w:szCs w:val="21"/>
                <w:color w:val="auto"/>
              </w:rPr>
            </w:pPr>
          </w:p>
        </w:tc>
        <w:tc>
          <w:tcPr>
            <w:tcW w:w="2560" w:type="dxa"/>
            <w:vAlign w:val="bottom"/>
            <w:gridSpan w:val="2"/>
            <w:shd w:val="clear" w:color="auto" w:fill="E9F9D8"/>
          </w:tcPr>
          <w:p>
            <w:pPr>
              <w:spacing w:after="0" w:line="184" w:lineRule="exact"/>
              <w:rPr>
                <w:sz w:val="20"/>
                <w:szCs w:val="20"/>
                <w:color w:val="auto"/>
              </w:rPr>
            </w:pPr>
            <w:r>
              <w:rPr>
                <w:rFonts w:ascii="MS PGothic" w:cs="MS PGothic" w:eastAsia="MS PGothic" w:hAnsi="MS PGothic"/>
                <w:sz w:val="16"/>
                <w:szCs w:val="16"/>
                <w:color w:val="83AD40"/>
                <w:w w:val="99"/>
              </w:rPr>
              <w:t>✓</w:t>
            </w:r>
            <w:r>
              <w:rPr>
                <w:rFonts w:ascii="Arial" w:cs="Arial" w:eastAsia="Arial" w:hAnsi="Arial"/>
                <w:sz w:val="16"/>
                <w:szCs w:val="16"/>
                <w:color w:val="auto"/>
                <w:w w:val="99"/>
              </w:rPr>
              <w:t xml:space="preserve"> CEO may elect to receive earned</w:t>
            </w:r>
          </w:p>
        </w:tc>
        <w:tc>
          <w:tcPr>
            <w:tcW w:w="100" w:type="dxa"/>
            <w:vAlign w:val="bottom"/>
            <w:shd w:val="clear" w:color="auto" w:fill="E9F9D8"/>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shd w:val="clear" w:color="auto" w:fill="E9F9D8"/>
          </w:tcPr>
          <w:p>
            <w:pPr>
              <w:spacing w:after="0"/>
              <w:rPr>
                <w:sz w:val="15"/>
                <w:szCs w:val="15"/>
                <w:color w:val="auto"/>
              </w:rPr>
            </w:pPr>
          </w:p>
        </w:tc>
        <w:tc>
          <w:tcPr>
            <w:tcW w:w="180" w:type="dxa"/>
            <w:vAlign w:val="bottom"/>
            <w:shd w:val="clear" w:color="auto" w:fill="E9F9D8"/>
          </w:tcPr>
          <w:p>
            <w:pPr>
              <w:spacing w:after="0"/>
              <w:rPr>
                <w:sz w:val="15"/>
                <w:szCs w:val="15"/>
                <w:color w:val="auto"/>
              </w:rPr>
            </w:pPr>
          </w:p>
        </w:tc>
        <w:tc>
          <w:tcPr>
            <w:tcW w:w="2380" w:type="dxa"/>
            <w:vAlign w:val="bottom"/>
            <w:shd w:val="clear" w:color="auto" w:fill="E9F9D8"/>
          </w:tcPr>
          <w:p>
            <w:pPr>
              <w:ind w:left="40"/>
              <w:spacing w:after="0" w:line="175" w:lineRule="exact"/>
              <w:rPr>
                <w:sz w:val="20"/>
                <w:szCs w:val="20"/>
                <w:color w:val="auto"/>
              </w:rPr>
            </w:pPr>
            <w:r>
              <w:rPr>
                <w:rFonts w:ascii="Arial" w:cs="Arial" w:eastAsia="Arial" w:hAnsi="Arial"/>
                <w:sz w:val="16"/>
                <w:szCs w:val="16"/>
                <w:color w:val="auto"/>
                <w:w w:val="98"/>
              </w:rPr>
              <w:t>annual incentive in equity subject</w:t>
            </w:r>
          </w:p>
        </w:tc>
        <w:tc>
          <w:tcPr>
            <w:tcW w:w="100" w:type="dxa"/>
            <w:vAlign w:val="bottom"/>
            <w:shd w:val="clear" w:color="auto" w:fill="E9F9D8"/>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shd w:val="clear" w:color="auto" w:fill="E9F9D8"/>
          </w:tcPr>
          <w:p>
            <w:pPr>
              <w:spacing w:after="0"/>
              <w:rPr>
                <w:sz w:val="18"/>
                <w:szCs w:val="18"/>
                <w:color w:val="auto"/>
              </w:rPr>
            </w:pPr>
          </w:p>
        </w:tc>
        <w:tc>
          <w:tcPr>
            <w:tcW w:w="180" w:type="dxa"/>
            <w:vAlign w:val="bottom"/>
            <w:shd w:val="clear" w:color="auto" w:fill="E9F9D8"/>
          </w:tcPr>
          <w:p>
            <w:pPr>
              <w:spacing w:after="0"/>
              <w:rPr>
                <w:sz w:val="18"/>
                <w:szCs w:val="18"/>
                <w:color w:val="auto"/>
              </w:rPr>
            </w:pPr>
          </w:p>
        </w:tc>
        <w:tc>
          <w:tcPr>
            <w:tcW w:w="2380" w:type="dxa"/>
            <w:vAlign w:val="bottom"/>
            <w:shd w:val="clear" w:color="auto" w:fill="E9F9D8"/>
          </w:tcPr>
          <w:p>
            <w:pPr>
              <w:ind w:left="40"/>
              <w:spacing w:after="0"/>
              <w:rPr>
                <w:sz w:val="20"/>
                <w:szCs w:val="20"/>
                <w:color w:val="auto"/>
              </w:rPr>
            </w:pPr>
            <w:r>
              <w:rPr>
                <w:rFonts w:ascii="Arial" w:cs="Arial" w:eastAsia="Arial" w:hAnsi="Arial"/>
                <w:sz w:val="16"/>
                <w:szCs w:val="16"/>
                <w:color w:val="auto"/>
              </w:rPr>
              <w:t>to a three-year no-sell restriction</w:t>
            </w:r>
          </w:p>
        </w:tc>
        <w:tc>
          <w:tcPr>
            <w:tcW w:w="100" w:type="dxa"/>
            <w:vAlign w:val="bottom"/>
            <w:shd w:val="clear" w:color="auto" w:fill="E9F9D8"/>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2720" w:type="dxa"/>
            <w:vAlign w:val="bottom"/>
            <w:gridSpan w:val="2"/>
          </w:tcPr>
          <w:p>
            <w:pPr>
              <w:spacing w:after="0" w:line="367" w:lineRule="exact"/>
              <w:rPr>
                <w:sz w:val="20"/>
                <w:szCs w:val="20"/>
                <w:color w:val="auto"/>
              </w:rPr>
            </w:pPr>
            <w:r>
              <w:rPr>
                <w:rFonts w:ascii="Arial" w:cs="Arial" w:eastAsia="Arial" w:hAnsi="Arial"/>
                <w:sz w:val="32"/>
                <w:szCs w:val="32"/>
                <w:color w:val="auto"/>
                <w:vertAlign w:val="superscript"/>
              </w:rPr>
              <w:t>​ ​</w:t>
            </w:r>
            <w:r>
              <w:rPr>
                <w:rFonts w:ascii="Arial" w:cs="Arial" w:eastAsia="Arial" w:hAnsi="Arial"/>
                <w:sz w:val="16"/>
                <w:szCs w:val="16"/>
                <w:b w:val="1"/>
                <w:bCs w:val="1"/>
                <w:color w:val="auto"/>
              </w:rPr>
              <w:t xml:space="preserve"> Time-Based Equity Awards</w:t>
            </w:r>
            <w:r>
              <w:rPr>
                <w:rFonts w:ascii="Arial" w:cs="Arial" w:eastAsia="Arial" w:hAnsi="Arial"/>
                <w:sz w:val="16"/>
                <w:szCs w:val="16"/>
                <w:color w:val="auto"/>
              </w:rPr>
              <w:t>:</w:t>
            </w:r>
          </w:p>
        </w:tc>
        <w:tc>
          <w:tcPr>
            <w:tcW w:w="240" w:type="dxa"/>
            <w:vAlign w:val="bottom"/>
          </w:tcPr>
          <w:p>
            <w:pPr>
              <w:jc w:val="right"/>
              <w:spacing w:after="0" w:line="367"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2"/>
                <w:szCs w:val="32"/>
                <w:color w:val="auto"/>
                <w:vertAlign w:val="subscript"/>
              </w:rPr>
              <w:t>•</w:t>
            </w:r>
          </w:p>
        </w:tc>
        <w:tc>
          <w:tcPr>
            <w:tcW w:w="2480" w:type="dxa"/>
            <w:vAlign w:val="bottom"/>
          </w:tcPr>
          <w:p>
            <w:pPr>
              <w:ind w:left="100"/>
              <w:spacing w:after="0"/>
              <w:rPr>
                <w:sz w:val="20"/>
                <w:szCs w:val="20"/>
                <w:color w:val="auto"/>
              </w:rPr>
            </w:pPr>
            <w:r>
              <w:rPr>
                <w:rFonts w:ascii="Arial" w:cs="Arial" w:eastAsia="Arial" w:hAnsi="Arial"/>
                <w:sz w:val="16"/>
                <w:szCs w:val="16"/>
                <w:color w:val="auto"/>
              </w:rPr>
              <w:t>Addition of an Outperformance</w:t>
            </w:r>
          </w:p>
        </w:tc>
        <w:tc>
          <w:tcPr>
            <w:tcW w:w="100" w:type="dxa"/>
            <w:vAlign w:val="bottom"/>
          </w:tcPr>
          <w:p>
            <w:pPr>
              <w:ind w:left="20"/>
              <w:spacing w:after="0"/>
              <w:rPr>
                <w:sz w:val="20"/>
                <w:szCs w:val="20"/>
                <w:color w:val="auto"/>
              </w:rPr>
            </w:pPr>
            <w:r>
              <w:rPr>
                <w:rFonts w:ascii="Arial" w:cs="Arial" w:eastAsia="Arial" w:hAnsi="Arial"/>
                <w:sz w:val="16"/>
                <w:szCs w:val="16"/>
                <w:color w:val="auto"/>
              </w:rPr>
              <w:t>​</w:t>
            </w:r>
          </w:p>
        </w:tc>
        <w:tc>
          <w:tcPr>
            <w:tcW w:w="80" w:type="dxa"/>
            <w:vAlign w:val="bottom"/>
            <w:shd w:val="clear" w:color="auto" w:fill="E9F9D8"/>
          </w:tcPr>
          <w:p>
            <w:pPr>
              <w:spacing w:after="0"/>
              <w:rPr>
                <w:sz w:val="20"/>
                <w:szCs w:val="20"/>
                <w:color w:val="auto"/>
              </w:rPr>
            </w:pPr>
            <w:r>
              <w:rPr>
                <w:rFonts w:ascii="Arial" w:cs="Arial" w:eastAsia="Arial" w:hAnsi="Arial"/>
                <w:sz w:val="16"/>
                <w:szCs w:val="16"/>
                <w:color w:val="auto"/>
              </w:rPr>
              <w:t>​</w:t>
            </w:r>
          </w:p>
        </w:tc>
        <w:tc>
          <w:tcPr>
            <w:tcW w:w="2560" w:type="dxa"/>
            <w:vAlign w:val="bottom"/>
            <w:gridSpan w:val="2"/>
            <w:shd w:val="clear" w:color="auto" w:fill="E9F9D8"/>
          </w:tcPr>
          <w:p>
            <w:pPr>
              <w:spacing w:after="0" w:line="184" w:lineRule="exact"/>
              <w:rPr>
                <w:sz w:val="20"/>
                <w:szCs w:val="20"/>
                <w:color w:val="auto"/>
              </w:rPr>
            </w:pPr>
            <w:r>
              <w:rPr>
                <w:rFonts w:ascii="MS PGothic" w:cs="MS PGothic" w:eastAsia="MS PGothic" w:hAnsi="MS PGothic"/>
                <w:sz w:val="16"/>
                <w:szCs w:val="16"/>
                <w:color w:val="83AD40"/>
              </w:rPr>
              <w:t>✓</w:t>
            </w:r>
            <w:r>
              <w:rPr>
                <w:rFonts w:ascii="Arial" w:cs="Arial" w:eastAsia="Arial" w:hAnsi="Arial"/>
                <w:sz w:val="16"/>
                <w:szCs w:val="16"/>
                <w:color w:val="auto"/>
              </w:rPr>
              <w:t xml:space="preserve"> Eliminates short-term</w:t>
            </w:r>
          </w:p>
        </w:tc>
        <w:tc>
          <w:tcPr>
            <w:tcW w:w="100" w:type="dxa"/>
            <w:vAlign w:val="bottom"/>
            <w:shd w:val="clear" w:color="auto" w:fill="E9F9D8"/>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2620" w:type="dxa"/>
            <w:vAlign w:val="bottom"/>
          </w:tcPr>
          <w:p>
            <w:pPr>
              <w:ind w:left="120"/>
              <w:spacing w:after="0"/>
              <w:rPr>
                <w:sz w:val="20"/>
                <w:szCs w:val="20"/>
                <w:color w:val="auto"/>
              </w:rPr>
            </w:pPr>
            <w:r>
              <w:rPr>
                <w:rFonts w:ascii="Arial" w:cs="Arial" w:eastAsia="Arial" w:hAnsi="Arial"/>
                <w:sz w:val="16"/>
                <w:szCs w:val="16"/>
                <w:color w:val="auto"/>
              </w:rPr>
              <w:t>$5 million, with an up to 200%</w:t>
            </w:r>
          </w:p>
        </w:tc>
        <w:tc>
          <w:tcPr>
            <w:tcW w:w="240" w:type="dxa"/>
            <w:vAlign w:val="bottom"/>
          </w:tcPr>
          <w:p>
            <w:pPr>
              <w:spacing w:after="0"/>
              <w:rPr>
                <w:sz w:val="16"/>
                <w:szCs w:val="16"/>
                <w:color w:val="auto"/>
              </w:rPr>
            </w:pPr>
          </w:p>
        </w:tc>
        <w:tc>
          <w:tcPr>
            <w:tcW w:w="2480" w:type="dxa"/>
            <w:vAlign w:val="bottom"/>
          </w:tcPr>
          <w:p>
            <w:pPr>
              <w:ind w:left="100"/>
              <w:spacing w:after="0"/>
              <w:rPr>
                <w:sz w:val="20"/>
                <w:szCs w:val="20"/>
                <w:color w:val="auto"/>
              </w:rPr>
            </w:pPr>
            <w:r>
              <w:rPr>
                <w:rFonts w:ascii="Arial" w:cs="Arial" w:eastAsia="Arial" w:hAnsi="Arial"/>
                <w:sz w:val="16"/>
                <w:szCs w:val="16"/>
                <w:color w:val="auto"/>
              </w:rPr>
              <w:t>Modifier based on preset 3-year</w:t>
            </w:r>
          </w:p>
        </w:tc>
        <w:tc>
          <w:tcPr>
            <w:tcW w:w="100" w:type="dxa"/>
            <w:vAlign w:val="bottom"/>
          </w:tcPr>
          <w:p>
            <w:pPr>
              <w:spacing w:after="0"/>
              <w:rPr>
                <w:sz w:val="16"/>
                <w:szCs w:val="16"/>
                <w:color w:val="auto"/>
              </w:rPr>
            </w:pPr>
          </w:p>
        </w:tc>
        <w:tc>
          <w:tcPr>
            <w:tcW w:w="80" w:type="dxa"/>
            <w:vAlign w:val="bottom"/>
            <w:shd w:val="clear" w:color="auto" w:fill="E9F9D8"/>
          </w:tcPr>
          <w:p>
            <w:pPr>
              <w:spacing w:after="0"/>
              <w:rPr>
                <w:sz w:val="16"/>
                <w:szCs w:val="16"/>
                <w:color w:val="auto"/>
              </w:rPr>
            </w:pPr>
          </w:p>
        </w:tc>
        <w:tc>
          <w:tcPr>
            <w:tcW w:w="180" w:type="dxa"/>
            <w:vAlign w:val="bottom"/>
            <w:shd w:val="clear" w:color="auto" w:fill="E9F9D8"/>
          </w:tcPr>
          <w:p>
            <w:pPr>
              <w:spacing w:after="0"/>
              <w:rPr>
                <w:sz w:val="16"/>
                <w:szCs w:val="16"/>
                <w:color w:val="auto"/>
              </w:rPr>
            </w:pPr>
          </w:p>
        </w:tc>
        <w:tc>
          <w:tcPr>
            <w:tcW w:w="2380" w:type="dxa"/>
            <w:vAlign w:val="bottom"/>
            <w:shd w:val="clear" w:color="auto" w:fill="E9F9D8"/>
          </w:tcPr>
          <w:p>
            <w:pPr>
              <w:ind w:left="40"/>
              <w:spacing w:after="0"/>
              <w:rPr>
                <w:sz w:val="20"/>
                <w:szCs w:val="20"/>
                <w:color w:val="auto"/>
              </w:rPr>
            </w:pPr>
            <w:r>
              <w:rPr>
                <w:rFonts w:ascii="Arial" w:cs="Arial" w:eastAsia="Arial" w:hAnsi="Arial"/>
                <w:sz w:val="16"/>
                <w:szCs w:val="16"/>
                <w:color w:val="auto"/>
              </w:rPr>
              <w:t>performance goals for long-term</w:t>
            </w:r>
          </w:p>
        </w:tc>
        <w:tc>
          <w:tcPr>
            <w:tcW w:w="100" w:type="dxa"/>
            <w:vAlign w:val="bottom"/>
            <w:shd w:val="clear" w:color="auto" w:fill="E9F9D8"/>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2620" w:type="dxa"/>
            <w:vAlign w:val="bottom"/>
          </w:tcPr>
          <w:p>
            <w:pPr>
              <w:ind w:left="120"/>
              <w:spacing w:after="0" w:line="175" w:lineRule="exact"/>
              <w:rPr>
                <w:sz w:val="20"/>
                <w:szCs w:val="20"/>
                <w:color w:val="auto"/>
              </w:rPr>
            </w:pPr>
            <w:r>
              <w:rPr>
                <w:rFonts w:ascii="Arial" w:cs="Arial" w:eastAsia="Arial" w:hAnsi="Arial"/>
                <w:sz w:val="16"/>
                <w:szCs w:val="16"/>
                <w:color w:val="auto"/>
              </w:rPr>
              <w:t>performance modifier based on</w:t>
            </w:r>
          </w:p>
        </w:tc>
        <w:tc>
          <w:tcPr>
            <w:tcW w:w="240" w:type="dxa"/>
            <w:vAlign w:val="bottom"/>
          </w:tcPr>
          <w:p>
            <w:pPr>
              <w:spacing w:after="0"/>
              <w:rPr>
                <w:sz w:val="15"/>
                <w:szCs w:val="15"/>
                <w:color w:val="auto"/>
              </w:rPr>
            </w:pPr>
          </w:p>
        </w:tc>
        <w:tc>
          <w:tcPr>
            <w:tcW w:w="2480" w:type="dxa"/>
            <w:vAlign w:val="bottom"/>
          </w:tcPr>
          <w:p>
            <w:pPr>
              <w:ind w:left="100"/>
              <w:spacing w:after="0" w:line="175" w:lineRule="exact"/>
              <w:rPr>
                <w:sz w:val="20"/>
                <w:szCs w:val="20"/>
                <w:color w:val="auto"/>
              </w:rPr>
            </w:pPr>
            <w:r>
              <w:rPr>
                <w:rFonts w:ascii="Arial" w:cs="Arial" w:eastAsia="Arial" w:hAnsi="Arial"/>
                <w:sz w:val="16"/>
                <w:szCs w:val="16"/>
                <w:color w:val="auto"/>
              </w:rPr>
              <w:t>operational or financial goals</w:t>
            </w:r>
          </w:p>
        </w:tc>
        <w:tc>
          <w:tcPr>
            <w:tcW w:w="100" w:type="dxa"/>
            <w:vAlign w:val="bottom"/>
          </w:tcPr>
          <w:p>
            <w:pPr>
              <w:spacing w:after="0"/>
              <w:rPr>
                <w:sz w:val="15"/>
                <w:szCs w:val="15"/>
                <w:color w:val="auto"/>
              </w:rPr>
            </w:pPr>
          </w:p>
        </w:tc>
        <w:tc>
          <w:tcPr>
            <w:tcW w:w="80" w:type="dxa"/>
            <w:vAlign w:val="bottom"/>
            <w:shd w:val="clear" w:color="auto" w:fill="E9F9D8"/>
          </w:tcPr>
          <w:p>
            <w:pPr>
              <w:spacing w:after="0"/>
              <w:rPr>
                <w:sz w:val="15"/>
                <w:szCs w:val="15"/>
                <w:color w:val="auto"/>
              </w:rPr>
            </w:pPr>
          </w:p>
        </w:tc>
        <w:tc>
          <w:tcPr>
            <w:tcW w:w="180" w:type="dxa"/>
            <w:vAlign w:val="bottom"/>
            <w:shd w:val="clear" w:color="auto" w:fill="E9F9D8"/>
          </w:tcPr>
          <w:p>
            <w:pPr>
              <w:spacing w:after="0"/>
              <w:rPr>
                <w:sz w:val="15"/>
                <w:szCs w:val="15"/>
                <w:color w:val="auto"/>
              </w:rPr>
            </w:pPr>
          </w:p>
        </w:tc>
        <w:tc>
          <w:tcPr>
            <w:tcW w:w="2380" w:type="dxa"/>
            <w:vAlign w:val="bottom"/>
            <w:shd w:val="clear" w:color="auto" w:fill="E9F9D8"/>
          </w:tcPr>
          <w:p>
            <w:pPr>
              <w:ind w:left="40"/>
              <w:spacing w:after="0" w:line="175" w:lineRule="exact"/>
              <w:rPr>
                <w:sz w:val="20"/>
                <w:szCs w:val="20"/>
                <w:color w:val="auto"/>
              </w:rPr>
            </w:pPr>
            <w:r>
              <w:rPr>
                <w:rFonts w:ascii="Arial" w:cs="Arial" w:eastAsia="Arial" w:hAnsi="Arial"/>
                <w:sz w:val="16"/>
                <w:szCs w:val="16"/>
                <w:color w:val="auto"/>
                <w:w w:val="99"/>
              </w:rPr>
              <w:t>equity incentives in line with prior</w:t>
            </w:r>
          </w:p>
        </w:tc>
        <w:tc>
          <w:tcPr>
            <w:tcW w:w="100" w:type="dxa"/>
            <w:vAlign w:val="bottom"/>
            <w:shd w:val="clear" w:color="auto" w:fill="E9F9D8"/>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00" w:type="dxa"/>
            <w:vAlign w:val="bottom"/>
          </w:tcPr>
          <w:p>
            <w:pPr>
              <w:spacing w:after="0"/>
              <w:rPr>
                <w:sz w:val="16"/>
                <w:szCs w:val="16"/>
                <w:color w:val="auto"/>
              </w:rPr>
            </w:pPr>
          </w:p>
        </w:tc>
        <w:tc>
          <w:tcPr>
            <w:tcW w:w="2620" w:type="dxa"/>
            <w:vAlign w:val="bottom"/>
          </w:tcPr>
          <w:p>
            <w:pPr>
              <w:ind w:left="120"/>
              <w:spacing w:after="0"/>
              <w:rPr>
                <w:sz w:val="20"/>
                <w:szCs w:val="20"/>
                <w:color w:val="auto"/>
              </w:rPr>
            </w:pPr>
            <w:r>
              <w:rPr>
                <w:rFonts w:ascii="Arial" w:cs="Arial" w:eastAsia="Arial" w:hAnsi="Arial"/>
                <w:sz w:val="16"/>
                <w:szCs w:val="16"/>
                <w:color w:val="auto"/>
              </w:rPr>
              <w:t>preset three-year Company</w:t>
            </w:r>
          </w:p>
        </w:tc>
        <w:tc>
          <w:tcPr>
            <w:tcW w:w="2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shd w:val="clear" w:color="auto" w:fill="E9F9D8"/>
          </w:tcPr>
          <w:p>
            <w:pPr>
              <w:spacing w:after="0"/>
              <w:rPr>
                <w:sz w:val="16"/>
                <w:szCs w:val="16"/>
                <w:color w:val="auto"/>
              </w:rPr>
            </w:pPr>
          </w:p>
        </w:tc>
        <w:tc>
          <w:tcPr>
            <w:tcW w:w="180" w:type="dxa"/>
            <w:vAlign w:val="bottom"/>
            <w:shd w:val="clear" w:color="auto" w:fill="E9F9D8"/>
          </w:tcPr>
          <w:p>
            <w:pPr>
              <w:spacing w:after="0"/>
              <w:rPr>
                <w:sz w:val="16"/>
                <w:szCs w:val="16"/>
                <w:color w:val="auto"/>
              </w:rPr>
            </w:pPr>
          </w:p>
        </w:tc>
        <w:tc>
          <w:tcPr>
            <w:tcW w:w="2380" w:type="dxa"/>
            <w:vAlign w:val="bottom"/>
            <w:shd w:val="clear" w:color="auto" w:fill="E9F9D8"/>
          </w:tcPr>
          <w:p>
            <w:pPr>
              <w:ind w:left="40"/>
              <w:spacing w:after="0"/>
              <w:rPr>
                <w:sz w:val="20"/>
                <w:szCs w:val="20"/>
                <w:color w:val="auto"/>
              </w:rPr>
            </w:pPr>
            <w:r>
              <w:rPr>
                <w:rFonts w:ascii="Arial" w:cs="Arial" w:eastAsia="Arial" w:hAnsi="Arial"/>
                <w:sz w:val="16"/>
                <w:szCs w:val="16"/>
                <w:color w:val="auto"/>
              </w:rPr>
              <w:t>commitment</w:t>
            </w:r>
          </w:p>
        </w:tc>
        <w:tc>
          <w:tcPr>
            <w:tcW w:w="100" w:type="dxa"/>
            <w:vAlign w:val="bottom"/>
            <w:shd w:val="clear" w:color="auto" w:fill="E9F9D8"/>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2620" w:type="dxa"/>
            <w:vAlign w:val="bottom"/>
          </w:tcPr>
          <w:p>
            <w:pPr>
              <w:ind w:left="120"/>
              <w:spacing w:after="0"/>
              <w:rPr>
                <w:sz w:val="20"/>
                <w:szCs w:val="20"/>
                <w:color w:val="auto"/>
              </w:rPr>
            </w:pPr>
            <w:r>
              <w:rPr>
                <w:rFonts w:ascii="Arial" w:cs="Arial" w:eastAsia="Arial" w:hAnsi="Arial"/>
                <w:sz w:val="16"/>
                <w:szCs w:val="16"/>
                <w:color w:val="auto"/>
              </w:rPr>
              <w:t>performance goals</w:t>
            </w:r>
          </w:p>
        </w:tc>
        <w:tc>
          <w:tcPr>
            <w:tcW w:w="2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shd w:val="clear" w:color="auto" w:fill="E9F9D8"/>
          </w:tcPr>
          <w:p>
            <w:pPr>
              <w:spacing w:after="0"/>
              <w:rPr>
                <w:sz w:val="19"/>
                <w:szCs w:val="19"/>
                <w:color w:val="auto"/>
              </w:rPr>
            </w:pPr>
          </w:p>
        </w:tc>
        <w:tc>
          <w:tcPr>
            <w:tcW w:w="2560" w:type="dxa"/>
            <w:vAlign w:val="bottom"/>
            <w:gridSpan w:val="2"/>
            <w:shd w:val="clear" w:color="auto" w:fill="E9F9D8"/>
          </w:tcPr>
          <w:p>
            <w:pPr>
              <w:spacing w:after="0" w:line="184" w:lineRule="exact"/>
              <w:rPr>
                <w:sz w:val="20"/>
                <w:szCs w:val="20"/>
                <w:color w:val="auto"/>
              </w:rPr>
            </w:pPr>
            <w:r>
              <w:rPr>
                <w:rFonts w:ascii="MS PGothic" w:cs="MS PGothic" w:eastAsia="MS PGothic" w:hAnsi="MS PGothic"/>
                <w:sz w:val="16"/>
                <w:szCs w:val="16"/>
                <w:color w:val="83AD40"/>
              </w:rPr>
              <w:t>✓</w:t>
            </w:r>
            <w:r>
              <w:rPr>
                <w:rFonts w:ascii="Arial" w:cs="Arial" w:eastAsia="Arial" w:hAnsi="Arial"/>
                <w:sz w:val="16"/>
                <w:szCs w:val="16"/>
                <w:color w:val="auto"/>
              </w:rPr>
              <w:t xml:space="preserve"> Balances need to retain CEO</w:t>
            </w:r>
          </w:p>
        </w:tc>
        <w:tc>
          <w:tcPr>
            <w:tcW w:w="100" w:type="dxa"/>
            <w:vAlign w:val="bottom"/>
            <w:shd w:val="clear" w:color="auto" w:fill="E9F9D8"/>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shd w:val="clear" w:color="auto" w:fill="E9F9D8"/>
          </w:tcPr>
          <w:p>
            <w:pPr>
              <w:spacing w:after="0"/>
              <w:rPr>
                <w:sz w:val="16"/>
                <w:szCs w:val="16"/>
                <w:color w:val="auto"/>
              </w:rPr>
            </w:pPr>
          </w:p>
        </w:tc>
        <w:tc>
          <w:tcPr>
            <w:tcW w:w="180" w:type="dxa"/>
            <w:vAlign w:val="bottom"/>
            <w:shd w:val="clear" w:color="auto" w:fill="E9F9D8"/>
          </w:tcPr>
          <w:p>
            <w:pPr>
              <w:spacing w:after="0"/>
              <w:rPr>
                <w:sz w:val="16"/>
                <w:szCs w:val="16"/>
                <w:color w:val="auto"/>
              </w:rPr>
            </w:pPr>
          </w:p>
        </w:tc>
        <w:tc>
          <w:tcPr>
            <w:tcW w:w="2380" w:type="dxa"/>
            <w:vAlign w:val="bottom"/>
            <w:shd w:val="clear" w:color="auto" w:fill="E9F9D8"/>
          </w:tcPr>
          <w:p>
            <w:pPr>
              <w:ind w:left="40"/>
              <w:spacing w:after="0"/>
              <w:rPr>
                <w:sz w:val="20"/>
                <w:szCs w:val="20"/>
                <w:color w:val="auto"/>
              </w:rPr>
            </w:pPr>
            <w:r>
              <w:rPr>
                <w:rFonts w:ascii="Arial" w:cs="Arial" w:eastAsia="Arial" w:hAnsi="Arial"/>
                <w:sz w:val="16"/>
                <w:szCs w:val="16"/>
                <w:color w:val="auto"/>
              </w:rPr>
              <w:t>with rewarding outperformance</w:t>
            </w:r>
          </w:p>
        </w:tc>
        <w:tc>
          <w:tcPr>
            <w:tcW w:w="100" w:type="dxa"/>
            <w:vAlign w:val="bottom"/>
            <w:shd w:val="clear" w:color="auto" w:fill="E9F9D8"/>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shd w:val="clear" w:color="auto" w:fill="E9F9D8"/>
          </w:tcPr>
          <w:p>
            <w:pPr>
              <w:spacing w:after="0"/>
              <w:rPr>
                <w:sz w:val="15"/>
                <w:szCs w:val="15"/>
                <w:color w:val="auto"/>
              </w:rPr>
            </w:pPr>
          </w:p>
        </w:tc>
        <w:tc>
          <w:tcPr>
            <w:tcW w:w="180" w:type="dxa"/>
            <w:vAlign w:val="bottom"/>
            <w:shd w:val="clear" w:color="auto" w:fill="E9F9D8"/>
          </w:tcPr>
          <w:p>
            <w:pPr>
              <w:spacing w:after="0"/>
              <w:rPr>
                <w:sz w:val="15"/>
                <w:szCs w:val="15"/>
                <w:color w:val="auto"/>
              </w:rPr>
            </w:pPr>
          </w:p>
        </w:tc>
        <w:tc>
          <w:tcPr>
            <w:tcW w:w="2380" w:type="dxa"/>
            <w:vAlign w:val="bottom"/>
            <w:shd w:val="clear" w:color="auto" w:fill="E9F9D8"/>
          </w:tcPr>
          <w:p>
            <w:pPr>
              <w:ind w:left="40"/>
              <w:spacing w:after="0" w:line="175" w:lineRule="exact"/>
              <w:rPr>
                <w:sz w:val="20"/>
                <w:szCs w:val="20"/>
                <w:color w:val="auto"/>
              </w:rPr>
            </w:pPr>
            <w:r>
              <w:rPr>
                <w:rFonts w:ascii="Arial" w:cs="Arial" w:eastAsia="Arial" w:hAnsi="Arial"/>
                <w:sz w:val="16"/>
                <w:szCs w:val="16"/>
                <w:color w:val="auto"/>
              </w:rPr>
              <w:t>that creates incremental</w:t>
            </w:r>
          </w:p>
        </w:tc>
        <w:tc>
          <w:tcPr>
            <w:tcW w:w="100" w:type="dxa"/>
            <w:vAlign w:val="bottom"/>
            <w:shd w:val="clear" w:color="auto" w:fill="E9F9D8"/>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2620" w:type="dxa"/>
            <w:vAlign w:val="bottom"/>
            <w:tcBorders>
              <w:bottom w:val="single" w:sz="8" w:color="1F2668"/>
            </w:tcBorders>
          </w:tcPr>
          <w:p>
            <w:pPr>
              <w:spacing w:after="0"/>
              <w:rPr>
                <w:sz w:val="19"/>
                <w:szCs w:val="19"/>
                <w:color w:val="auto"/>
              </w:rPr>
            </w:pPr>
          </w:p>
        </w:tc>
        <w:tc>
          <w:tcPr>
            <w:tcW w:w="240" w:type="dxa"/>
            <w:vAlign w:val="bottom"/>
            <w:tcBorders>
              <w:bottom w:val="single" w:sz="8" w:color="1F2668"/>
            </w:tcBorders>
          </w:tcPr>
          <w:p>
            <w:pPr>
              <w:spacing w:after="0"/>
              <w:rPr>
                <w:sz w:val="19"/>
                <w:szCs w:val="19"/>
                <w:color w:val="auto"/>
              </w:rPr>
            </w:pPr>
          </w:p>
        </w:tc>
        <w:tc>
          <w:tcPr>
            <w:tcW w:w="2480" w:type="dxa"/>
            <w:vAlign w:val="bottom"/>
            <w:tcBorders>
              <w:bottom w:val="single" w:sz="8" w:color="1F2668"/>
            </w:tcBorders>
          </w:tcPr>
          <w:p>
            <w:pPr>
              <w:spacing w:after="0"/>
              <w:rPr>
                <w:sz w:val="19"/>
                <w:szCs w:val="19"/>
                <w:color w:val="auto"/>
              </w:rPr>
            </w:pPr>
          </w:p>
        </w:tc>
        <w:tc>
          <w:tcPr>
            <w:tcW w:w="100" w:type="dxa"/>
            <w:vAlign w:val="bottom"/>
            <w:tcBorders>
              <w:bottom w:val="single" w:sz="8" w:color="1F2668"/>
            </w:tcBorders>
          </w:tcPr>
          <w:p>
            <w:pPr>
              <w:spacing w:after="0"/>
              <w:rPr>
                <w:sz w:val="19"/>
                <w:szCs w:val="19"/>
                <w:color w:val="auto"/>
              </w:rPr>
            </w:pPr>
          </w:p>
        </w:tc>
        <w:tc>
          <w:tcPr>
            <w:tcW w:w="80" w:type="dxa"/>
            <w:vAlign w:val="bottom"/>
            <w:tcBorders>
              <w:bottom w:val="single" w:sz="8" w:color="1F2668"/>
            </w:tcBorders>
            <w:shd w:val="clear" w:color="auto" w:fill="E9F9D8"/>
          </w:tcPr>
          <w:p>
            <w:pPr>
              <w:spacing w:after="0"/>
              <w:rPr>
                <w:sz w:val="19"/>
                <w:szCs w:val="19"/>
                <w:color w:val="auto"/>
              </w:rPr>
            </w:pPr>
          </w:p>
        </w:tc>
        <w:tc>
          <w:tcPr>
            <w:tcW w:w="180" w:type="dxa"/>
            <w:vAlign w:val="bottom"/>
            <w:tcBorders>
              <w:bottom w:val="single" w:sz="8" w:color="1F2668"/>
            </w:tcBorders>
            <w:shd w:val="clear" w:color="auto" w:fill="E9F9D8"/>
          </w:tcPr>
          <w:p>
            <w:pPr>
              <w:spacing w:after="0"/>
              <w:rPr>
                <w:sz w:val="19"/>
                <w:szCs w:val="19"/>
                <w:color w:val="auto"/>
              </w:rPr>
            </w:pPr>
          </w:p>
        </w:tc>
        <w:tc>
          <w:tcPr>
            <w:tcW w:w="2380" w:type="dxa"/>
            <w:vAlign w:val="bottom"/>
            <w:tcBorders>
              <w:bottom w:val="single" w:sz="8" w:color="1F2668"/>
            </w:tcBorders>
            <w:shd w:val="clear" w:color="auto" w:fill="E9F9D8"/>
          </w:tcPr>
          <w:p>
            <w:pPr>
              <w:ind w:left="40"/>
              <w:spacing w:after="0"/>
              <w:rPr>
                <w:sz w:val="20"/>
                <w:szCs w:val="20"/>
                <w:color w:val="auto"/>
              </w:rPr>
            </w:pPr>
            <w:r>
              <w:rPr>
                <w:rFonts w:ascii="Arial" w:cs="Arial" w:eastAsia="Arial" w:hAnsi="Arial"/>
                <w:sz w:val="16"/>
                <w:szCs w:val="16"/>
                <w:color w:val="auto"/>
              </w:rPr>
              <w:t>stockholder value</w:t>
            </w:r>
          </w:p>
        </w:tc>
        <w:tc>
          <w:tcPr>
            <w:tcW w:w="100" w:type="dxa"/>
            <w:vAlign w:val="bottom"/>
            <w:tcBorders>
              <w:bottom w:val="single" w:sz="8" w:color="1F2668"/>
            </w:tcBorders>
            <w:shd w:val="clear" w:color="auto" w:fill="E9F9D8"/>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2620" w:type="dxa"/>
            <w:vAlign w:val="bottom"/>
          </w:tcPr>
          <w:p>
            <w:pPr>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b w:val="1"/>
                <w:bCs w:val="1"/>
                <w:color w:val="auto"/>
              </w:rPr>
              <w:t xml:space="preserve"> Performance-Based Equity</w:t>
            </w:r>
          </w:p>
        </w:tc>
        <w:tc>
          <w:tcPr>
            <w:tcW w:w="240" w:type="dxa"/>
            <w:vAlign w:val="bottom"/>
          </w:tcPr>
          <w:p>
            <w:pPr>
              <w:jc w:val="right"/>
              <w:spacing w:after="0" w:line="189" w:lineRule="exact"/>
              <w:rPr>
                <w:sz w:val="20"/>
                <w:szCs w:val="20"/>
                <w:color w:val="auto"/>
              </w:rPr>
            </w:pPr>
            <w:r>
              <w:rPr>
                <w:rFonts w:ascii="Arial" w:cs="Arial" w:eastAsia="Arial" w:hAnsi="Arial"/>
                <w:sz w:val="12"/>
                <w:szCs w:val="12"/>
                <w:color w:val="auto"/>
              </w:rPr>
              <w:t xml:space="preserve">​ ​ </w:t>
            </w:r>
            <w:r>
              <w:rPr>
                <w:rFonts w:ascii="Arial" w:cs="Arial" w:eastAsia="Arial" w:hAnsi="Arial"/>
                <w:sz w:val="21"/>
                <w:szCs w:val="21"/>
                <w:color w:val="auto"/>
                <w:vertAlign w:val="subscript"/>
              </w:rPr>
              <w:t>•</w:t>
            </w:r>
          </w:p>
        </w:tc>
        <w:tc>
          <w:tcPr>
            <w:tcW w:w="2480" w:type="dxa"/>
            <w:vAlign w:val="bottom"/>
          </w:tcPr>
          <w:p>
            <w:pPr>
              <w:ind w:left="100"/>
              <w:spacing w:after="0"/>
              <w:rPr>
                <w:sz w:val="20"/>
                <w:szCs w:val="20"/>
                <w:color w:val="auto"/>
              </w:rPr>
            </w:pPr>
            <w:r>
              <w:rPr>
                <w:rFonts w:ascii="Arial" w:cs="Arial" w:eastAsia="Arial" w:hAnsi="Arial"/>
                <w:sz w:val="16"/>
                <w:szCs w:val="16"/>
                <w:color w:val="auto"/>
              </w:rPr>
              <w:t>Elimination of annual</w:t>
            </w:r>
          </w:p>
        </w:tc>
        <w:tc>
          <w:tcPr>
            <w:tcW w:w="100" w:type="dxa"/>
            <w:vAlign w:val="bottom"/>
          </w:tcPr>
          <w:p>
            <w:pPr>
              <w:ind w:left="20"/>
              <w:spacing w:after="0"/>
              <w:rPr>
                <w:sz w:val="20"/>
                <w:szCs w:val="20"/>
                <w:color w:val="auto"/>
              </w:rPr>
            </w:pPr>
            <w:r>
              <w:rPr>
                <w:rFonts w:ascii="Arial" w:cs="Arial" w:eastAsia="Arial" w:hAnsi="Arial"/>
                <w:sz w:val="16"/>
                <w:szCs w:val="16"/>
                <w:color w:val="auto"/>
              </w:rPr>
              <w:t>​</w:t>
            </w:r>
          </w:p>
        </w:tc>
        <w:tc>
          <w:tcPr>
            <w:tcW w:w="80" w:type="dxa"/>
            <w:vAlign w:val="bottom"/>
            <w:shd w:val="clear" w:color="auto" w:fill="E9F9D8"/>
          </w:tcPr>
          <w:p>
            <w:pPr>
              <w:spacing w:after="0"/>
              <w:rPr>
                <w:sz w:val="20"/>
                <w:szCs w:val="20"/>
                <w:color w:val="auto"/>
              </w:rPr>
            </w:pPr>
            <w:r>
              <w:rPr>
                <w:rFonts w:ascii="Arial" w:cs="Arial" w:eastAsia="Arial" w:hAnsi="Arial"/>
                <w:sz w:val="16"/>
                <w:szCs w:val="16"/>
                <w:color w:val="auto"/>
              </w:rPr>
              <w:t>​</w:t>
            </w:r>
          </w:p>
        </w:tc>
        <w:tc>
          <w:tcPr>
            <w:tcW w:w="2560" w:type="dxa"/>
            <w:vAlign w:val="bottom"/>
            <w:gridSpan w:val="2"/>
            <w:shd w:val="clear" w:color="auto" w:fill="E9F9D8"/>
          </w:tcPr>
          <w:p>
            <w:pPr>
              <w:spacing w:after="0" w:line="184" w:lineRule="exact"/>
              <w:rPr>
                <w:sz w:val="20"/>
                <w:szCs w:val="20"/>
                <w:color w:val="auto"/>
              </w:rPr>
            </w:pPr>
            <w:r>
              <w:rPr>
                <w:rFonts w:ascii="MS PGothic" w:cs="MS PGothic" w:eastAsia="MS PGothic" w:hAnsi="MS PGothic"/>
                <w:sz w:val="16"/>
                <w:szCs w:val="16"/>
                <w:color w:val="83AD40"/>
              </w:rPr>
              <w:t>✓</w:t>
            </w:r>
            <w:r>
              <w:rPr>
                <w:rFonts w:ascii="Arial" w:cs="Arial" w:eastAsia="Arial" w:hAnsi="Arial"/>
                <w:sz w:val="16"/>
                <w:szCs w:val="16"/>
                <w:color w:val="auto"/>
              </w:rPr>
              <w:t xml:space="preserve"> Eliminates short-term</w:t>
            </w:r>
          </w:p>
        </w:tc>
        <w:tc>
          <w:tcPr>
            <w:tcW w:w="100" w:type="dxa"/>
            <w:vAlign w:val="bottom"/>
            <w:shd w:val="clear" w:color="auto" w:fill="E9F9D8"/>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2620" w:type="dxa"/>
            <w:vAlign w:val="bottom"/>
          </w:tcPr>
          <w:p>
            <w:pPr>
              <w:ind w:left="120"/>
              <w:spacing w:after="0"/>
              <w:rPr>
                <w:sz w:val="20"/>
                <w:szCs w:val="20"/>
                <w:color w:val="auto"/>
              </w:rPr>
            </w:pPr>
            <w:r>
              <w:rPr>
                <w:rFonts w:ascii="Arial" w:cs="Arial" w:eastAsia="Arial" w:hAnsi="Arial"/>
                <w:sz w:val="16"/>
                <w:szCs w:val="16"/>
                <w:b w:val="1"/>
                <w:bCs w:val="1"/>
                <w:color w:val="auto"/>
              </w:rPr>
              <w:t>Awards</w:t>
            </w:r>
            <w:r>
              <w:rPr>
                <w:rFonts w:ascii="Arial" w:cs="Arial" w:eastAsia="Arial" w:hAnsi="Arial"/>
                <w:sz w:val="16"/>
                <w:szCs w:val="16"/>
                <w:color w:val="auto"/>
              </w:rPr>
              <w:t>: $5 million (target value)</w:t>
            </w:r>
          </w:p>
        </w:tc>
        <w:tc>
          <w:tcPr>
            <w:tcW w:w="240" w:type="dxa"/>
            <w:vAlign w:val="bottom"/>
          </w:tcPr>
          <w:p>
            <w:pPr>
              <w:spacing w:after="0"/>
              <w:rPr>
                <w:sz w:val="16"/>
                <w:szCs w:val="16"/>
                <w:color w:val="auto"/>
              </w:rPr>
            </w:pPr>
          </w:p>
        </w:tc>
        <w:tc>
          <w:tcPr>
            <w:tcW w:w="2480" w:type="dxa"/>
            <w:vAlign w:val="bottom"/>
          </w:tcPr>
          <w:p>
            <w:pPr>
              <w:ind w:left="100"/>
              <w:spacing w:after="0"/>
              <w:rPr>
                <w:sz w:val="20"/>
                <w:szCs w:val="20"/>
                <w:color w:val="auto"/>
              </w:rPr>
            </w:pPr>
            <w:r>
              <w:rPr>
                <w:rFonts w:ascii="Arial" w:cs="Arial" w:eastAsia="Arial" w:hAnsi="Arial"/>
                <w:sz w:val="16"/>
                <w:szCs w:val="16"/>
                <w:color w:val="auto"/>
              </w:rPr>
              <w:t>performance goals that</w:t>
            </w:r>
          </w:p>
        </w:tc>
        <w:tc>
          <w:tcPr>
            <w:tcW w:w="100" w:type="dxa"/>
            <w:vAlign w:val="bottom"/>
          </w:tcPr>
          <w:p>
            <w:pPr>
              <w:spacing w:after="0"/>
              <w:rPr>
                <w:sz w:val="16"/>
                <w:szCs w:val="16"/>
                <w:color w:val="auto"/>
              </w:rPr>
            </w:pPr>
          </w:p>
        </w:tc>
        <w:tc>
          <w:tcPr>
            <w:tcW w:w="80" w:type="dxa"/>
            <w:vAlign w:val="bottom"/>
            <w:shd w:val="clear" w:color="auto" w:fill="E9F9D8"/>
          </w:tcPr>
          <w:p>
            <w:pPr>
              <w:spacing w:after="0"/>
              <w:rPr>
                <w:sz w:val="16"/>
                <w:szCs w:val="16"/>
                <w:color w:val="auto"/>
              </w:rPr>
            </w:pPr>
          </w:p>
        </w:tc>
        <w:tc>
          <w:tcPr>
            <w:tcW w:w="180" w:type="dxa"/>
            <w:vAlign w:val="bottom"/>
            <w:shd w:val="clear" w:color="auto" w:fill="E9F9D8"/>
          </w:tcPr>
          <w:p>
            <w:pPr>
              <w:spacing w:after="0"/>
              <w:rPr>
                <w:sz w:val="16"/>
                <w:szCs w:val="16"/>
                <w:color w:val="auto"/>
              </w:rPr>
            </w:pPr>
          </w:p>
        </w:tc>
        <w:tc>
          <w:tcPr>
            <w:tcW w:w="2380" w:type="dxa"/>
            <w:vAlign w:val="bottom"/>
            <w:shd w:val="clear" w:color="auto" w:fill="E9F9D8"/>
          </w:tcPr>
          <w:p>
            <w:pPr>
              <w:ind w:left="40"/>
              <w:spacing w:after="0"/>
              <w:rPr>
                <w:sz w:val="20"/>
                <w:szCs w:val="20"/>
                <w:color w:val="auto"/>
              </w:rPr>
            </w:pPr>
            <w:r>
              <w:rPr>
                <w:rFonts w:ascii="Arial" w:cs="Arial" w:eastAsia="Arial" w:hAnsi="Arial"/>
                <w:sz w:val="16"/>
                <w:szCs w:val="16"/>
                <w:color w:val="auto"/>
              </w:rPr>
              <w:t>performance goals for long-term</w:t>
            </w:r>
          </w:p>
        </w:tc>
        <w:tc>
          <w:tcPr>
            <w:tcW w:w="100" w:type="dxa"/>
            <w:vAlign w:val="bottom"/>
            <w:shd w:val="clear" w:color="auto" w:fill="E9F9D8"/>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2620" w:type="dxa"/>
            <w:vAlign w:val="bottom"/>
          </w:tcPr>
          <w:p>
            <w:pPr>
              <w:ind w:left="120"/>
              <w:spacing w:after="0" w:line="175" w:lineRule="exact"/>
              <w:rPr>
                <w:sz w:val="20"/>
                <w:szCs w:val="20"/>
                <w:color w:val="auto"/>
              </w:rPr>
            </w:pPr>
            <w:r>
              <w:rPr>
                <w:rFonts w:ascii="Arial" w:cs="Arial" w:eastAsia="Arial" w:hAnsi="Arial"/>
                <w:sz w:val="16"/>
                <w:szCs w:val="16"/>
                <w:color w:val="auto"/>
              </w:rPr>
              <w:t>based on three-year Relative TSR</w:t>
            </w:r>
          </w:p>
        </w:tc>
        <w:tc>
          <w:tcPr>
            <w:tcW w:w="240" w:type="dxa"/>
            <w:vAlign w:val="bottom"/>
          </w:tcPr>
          <w:p>
            <w:pPr>
              <w:spacing w:after="0"/>
              <w:rPr>
                <w:sz w:val="15"/>
                <w:szCs w:val="15"/>
                <w:color w:val="auto"/>
              </w:rPr>
            </w:pPr>
          </w:p>
        </w:tc>
        <w:tc>
          <w:tcPr>
            <w:tcW w:w="2480" w:type="dxa"/>
            <w:vAlign w:val="bottom"/>
          </w:tcPr>
          <w:p>
            <w:pPr>
              <w:ind w:left="100"/>
              <w:spacing w:after="0" w:line="175" w:lineRule="exact"/>
              <w:rPr>
                <w:sz w:val="20"/>
                <w:szCs w:val="20"/>
                <w:color w:val="auto"/>
              </w:rPr>
            </w:pPr>
            <w:r>
              <w:rPr>
                <w:rFonts w:ascii="Arial" w:cs="Arial" w:eastAsia="Arial" w:hAnsi="Arial"/>
                <w:sz w:val="16"/>
                <w:szCs w:val="16"/>
                <w:color w:val="auto"/>
              </w:rPr>
              <w:t>underpinned prior performance-</w:t>
            </w:r>
          </w:p>
        </w:tc>
        <w:tc>
          <w:tcPr>
            <w:tcW w:w="100" w:type="dxa"/>
            <w:vAlign w:val="bottom"/>
          </w:tcPr>
          <w:p>
            <w:pPr>
              <w:spacing w:after="0"/>
              <w:rPr>
                <w:sz w:val="15"/>
                <w:szCs w:val="15"/>
                <w:color w:val="auto"/>
              </w:rPr>
            </w:pPr>
          </w:p>
        </w:tc>
        <w:tc>
          <w:tcPr>
            <w:tcW w:w="80" w:type="dxa"/>
            <w:vAlign w:val="bottom"/>
            <w:shd w:val="clear" w:color="auto" w:fill="E9F9D8"/>
          </w:tcPr>
          <w:p>
            <w:pPr>
              <w:spacing w:after="0"/>
              <w:rPr>
                <w:sz w:val="15"/>
                <w:szCs w:val="15"/>
                <w:color w:val="auto"/>
              </w:rPr>
            </w:pPr>
          </w:p>
        </w:tc>
        <w:tc>
          <w:tcPr>
            <w:tcW w:w="180" w:type="dxa"/>
            <w:vAlign w:val="bottom"/>
            <w:shd w:val="clear" w:color="auto" w:fill="E9F9D8"/>
          </w:tcPr>
          <w:p>
            <w:pPr>
              <w:spacing w:after="0"/>
              <w:rPr>
                <w:sz w:val="15"/>
                <w:szCs w:val="15"/>
                <w:color w:val="auto"/>
              </w:rPr>
            </w:pPr>
          </w:p>
        </w:tc>
        <w:tc>
          <w:tcPr>
            <w:tcW w:w="2380" w:type="dxa"/>
            <w:vAlign w:val="bottom"/>
            <w:shd w:val="clear" w:color="auto" w:fill="E9F9D8"/>
          </w:tcPr>
          <w:p>
            <w:pPr>
              <w:ind w:left="40"/>
              <w:spacing w:after="0" w:line="175" w:lineRule="exact"/>
              <w:rPr>
                <w:sz w:val="20"/>
                <w:szCs w:val="20"/>
                <w:color w:val="auto"/>
              </w:rPr>
            </w:pPr>
            <w:r>
              <w:rPr>
                <w:rFonts w:ascii="Arial" w:cs="Arial" w:eastAsia="Arial" w:hAnsi="Arial"/>
                <w:sz w:val="16"/>
                <w:szCs w:val="16"/>
                <w:color w:val="auto"/>
                <w:w w:val="99"/>
              </w:rPr>
              <w:t>equity incentives in line with prior</w:t>
            </w:r>
          </w:p>
        </w:tc>
        <w:tc>
          <w:tcPr>
            <w:tcW w:w="100" w:type="dxa"/>
            <w:vAlign w:val="bottom"/>
            <w:shd w:val="clear" w:color="auto" w:fill="E9F9D8"/>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00" w:type="dxa"/>
            <w:vAlign w:val="bottom"/>
          </w:tcPr>
          <w:p>
            <w:pPr>
              <w:spacing w:after="0"/>
              <w:rPr>
                <w:sz w:val="16"/>
                <w:szCs w:val="16"/>
                <w:color w:val="auto"/>
              </w:rPr>
            </w:pPr>
          </w:p>
        </w:tc>
        <w:tc>
          <w:tcPr>
            <w:tcW w:w="2620" w:type="dxa"/>
            <w:vAlign w:val="bottom"/>
          </w:tcPr>
          <w:p>
            <w:pPr>
              <w:ind w:left="120"/>
              <w:spacing w:after="0"/>
              <w:rPr>
                <w:sz w:val="20"/>
                <w:szCs w:val="20"/>
                <w:color w:val="auto"/>
              </w:rPr>
            </w:pPr>
            <w:r>
              <w:rPr>
                <w:rFonts w:ascii="Arial" w:cs="Arial" w:eastAsia="Arial" w:hAnsi="Arial"/>
                <w:sz w:val="16"/>
                <w:szCs w:val="16"/>
                <w:color w:val="auto"/>
              </w:rPr>
              <w:t>performance</w:t>
            </w:r>
          </w:p>
        </w:tc>
        <w:tc>
          <w:tcPr>
            <w:tcW w:w="240" w:type="dxa"/>
            <w:vAlign w:val="bottom"/>
          </w:tcPr>
          <w:p>
            <w:pPr>
              <w:spacing w:after="0"/>
              <w:rPr>
                <w:sz w:val="16"/>
                <w:szCs w:val="16"/>
                <w:color w:val="auto"/>
              </w:rPr>
            </w:pPr>
          </w:p>
        </w:tc>
        <w:tc>
          <w:tcPr>
            <w:tcW w:w="2480" w:type="dxa"/>
            <w:vAlign w:val="bottom"/>
          </w:tcPr>
          <w:p>
            <w:pPr>
              <w:ind w:left="100"/>
              <w:spacing w:after="0"/>
              <w:rPr>
                <w:sz w:val="20"/>
                <w:szCs w:val="20"/>
                <w:color w:val="auto"/>
              </w:rPr>
            </w:pPr>
            <w:r>
              <w:rPr>
                <w:rFonts w:ascii="Arial" w:cs="Arial" w:eastAsia="Arial" w:hAnsi="Arial"/>
                <w:sz w:val="16"/>
                <w:szCs w:val="16"/>
                <w:color w:val="auto"/>
              </w:rPr>
              <w:t>based awards</w:t>
            </w:r>
          </w:p>
        </w:tc>
        <w:tc>
          <w:tcPr>
            <w:tcW w:w="100" w:type="dxa"/>
            <w:vAlign w:val="bottom"/>
          </w:tcPr>
          <w:p>
            <w:pPr>
              <w:spacing w:after="0"/>
              <w:rPr>
                <w:sz w:val="16"/>
                <w:szCs w:val="16"/>
                <w:color w:val="auto"/>
              </w:rPr>
            </w:pPr>
          </w:p>
        </w:tc>
        <w:tc>
          <w:tcPr>
            <w:tcW w:w="80" w:type="dxa"/>
            <w:vAlign w:val="bottom"/>
            <w:shd w:val="clear" w:color="auto" w:fill="E9F9D8"/>
          </w:tcPr>
          <w:p>
            <w:pPr>
              <w:spacing w:after="0"/>
              <w:rPr>
                <w:sz w:val="16"/>
                <w:szCs w:val="16"/>
                <w:color w:val="auto"/>
              </w:rPr>
            </w:pPr>
          </w:p>
        </w:tc>
        <w:tc>
          <w:tcPr>
            <w:tcW w:w="180" w:type="dxa"/>
            <w:vAlign w:val="bottom"/>
            <w:shd w:val="clear" w:color="auto" w:fill="E9F9D8"/>
          </w:tcPr>
          <w:p>
            <w:pPr>
              <w:spacing w:after="0"/>
              <w:rPr>
                <w:sz w:val="16"/>
                <w:szCs w:val="16"/>
                <w:color w:val="auto"/>
              </w:rPr>
            </w:pPr>
          </w:p>
        </w:tc>
        <w:tc>
          <w:tcPr>
            <w:tcW w:w="2380" w:type="dxa"/>
            <w:vAlign w:val="bottom"/>
            <w:shd w:val="clear" w:color="auto" w:fill="E9F9D8"/>
          </w:tcPr>
          <w:p>
            <w:pPr>
              <w:ind w:left="40"/>
              <w:spacing w:after="0"/>
              <w:rPr>
                <w:sz w:val="20"/>
                <w:szCs w:val="20"/>
                <w:color w:val="auto"/>
              </w:rPr>
            </w:pPr>
            <w:r>
              <w:rPr>
                <w:rFonts w:ascii="Arial" w:cs="Arial" w:eastAsia="Arial" w:hAnsi="Arial"/>
                <w:sz w:val="16"/>
                <w:szCs w:val="16"/>
                <w:color w:val="auto"/>
              </w:rPr>
              <w:t>commitment</w:t>
            </w:r>
          </w:p>
        </w:tc>
        <w:tc>
          <w:tcPr>
            <w:tcW w:w="100" w:type="dxa"/>
            <w:vAlign w:val="bottom"/>
            <w:shd w:val="clear" w:color="auto" w:fill="E9F9D8"/>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2620" w:type="dxa"/>
            <w:vAlign w:val="bottom"/>
          </w:tcPr>
          <w:p>
            <w:pPr>
              <w:ind w:left="120"/>
              <w:spacing w:after="0"/>
              <w:rPr>
                <w:sz w:val="20"/>
                <w:szCs w:val="20"/>
                <w:color w:val="auto"/>
              </w:rPr>
            </w:pPr>
            <w:r>
              <w:rPr>
                <w:rFonts w:ascii="Arial" w:cs="Arial" w:eastAsia="Arial" w:hAnsi="Arial"/>
                <w:sz w:val="16"/>
                <w:szCs w:val="16"/>
                <w:color w:val="auto"/>
              </w:rPr>
              <w:t>Earned LTIP units subject to three-</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480" w:type="dxa"/>
            <w:vAlign w:val="bottom"/>
          </w:tcPr>
          <w:p>
            <w:pPr>
              <w:ind w:left="100"/>
              <w:spacing w:after="0"/>
              <w:rPr>
                <w:sz w:val="20"/>
                <w:szCs w:val="20"/>
                <w:color w:val="auto"/>
              </w:rPr>
            </w:pPr>
            <w:r>
              <w:rPr>
                <w:rFonts w:ascii="Arial" w:cs="Arial" w:eastAsia="Arial" w:hAnsi="Arial"/>
                <w:sz w:val="16"/>
                <w:szCs w:val="16"/>
                <w:color w:val="auto"/>
              </w:rPr>
              <w:t>Reduction from $7.5 million prior</w:t>
            </w:r>
          </w:p>
        </w:tc>
        <w:tc>
          <w:tcPr>
            <w:tcW w:w="100" w:type="dxa"/>
            <w:vAlign w:val="bottom"/>
          </w:tcPr>
          <w:p>
            <w:pPr>
              <w:spacing w:after="0"/>
              <w:rPr>
                <w:sz w:val="19"/>
                <w:szCs w:val="19"/>
                <w:color w:val="auto"/>
              </w:rPr>
            </w:pPr>
          </w:p>
        </w:tc>
        <w:tc>
          <w:tcPr>
            <w:tcW w:w="80" w:type="dxa"/>
            <w:vAlign w:val="bottom"/>
            <w:shd w:val="clear" w:color="auto" w:fill="E9F9D8"/>
          </w:tcPr>
          <w:p>
            <w:pPr>
              <w:spacing w:after="0"/>
              <w:rPr>
                <w:sz w:val="19"/>
                <w:szCs w:val="19"/>
                <w:color w:val="auto"/>
              </w:rPr>
            </w:pPr>
          </w:p>
        </w:tc>
        <w:tc>
          <w:tcPr>
            <w:tcW w:w="2560" w:type="dxa"/>
            <w:vAlign w:val="bottom"/>
            <w:gridSpan w:val="2"/>
            <w:shd w:val="clear" w:color="auto" w:fill="E9F9D8"/>
          </w:tcPr>
          <w:p>
            <w:pPr>
              <w:spacing w:after="0" w:line="184" w:lineRule="exact"/>
              <w:rPr>
                <w:sz w:val="20"/>
                <w:szCs w:val="20"/>
                <w:color w:val="auto"/>
              </w:rPr>
            </w:pPr>
            <w:r>
              <w:rPr>
                <w:rFonts w:ascii="MS PGothic" w:cs="MS PGothic" w:eastAsia="MS PGothic" w:hAnsi="MS PGothic"/>
                <w:sz w:val="16"/>
                <w:szCs w:val="16"/>
                <w:color w:val="83AD40"/>
              </w:rPr>
              <w:t>✓</w:t>
            </w:r>
            <w:r>
              <w:rPr>
                <w:rFonts w:ascii="Arial" w:cs="Arial" w:eastAsia="Arial" w:hAnsi="Arial"/>
                <w:sz w:val="16"/>
                <w:szCs w:val="16"/>
                <w:color w:val="auto"/>
              </w:rPr>
              <w:t xml:space="preserve"> Rewards outperformance with</w:t>
            </w:r>
          </w:p>
        </w:tc>
        <w:tc>
          <w:tcPr>
            <w:tcW w:w="100" w:type="dxa"/>
            <w:vAlign w:val="bottom"/>
            <w:shd w:val="clear" w:color="auto" w:fill="E9F9D8"/>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2620" w:type="dxa"/>
            <w:vAlign w:val="bottom"/>
          </w:tcPr>
          <w:p>
            <w:pPr>
              <w:ind w:left="120"/>
              <w:spacing w:after="0"/>
              <w:rPr>
                <w:sz w:val="20"/>
                <w:szCs w:val="20"/>
                <w:color w:val="auto"/>
              </w:rPr>
            </w:pPr>
            <w:r>
              <w:rPr>
                <w:rFonts w:ascii="Arial" w:cs="Arial" w:eastAsia="Arial" w:hAnsi="Arial"/>
                <w:sz w:val="16"/>
                <w:szCs w:val="16"/>
                <w:color w:val="auto"/>
                <w:w w:val="99"/>
              </w:rPr>
              <w:t>year absolute TSR (-25% to +50%)</w:t>
            </w:r>
          </w:p>
        </w:tc>
        <w:tc>
          <w:tcPr>
            <w:tcW w:w="240" w:type="dxa"/>
            <w:vAlign w:val="bottom"/>
          </w:tcPr>
          <w:p>
            <w:pPr>
              <w:spacing w:after="0"/>
              <w:rPr>
                <w:sz w:val="16"/>
                <w:szCs w:val="16"/>
                <w:color w:val="auto"/>
              </w:rPr>
            </w:pPr>
          </w:p>
        </w:tc>
        <w:tc>
          <w:tcPr>
            <w:tcW w:w="2480" w:type="dxa"/>
            <w:vAlign w:val="bottom"/>
          </w:tcPr>
          <w:p>
            <w:pPr>
              <w:ind w:left="100"/>
              <w:spacing w:after="0"/>
              <w:rPr>
                <w:sz w:val="20"/>
                <w:szCs w:val="20"/>
                <w:color w:val="auto"/>
              </w:rPr>
            </w:pPr>
            <w:r>
              <w:rPr>
                <w:rFonts w:ascii="Arial" w:cs="Arial" w:eastAsia="Arial" w:hAnsi="Arial"/>
                <w:sz w:val="16"/>
                <w:szCs w:val="16"/>
                <w:color w:val="auto"/>
              </w:rPr>
              <w:t>target awards</w:t>
            </w:r>
          </w:p>
        </w:tc>
        <w:tc>
          <w:tcPr>
            <w:tcW w:w="100" w:type="dxa"/>
            <w:vAlign w:val="bottom"/>
          </w:tcPr>
          <w:p>
            <w:pPr>
              <w:spacing w:after="0"/>
              <w:rPr>
                <w:sz w:val="16"/>
                <w:szCs w:val="16"/>
                <w:color w:val="auto"/>
              </w:rPr>
            </w:pPr>
          </w:p>
        </w:tc>
        <w:tc>
          <w:tcPr>
            <w:tcW w:w="80" w:type="dxa"/>
            <w:vAlign w:val="bottom"/>
            <w:shd w:val="clear" w:color="auto" w:fill="E9F9D8"/>
          </w:tcPr>
          <w:p>
            <w:pPr>
              <w:spacing w:after="0"/>
              <w:rPr>
                <w:sz w:val="16"/>
                <w:szCs w:val="16"/>
                <w:color w:val="auto"/>
              </w:rPr>
            </w:pPr>
          </w:p>
        </w:tc>
        <w:tc>
          <w:tcPr>
            <w:tcW w:w="180" w:type="dxa"/>
            <w:vAlign w:val="bottom"/>
            <w:shd w:val="clear" w:color="auto" w:fill="E9F9D8"/>
          </w:tcPr>
          <w:p>
            <w:pPr>
              <w:spacing w:after="0"/>
              <w:rPr>
                <w:sz w:val="16"/>
                <w:szCs w:val="16"/>
                <w:color w:val="auto"/>
              </w:rPr>
            </w:pPr>
          </w:p>
        </w:tc>
        <w:tc>
          <w:tcPr>
            <w:tcW w:w="2380" w:type="dxa"/>
            <w:vAlign w:val="bottom"/>
            <w:shd w:val="clear" w:color="auto" w:fill="E9F9D8"/>
          </w:tcPr>
          <w:p>
            <w:pPr>
              <w:ind w:left="40"/>
              <w:spacing w:after="0"/>
              <w:rPr>
                <w:sz w:val="20"/>
                <w:szCs w:val="20"/>
                <w:color w:val="auto"/>
              </w:rPr>
            </w:pPr>
            <w:r>
              <w:rPr>
                <w:rFonts w:ascii="Arial" w:cs="Arial" w:eastAsia="Arial" w:hAnsi="Arial"/>
                <w:sz w:val="16"/>
                <w:szCs w:val="16"/>
                <w:color w:val="auto"/>
              </w:rPr>
              <w:t>earned value in line with</w:t>
            </w:r>
          </w:p>
        </w:tc>
        <w:tc>
          <w:tcPr>
            <w:tcW w:w="100" w:type="dxa"/>
            <w:vAlign w:val="bottom"/>
            <w:shd w:val="clear" w:color="auto" w:fill="E9F9D8"/>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shd w:val="clear" w:color="auto" w:fill="E9F9D8"/>
          </w:tcPr>
          <w:p>
            <w:pPr>
              <w:spacing w:after="0"/>
              <w:rPr>
                <w:sz w:val="17"/>
                <w:szCs w:val="17"/>
                <w:color w:val="auto"/>
              </w:rPr>
            </w:pPr>
          </w:p>
        </w:tc>
        <w:tc>
          <w:tcPr>
            <w:tcW w:w="180" w:type="dxa"/>
            <w:vAlign w:val="bottom"/>
            <w:shd w:val="clear" w:color="auto" w:fill="E9F9D8"/>
          </w:tcPr>
          <w:p>
            <w:pPr>
              <w:spacing w:after="0"/>
              <w:rPr>
                <w:sz w:val="17"/>
                <w:szCs w:val="17"/>
                <w:color w:val="auto"/>
              </w:rPr>
            </w:pPr>
          </w:p>
        </w:tc>
        <w:tc>
          <w:tcPr>
            <w:tcW w:w="2380" w:type="dxa"/>
            <w:vAlign w:val="bottom"/>
            <w:shd w:val="clear" w:color="auto" w:fill="E9F9D8"/>
          </w:tcPr>
          <w:p>
            <w:pPr>
              <w:ind w:left="40"/>
              <w:spacing w:after="0"/>
              <w:rPr>
                <w:sz w:val="20"/>
                <w:szCs w:val="20"/>
                <w:color w:val="auto"/>
              </w:rPr>
            </w:pPr>
            <w:r>
              <w:rPr>
                <w:rFonts w:ascii="Arial" w:cs="Arial" w:eastAsia="Arial" w:hAnsi="Arial"/>
                <w:sz w:val="16"/>
                <w:szCs w:val="16"/>
                <w:color w:val="auto"/>
              </w:rPr>
              <w:t>incremental stockholder value</w:t>
            </w:r>
          </w:p>
        </w:tc>
        <w:tc>
          <w:tcPr>
            <w:tcW w:w="100" w:type="dxa"/>
            <w:vAlign w:val="bottom"/>
            <w:shd w:val="clear" w:color="auto" w:fill="E9F9D8"/>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720" w:type="dxa"/>
            <w:vAlign w:val="bottom"/>
            <w:gridSpan w:val="2"/>
          </w:tcPr>
          <w:p>
            <w:pPr>
              <w:ind w:left="60"/>
              <w:spacing w:after="0"/>
              <w:rPr>
                <w:sz w:val="20"/>
                <w:szCs w:val="20"/>
                <w:color w:val="auto"/>
              </w:rPr>
            </w:pPr>
            <w:r>
              <w:rPr>
                <w:rFonts w:ascii="Arial" w:cs="Arial" w:eastAsia="Arial" w:hAnsi="Arial"/>
                <w:sz w:val="16"/>
                <w:szCs w:val="16"/>
                <w:b w:val="1"/>
                <w:bCs w:val="1"/>
                <w:color w:val="auto"/>
              </w:rPr>
              <w:t>​ ​</w:t>
            </w:r>
          </w:p>
        </w:tc>
        <w:tc>
          <w:tcPr>
            <w:tcW w:w="240" w:type="dxa"/>
            <w:vAlign w:val="bottom"/>
          </w:tcPr>
          <w:p>
            <w:pPr>
              <w:spacing w:after="0"/>
              <w:rPr>
                <w:sz w:val="21"/>
                <w:szCs w:val="21"/>
                <w:color w:val="auto"/>
              </w:rPr>
            </w:pPr>
          </w:p>
        </w:tc>
        <w:tc>
          <w:tcPr>
            <w:tcW w:w="2480" w:type="dxa"/>
            <w:vAlign w:val="bottom"/>
          </w:tcPr>
          <w:p>
            <w:pPr>
              <w:jc w:val="center"/>
              <w:spacing w:after="0"/>
              <w:rPr>
                <w:sz w:val="20"/>
                <w:szCs w:val="20"/>
                <w:color w:val="auto"/>
              </w:rPr>
            </w:pPr>
            <w:r>
              <w:rPr>
                <w:rFonts w:ascii="Arial" w:cs="Arial" w:eastAsia="Arial" w:hAnsi="Arial"/>
                <w:sz w:val="16"/>
                <w:szCs w:val="16"/>
                <w:b w:val="1"/>
                <w:bCs w:val="1"/>
                <w:color w:val="auto"/>
                <w:w w:val="99"/>
              </w:rPr>
              <w:t>New Business Incentives</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00" w:type="dxa"/>
            <w:vAlign w:val="bottom"/>
          </w:tcPr>
          <w:p>
            <w:pPr>
              <w:ind w:left="6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9"/>
        </w:trPr>
        <w:tc>
          <w:tcPr>
            <w:tcW w:w="2960" w:type="dxa"/>
            <w:vAlign w:val="bottom"/>
            <w:gridSpan w:val="3"/>
          </w:tcPr>
          <w:p>
            <w:pPr>
              <w:spacing w:after="0" w:line="228"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4"/>
                <w:szCs w:val="14"/>
                <w:color w:val="auto"/>
              </w:rPr>
              <w:t xml:space="preserve"> One-time cash bonus of $10 million </w:t>
            </w:r>
            <w:r>
              <w:rPr>
                <w:rFonts w:ascii="Arial" w:cs="Arial" w:eastAsia="Arial" w:hAnsi="Arial"/>
                <w:sz w:val="26"/>
                <w:szCs w:val="26"/>
                <w:color w:val="auto"/>
                <w:vertAlign w:val="superscript"/>
              </w:rPr>
              <w:t>​ ​</w:t>
            </w:r>
            <w:r>
              <w:rPr>
                <w:rFonts w:ascii="Arial" w:cs="Arial" w:eastAsia="Arial" w:hAnsi="Arial"/>
                <w:sz w:val="14"/>
                <w:szCs w:val="14"/>
                <w:color w:val="auto"/>
              </w:rPr>
              <w:t xml:space="preserve"> •</w:t>
            </w:r>
          </w:p>
        </w:tc>
        <w:tc>
          <w:tcPr>
            <w:tcW w:w="2580" w:type="dxa"/>
            <w:vAlign w:val="bottom"/>
            <w:gridSpan w:val="2"/>
          </w:tcPr>
          <w:p>
            <w:pPr>
              <w:ind w:left="100"/>
              <w:spacing w:after="0" w:line="228" w:lineRule="exact"/>
              <w:rPr>
                <w:sz w:val="20"/>
                <w:szCs w:val="20"/>
                <w:color w:val="auto"/>
              </w:rPr>
            </w:pPr>
            <w:r>
              <w:rPr>
                <w:rFonts w:ascii="Arial" w:cs="Arial" w:eastAsia="Arial" w:hAnsi="Arial"/>
                <w:sz w:val="14"/>
                <w:szCs w:val="14"/>
                <w:color w:val="auto"/>
              </w:rPr>
              <w:t xml:space="preserve">Earned ONLY IF transformational </w:t>
            </w:r>
            <w:r>
              <w:rPr>
                <w:rFonts w:ascii="Arial" w:cs="Arial" w:eastAsia="Arial" w:hAnsi="Arial"/>
                <w:sz w:val="26"/>
                <w:szCs w:val="26"/>
                <w:color w:val="auto"/>
                <w:vertAlign w:val="superscript"/>
              </w:rPr>
              <w:t>​</w:t>
            </w:r>
          </w:p>
        </w:tc>
        <w:tc>
          <w:tcPr>
            <w:tcW w:w="80" w:type="dxa"/>
            <w:vAlign w:val="bottom"/>
            <w:shd w:val="clear" w:color="auto" w:fill="E9F9D8"/>
          </w:tcPr>
          <w:p>
            <w:pPr>
              <w:spacing w:after="0"/>
              <w:rPr>
                <w:sz w:val="20"/>
                <w:szCs w:val="20"/>
                <w:color w:val="auto"/>
              </w:rPr>
            </w:pPr>
            <w:r>
              <w:rPr>
                <w:rFonts w:ascii="Arial" w:cs="Arial" w:eastAsia="Arial" w:hAnsi="Arial"/>
                <w:sz w:val="16"/>
                <w:szCs w:val="16"/>
                <w:color w:val="auto"/>
              </w:rPr>
              <w:t>​</w:t>
            </w:r>
          </w:p>
        </w:tc>
        <w:tc>
          <w:tcPr>
            <w:tcW w:w="2560" w:type="dxa"/>
            <w:vAlign w:val="bottom"/>
            <w:gridSpan w:val="2"/>
            <w:shd w:val="clear" w:color="auto" w:fill="E9F9D8"/>
          </w:tcPr>
          <w:p>
            <w:pPr>
              <w:spacing w:after="0" w:line="184" w:lineRule="exact"/>
              <w:rPr>
                <w:sz w:val="20"/>
                <w:szCs w:val="20"/>
                <w:color w:val="auto"/>
              </w:rPr>
            </w:pPr>
            <w:r>
              <w:rPr>
                <w:rFonts w:ascii="MS PGothic" w:cs="MS PGothic" w:eastAsia="MS PGothic" w:hAnsi="MS PGothic"/>
                <w:sz w:val="16"/>
                <w:szCs w:val="16"/>
                <w:color w:val="83AD40"/>
              </w:rPr>
              <w:t>✓</w:t>
            </w:r>
            <w:r>
              <w:rPr>
                <w:rFonts w:ascii="Arial" w:cs="Arial" w:eastAsia="Arial" w:hAnsi="Arial"/>
                <w:sz w:val="16"/>
                <w:szCs w:val="16"/>
                <w:color w:val="auto"/>
              </w:rPr>
              <w:t xml:space="preserve"> Incentivizes execution of</w:t>
            </w:r>
          </w:p>
        </w:tc>
        <w:tc>
          <w:tcPr>
            <w:tcW w:w="100" w:type="dxa"/>
            <w:vAlign w:val="bottom"/>
            <w:shd w:val="clear" w:color="auto" w:fill="E9F9D8"/>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2620" w:type="dxa"/>
            <w:vAlign w:val="bottom"/>
          </w:tcPr>
          <w:p>
            <w:pPr>
              <w:ind w:left="120"/>
              <w:spacing w:after="0" w:line="175" w:lineRule="exact"/>
              <w:rPr>
                <w:sz w:val="20"/>
                <w:szCs w:val="20"/>
                <w:color w:val="auto"/>
              </w:rPr>
            </w:pPr>
            <w:r>
              <w:rPr>
                <w:rFonts w:ascii="Arial" w:cs="Arial" w:eastAsia="Arial" w:hAnsi="Arial"/>
                <w:sz w:val="16"/>
                <w:szCs w:val="16"/>
                <w:color w:val="auto"/>
              </w:rPr>
              <w:t>earned only if 1515 Broadway is</w:t>
            </w:r>
          </w:p>
        </w:tc>
        <w:tc>
          <w:tcPr>
            <w:tcW w:w="240" w:type="dxa"/>
            <w:vAlign w:val="bottom"/>
          </w:tcPr>
          <w:p>
            <w:pPr>
              <w:spacing w:after="0"/>
              <w:rPr>
                <w:sz w:val="15"/>
                <w:szCs w:val="15"/>
                <w:color w:val="auto"/>
              </w:rPr>
            </w:pPr>
          </w:p>
        </w:tc>
        <w:tc>
          <w:tcPr>
            <w:tcW w:w="2480" w:type="dxa"/>
            <w:vAlign w:val="bottom"/>
          </w:tcPr>
          <w:p>
            <w:pPr>
              <w:ind w:left="100"/>
              <w:spacing w:after="0" w:line="175" w:lineRule="exact"/>
              <w:rPr>
                <w:sz w:val="20"/>
                <w:szCs w:val="20"/>
                <w:color w:val="auto"/>
              </w:rPr>
            </w:pPr>
            <w:r>
              <w:rPr>
                <w:rFonts w:ascii="Arial" w:cs="Arial" w:eastAsia="Arial" w:hAnsi="Arial"/>
                <w:sz w:val="16"/>
                <w:szCs w:val="16"/>
                <w:color w:val="auto"/>
              </w:rPr>
              <w:t>project receives regulatory</w:t>
            </w:r>
          </w:p>
        </w:tc>
        <w:tc>
          <w:tcPr>
            <w:tcW w:w="100" w:type="dxa"/>
            <w:vAlign w:val="bottom"/>
          </w:tcPr>
          <w:p>
            <w:pPr>
              <w:spacing w:after="0"/>
              <w:rPr>
                <w:sz w:val="15"/>
                <w:szCs w:val="15"/>
                <w:color w:val="auto"/>
              </w:rPr>
            </w:pPr>
          </w:p>
        </w:tc>
        <w:tc>
          <w:tcPr>
            <w:tcW w:w="80" w:type="dxa"/>
            <w:vAlign w:val="bottom"/>
            <w:shd w:val="clear" w:color="auto" w:fill="E9F9D8"/>
          </w:tcPr>
          <w:p>
            <w:pPr>
              <w:spacing w:after="0"/>
              <w:rPr>
                <w:sz w:val="15"/>
                <w:szCs w:val="15"/>
                <w:color w:val="auto"/>
              </w:rPr>
            </w:pPr>
          </w:p>
        </w:tc>
        <w:tc>
          <w:tcPr>
            <w:tcW w:w="180" w:type="dxa"/>
            <w:vAlign w:val="bottom"/>
            <w:shd w:val="clear" w:color="auto" w:fill="E9F9D8"/>
          </w:tcPr>
          <w:p>
            <w:pPr>
              <w:spacing w:after="0"/>
              <w:rPr>
                <w:sz w:val="15"/>
                <w:szCs w:val="15"/>
                <w:color w:val="auto"/>
              </w:rPr>
            </w:pPr>
          </w:p>
        </w:tc>
        <w:tc>
          <w:tcPr>
            <w:tcW w:w="2380" w:type="dxa"/>
            <w:vAlign w:val="bottom"/>
            <w:shd w:val="clear" w:color="auto" w:fill="E9F9D8"/>
          </w:tcPr>
          <w:p>
            <w:pPr>
              <w:ind w:left="40"/>
              <w:spacing w:after="0" w:line="175" w:lineRule="exact"/>
              <w:rPr>
                <w:sz w:val="20"/>
                <w:szCs w:val="20"/>
                <w:color w:val="auto"/>
              </w:rPr>
            </w:pPr>
            <w:r>
              <w:rPr>
                <w:rFonts w:ascii="Arial" w:cs="Arial" w:eastAsia="Arial" w:hAnsi="Arial"/>
                <w:sz w:val="16"/>
                <w:szCs w:val="16"/>
                <w:color w:val="auto"/>
              </w:rPr>
              <w:t>transformational project with the</w:t>
            </w:r>
          </w:p>
        </w:tc>
        <w:tc>
          <w:tcPr>
            <w:tcW w:w="100" w:type="dxa"/>
            <w:vAlign w:val="bottom"/>
            <w:shd w:val="clear" w:color="auto" w:fill="E9F9D8"/>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2620" w:type="dxa"/>
            <w:vAlign w:val="bottom"/>
          </w:tcPr>
          <w:p>
            <w:pPr>
              <w:ind w:left="120"/>
              <w:spacing w:after="0"/>
              <w:rPr>
                <w:sz w:val="20"/>
                <w:szCs w:val="20"/>
                <w:color w:val="auto"/>
              </w:rPr>
            </w:pPr>
            <w:r>
              <w:rPr>
                <w:rFonts w:ascii="Arial" w:cs="Arial" w:eastAsia="Arial" w:hAnsi="Arial"/>
                <w:sz w:val="16"/>
                <w:szCs w:val="16"/>
                <w:color w:val="auto"/>
              </w:rPr>
              <w:t>converted into a hotel/casino and</w:t>
            </w:r>
          </w:p>
        </w:tc>
        <w:tc>
          <w:tcPr>
            <w:tcW w:w="240" w:type="dxa"/>
            <w:vAlign w:val="bottom"/>
          </w:tcPr>
          <w:p>
            <w:pPr>
              <w:spacing w:after="0"/>
              <w:rPr>
                <w:sz w:val="16"/>
                <w:szCs w:val="16"/>
                <w:color w:val="auto"/>
              </w:rPr>
            </w:pPr>
          </w:p>
        </w:tc>
        <w:tc>
          <w:tcPr>
            <w:tcW w:w="2480" w:type="dxa"/>
            <w:vAlign w:val="bottom"/>
          </w:tcPr>
          <w:p>
            <w:pPr>
              <w:ind w:left="100"/>
              <w:spacing w:after="0"/>
              <w:rPr>
                <w:sz w:val="20"/>
                <w:szCs w:val="20"/>
                <w:color w:val="auto"/>
              </w:rPr>
            </w:pPr>
            <w:r>
              <w:rPr>
                <w:rFonts w:ascii="Arial" w:cs="Arial" w:eastAsia="Arial" w:hAnsi="Arial"/>
                <w:sz w:val="16"/>
                <w:szCs w:val="16"/>
                <w:color w:val="auto"/>
                <w:w w:val="99"/>
              </w:rPr>
              <w:t>approval AND generates revenue</w:t>
            </w:r>
          </w:p>
        </w:tc>
        <w:tc>
          <w:tcPr>
            <w:tcW w:w="100" w:type="dxa"/>
            <w:vAlign w:val="bottom"/>
          </w:tcPr>
          <w:p>
            <w:pPr>
              <w:spacing w:after="0"/>
              <w:rPr>
                <w:sz w:val="16"/>
                <w:szCs w:val="16"/>
                <w:color w:val="auto"/>
              </w:rPr>
            </w:pPr>
          </w:p>
        </w:tc>
        <w:tc>
          <w:tcPr>
            <w:tcW w:w="80" w:type="dxa"/>
            <w:vAlign w:val="bottom"/>
            <w:shd w:val="clear" w:color="auto" w:fill="E9F9D8"/>
          </w:tcPr>
          <w:p>
            <w:pPr>
              <w:spacing w:after="0"/>
              <w:rPr>
                <w:sz w:val="16"/>
                <w:szCs w:val="16"/>
                <w:color w:val="auto"/>
              </w:rPr>
            </w:pPr>
          </w:p>
        </w:tc>
        <w:tc>
          <w:tcPr>
            <w:tcW w:w="180" w:type="dxa"/>
            <w:vAlign w:val="bottom"/>
            <w:shd w:val="clear" w:color="auto" w:fill="E9F9D8"/>
          </w:tcPr>
          <w:p>
            <w:pPr>
              <w:spacing w:after="0"/>
              <w:rPr>
                <w:sz w:val="16"/>
                <w:szCs w:val="16"/>
                <w:color w:val="auto"/>
              </w:rPr>
            </w:pPr>
          </w:p>
        </w:tc>
        <w:tc>
          <w:tcPr>
            <w:tcW w:w="2380" w:type="dxa"/>
            <w:vAlign w:val="bottom"/>
            <w:shd w:val="clear" w:color="auto" w:fill="E9F9D8"/>
          </w:tcPr>
          <w:p>
            <w:pPr>
              <w:ind w:left="40"/>
              <w:spacing w:after="0"/>
              <w:rPr>
                <w:sz w:val="20"/>
                <w:szCs w:val="20"/>
                <w:color w:val="auto"/>
              </w:rPr>
            </w:pPr>
            <w:r>
              <w:rPr>
                <w:rFonts w:ascii="Arial" w:cs="Arial" w:eastAsia="Arial" w:hAnsi="Arial"/>
                <w:sz w:val="16"/>
                <w:szCs w:val="16"/>
                <w:color w:val="auto"/>
              </w:rPr>
              <w:t>potential to generate significant</w:t>
            </w:r>
          </w:p>
        </w:tc>
        <w:tc>
          <w:tcPr>
            <w:tcW w:w="100" w:type="dxa"/>
            <w:vAlign w:val="bottom"/>
            <w:shd w:val="clear" w:color="auto" w:fill="E9F9D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2620" w:type="dxa"/>
            <w:vAlign w:val="bottom"/>
          </w:tcPr>
          <w:p>
            <w:pPr>
              <w:ind w:left="120"/>
              <w:spacing w:after="0"/>
              <w:rPr>
                <w:sz w:val="20"/>
                <w:szCs w:val="20"/>
                <w:color w:val="auto"/>
              </w:rPr>
            </w:pPr>
            <w:r>
              <w:rPr>
                <w:rFonts w:ascii="Arial" w:cs="Arial" w:eastAsia="Arial" w:hAnsi="Arial"/>
                <w:sz w:val="16"/>
                <w:szCs w:val="16"/>
                <w:color w:val="auto"/>
              </w:rPr>
              <w:t>achieves projected EBITDA</w:t>
            </w:r>
          </w:p>
        </w:tc>
        <w:tc>
          <w:tcPr>
            <w:tcW w:w="240" w:type="dxa"/>
            <w:vAlign w:val="bottom"/>
          </w:tcPr>
          <w:p>
            <w:pPr>
              <w:spacing w:after="0"/>
              <w:rPr>
                <w:sz w:val="16"/>
                <w:szCs w:val="16"/>
                <w:color w:val="auto"/>
              </w:rPr>
            </w:pPr>
          </w:p>
        </w:tc>
        <w:tc>
          <w:tcPr>
            <w:tcW w:w="2480" w:type="dxa"/>
            <w:vAlign w:val="bottom"/>
          </w:tcPr>
          <w:p>
            <w:pPr>
              <w:ind w:left="100"/>
              <w:spacing w:after="0"/>
              <w:rPr>
                <w:sz w:val="20"/>
                <w:szCs w:val="20"/>
                <w:color w:val="auto"/>
              </w:rPr>
            </w:pPr>
            <w:r>
              <w:rPr>
                <w:rFonts w:ascii="Arial" w:cs="Arial" w:eastAsia="Arial" w:hAnsi="Arial"/>
                <w:sz w:val="16"/>
                <w:szCs w:val="16"/>
                <w:color w:val="auto"/>
              </w:rPr>
              <w:t>and achieves profitability goals</w:t>
            </w:r>
          </w:p>
        </w:tc>
        <w:tc>
          <w:tcPr>
            <w:tcW w:w="100" w:type="dxa"/>
            <w:vAlign w:val="bottom"/>
          </w:tcPr>
          <w:p>
            <w:pPr>
              <w:spacing w:after="0"/>
              <w:rPr>
                <w:sz w:val="16"/>
                <w:szCs w:val="16"/>
                <w:color w:val="auto"/>
              </w:rPr>
            </w:pPr>
          </w:p>
        </w:tc>
        <w:tc>
          <w:tcPr>
            <w:tcW w:w="80" w:type="dxa"/>
            <w:vAlign w:val="bottom"/>
            <w:shd w:val="clear" w:color="auto" w:fill="E9F9D8"/>
          </w:tcPr>
          <w:p>
            <w:pPr>
              <w:spacing w:after="0"/>
              <w:rPr>
                <w:sz w:val="16"/>
                <w:szCs w:val="16"/>
                <w:color w:val="auto"/>
              </w:rPr>
            </w:pPr>
          </w:p>
        </w:tc>
        <w:tc>
          <w:tcPr>
            <w:tcW w:w="180" w:type="dxa"/>
            <w:vAlign w:val="bottom"/>
            <w:shd w:val="clear" w:color="auto" w:fill="E9F9D8"/>
          </w:tcPr>
          <w:p>
            <w:pPr>
              <w:spacing w:after="0"/>
              <w:rPr>
                <w:sz w:val="16"/>
                <w:szCs w:val="16"/>
                <w:color w:val="auto"/>
              </w:rPr>
            </w:pPr>
          </w:p>
        </w:tc>
        <w:tc>
          <w:tcPr>
            <w:tcW w:w="2380" w:type="dxa"/>
            <w:vAlign w:val="bottom"/>
            <w:shd w:val="clear" w:color="auto" w:fill="E9F9D8"/>
          </w:tcPr>
          <w:p>
            <w:pPr>
              <w:ind w:left="40"/>
              <w:spacing w:after="0"/>
              <w:rPr>
                <w:sz w:val="20"/>
                <w:szCs w:val="20"/>
                <w:color w:val="auto"/>
              </w:rPr>
            </w:pPr>
            <w:r>
              <w:rPr>
                <w:rFonts w:ascii="Arial" w:cs="Arial" w:eastAsia="Arial" w:hAnsi="Arial"/>
                <w:sz w:val="16"/>
                <w:szCs w:val="16"/>
                <w:color w:val="auto"/>
              </w:rPr>
              <w:t>incremental stockholder value</w:t>
            </w:r>
          </w:p>
        </w:tc>
        <w:tc>
          <w:tcPr>
            <w:tcW w:w="100" w:type="dxa"/>
            <w:vAlign w:val="bottom"/>
            <w:shd w:val="clear" w:color="auto" w:fill="E9F9D8"/>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2620" w:type="dxa"/>
            <w:vAlign w:val="bottom"/>
          </w:tcPr>
          <w:p>
            <w:pPr>
              <w:ind w:left="120"/>
              <w:spacing w:after="0"/>
              <w:rPr>
                <w:sz w:val="20"/>
                <w:szCs w:val="20"/>
                <w:color w:val="auto"/>
              </w:rPr>
            </w:pPr>
            <w:r>
              <w:rPr>
                <w:rFonts w:ascii="Arial" w:cs="Arial" w:eastAsia="Arial" w:hAnsi="Arial"/>
                <w:sz w:val="16"/>
                <w:szCs w:val="16"/>
                <w:color w:val="auto"/>
              </w:rPr>
              <w:t>milestone and operating revenue</w:t>
            </w: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shd w:val="clear" w:color="auto" w:fill="E9F9D8"/>
          </w:tcPr>
          <w:p>
            <w:pPr>
              <w:spacing w:after="0"/>
              <w:rPr>
                <w:sz w:val="18"/>
                <w:szCs w:val="18"/>
                <w:color w:val="auto"/>
              </w:rPr>
            </w:pPr>
          </w:p>
        </w:tc>
        <w:tc>
          <w:tcPr>
            <w:tcW w:w="180" w:type="dxa"/>
            <w:vAlign w:val="bottom"/>
            <w:shd w:val="clear" w:color="auto" w:fill="E9F9D8"/>
          </w:tcPr>
          <w:p>
            <w:pPr>
              <w:spacing w:after="0"/>
              <w:rPr>
                <w:sz w:val="18"/>
                <w:szCs w:val="18"/>
                <w:color w:val="auto"/>
              </w:rPr>
            </w:pPr>
          </w:p>
        </w:tc>
        <w:tc>
          <w:tcPr>
            <w:tcW w:w="2380" w:type="dxa"/>
            <w:vAlign w:val="bottom"/>
            <w:shd w:val="clear" w:color="auto" w:fill="E9F9D8"/>
          </w:tcPr>
          <w:p>
            <w:pPr>
              <w:spacing w:after="0"/>
              <w:rPr>
                <w:sz w:val="18"/>
                <w:szCs w:val="18"/>
                <w:color w:val="auto"/>
              </w:rPr>
            </w:pPr>
          </w:p>
        </w:tc>
        <w:tc>
          <w:tcPr>
            <w:tcW w:w="100" w:type="dxa"/>
            <w:vAlign w:val="bottom"/>
            <w:shd w:val="clear" w:color="auto" w:fill="E9F9D8"/>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2960" w:type="dxa"/>
            <w:vAlign w:val="bottom"/>
            <w:gridSpan w:val="3"/>
          </w:tcPr>
          <w:p>
            <w:pPr>
              <w:spacing w:after="0"/>
              <w:rPr>
                <w:sz w:val="20"/>
                <w:szCs w:val="20"/>
                <w:color w:val="auto"/>
              </w:rPr>
            </w:pPr>
            <w:r>
              <w:rPr>
                <w:rFonts w:ascii="Arial" w:cs="Arial" w:eastAsia="Arial" w:hAnsi="Arial"/>
                <w:sz w:val="32"/>
                <w:szCs w:val="32"/>
                <w:color w:val="auto"/>
                <w:vertAlign w:val="superscript"/>
              </w:rPr>
              <w:t>​ ​</w:t>
            </w:r>
            <w:r>
              <w:rPr>
                <w:rFonts w:ascii="Arial" w:cs="Arial" w:eastAsia="Arial" w:hAnsi="Arial"/>
                <w:sz w:val="16"/>
                <w:szCs w:val="16"/>
                <w:color w:val="auto"/>
              </w:rPr>
              <w:t xml:space="preserve"> 12% of carried interest of debt fund </w:t>
            </w:r>
            <w:r>
              <w:rPr>
                <w:rFonts w:ascii="Arial" w:cs="Arial" w:eastAsia="Arial" w:hAnsi="Arial"/>
                <w:sz w:val="32"/>
                <w:szCs w:val="32"/>
                <w:color w:val="auto"/>
                <w:vertAlign w:val="superscript"/>
              </w:rPr>
              <w:t>​ ​</w:t>
            </w:r>
            <w:r>
              <w:rPr>
                <w:rFonts w:ascii="Arial" w:cs="Arial" w:eastAsia="Arial" w:hAnsi="Arial"/>
                <w:sz w:val="16"/>
                <w:szCs w:val="16"/>
                <w:color w:val="auto"/>
              </w:rPr>
              <w:t xml:space="preserve"> •</w:t>
            </w:r>
          </w:p>
        </w:tc>
        <w:tc>
          <w:tcPr>
            <w:tcW w:w="2480" w:type="dxa"/>
            <w:vAlign w:val="bottom"/>
          </w:tcPr>
          <w:p>
            <w:pPr>
              <w:ind w:left="100"/>
              <w:spacing w:after="0"/>
              <w:rPr>
                <w:sz w:val="20"/>
                <w:szCs w:val="20"/>
                <w:color w:val="auto"/>
              </w:rPr>
            </w:pPr>
            <w:r>
              <w:rPr>
                <w:rFonts w:ascii="Arial" w:cs="Arial" w:eastAsia="Arial" w:hAnsi="Arial"/>
                <w:sz w:val="16"/>
                <w:szCs w:val="16"/>
                <w:color w:val="auto"/>
              </w:rPr>
              <w:t>In line with profit sharing</w:t>
            </w:r>
          </w:p>
        </w:tc>
        <w:tc>
          <w:tcPr>
            <w:tcW w:w="100" w:type="dxa"/>
            <w:vAlign w:val="bottom"/>
          </w:tcPr>
          <w:p>
            <w:pPr>
              <w:ind w:left="20"/>
              <w:spacing w:after="0"/>
              <w:rPr>
                <w:sz w:val="20"/>
                <w:szCs w:val="20"/>
                <w:color w:val="auto"/>
              </w:rPr>
            </w:pPr>
            <w:r>
              <w:rPr>
                <w:rFonts w:ascii="Arial" w:cs="Arial" w:eastAsia="Arial" w:hAnsi="Arial"/>
                <w:sz w:val="16"/>
                <w:szCs w:val="16"/>
                <w:color w:val="auto"/>
              </w:rPr>
              <w:t>​</w:t>
            </w:r>
          </w:p>
        </w:tc>
        <w:tc>
          <w:tcPr>
            <w:tcW w:w="80" w:type="dxa"/>
            <w:vAlign w:val="bottom"/>
            <w:shd w:val="clear" w:color="auto" w:fill="E9F9D8"/>
          </w:tcPr>
          <w:p>
            <w:pPr>
              <w:spacing w:after="0"/>
              <w:rPr>
                <w:sz w:val="20"/>
                <w:szCs w:val="20"/>
                <w:color w:val="auto"/>
              </w:rPr>
            </w:pPr>
            <w:r>
              <w:rPr>
                <w:rFonts w:ascii="Arial" w:cs="Arial" w:eastAsia="Arial" w:hAnsi="Arial"/>
                <w:sz w:val="16"/>
                <w:szCs w:val="16"/>
                <w:color w:val="auto"/>
              </w:rPr>
              <w:t>​</w:t>
            </w:r>
          </w:p>
        </w:tc>
        <w:tc>
          <w:tcPr>
            <w:tcW w:w="2560" w:type="dxa"/>
            <w:vAlign w:val="bottom"/>
            <w:gridSpan w:val="2"/>
            <w:shd w:val="clear" w:color="auto" w:fill="E9F9D8"/>
          </w:tcPr>
          <w:p>
            <w:pPr>
              <w:spacing w:after="0" w:line="184" w:lineRule="exact"/>
              <w:rPr>
                <w:sz w:val="20"/>
                <w:szCs w:val="20"/>
                <w:color w:val="auto"/>
              </w:rPr>
            </w:pPr>
            <w:r>
              <w:rPr>
                <w:rFonts w:ascii="MS PGothic" w:cs="MS PGothic" w:eastAsia="MS PGothic" w:hAnsi="MS PGothic"/>
                <w:sz w:val="16"/>
                <w:szCs w:val="16"/>
                <w:color w:val="83AD40"/>
              </w:rPr>
              <w:t>✓</w:t>
            </w:r>
            <w:r>
              <w:rPr>
                <w:rFonts w:ascii="Arial" w:cs="Arial" w:eastAsia="Arial" w:hAnsi="Arial"/>
                <w:sz w:val="16"/>
                <w:szCs w:val="16"/>
                <w:color w:val="auto"/>
              </w:rPr>
              <w:t xml:space="preserve"> Payouts contingent on</w:t>
            </w:r>
          </w:p>
        </w:tc>
        <w:tc>
          <w:tcPr>
            <w:tcW w:w="100" w:type="dxa"/>
            <w:vAlign w:val="bottom"/>
            <w:shd w:val="clear" w:color="auto" w:fill="E9F9D8"/>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2620" w:type="dxa"/>
            <w:vAlign w:val="bottom"/>
          </w:tcPr>
          <w:p>
            <w:pPr>
              <w:ind w:left="120"/>
              <w:spacing w:after="0" w:line="175" w:lineRule="exact"/>
              <w:rPr>
                <w:sz w:val="20"/>
                <w:szCs w:val="20"/>
                <w:color w:val="auto"/>
              </w:rPr>
            </w:pPr>
            <w:r>
              <w:rPr>
                <w:rFonts w:ascii="Arial" w:cs="Arial" w:eastAsia="Arial" w:hAnsi="Arial"/>
                <w:sz w:val="16"/>
                <w:szCs w:val="16"/>
                <w:color w:val="auto"/>
              </w:rPr>
              <w:t>with no guaranteed payouts</w:t>
            </w:r>
          </w:p>
        </w:tc>
        <w:tc>
          <w:tcPr>
            <w:tcW w:w="240" w:type="dxa"/>
            <w:vAlign w:val="bottom"/>
          </w:tcPr>
          <w:p>
            <w:pPr>
              <w:spacing w:after="0"/>
              <w:rPr>
                <w:sz w:val="15"/>
                <w:szCs w:val="15"/>
                <w:color w:val="auto"/>
              </w:rPr>
            </w:pPr>
          </w:p>
        </w:tc>
        <w:tc>
          <w:tcPr>
            <w:tcW w:w="2480" w:type="dxa"/>
            <w:vAlign w:val="bottom"/>
          </w:tcPr>
          <w:p>
            <w:pPr>
              <w:ind w:left="100"/>
              <w:spacing w:after="0" w:line="175" w:lineRule="exact"/>
              <w:rPr>
                <w:sz w:val="20"/>
                <w:szCs w:val="20"/>
                <w:color w:val="auto"/>
              </w:rPr>
            </w:pPr>
            <w:r>
              <w:rPr>
                <w:rFonts w:ascii="Arial" w:cs="Arial" w:eastAsia="Arial" w:hAnsi="Arial"/>
                <w:sz w:val="16"/>
                <w:szCs w:val="16"/>
                <w:color w:val="auto"/>
              </w:rPr>
              <w:t>incentives of comparable</w:t>
            </w:r>
          </w:p>
        </w:tc>
        <w:tc>
          <w:tcPr>
            <w:tcW w:w="100" w:type="dxa"/>
            <w:vAlign w:val="bottom"/>
          </w:tcPr>
          <w:p>
            <w:pPr>
              <w:spacing w:after="0"/>
              <w:rPr>
                <w:sz w:val="15"/>
                <w:szCs w:val="15"/>
                <w:color w:val="auto"/>
              </w:rPr>
            </w:pPr>
          </w:p>
        </w:tc>
        <w:tc>
          <w:tcPr>
            <w:tcW w:w="80" w:type="dxa"/>
            <w:vAlign w:val="bottom"/>
            <w:shd w:val="clear" w:color="auto" w:fill="E9F9D8"/>
          </w:tcPr>
          <w:p>
            <w:pPr>
              <w:spacing w:after="0"/>
              <w:rPr>
                <w:sz w:val="15"/>
                <w:szCs w:val="15"/>
                <w:color w:val="auto"/>
              </w:rPr>
            </w:pPr>
          </w:p>
        </w:tc>
        <w:tc>
          <w:tcPr>
            <w:tcW w:w="180" w:type="dxa"/>
            <w:vAlign w:val="bottom"/>
            <w:shd w:val="clear" w:color="auto" w:fill="E9F9D8"/>
          </w:tcPr>
          <w:p>
            <w:pPr>
              <w:spacing w:after="0"/>
              <w:rPr>
                <w:sz w:val="15"/>
                <w:szCs w:val="15"/>
                <w:color w:val="auto"/>
              </w:rPr>
            </w:pPr>
          </w:p>
        </w:tc>
        <w:tc>
          <w:tcPr>
            <w:tcW w:w="2380" w:type="dxa"/>
            <w:vAlign w:val="bottom"/>
            <w:shd w:val="clear" w:color="auto" w:fill="E9F9D8"/>
          </w:tcPr>
          <w:p>
            <w:pPr>
              <w:ind w:left="40"/>
              <w:spacing w:after="0" w:line="175" w:lineRule="exact"/>
              <w:rPr>
                <w:sz w:val="20"/>
                <w:szCs w:val="20"/>
                <w:color w:val="auto"/>
              </w:rPr>
            </w:pPr>
            <w:r>
              <w:rPr>
                <w:rFonts w:ascii="Arial" w:cs="Arial" w:eastAsia="Arial" w:hAnsi="Arial"/>
                <w:sz w:val="16"/>
                <w:szCs w:val="16"/>
                <w:color w:val="auto"/>
              </w:rPr>
              <w:t>profitability of opportunistic debt</w:t>
            </w:r>
          </w:p>
        </w:tc>
        <w:tc>
          <w:tcPr>
            <w:tcW w:w="100" w:type="dxa"/>
            <w:vAlign w:val="bottom"/>
            <w:shd w:val="clear" w:color="auto" w:fill="E9F9D8"/>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tcPr>
          <w:p>
            <w:pPr>
              <w:ind w:left="100"/>
              <w:spacing w:after="0"/>
              <w:rPr>
                <w:sz w:val="20"/>
                <w:szCs w:val="20"/>
                <w:color w:val="auto"/>
              </w:rPr>
            </w:pPr>
            <w:r>
              <w:rPr>
                <w:rFonts w:ascii="Arial" w:cs="Arial" w:eastAsia="Arial" w:hAnsi="Arial"/>
                <w:sz w:val="16"/>
                <w:szCs w:val="16"/>
                <w:color w:val="auto"/>
              </w:rPr>
              <w:t>dedicated investment</w:t>
            </w:r>
          </w:p>
        </w:tc>
        <w:tc>
          <w:tcPr>
            <w:tcW w:w="100" w:type="dxa"/>
            <w:vAlign w:val="bottom"/>
          </w:tcPr>
          <w:p>
            <w:pPr>
              <w:spacing w:after="0"/>
              <w:rPr>
                <w:sz w:val="16"/>
                <w:szCs w:val="16"/>
                <w:color w:val="auto"/>
              </w:rPr>
            </w:pPr>
          </w:p>
        </w:tc>
        <w:tc>
          <w:tcPr>
            <w:tcW w:w="80" w:type="dxa"/>
            <w:vAlign w:val="bottom"/>
            <w:shd w:val="clear" w:color="auto" w:fill="E9F9D8"/>
          </w:tcPr>
          <w:p>
            <w:pPr>
              <w:spacing w:after="0"/>
              <w:rPr>
                <w:sz w:val="16"/>
                <w:szCs w:val="16"/>
                <w:color w:val="auto"/>
              </w:rPr>
            </w:pPr>
          </w:p>
        </w:tc>
        <w:tc>
          <w:tcPr>
            <w:tcW w:w="180" w:type="dxa"/>
            <w:vAlign w:val="bottom"/>
            <w:shd w:val="clear" w:color="auto" w:fill="E9F9D8"/>
          </w:tcPr>
          <w:p>
            <w:pPr>
              <w:spacing w:after="0"/>
              <w:rPr>
                <w:sz w:val="16"/>
                <w:szCs w:val="16"/>
                <w:color w:val="auto"/>
              </w:rPr>
            </w:pPr>
          </w:p>
        </w:tc>
        <w:tc>
          <w:tcPr>
            <w:tcW w:w="2380" w:type="dxa"/>
            <w:vAlign w:val="bottom"/>
            <w:shd w:val="clear" w:color="auto" w:fill="E9F9D8"/>
          </w:tcPr>
          <w:p>
            <w:pPr>
              <w:ind w:left="40"/>
              <w:spacing w:after="0"/>
              <w:rPr>
                <w:sz w:val="20"/>
                <w:szCs w:val="20"/>
                <w:color w:val="auto"/>
              </w:rPr>
            </w:pPr>
            <w:r>
              <w:rPr>
                <w:rFonts w:ascii="Arial" w:cs="Arial" w:eastAsia="Arial" w:hAnsi="Arial"/>
                <w:sz w:val="16"/>
                <w:szCs w:val="16"/>
                <w:color w:val="auto"/>
              </w:rPr>
              <w:t>fund and ONLY IF earnings first</w:t>
            </w:r>
          </w:p>
        </w:tc>
        <w:tc>
          <w:tcPr>
            <w:tcW w:w="100" w:type="dxa"/>
            <w:vAlign w:val="bottom"/>
            <w:shd w:val="clear" w:color="auto" w:fill="E9F9D8"/>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ind w:left="100"/>
              <w:spacing w:after="0"/>
              <w:rPr>
                <w:sz w:val="20"/>
                <w:szCs w:val="20"/>
                <w:color w:val="auto"/>
              </w:rPr>
            </w:pPr>
            <w:r>
              <w:rPr>
                <w:rFonts w:ascii="Arial" w:cs="Arial" w:eastAsia="Arial" w:hAnsi="Arial"/>
                <w:sz w:val="16"/>
                <w:szCs w:val="16"/>
                <w:color w:val="auto"/>
              </w:rPr>
              <w:t>professionals</w:t>
            </w:r>
          </w:p>
        </w:tc>
        <w:tc>
          <w:tcPr>
            <w:tcW w:w="100" w:type="dxa"/>
            <w:vAlign w:val="bottom"/>
          </w:tcPr>
          <w:p>
            <w:pPr>
              <w:spacing w:after="0"/>
              <w:rPr>
                <w:sz w:val="18"/>
                <w:szCs w:val="18"/>
                <w:color w:val="auto"/>
              </w:rPr>
            </w:pPr>
          </w:p>
        </w:tc>
        <w:tc>
          <w:tcPr>
            <w:tcW w:w="80" w:type="dxa"/>
            <w:vAlign w:val="bottom"/>
            <w:shd w:val="clear" w:color="auto" w:fill="E9F9D8"/>
          </w:tcPr>
          <w:p>
            <w:pPr>
              <w:spacing w:after="0"/>
              <w:rPr>
                <w:sz w:val="18"/>
                <w:szCs w:val="18"/>
                <w:color w:val="auto"/>
              </w:rPr>
            </w:pPr>
          </w:p>
        </w:tc>
        <w:tc>
          <w:tcPr>
            <w:tcW w:w="180" w:type="dxa"/>
            <w:vAlign w:val="bottom"/>
            <w:shd w:val="clear" w:color="auto" w:fill="E9F9D8"/>
          </w:tcPr>
          <w:p>
            <w:pPr>
              <w:spacing w:after="0"/>
              <w:rPr>
                <w:sz w:val="18"/>
                <w:szCs w:val="18"/>
                <w:color w:val="auto"/>
              </w:rPr>
            </w:pPr>
          </w:p>
        </w:tc>
        <w:tc>
          <w:tcPr>
            <w:tcW w:w="2380" w:type="dxa"/>
            <w:vAlign w:val="bottom"/>
            <w:shd w:val="clear" w:color="auto" w:fill="E9F9D8"/>
          </w:tcPr>
          <w:p>
            <w:pPr>
              <w:ind w:left="40"/>
              <w:spacing w:after="0"/>
              <w:rPr>
                <w:sz w:val="20"/>
                <w:szCs w:val="20"/>
                <w:color w:val="auto"/>
              </w:rPr>
            </w:pPr>
            <w:r>
              <w:rPr>
                <w:rFonts w:ascii="Arial" w:cs="Arial" w:eastAsia="Arial" w:hAnsi="Arial"/>
                <w:sz w:val="16"/>
                <w:szCs w:val="16"/>
                <w:color w:val="auto"/>
              </w:rPr>
              <w:t>accrue to the Company</w:t>
            </w:r>
          </w:p>
        </w:tc>
        <w:tc>
          <w:tcPr>
            <w:tcW w:w="100" w:type="dxa"/>
            <w:vAlign w:val="bottom"/>
            <w:shd w:val="clear" w:color="auto" w:fill="E9F9D8"/>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Retention Performance Incentive</w:t>
            </w:r>
          </w:p>
        </w:tc>
        <w:tc>
          <w:tcPr>
            <w:tcW w:w="100" w:type="dxa"/>
            <w:vAlign w:val="bottom"/>
          </w:tcPr>
          <w:p>
            <w:pPr>
              <w:spacing w:after="0"/>
              <w:rPr>
                <w:sz w:val="14"/>
                <w:szCs w:val="14"/>
                <w:color w:val="auto"/>
              </w:rPr>
            </w:pPr>
          </w:p>
        </w:tc>
        <w:tc>
          <w:tcPr>
            <w:tcW w:w="80" w:type="dxa"/>
            <w:vAlign w:val="bottom"/>
            <w:shd w:val="clear" w:color="auto" w:fill="E9F9D8"/>
          </w:tcPr>
          <w:p>
            <w:pPr>
              <w:spacing w:after="0"/>
              <w:rPr>
                <w:sz w:val="14"/>
                <w:szCs w:val="14"/>
                <w:color w:val="auto"/>
              </w:rPr>
            </w:pPr>
          </w:p>
        </w:tc>
        <w:tc>
          <w:tcPr>
            <w:tcW w:w="180" w:type="dxa"/>
            <w:vAlign w:val="bottom"/>
            <w:shd w:val="clear" w:color="auto" w:fill="E9F9D8"/>
          </w:tcPr>
          <w:p>
            <w:pPr>
              <w:spacing w:after="0"/>
              <w:rPr>
                <w:sz w:val="14"/>
                <w:szCs w:val="14"/>
                <w:color w:val="auto"/>
              </w:rPr>
            </w:pPr>
          </w:p>
        </w:tc>
        <w:tc>
          <w:tcPr>
            <w:tcW w:w="2380" w:type="dxa"/>
            <w:vAlign w:val="bottom"/>
            <w:shd w:val="clear" w:color="auto" w:fill="E9F9D8"/>
          </w:tcPr>
          <w:p>
            <w:pPr>
              <w:spacing w:after="0"/>
              <w:rPr>
                <w:sz w:val="14"/>
                <w:szCs w:val="14"/>
                <w:color w:val="auto"/>
              </w:rPr>
            </w:pPr>
          </w:p>
        </w:tc>
        <w:tc>
          <w:tcPr>
            <w:tcW w:w="100" w:type="dxa"/>
            <w:vAlign w:val="bottom"/>
            <w:shd w:val="clear" w:color="auto" w:fill="E9F9D8"/>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720" w:type="dxa"/>
            <w:vAlign w:val="bottom"/>
            <w:gridSpan w:val="2"/>
          </w:tcPr>
          <w:p>
            <w:pPr>
              <w:ind w:left="60"/>
              <w:spacing w:after="0"/>
              <w:rPr>
                <w:sz w:val="20"/>
                <w:szCs w:val="20"/>
                <w:color w:val="auto"/>
              </w:rPr>
            </w:pPr>
            <w:r>
              <w:rPr>
                <w:rFonts w:ascii="Arial" w:cs="Arial" w:eastAsia="Arial" w:hAnsi="Arial"/>
                <w:sz w:val="16"/>
                <w:szCs w:val="16"/>
                <w:b w:val="1"/>
                <w:bCs w:val="1"/>
                <w:color w:val="auto"/>
              </w:rPr>
              <w:t>​ ​</w:t>
            </w:r>
          </w:p>
        </w:tc>
        <w:tc>
          <w:tcPr>
            <w:tcW w:w="240" w:type="dxa"/>
            <w:vAlign w:val="bottom"/>
          </w:tcPr>
          <w:p>
            <w:pPr>
              <w:spacing w:after="0"/>
              <w:rPr>
                <w:sz w:val="21"/>
                <w:szCs w:val="21"/>
                <w:color w:val="auto"/>
              </w:rPr>
            </w:pPr>
          </w:p>
        </w:tc>
        <w:tc>
          <w:tcPr>
            <w:tcW w:w="24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00" w:type="dxa"/>
            <w:vAlign w:val="bottom"/>
          </w:tcPr>
          <w:p>
            <w:pPr>
              <w:ind w:left="6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9"/>
        </w:trPr>
        <w:tc>
          <w:tcPr>
            <w:tcW w:w="2720" w:type="dxa"/>
            <w:vAlign w:val="bottom"/>
            <w:gridSpan w:val="2"/>
          </w:tcPr>
          <w:p>
            <w:pPr>
              <w:spacing w:after="0" w:line="228"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4"/>
                <w:szCs w:val="14"/>
                <w:color w:val="auto"/>
              </w:rPr>
              <w:t xml:space="preserve"> $4.5M denominated in 100%</w:t>
            </w:r>
          </w:p>
        </w:tc>
        <w:tc>
          <w:tcPr>
            <w:tcW w:w="240" w:type="dxa"/>
            <w:vAlign w:val="bottom"/>
          </w:tcPr>
          <w:p>
            <w:pPr>
              <w:jc w:val="right"/>
              <w:spacing w:after="0" w:line="228"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6"/>
                <w:szCs w:val="26"/>
                <w:color w:val="auto"/>
                <w:vertAlign w:val="subscript"/>
              </w:rPr>
              <w:t>•</w:t>
            </w:r>
          </w:p>
        </w:tc>
        <w:tc>
          <w:tcPr>
            <w:tcW w:w="2480" w:type="dxa"/>
            <w:vAlign w:val="bottom"/>
          </w:tcPr>
          <w:p>
            <w:pPr>
              <w:ind w:left="100"/>
              <w:spacing w:after="0"/>
              <w:rPr>
                <w:sz w:val="20"/>
                <w:szCs w:val="20"/>
                <w:color w:val="auto"/>
              </w:rPr>
            </w:pPr>
            <w:r>
              <w:rPr>
                <w:rFonts w:ascii="Arial" w:cs="Arial" w:eastAsia="Arial" w:hAnsi="Arial"/>
                <w:sz w:val="16"/>
                <w:szCs w:val="16"/>
                <w:color w:val="auto"/>
              </w:rPr>
              <w:t>Key component of executive</w:t>
            </w:r>
          </w:p>
        </w:tc>
        <w:tc>
          <w:tcPr>
            <w:tcW w:w="100" w:type="dxa"/>
            <w:vAlign w:val="bottom"/>
          </w:tcPr>
          <w:p>
            <w:pPr>
              <w:ind w:left="20"/>
              <w:spacing w:after="0"/>
              <w:rPr>
                <w:sz w:val="20"/>
                <w:szCs w:val="20"/>
                <w:color w:val="auto"/>
              </w:rPr>
            </w:pPr>
            <w:r>
              <w:rPr>
                <w:rFonts w:ascii="Arial" w:cs="Arial" w:eastAsia="Arial" w:hAnsi="Arial"/>
                <w:sz w:val="16"/>
                <w:szCs w:val="16"/>
                <w:color w:val="auto"/>
              </w:rPr>
              <w:t>​</w:t>
            </w:r>
          </w:p>
        </w:tc>
        <w:tc>
          <w:tcPr>
            <w:tcW w:w="2640" w:type="dxa"/>
            <w:vAlign w:val="bottom"/>
            <w:gridSpan w:val="3"/>
            <w:shd w:val="clear" w:color="auto" w:fill="E9F9D8"/>
          </w:tcPr>
          <w:p>
            <w:pPr>
              <w:spacing w:after="0" w:line="228"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 xml:space="preserve"> </w:t>
            </w:r>
            <w:r>
              <w:rPr>
                <w:rFonts w:ascii="MS PGothic" w:cs="MS PGothic" w:eastAsia="MS PGothic" w:hAnsi="MS PGothic"/>
                <w:sz w:val="14"/>
                <w:szCs w:val="14"/>
                <w:color w:val="83AD40"/>
              </w:rPr>
              <w:t>✓</w:t>
            </w:r>
            <w:r>
              <w:rPr>
                <w:rFonts w:ascii="Arial" w:cs="Arial" w:eastAsia="Arial" w:hAnsi="Arial"/>
                <w:sz w:val="14"/>
                <w:szCs w:val="14"/>
                <w:color w:val="auto"/>
              </w:rPr>
              <w:t xml:space="preserve"> All-or-nothing performance</w:t>
            </w:r>
          </w:p>
        </w:tc>
        <w:tc>
          <w:tcPr>
            <w:tcW w:w="100" w:type="dxa"/>
            <w:vAlign w:val="bottom"/>
            <w:shd w:val="clear" w:color="auto" w:fill="E9F9D8"/>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2620" w:type="dxa"/>
            <w:vAlign w:val="bottom"/>
          </w:tcPr>
          <w:p>
            <w:pPr>
              <w:ind w:left="120"/>
              <w:spacing w:after="0" w:line="175" w:lineRule="exact"/>
              <w:rPr>
                <w:sz w:val="20"/>
                <w:szCs w:val="20"/>
                <w:color w:val="auto"/>
              </w:rPr>
            </w:pPr>
            <w:r>
              <w:rPr>
                <w:rFonts w:ascii="Arial" w:cs="Arial" w:eastAsia="Arial" w:hAnsi="Arial"/>
                <w:sz w:val="16"/>
                <w:szCs w:val="16"/>
                <w:color w:val="auto"/>
              </w:rPr>
              <w:t>performance-based equity,</w:t>
            </w:r>
          </w:p>
        </w:tc>
        <w:tc>
          <w:tcPr>
            <w:tcW w:w="240" w:type="dxa"/>
            <w:vAlign w:val="bottom"/>
          </w:tcPr>
          <w:p>
            <w:pPr>
              <w:spacing w:after="0"/>
              <w:rPr>
                <w:sz w:val="15"/>
                <w:szCs w:val="15"/>
                <w:color w:val="auto"/>
              </w:rPr>
            </w:pPr>
          </w:p>
        </w:tc>
        <w:tc>
          <w:tcPr>
            <w:tcW w:w="2480" w:type="dxa"/>
            <w:vAlign w:val="bottom"/>
          </w:tcPr>
          <w:p>
            <w:pPr>
              <w:ind w:left="100"/>
              <w:spacing w:after="0" w:line="175" w:lineRule="exact"/>
              <w:rPr>
                <w:sz w:val="20"/>
                <w:szCs w:val="20"/>
                <w:color w:val="auto"/>
              </w:rPr>
            </w:pPr>
            <w:r>
              <w:rPr>
                <w:rFonts w:ascii="Arial" w:cs="Arial" w:eastAsia="Arial" w:hAnsi="Arial"/>
                <w:sz w:val="16"/>
                <w:szCs w:val="16"/>
                <w:color w:val="auto"/>
              </w:rPr>
              <w:t>succession planning and stability</w:t>
            </w:r>
          </w:p>
        </w:tc>
        <w:tc>
          <w:tcPr>
            <w:tcW w:w="100" w:type="dxa"/>
            <w:vAlign w:val="bottom"/>
          </w:tcPr>
          <w:p>
            <w:pPr>
              <w:spacing w:after="0"/>
              <w:rPr>
                <w:sz w:val="15"/>
                <w:szCs w:val="15"/>
                <w:color w:val="auto"/>
              </w:rPr>
            </w:pPr>
          </w:p>
        </w:tc>
        <w:tc>
          <w:tcPr>
            <w:tcW w:w="80" w:type="dxa"/>
            <w:vAlign w:val="bottom"/>
            <w:shd w:val="clear" w:color="auto" w:fill="E9F9D8"/>
          </w:tcPr>
          <w:p>
            <w:pPr>
              <w:spacing w:after="0"/>
              <w:rPr>
                <w:sz w:val="15"/>
                <w:szCs w:val="15"/>
                <w:color w:val="auto"/>
              </w:rPr>
            </w:pPr>
          </w:p>
        </w:tc>
        <w:tc>
          <w:tcPr>
            <w:tcW w:w="180" w:type="dxa"/>
            <w:vAlign w:val="bottom"/>
            <w:shd w:val="clear" w:color="auto" w:fill="E9F9D8"/>
          </w:tcPr>
          <w:p>
            <w:pPr>
              <w:spacing w:after="0"/>
              <w:rPr>
                <w:sz w:val="15"/>
                <w:szCs w:val="15"/>
                <w:color w:val="auto"/>
              </w:rPr>
            </w:pPr>
          </w:p>
        </w:tc>
        <w:tc>
          <w:tcPr>
            <w:tcW w:w="2380" w:type="dxa"/>
            <w:vAlign w:val="bottom"/>
            <w:shd w:val="clear" w:color="auto" w:fill="E9F9D8"/>
          </w:tcPr>
          <w:p>
            <w:pPr>
              <w:ind w:left="40"/>
              <w:spacing w:after="0" w:line="175" w:lineRule="exact"/>
              <w:rPr>
                <w:sz w:val="20"/>
                <w:szCs w:val="20"/>
                <w:color w:val="auto"/>
              </w:rPr>
            </w:pPr>
            <w:r>
              <w:rPr>
                <w:rFonts w:ascii="Arial" w:cs="Arial" w:eastAsia="Arial" w:hAnsi="Arial"/>
                <w:sz w:val="16"/>
                <w:szCs w:val="16"/>
                <w:color w:val="auto"/>
              </w:rPr>
              <w:t>hurdle structure ensures</w:t>
            </w:r>
          </w:p>
        </w:tc>
        <w:tc>
          <w:tcPr>
            <w:tcW w:w="100" w:type="dxa"/>
            <w:vAlign w:val="bottom"/>
            <w:shd w:val="clear" w:color="auto" w:fill="E9F9D8"/>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2620" w:type="dxa"/>
            <w:vAlign w:val="bottom"/>
          </w:tcPr>
          <w:p>
            <w:pPr>
              <w:ind w:left="120"/>
              <w:spacing w:after="0"/>
              <w:rPr>
                <w:sz w:val="20"/>
                <w:szCs w:val="20"/>
                <w:color w:val="auto"/>
              </w:rPr>
            </w:pPr>
            <w:r>
              <w:rPr>
                <w:rFonts w:ascii="Arial" w:cs="Arial" w:eastAsia="Arial" w:hAnsi="Arial"/>
                <w:sz w:val="16"/>
                <w:szCs w:val="16"/>
                <w:color w:val="auto"/>
              </w:rPr>
              <w:t>requiring $100 stock price for 20-</w:t>
            </w:r>
          </w:p>
        </w:tc>
        <w:tc>
          <w:tcPr>
            <w:tcW w:w="240" w:type="dxa"/>
            <w:vAlign w:val="bottom"/>
          </w:tcPr>
          <w:p>
            <w:pPr>
              <w:spacing w:after="0"/>
              <w:rPr>
                <w:sz w:val="16"/>
                <w:szCs w:val="16"/>
                <w:color w:val="auto"/>
              </w:rPr>
            </w:pPr>
          </w:p>
        </w:tc>
        <w:tc>
          <w:tcPr>
            <w:tcW w:w="2480" w:type="dxa"/>
            <w:vAlign w:val="bottom"/>
          </w:tcPr>
          <w:p>
            <w:pPr>
              <w:ind w:left="100"/>
              <w:spacing w:after="0"/>
              <w:rPr>
                <w:sz w:val="20"/>
                <w:szCs w:val="20"/>
                <w:color w:val="auto"/>
              </w:rPr>
            </w:pPr>
            <w:r>
              <w:rPr>
                <w:rFonts w:ascii="Arial" w:cs="Arial" w:eastAsia="Arial" w:hAnsi="Arial"/>
                <w:sz w:val="16"/>
                <w:szCs w:val="16"/>
                <w:color w:val="auto"/>
              </w:rPr>
              <w:t>of management team</w:t>
            </w:r>
          </w:p>
        </w:tc>
        <w:tc>
          <w:tcPr>
            <w:tcW w:w="100" w:type="dxa"/>
            <w:vAlign w:val="bottom"/>
          </w:tcPr>
          <w:p>
            <w:pPr>
              <w:spacing w:after="0"/>
              <w:rPr>
                <w:sz w:val="16"/>
                <w:szCs w:val="16"/>
                <w:color w:val="auto"/>
              </w:rPr>
            </w:pPr>
          </w:p>
        </w:tc>
        <w:tc>
          <w:tcPr>
            <w:tcW w:w="80" w:type="dxa"/>
            <w:vAlign w:val="bottom"/>
            <w:shd w:val="clear" w:color="auto" w:fill="E9F9D8"/>
          </w:tcPr>
          <w:p>
            <w:pPr>
              <w:spacing w:after="0"/>
              <w:rPr>
                <w:sz w:val="16"/>
                <w:szCs w:val="16"/>
                <w:color w:val="auto"/>
              </w:rPr>
            </w:pPr>
          </w:p>
        </w:tc>
        <w:tc>
          <w:tcPr>
            <w:tcW w:w="180" w:type="dxa"/>
            <w:vAlign w:val="bottom"/>
            <w:shd w:val="clear" w:color="auto" w:fill="E9F9D8"/>
          </w:tcPr>
          <w:p>
            <w:pPr>
              <w:spacing w:after="0"/>
              <w:rPr>
                <w:sz w:val="16"/>
                <w:szCs w:val="16"/>
                <w:color w:val="auto"/>
              </w:rPr>
            </w:pPr>
          </w:p>
        </w:tc>
        <w:tc>
          <w:tcPr>
            <w:tcW w:w="2380" w:type="dxa"/>
            <w:vAlign w:val="bottom"/>
            <w:shd w:val="clear" w:color="auto" w:fill="E9F9D8"/>
          </w:tcPr>
          <w:p>
            <w:pPr>
              <w:ind w:left="40"/>
              <w:spacing w:after="0"/>
              <w:rPr>
                <w:sz w:val="20"/>
                <w:szCs w:val="20"/>
                <w:color w:val="auto"/>
              </w:rPr>
            </w:pPr>
            <w:r>
              <w:rPr>
                <w:rFonts w:ascii="Arial" w:cs="Arial" w:eastAsia="Arial" w:hAnsi="Arial"/>
                <w:sz w:val="16"/>
                <w:szCs w:val="16"/>
                <w:color w:val="auto"/>
              </w:rPr>
              <w:t>significant incremental</w:t>
            </w:r>
          </w:p>
        </w:tc>
        <w:tc>
          <w:tcPr>
            <w:tcW w:w="100" w:type="dxa"/>
            <w:vAlign w:val="bottom"/>
            <w:shd w:val="clear" w:color="auto" w:fill="E9F9D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2620" w:type="dxa"/>
            <w:vAlign w:val="bottom"/>
          </w:tcPr>
          <w:p>
            <w:pPr>
              <w:ind w:left="120"/>
              <w:spacing w:after="0"/>
              <w:rPr>
                <w:sz w:val="20"/>
                <w:szCs w:val="20"/>
                <w:color w:val="auto"/>
              </w:rPr>
            </w:pPr>
            <w:r>
              <w:rPr>
                <w:rFonts w:ascii="Arial" w:cs="Arial" w:eastAsia="Arial" w:hAnsi="Arial"/>
                <w:sz w:val="16"/>
                <w:szCs w:val="16"/>
                <w:color w:val="auto"/>
              </w:rPr>
              <w:t>day period, and subject to</w:t>
            </w:r>
          </w:p>
        </w:tc>
        <w:tc>
          <w:tcPr>
            <w:tcW w:w="2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shd w:val="clear" w:color="auto" w:fill="E9F9D8"/>
          </w:tcPr>
          <w:p>
            <w:pPr>
              <w:spacing w:after="0"/>
              <w:rPr>
                <w:sz w:val="16"/>
                <w:szCs w:val="16"/>
                <w:color w:val="auto"/>
              </w:rPr>
            </w:pPr>
          </w:p>
        </w:tc>
        <w:tc>
          <w:tcPr>
            <w:tcW w:w="180" w:type="dxa"/>
            <w:vAlign w:val="bottom"/>
            <w:shd w:val="clear" w:color="auto" w:fill="E9F9D8"/>
          </w:tcPr>
          <w:p>
            <w:pPr>
              <w:spacing w:after="0"/>
              <w:rPr>
                <w:sz w:val="16"/>
                <w:szCs w:val="16"/>
                <w:color w:val="auto"/>
              </w:rPr>
            </w:pPr>
          </w:p>
        </w:tc>
        <w:tc>
          <w:tcPr>
            <w:tcW w:w="2380" w:type="dxa"/>
            <w:vAlign w:val="bottom"/>
            <w:shd w:val="clear" w:color="auto" w:fill="E9F9D8"/>
          </w:tcPr>
          <w:p>
            <w:pPr>
              <w:ind w:left="40"/>
              <w:spacing w:after="0"/>
              <w:rPr>
                <w:sz w:val="20"/>
                <w:szCs w:val="20"/>
                <w:color w:val="auto"/>
              </w:rPr>
            </w:pPr>
            <w:r>
              <w:rPr>
                <w:rFonts w:ascii="Arial" w:cs="Arial" w:eastAsia="Arial" w:hAnsi="Arial"/>
                <w:sz w:val="16"/>
                <w:szCs w:val="16"/>
                <w:color w:val="auto"/>
              </w:rPr>
              <w:t>stockholder value creation</w:t>
            </w:r>
          </w:p>
        </w:tc>
        <w:tc>
          <w:tcPr>
            <w:tcW w:w="100" w:type="dxa"/>
            <w:vAlign w:val="bottom"/>
            <w:shd w:val="clear" w:color="auto" w:fill="E9F9D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2620" w:type="dxa"/>
            <w:vAlign w:val="bottom"/>
          </w:tcPr>
          <w:p>
            <w:pPr>
              <w:ind w:left="120"/>
              <w:spacing w:after="0"/>
              <w:rPr>
                <w:sz w:val="20"/>
                <w:szCs w:val="20"/>
                <w:color w:val="auto"/>
              </w:rPr>
            </w:pPr>
            <w:r>
              <w:rPr>
                <w:rFonts w:ascii="Arial" w:cs="Arial" w:eastAsia="Arial" w:hAnsi="Arial"/>
                <w:sz w:val="16"/>
                <w:szCs w:val="16"/>
                <w:color w:val="auto"/>
              </w:rPr>
              <w:t>continued employment for next</w:t>
            </w:r>
          </w:p>
        </w:tc>
        <w:tc>
          <w:tcPr>
            <w:tcW w:w="2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shd w:val="clear" w:color="auto" w:fill="E9F9D8"/>
          </w:tcPr>
          <w:p>
            <w:pPr>
              <w:spacing w:after="0"/>
              <w:rPr>
                <w:sz w:val="16"/>
                <w:szCs w:val="16"/>
                <w:color w:val="auto"/>
              </w:rPr>
            </w:pPr>
          </w:p>
        </w:tc>
        <w:tc>
          <w:tcPr>
            <w:tcW w:w="180" w:type="dxa"/>
            <w:vAlign w:val="bottom"/>
            <w:shd w:val="clear" w:color="auto" w:fill="E9F9D8"/>
          </w:tcPr>
          <w:p>
            <w:pPr>
              <w:spacing w:after="0"/>
              <w:rPr>
                <w:sz w:val="16"/>
                <w:szCs w:val="16"/>
                <w:color w:val="auto"/>
              </w:rPr>
            </w:pPr>
          </w:p>
        </w:tc>
        <w:tc>
          <w:tcPr>
            <w:tcW w:w="2380" w:type="dxa"/>
            <w:vAlign w:val="bottom"/>
            <w:shd w:val="clear" w:color="auto" w:fill="E9F9D8"/>
          </w:tcPr>
          <w:p>
            <w:pPr>
              <w:ind w:left="40"/>
              <w:spacing w:after="0"/>
              <w:rPr>
                <w:sz w:val="20"/>
                <w:szCs w:val="20"/>
                <w:color w:val="auto"/>
              </w:rPr>
            </w:pPr>
            <w:r>
              <w:rPr>
                <w:rFonts w:ascii="Arial" w:cs="Arial" w:eastAsia="Arial" w:hAnsi="Arial"/>
                <w:sz w:val="16"/>
                <w:szCs w:val="16"/>
                <w:color w:val="auto"/>
              </w:rPr>
              <w:t>following two consecutive years</w:t>
            </w:r>
          </w:p>
        </w:tc>
        <w:tc>
          <w:tcPr>
            <w:tcW w:w="100" w:type="dxa"/>
            <w:vAlign w:val="bottom"/>
            <w:shd w:val="clear" w:color="auto" w:fill="E9F9D8"/>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2620" w:type="dxa"/>
            <w:vAlign w:val="bottom"/>
          </w:tcPr>
          <w:p>
            <w:pPr>
              <w:ind w:left="120"/>
              <w:spacing w:after="0" w:line="175" w:lineRule="exact"/>
              <w:rPr>
                <w:sz w:val="20"/>
                <w:szCs w:val="20"/>
                <w:color w:val="auto"/>
              </w:rPr>
            </w:pPr>
            <w:r>
              <w:rPr>
                <w:rFonts w:ascii="Arial" w:cs="Arial" w:eastAsia="Arial" w:hAnsi="Arial"/>
                <w:sz w:val="16"/>
                <w:szCs w:val="16"/>
                <w:color w:val="auto"/>
              </w:rPr>
              <w:t>three years</w:t>
            </w:r>
          </w:p>
        </w:tc>
        <w:tc>
          <w:tcPr>
            <w:tcW w:w="2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shd w:val="clear" w:color="auto" w:fill="E9F9D8"/>
          </w:tcPr>
          <w:p>
            <w:pPr>
              <w:spacing w:after="0"/>
              <w:rPr>
                <w:sz w:val="15"/>
                <w:szCs w:val="15"/>
                <w:color w:val="auto"/>
              </w:rPr>
            </w:pPr>
          </w:p>
        </w:tc>
        <w:tc>
          <w:tcPr>
            <w:tcW w:w="180" w:type="dxa"/>
            <w:vAlign w:val="bottom"/>
            <w:shd w:val="clear" w:color="auto" w:fill="E9F9D8"/>
          </w:tcPr>
          <w:p>
            <w:pPr>
              <w:spacing w:after="0"/>
              <w:rPr>
                <w:sz w:val="15"/>
                <w:szCs w:val="15"/>
                <w:color w:val="auto"/>
              </w:rPr>
            </w:pPr>
          </w:p>
        </w:tc>
        <w:tc>
          <w:tcPr>
            <w:tcW w:w="2380" w:type="dxa"/>
            <w:vAlign w:val="bottom"/>
            <w:shd w:val="clear" w:color="auto" w:fill="E9F9D8"/>
          </w:tcPr>
          <w:p>
            <w:pPr>
              <w:ind w:left="40"/>
              <w:spacing w:after="0" w:line="175" w:lineRule="exact"/>
              <w:rPr>
                <w:sz w:val="20"/>
                <w:szCs w:val="20"/>
                <w:color w:val="auto"/>
              </w:rPr>
            </w:pPr>
            <w:r>
              <w:rPr>
                <w:rFonts w:ascii="Arial" w:cs="Arial" w:eastAsia="Arial" w:hAnsi="Arial"/>
                <w:sz w:val="16"/>
                <w:szCs w:val="16"/>
                <w:color w:val="auto"/>
              </w:rPr>
              <w:t>of market-leading TSR</w:t>
            </w:r>
          </w:p>
        </w:tc>
        <w:tc>
          <w:tcPr>
            <w:tcW w:w="100" w:type="dxa"/>
            <w:vAlign w:val="bottom"/>
            <w:shd w:val="clear" w:color="auto" w:fill="E9F9D8"/>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shd w:val="clear" w:color="auto" w:fill="E9F9D8"/>
          </w:tcPr>
          <w:p>
            <w:pPr>
              <w:spacing w:after="0"/>
              <w:rPr>
                <w:sz w:val="18"/>
                <w:szCs w:val="18"/>
                <w:color w:val="auto"/>
              </w:rPr>
            </w:pPr>
          </w:p>
        </w:tc>
        <w:tc>
          <w:tcPr>
            <w:tcW w:w="180" w:type="dxa"/>
            <w:vAlign w:val="bottom"/>
            <w:shd w:val="clear" w:color="auto" w:fill="E9F9D8"/>
          </w:tcPr>
          <w:p>
            <w:pPr>
              <w:spacing w:after="0"/>
              <w:rPr>
                <w:sz w:val="18"/>
                <w:szCs w:val="18"/>
                <w:color w:val="auto"/>
              </w:rPr>
            </w:pPr>
          </w:p>
        </w:tc>
        <w:tc>
          <w:tcPr>
            <w:tcW w:w="2380" w:type="dxa"/>
            <w:vAlign w:val="bottom"/>
            <w:shd w:val="clear" w:color="auto" w:fill="E9F9D8"/>
          </w:tcPr>
          <w:p>
            <w:pPr>
              <w:ind w:left="40"/>
              <w:spacing w:after="0"/>
              <w:rPr>
                <w:sz w:val="20"/>
                <w:szCs w:val="20"/>
                <w:color w:val="auto"/>
              </w:rPr>
            </w:pPr>
            <w:r>
              <w:rPr>
                <w:rFonts w:ascii="Arial" w:cs="Arial" w:eastAsia="Arial" w:hAnsi="Arial"/>
                <w:sz w:val="16"/>
                <w:szCs w:val="16"/>
                <w:color w:val="auto"/>
              </w:rPr>
              <w:t>performance</w:t>
            </w:r>
          </w:p>
        </w:tc>
        <w:tc>
          <w:tcPr>
            <w:tcW w:w="100" w:type="dxa"/>
            <w:vAlign w:val="bottom"/>
            <w:shd w:val="clear" w:color="auto" w:fill="E9F9D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720" w:type="dxa"/>
            <w:vAlign w:val="bottom"/>
            <w:gridSpan w:val="2"/>
          </w:tcPr>
          <w:p>
            <w:pPr>
              <w:ind w:left="60"/>
              <w:spacing w:after="0"/>
              <w:rPr>
                <w:sz w:val="20"/>
                <w:szCs w:val="20"/>
                <w:color w:val="auto"/>
              </w:rPr>
            </w:pPr>
            <w:r>
              <w:rPr>
                <w:rFonts w:ascii="Arial" w:cs="Arial" w:eastAsia="Arial" w:hAnsi="Arial"/>
                <w:sz w:val="16"/>
                <w:szCs w:val="16"/>
                <w:b w:val="1"/>
                <w:bCs w:val="1"/>
                <w:color w:val="auto"/>
              </w:rPr>
              <w:t>​ ​</w:t>
            </w:r>
          </w:p>
        </w:tc>
        <w:tc>
          <w:tcPr>
            <w:tcW w:w="240" w:type="dxa"/>
            <w:vAlign w:val="bottom"/>
          </w:tcPr>
          <w:p>
            <w:pPr>
              <w:spacing w:after="0"/>
              <w:rPr>
                <w:sz w:val="21"/>
                <w:szCs w:val="21"/>
                <w:color w:val="auto"/>
              </w:rPr>
            </w:pPr>
          </w:p>
        </w:tc>
        <w:tc>
          <w:tcPr>
            <w:tcW w:w="2480" w:type="dxa"/>
            <w:vAlign w:val="bottom"/>
          </w:tcPr>
          <w:p>
            <w:pPr>
              <w:jc w:val="center"/>
              <w:spacing w:after="0"/>
              <w:rPr>
                <w:sz w:val="20"/>
                <w:szCs w:val="20"/>
                <w:color w:val="auto"/>
              </w:rPr>
            </w:pPr>
            <w:r>
              <w:rPr>
                <w:rFonts w:ascii="Arial" w:cs="Arial" w:eastAsia="Arial" w:hAnsi="Arial"/>
                <w:sz w:val="16"/>
                <w:szCs w:val="16"/>
                <w:b w:val="1"/>
                <w:bCs w:val="1"/>
                <w:color w:val="auto"/>
                <w:w w:val="99"/>
              </w:rPr>
              <w:t>Severance</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00" w:type="dxa"/>
            <w:vAlign w:val="bottom"/>
          </w:tcPr>
          <w:p>
            <w:pPr>
              <w:ind w:left="6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9"/>
        </w:trPr>
        <w:tc>
          <w:tcPr>
            <w:tcW w:w="2720" w:type="dxa"/>
            <w:vAlign w:val="bottom"/>
            <w:gridSpan w:val="2"/>
          </w:tcPr>
          <w:p>
            <w:pPr>
              <w:spacing w:after="0" w:line="228"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4"/>
                <w:szCs w:val="14"/>
                <w:color w:val="auto"/>
              </w:rPr>
              <w:t xml:space="preserve"> Severance and CIC provisions</w:t>
            </w:r>
          </w:p>
        </w:tc>
        <w:tc>
          <w:tcPr>
            <w:tcW w:w="240" w:type="dxa"/>
            <w:vAlign w:val="bottom"/>
          </w:tcPr>
          <w:p>
            <w:pPr>
              <w:jc w:val="right"/>
              <w:spacing w:after="0" w:line="228"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6"/>
                <w:szCs w:val="26"/>
                <w:color w:val="auto"/>
                <w:vertAlign w:val="subscript"/>
              </w:rPr>
              <w:t>•</w:t>
            </w:r>
          </w:p>
        </w:tc>
        <w:tc>
          <w:tcPr>
            <w:tcW w:w="2580" w:type="dxa"/>
            <w:vAlign w:val="bottom"/>
            <w:gridSpan w:val="2"/>
          </w:tcPr>
          <w:p>
            <w:pPr>
              <w:ind w:left="100"/>
              <w:spacing w:after="0" w:line="228" w:lineRule="exact"/>
              <w:rPr>
                <w:sz w:val="20"/>
                <w:szCs w:val="20"/>
                <w:color w:val="auto"/>
              </w:rPr>
            </w:pPr>
            <w:r>
              <w:rPr>
                <w:rFonts w:ascii="Arial" w:cs="Arial" w:eastAsia="Arial" w:hAnsi="Arial"/>
                <w:sz w:val="14"/>
                <w:szCs w:val="14"/>
                <w:color w:val="auto"/>
              </w:rPr>
              <w:t xml:space="preserve">Cash severance will be based on </w:t>
            </w:r>
            <w:r>
              <w:rPr>
                <w:rFonts w:ascii="Arial" w:cs="Arial" w:eastAsia="Arial" w:hAnsi="Arial"/>
                <w:sz w:val="26"/>
                <w:szCs w:val="26"/>
                <w:color w:val="auto"/>
                <w:vertAlign w:val="superscript"/>
              </w:rPr>
              <w:t>​</w:t>
            </w:r>
          </w:p>
        </w:tc>
        <w:tc>
          <w:tcPr>
            <w:tcW w:w="2640" w:type="dxa"/>
            <w:vAlign w:val="bottom"/>
            <w:gridSpan w:val="3"/>
            <w:shd w:val="clear" w:color="auto" w:fill="E9F9D8"/>
          </w:tcPr>
          <w:p>
            <w:pPr>
              <w:spacing w:after="0" w:line="228"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 xml:space="preserve"> </w:t>
            </w:r>
            <w:r>
              <w:rPr>
                <w:rFonts w:ascii="MS PGothic" w:cs="MS PGothic" w:eastAsia="MS PGothic" w:hAnsi="MS PGothic"/>
                <w:sz w:val="14"/>
                <w:szCs w:val="14"/>
                <w:color w:val="83AD40"/>
              </w:rPr>
              <w:t>✓</w:t>
            </w:r>
            <w:r>
              <w:rPr>
                <w:rFonts w:ascii="Arial" w:cs="Arial" w:eastAsia="Arial" w:hAnsi="Arial"/>
                <w:sz w:val="14"/>
                <w:szCs w:val="14"/>
                <w:color w:val="auto"/>
              </w:rPr>
              <w:t xml:space="preserve"> Reflects actual performance in</w:t>
            </w:r>
          </w:p>
        </w:tc>
        <w:tc>
          <w:tcPr>
            <w:tcW w:w="100" w:type="dxa"/>
            <w:vAlign w:val="bottom"/>
            <w:shd w:val="clear" w:color="auto" w:fill="E9F9D8"/>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2620" w:type="dxa"/>
            <w:vAlign w:val="bottom"/>
          </w:tcPr>
          <w:p>
            <w:pPr>
              <w:ind w:left="120"/>
              <w:spacing w:after="0" w:line="175" w:lineRule="exact"/>
              <w:rPr>
                <w:sz w:val="20"/>
                <w:szCs w:val="20"/>
                <w:color w:val="auto"/>
              </w:rPr>
            </w:pPr>
            <w:r>
              <w:rPr>
                <w:rFonts w:ascii="Arial" w:cs="Arial" w:eastAsia="Arial" w:hAnsi="Arial"/>
                <w:sz w:val="16"/>
                <w:szCs w:val="16"/>
                <w:color w:val="auto"/>
              </w:rPr>
              <w:t>generally consistent with prior</w:t>
            </w:r>
          </w:p>
        </w:tc>
        <w:tc>
          <w:tcPr>
            <w:tcW w:w="240" w:type="dxa"/>
            <w:vAlign w:val="bottom"/>
          </w:tcPr>
          <w:p>
            <w:pPr>
              <w:spacing w:after="0"/>
              <w:rPr>
                <w:sz w:val="15"/>
                <w:szCs w:val="15"/>
                <w:color w:val="auto"/>
              </w:rPr>
            </w:pPr>
          </w:p>
        </w:tc>
        <w:tc>
          <w:tcPr>
            <w:tcW w:w="2480" w:type="dxa"/>
            <w:vAlign w:val="bottom"/>
          </w:tcPr>
          <w:p>
            <w:pPr>
              <w:ind w:left="100"/>
              <w:spacing w:after="0" w:line="175" w:lineRule="exact"/>
              <w:rPr>
                <w:sz w:val="20"/>
                <w:szCs w:val="20"/>
                <w:color w:val="auto"/>
              </w:rPr>
            </w:pPr>
            <w:r>
              <w:rPr>
                <w:rFonts w:ascii="Arial" w:cs="Arial" w:eastAsia="Arial" w:hAnsi="Arial"/>
                <w:sz w:val="16"/>
                <w:szCs w:val="16"/>
                <w:color w:val="auto"/>
              </w:rPr>
              <w:t>“average bonus in prior</w:t>
            </w:r>
          </w:p>
        </w:tc>
        <w:tc>
          <w:tcPr>
            <w:tcW w:w="100" w:type="dxa"/>
            <w:vAlign w:val="bottom"/>
          </w:tcPr>
          <w:p>
            <w:pPr>
              <w:spacing w:after="0"/>
              <w:rPr>
                <w:sz w:val="15"/>
                <w:szCs w:val="15"/>
                <w:color w:val="auto"/>
              </w:rPr>
            </w:pPr>
          </w:p>
        </w:tc>
        <w:tc>
          <w:tcPr>
            <w:tcW w:w="80" w:type="dxa"/>
            <w:vAlign w:val="bottom"/>
            <w:shd w:val="clear" w:color="auto" w:fill="E9F9D8"/>
          </w:tcPr>
          <w:p>
            <w:pPr>
              <w:spacing w:after="0"/>
              <w:rPr>
                <w:sz w:val="15"/>
                <w:szCs w:val="15"/>
                <w:color w:val="auto"/>
              </w:rPr>
            </w:pPr>
          </w:p>
        </w:tc>
        <w:tc>
          <w:tcPr>
            <w:tcW w:w="180" w:type="dxa"/>
            <w:vAlign w:val="bottom"/>
            <w:shd w:val="clear" w:color="auto" w:fill="E9F9D8"/>
          </w:tcPr>
          <w:p>
            <w:pPr>
              <w:spacing w:after="0"/>
              <w:rPr>
                <w:sz w:val="15"/>
                <w:szCs w:val="15"/>
                <w:color w:val="auto"/>
              </w:rPr>
            </w:pPr>
          </w:p>
        </w:tc>
        <w:tc>
          <w:tcPr>
            <w:tcW w:w="2380" w:type="dxa"/>
            <w:vAlign w:val="bottom"/>
            <w:shd w:val="clear" w:color="auto" w:fill="E9F9D8"/>
          </w:tcPr>
          <w:p>
            <w:pPr>
              <w:ind w:left="40"/>
              <w:spacing w:after="0" w:line="175" w:lineRule="exact"/>
              <w:rPr>
                <w:sz w:val="20"/>
                <w:szCs w:val="20"/>
                <w:color w:val="auto"/>
              </w:rPr>
            </w:pPr>
            <w:r>
              <w:rPr>
                <w:rFonts w:ascii="Arial" w:cs="Arial" w:eastAsia="Arial" w:hAnsi="Arial"/>
                <w:sz w:val="16"/>
                <w:szCs w:val="16"/>
                <w:color w:val="auto"/>
              </w:rPr>
              <w:t>prior years and in line with best</w:t>
            </w:r>
          </w:p>
        </w:tc>
        <w:tc>
          <w:tcPr>
            <w:tcW w:w="100" w:type="dxa"/>
            <w:vAlign w:val="bottom"/>
            <w:shd w:val="clear" w:color="auto" w:fill="E9F9D8"/>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2620" w:type="dxa"/>
            <w:vAlign w:val="bottom"/>
          </w:tcPr>
          <w:p>
            <w:pPr>
              <w:ind w:left="120"/>
              <w:spacing w:after="0"/>
              <w:rPr>
                <w:sz w:val="20"/>
                <w:szCs w:val="20"/>
                <w:color w:val="auto"/>
              </w:rPr>
            </w:pPr>
            <w:r>
              <w:rPr>
                <w:rFonts w:ascii="Arial" w:cs="Arial" w:eastAsia="Arial" w:hAnsi="Arial"/>
                <w:sz w:val="16"/>
                <w:szCs w:val="16"/>
                <w:color w:val="auto"/>
              </w:rPr>
              <w:t>employment contracts</w:t>
            </w:r>
          </w:p>
        </w:tc>
        <w:tc>
          <w:tcPr>
            <w:tcW w:w="240" w:type="dxa"/>
            <w:vAlign w:val="bottom"/>
          </w:tcPr>
          <w:p>
            <w:pPr>
              <w:spacing w:after="0"/>
              <w:rPr>
                <w:sz w:val="16"/>
                <w:szCs w:val="16"/>
                <w:color w:val="auto"/>
              </w:rPr>
            </w:pPr>
          </w:p>
        </w:tc>
        <w:tc>
          <w:tcPr>
            <w:tcW w:w="2480" w:type="dxa"/>
            <w:vAlign w:val="bottom"/>
          </w:tcPr>
          <w:p>
            <w:pPr>
              <w:ind w:left="100"/>
              <w:spacing w:after="0"/>
              <w:rPr>
                <w:sz w:val="20"/>
                <w:szCs w:val="20"/>
                <w:color w:val="auto"/>
              </w:rPr>
            </w:pPr>
            <w:r>
              <w:rPr>
                <w:rFonts w:ascii="Arial" w:cs="Arial" w:eastAsia="Arial" w:hAnsi="Arial"/>
                <w:sz w:val="16"/>
                <w:szCs w:val="16"/>
                <w:color w:val="auto"/>
              </w:rPr>
              <w:t>two years” compared to</w:t>
            </w:r>
          </w:p>
        </w:tc>
        <w:tc>
          <w:tcPr>
            <w:tcW w:w="100" w:type="dxa"/>
            <w:vAlign w:val="bottom"/>
          </w:tcPr>
          <w:p>
            <w:pPr>
              <w:spacing w:after="0"/>
              <w:rPr>
                <w:sz w:val="16"/>
                <w:szCs w:val="16"/>
                <w:color w:val="auto"/>
              </w:rPr>
            </w:pPr>
          </w:p>
        </w:tc>
        <w:tc>
          <w:tcPr>
            <w:tcW w:w="80" w:type="dxa"/>
            <w:vAlign w:val="bottom"/>
            <w:shd w:val="clear" w:color="auto" w:fill="E9F9D8"/>
          </w:tcPr>
          <w:p>
            <w:pPr>
              <w:spacing w:after="0"/>
              <w:rPr>
                <w:sz w:val="16"/>
                <w:szCs w:val="16"/>
                <w:color w:val="auto"/>
              </w:rPr>
            </w:pPr>
          </w:p>
        </w:tc>
        <w:tc>
          <w:tcPr>
            <w:tcW w:w="180" w:type="dxa"/>
            <w:vAlign w:val="bottom"/>
            <w:shd w:val="clear" w:color="auto" w:fill="E9F9D8"/>
          </w:tcPr>
          <w:p>
            <w:pPr>
              <w:spacing w:after="0"/>
              <w:rPr>
                <w:sz w:val="16"/>
                <w:szCs w:val="16"/>
                <w:color w:val="auto"/>
              </w:rPr>
            </w:pPr>
          </w:p>
        </w:tc>
        <w:tc>
          <w:tcPr>
            <w:tcW w:w="2380" w:type="dxa"/>
            <w:vAlign w:val="bottom"/>
            <w:shd w:val="clear" w:color="auto" w:fill="E9F9D8"/>
          </w:tcPr>
          <w:p>
            <w:pPr>
              <w:ind w:left="40"/>
              <w:spacing w:after="0"/>
              <w:rPr>
                <w:sz w:val="20"/>
                <w:szCs w:val="20"/>
                <w:color w:val="auto"/>
              </w:rPr>
            </w:pPr>
            <w:r>
              <w:rPr>
                <w:rFonts w:ascii="Arial" w:cs="Arial" w:eastAsia="Arial" w:hAnsi="Arial"/>
                <w:sz w:val="16"/>
                <w:szCs w:val="16"/>
                <w:color w:val="auto"/>
              </w:rPr>
              <w:t>practice</w:t>
            </w:r>
          </w:p>
        </w:tc>
        <w:tc>
          <w:tcPr>
            <w:tcW w:w="100" w:type="dxa"/>
            <w:vAlign w:val="bottom"/>
            <w:shd w:val="clear" w:color="auto" w:fill="E9F9D8"/>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tcPr>
          <w:p>
            <w:pPr>
              <w:ind w:left="100"/>
              <w:spacing w:after="0"/>
              <w:rPr>
                <w:sz w:val="20"/>
                <w:szCs w:val="20"/>
                <w:color w:val="auto"/>
              </w:rPr>
            </w:pPr>
            <w:r>
              <w:rPr>
                <w:rFonts w:ascii="Arial" w:cs="Arial" w:eastAsia="Arial" w:hAnsi="Arial"/>
                <w:sz w:val="16"/>
                <w:szCs w:val="16"/>
                <w:color w:val="auto"/>
              </w:rPr>
              <w:t>“maximum bonus” in prior</w:t>
            </w:r>
          </w:p>
        </w:tc>
        <w:tc>
          <w:tcPr>
            <w:tcW w:w="100" w:type="dxa"/>
            <w:vAlign w:val="bottom"/>
          </w:tcPr>
          <w:p>
            <w:pPr>
              <w:spacing w:after="0"/>
              <w:rPr>
                <w:sz w:val="17"/>
                <w:szCs w:val="17"/>
                <w:color w:val="auto"/>
              </w:rPr>
            </w:pPr>
          </w:p>
        </w:tc>
        <w:tc>
          <w:tcPr>
            <w:tcW w:w="80" w:type="dxa"/>
            <w:vAlign w:val="bottom"/>
            <w:shd w:val="clear" w:color="auto" w:fill="E9F9D8"/>
          </w:tcPr>
          <w:p>
            <w:pPr>
              <w:spacing w:after="0"/>
              <w:rPr>
                <w:sz w:val="17"/>
                <w:szCs w:val="17"/>
                <w:color w:val="auto"/>
              </w:rPr>
            </w:pPr>
          </w:p>
        </w:tc>
        <w:tc>
          <w:tcPr>
            <w:tcW w:w="2560" w:type="dxa"/>
            <w:vAlign w:val="bottom"/>
            <w:gridSpan w:val="2"/>
            <w:shd w:val="clear" w:color="auto" w:fill="E9F9D8"/>
          </w:tcPr>
          <w:p>
            <w:pPr>
              <w:spacing w:after="0" w:line="184" w:lineRule="exact"/>
              <w:rPr>
                <w:sz w:val="20"/>
                <w:szCs w:val="20"/>
                <w:color w:val="auto"/>
              </w:rPr>
            </w:pPr>
            <w:r>
              <w:rPr>
                <w:rFonts w:ascii="MS PGothic" w:cs="MS PGothic" w:eastAsia="MS PGothic" w:hAnsi="MS PGothic"/>
                <w:sz w:val="16"/>
                <w:szCs w:val="16"/>
                <w:color w:val="83AD40"/>
              </w:rPr>
              <w:t>✓</w:t>
            </w:r>
            <w:r>
              <w:rPr>
                <w:rFonts w:ascii="Arial" w:cs="Arial" w:eastAsia="Arial" w:hAnsi="Arial"/>
                <w:sz w:val="16"/>
                <w:szCs w:val="16"/>
                <w:color w:val="auto"/>
              </w:rPr>
              <w:t xml:space="preserve"> Responsive to stockholder</w:t>
            </w:r>
          </w:p>
        </w:tc>
        <w:tc>
          <w:tcPr>
            <w:tcW w:w="100" w:type="dxa"/>
            <w:vAlign w:val="bottom"/>
            <w:shd w:val="clear" w:color="auto" w:fill="E9F9D8"/>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tcPr>
          <w:p>
            <w:pPr>
              <w:ind w:left="100"/>
              <w:spacing w:after="0"/>
              <w:rPr>
                <w:sz w:val="20"/>
                <w:szCs w:val="20"/>
                <w:color w:val="auto"/>
              </w:rPr>
            </w:pPr>
            <w:r>
              <w:rPr>
                <w:rFonts w:ascii="Arial" w:cs="Arial" w:eastAsia="Arial" w:hAnsi="Arial"/>
                <w:sz w:val="16"/>
                <w:szCs w:val="16"/>
                <w:color w:val="auto"/>
              </w:rPr>
              <w:t>contracts for Termination without</w:t>
            </w:r>
          </w:p>
        </w:tc>
        <w:tc>
          <w:tcPr>
            <w:tcW w:w="100" w:type="dxa"/>
            <w:vAlign w:val="bottom"/>
          </w:tcPr>
          <w:p>
            <w:pPr>
              <w:spacing w:after="0"/>
              <w:rPr>
                <w:sz w:val="16"/>
                <w:szCs w:val="16"/>
                <w:color w:val="auto"/>
              </w:rPr>
            </w:pPr>
          </w:p>
        </w:tc>
        <w:tc>
          <w:tcPr>
            <w:tcW w:w="80" w:type="dxa"/>
            <w:vAlign w:val="bottom"/>
            <w:shd w:val="clear" w:color="auto" w:fill="E9F9D8"/>
          </w:tcPr>
          <w:p>
            <w:pPr>
              <w:spacing w:after="0"/>
              <w:rPr>
                <w:sz w:val="16"/>
                <w:szCs w:val="16"/>
                <w:color w:val="auto"/>
              </w:rPr>
            </w:pPr>
          </w:p>
        </w:tc>
        <w:tc>
          <w:tcPr>
            <w:tcW w:w="180" w:type="dxa"/>
            <w:vAlign w:val="bottom"/>
            <w:shd w:val="clear" w:color="auto" w:fill="E9F9D8"/>
          </w:tcPr>
          <w:p>
            <w:pPr>
              <w:spacing w:after="0"/>
              <w:rPr>
                <w:sz w:val="16"/>
                <w:szCs w:val="16"/>
                <w:color w:val="auto"/>
              </w:rPr>
            </w:pPr>
          </w:p>
        </w:tc>
        <w:tc>
          <w:tcPr>
            <w:tcW w:w="2380" w:type="dxa"/>
            <w:vAlign w:val="bottom"/>
            <w:shd w:val="clear" w:color="auto" w:fill="E9F9D8"/>
          </w:tcPr>
          <w:p>
            <w:pPr>
              <w:ind w:left="40"/>
              <w:spacing w:after="0"/>
              <w:rPr>
                <w:sz w:val="20"/>
                <w:szCs w:val="20"/>
                <w:color w:val="auto"/>
              </w:rPr>
            </w:pPr>
            <w:r>
              <w:rPr>
                <w:rFonts w:ascii="Arial" w:cs="Arial" w:eastAsia="Arial" w:hAnsi="Arial"/>
                <w:sz w:val="16"/>
                <w:szCs w:val="16"/>
                <w:color w:val="auto"/>
              </w:rPr>
              <w:t>feedback considering long-held</w:t>
            </w:r>
          </w:p>
        </w:tc>
        <w:tc>
          <w:tcPr>
            <w:tcW w:w="100" w:type="dxa"/>
            <w:vAlign w:val="bottom"/>
            <w:shd w:val="clear" w:color="auto" w:fill="E9F9D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tcPr>
          <w:p>
            <w:pPr>
              <w:ind w:left="100"/>
              <w:spacing w:after="0"/>
              <w:rPr>
                <w:sz w:val="20"/>
                <w:szCs w:val="20"/>
                <w:color w:val="auto"/>
              </w:rPr>
            </w:pPr>
            <w:r>
              <w:rPr>
                <w:rFonts w:ascii="Arial" w:cs="Arial" w:eastAsia="Arial" w:hAnsi="Arial"/>
                <w:sz w:val="16"/>
                <w:szCs w:val="16"/>
                <w:color w:val="auto"/>
              </w:rPr>
              <w:t>Cause or for Good Reason (for</w:t>
            </w:r>
          </w:p>
        </w:tc>
        <w:tc>
          <w:tcPr>
            <w:tcW w:w="100" w:type="dxa"/>
            <w:vAlign w:val="bottom"/>
          </w:tcPr>
          <w:p>
            <w:pPr>
              <w:spacing w:after="0"/>
              <w:rPr>
                <w:sz w:val="16"/>
                <w:szCs w:val="16"/>
                <w:color w:val="auto"/>
              </w:rPr>
            </w:pPr>
          </w:p>
        </w:tc>
        <w:tc>
          <w:tcPr>
            <w:tcW w:w="80" w:type="dxa"/>
            <w:vAlign w:val="bottom"/>
            <w:shd w:val="clear" w:color="auto" w:fill="E9F9D8"/>
          </w:tcPr>
          <w:p>
            <w:pPr>
              <w:spacing w:after="0"/>
              <w:rPr>
                <w:sz w:val="16"/>
                <w:szCs w:val="16"/>
                <w:color w:val="auto"/>
              </w:rPr>
            </w:pPr>
          </w:p>
        </w:tc>
        <w:tc>
          <w:tcPr>
            <w:tcW w:w="180" w:type="dxa"/>
            <w:vAlign w:val="bottom"/>
            <w:shd w:val="clear" w:color="auto" w:fill="E9F9D8"/>
          </w:tcPr>
          <w:p>
            <w:pPr>
              <w:spacing w:after="0"/>
              <w:rPr>
                <w:sz w:val="16"/>
                <w:szCs w:val="16"/>
                <w:color w:val="auto"/>
              </w:rPr>
            </w:pPr>
          </w:p>
        </w:tc>
        <w:tc>
          <w:tcPr>
            <w:tcW w:w="2380" w:type="dxa"/>
            <w:vAlign w:val="bottom"/>
            <w:shd w:val="clear" w:color="auto" w:fill="E9F9D8"/>
          </w:tcPr>
          <w:p>
            <w:pPr>
              <w:ind w:left="40"/>
              <w:spacing w:after="0"/>
              <w:rPr>
                <w:sz w:val="20"/>
                <w:szCs w:val="20"/>
                <w:color w:val="auto"/>
              </w:rPr>
            </w:pPr>
            <w:r>
              <w:rPr>
                <w:rFonts w:ascii="Arial" w:cs="Arial" w:eastAsia="Arial" w:hAnsi="Arial"/>
                <w:sz w:val="16"/>
                <w:szCs w:val="16"/>
                <w:color w:val="auto"/>
              </w:rPr>
              <w:t>legacy provisions</w:t>
            </w:r>
          </w:p>
        </w:tc>
        <w:tc>
          <w:tcPr>
            <w:tcW w:w="100" w:type="dxa"/>
            <w:vAlign w:val="bottom"/>
            <w:shd w:val="clear" w:color="auto" w:fill="E9F9D8"/>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ind w:left="100"/>
              <w:spacing w:after="0"/>
              <w:rPr>
                <w:sz w:val="20"/>
                <w:szCs w:val="20"/>
                <w:color w:val="auto"/>
              </w:rPr>
            </w:pPr>
            <w:r>
              <w:rPr>
                <w:rFonts w:ascii="Arial" w:cs="Arial" w:eastAsia="Arial" w:hAnsi="Arial"/>
                <w:sz w:val="16"/>
                <w:szCs w:val="16"/>
                <w:color w:val="auto"/>
              </w:rPr>
              <w:t>non-CIC)</w:t>
            </w:r>
          </w:p>
        </w:tc>
        <w:tc>
          <w:tcPr>
            <w:tcW w:w="100" w:type="dxa"/>
            <w:vAlign w:val="bottom"/>
          </w:tcPr>
          <w:p>
            <w:pPr>
              <w:spacing w:after="0"/>
              <w:rPr>
                <w:sz w:val="18"/>
                <w:szCs w:val="18"/>
                <w:color w:val="auto"/>
              </w:rPr>
            </w:pPr>
          </w:p>
        </w:tc>
        <w:tc>
          <w:tcPr>
            <w:tcW w:w="80" w:type="dxa"/>
            <w:vAlign w:val="bottom"/>
            <w:shd w:val="clear" w:color="auto" w:fill="E9F9D8"/>
          </w:tcPr>
          <w:p>
            <w:pPr>
              <w:spacing w:after="0"/>
              <w:rPr>
                <w:sz w:val="18"/>
                <w:szCs w:val="18"/>
                <w:color w:val="auto"/>
              </w:rPr>
            </w:pPr>
          </w:p>
        </w:tc>
        <w:tc>
          <w:tcPr>
            <w:tcW w:w="180" w:type="dxa"/>
            <w:vAlign w:val="bottom"/>
            <w:shd w:val="clear" w:color="auto" w:fill="E9F9D8"/>
          </w:tcPr>
          <w:p>
            <w:pPr>
              <w:spacing w:after="0"/>
              <w:rPr>
                <w:sz w:val="18"/>
                <w:szCs w:val="18"/>
                <w:color w:val="auto"/>
              </w:rPr>
            </w:pPr>
          </w:p>
        </w:tc>
        <w:tc>
          <w:tcPr>
            <w:tcW w:w="2380" w:type="dxa"/>
            <w:vAlign w:val="bottom"/>
            <w:shd w:val="clear" w:color="auto" w:fill="E9F9D8"/>
          </w:tcPr>
          <w:p>
            <w:pPr>
              <w:spacing w:after="0"/>
              <w:rPr>
                <w:sz w:val="18"/>
                <w:szCs w:val="18"/>
                <w:color w:val="auto"/>
              </w:rPr>
            </w:pPr>
          </w:p>
        </w:tc>
        <w:tc>
          <w:tcPr>
            <w:tcW w:w="100" w:type="dxa"/>
            <w:vAlign w:val="bottom"/>
            <w:shd w:val="clear" w:color="auto" w:fill="E9F9D8"/>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-8255</wp:posOffset>
            </wp:positionV>
            <wp:extent cx="576072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760720" cy="17145"/>
                    </a:xfrm>
                    <a:prstGeom prst="rect">
                      <a:avLst/>
                    </a:prstGeom>
                    <a:noFill/>
                  </pic:spPr>
                </pic:pic>
              </a:graphicData>
            </a:graphic>
          </wp:anchor>
        </w:drawing>
        <w:drawing>
          <wp:anchor simplePos="0" relativeHeight="251657728" behindDoc="1" locked="0" layoutInCell="0" allowOverlap="1">
            <wp:simplePos x="0" y="0"/>
            <wp:positionH relativeFrom="column">
              <wp:posOffset>-498475</wp:posOffset>
            </wp:positionH>
            <wp:positionV relativeFrom="paragraph">
              <wp:posOffset>-882015</wp:posOffset>
            </wp:positionV>
            <wp:extent cx="576072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-498475</wp:posOffset>
            </wp:positionH>
            <wp:positionV relativeFrom="paragraph">
              <wp:posOffset>-1036955</wp:posOffset>
            </wp:positionV>
            <wp:extent cx="576072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-498475</wp:posOffset>
            </wp:positionH>
            <wp:positionV relativeFrom="paragraph">
              <wp:posOffset>-1902460</wp:posOffset>
            </wp:positionV>
            <wp:extent cx="576072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-498475</wp:posOffset>
            </wp:positionH>
            <wp:positionV relativeFrom="paragraph">
              <wp:posOffset>-2056765</wp:posOffset>
            </wp:positionV>
            <wp:extent cx="576072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-498475</wp:posOffset>
            </wp:positionH>
            <wp:positionV relativeFrom="paragraph">
              <wp:posOffset>-2673985</wp:posOffset>
            </wp:positionV>
            <wp:extent cx="576072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-498475</wp:posOffset>
            </wp:positionH>
            <wp:positionV relativeFrom="paragraph">
              <wp:posOffset>-3411220</wp:posOffset>
            </wp:positionV>
            <wp:extent cx="576072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-498475</wp:posOffset>
            </wp:positionH>
            <wp:positionV relativeFrom="paragraph">
              <wp:posOffset>-3565525</wp:posOffset>
            </wp:positionV>
            <wp:extent cx="576072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-498475</wp:posOffset>
            </wp:positionH>
            <wp:positionV relativeFrom="paragraph">
              <wp:posOffset>-5442585</wp:posOffset>
            </wp:positionV>
            <wp:extent cx="576072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-498475</wp:posOffset>
            </wp:positionH>
            <wp:positionV relativeFrom="paragraph">
              <wp:posOffset>-6351270</wp:posOffset>
            </wp:positionV>
            <wp:extent cx="576072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-498475</wp:posOffset>
            </wp:positionH>
            <wp:positionV relativeFrom="paragraph">
              <wp:posOffset>-6703060</wp:posOffset>
            </wp:positionV>
            <wp:extent cx="576072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-498475</wp:posOffset>
            </wp:positionH>
            <wp:positionV relativeFrom="paragraph">
              <wp:posOffset>-6857365</wp:posOffset>
            </wp:positionV>
            <wp:extent cx="576072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81280</wp:posOffset>
            </wp:positionV>
            <wp:extent cx="6831965"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1480" w:space="120"/>
            <w:col w:w="8320"/>
          </w:cols>
          <w:pgMar w:left="580" w:top="97" w:right="1399"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p>
      <w:pPr>
        <w:ind w:left="820"/>
        <w:spacing w:after="0"/>
        <w:tabs>
          <w:tab w:leader="none" w:pos="1440" w:val="left"/>
          <w:tab w:leader="none" w:pos="9860" w:val="left"/>
        </w:tabs>
        <w:rPr>
          <w:sz w:val="20"/>
          <w:szCs w:val="20"/>
          <w:color w:val="auto"/>
        </w:rPr>
      </w:pPr>
      <w:r>
        <w:rPr>
          <w:rFonts w:ascii="Arial" w:cs="Arial" w:eastAsia="Arial" w:hAnsi="Arial"/>
          <w:sz w:val="22"/>
          <w:szCs w:val="22"/>
          <w:b w:val="1"/>
          <w:bCs w:val="1"/>
          <w:color w:val="1F2668"/>
        </w:rPr>
        <w:t>​46</w:t>
      </w:r>
      <w:r>
        <w:rPr>
          <w:sz w:val="20"/>
          <w:szCs w:val="20"/>
          <w:color w:val="auto"/>
        </w:rPr>
        <w:tab/>
      </w:r>
      <w:r>
        <w:rPr>
          <w:rFonts w:ascii="Arial" w:cs="Arial" w:eastAsia="Arial" w:hAnsi="Arial"/>
          <w:sz w:val="22"/>
          <w:szCs w:val="22"/>
          <w:b w:val="1"/>
          <w:bCs w:val="1"/>
          <w:color w:val="1F2668"/>
        </w:rPr>
        <w:t xml:space="preserve">​ ​ </w:t>
      </w:r>
      <w:r>
        <w:rPr>
          <w:rFonts w:ascii="Arial" w:cs="Arial" w:eastAsia="Arial" w:hAnsi="Arial"/>
          <w:sz w:val="14"/>
          <w:szCs w:val="14"/>
          <w:b w:val="1"/>
          <w:bCs w:val="1"/>
          <w:color w:val="1F2668"/>
        </w:rPr>
        <w:t>SL GREEN REALTY CORP. 2025 PROXY STATEMENT</w:t>
      </w:r>
      <w:r>
        <w:rPr>
          <w:sz w:val="20"/>
          <w:szCs w:val="20"/>
          <w:color w:val="auto"/>
        </w:rPr>
        <w:tab/>
      </w:r>
      <w:r>
        <w:rPr>
          <w:rFonts w:ascii="Arial" w:cs="Arial" w:eastAsia="Arial" w:hAnsi="Arial"/>
          <w:sz w:val="22"/>
          <w:szCs w:val="22"/>
          <w:b w:val="1"/>
          <w:bCs w:val="1"/>
          <w:color w:val="1F2668"/>
        </w:rPr>
        <w:t>​</w:t>
      </w:r>
    </w:p>
    <w:p>
      <w:pPr>
        <w:sectPr>
          <w:pgSz w:w="11900" w:h="16838" w:orient="portrait"/>
          <w:cols w:equalWidth="0" w:num="1">
            <w:col w:w="9940"/>
          </w:cols>
          <w:pgMar w:left="580" w:top="9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80" w:right="300" w:hanging="164"/>
        <w:spacing w:after="0" w:line="182" w:lineRule="auto"/>
        <w:tabs>
          <w:tab w:leader="none" w:pos="980" w:val="left"/>
        </w:tabs>
        <w:numPr>
          <w:ilvl w:val="0"/>
          <w:numId w:val="55"/>
        </w:numPr>
        <w:rPr>
          <w:rFonts w:ascii="Arial" w:cs="Arial" w:eastAsia="Arial" w:hAnsi="Arial"/>
          <w:sz w:val="31"/>
          <w:szCs w:val="31"/>
          <w:b w:val="1"/>
          <w:bCs w:val="1"/>
          <w:color w:val="auto"/>
          <w:vertAlign w:val="superscript"/>
        </w:rPr>
      </w:pPr>
      <w:r>
        <w:rPr>
          <w:rFonts w:ascii="Arial" w:cs="Arial" w:eastAsia="Arial" w:hAnsi="Arial"/>
          <w:sz w:val="16"/>
          <w:szCs w:val="16"/>
          <w:b w:val="1"/>
          <w:bCs w:val="1"/>
          <w:color w:val="auto"/>
        </w:rPr>
        <w:t>In designing our CEO’s new contract, the Committee considered both stockholder feedback and current market norms to ensure that negotiations were centered around the most critical aspects</w:t>
      </w:r>
      <w:r>
        <w:rPr>
          <w:rFonts w:ascii="Arial" w:cs="Arial" w:eastAsia="Arial" w:hAnsi="Arial"/>
          <w:sz w:val="16"/>
          <w:szCs w:val="16"/>
          <w:color w:val="auto"/>
        </w:rPr>
        <w:t>.</w:t>
      </w:r>
    </w:p>
    <w:p>
      <w:pPr>
        <w:spacing w:after="0" w:line="35" w:lineRule="exact"/>
        <w:rPr>
          <w:rFonts w:ascii="Arial" w:cs="Arial" w:eastAsia="Arial" w:hAnsi="Arial"/>
          <w:sz w:val="31"/>
          <w:szCs w:val="31"/>
          <w:b w:val="1"/>
          <w:bCs w:val="1"/>
          <w:color w:val="auto"/>
          <w:vertAlign w:val="superscript"/>
        </w:rPr>
      </w:pPr>
    </w:p>
    <w:p>
      <w:pPr>
        <w:ind w:left="980" w:hanging="164"/>
        <w:spacing w:after="0" w:line="198" w:lineRule="auto"/>
        <w:tabs>
          <w:tab w:leader="none" w:pos="980" w:val="left"/>
        </w:tabs>
        <w:numPr>
          <w:ilvl w:val="0"/>
          <w:numId w:val="55"/>
        </w:numPr>
        <w:rPr>
          <w:rFonts w:ascii="Arial" w:cs="Arial" w:eastAsia="Arial" w:hAnsi="Arial"/>
          <w:sz w:val="32"/>
          <w:szCs w:val="32"/>
          <w:color w:val="auto"/>
          <w:vertAlign w:val="superscript"/>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Committee’s primary focus was to eliminate the short-term performance goals in long-term performance equity</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awards </w:t>
      </w:r>
      <w:r>
        <w:rPr>
          <w:rFonts w:ascii="Arial" w:cs="Arial" w:eastAsia="Arial" w:hAnsi="Arial"/>
          <w:sz w:val="16"/>
          <w:szCs w:val="16"/>
          <w:color w:val="auto"/>
        </w:rPr>
        <w:t>in alignment with our commitment to stockholders. Even though the majority of stockholders did not raise concerns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regarding our severance provisions, through negotiations the </w:t>
      </w:r>
      <w:r>
        <w:rPr>
          <w:rFonts w:ascii="Arial" w:cs="Arial" w:eastAsia="Arial" w:hAnsi="Arial"/>
          <w:sz w:val="16"/>
          <w:szCs w:val="16"/>
          <w:b w:val="1"/>
          <w:bCs w:val="1"/>
          <w:color w:val="auto"/>
        </w:rPr>
        <w:t>Committee also eliminated the maximum bonus from</w:t>
      </w:r>
      <w:r>
        <w:rPr>
          <w:rFonts w:ascii="Arial" w:cs="Arial" w:eastAsia="Arial" w:hAnsi="Arial"/>
          <w:sz w:val="16"/>
          <w:szCs w:val="16"/>
          <w:color w:val="auto"/>
        </w:rPr>
        <w:t xml:space="preserve"> </w:t>
      </w:r>
      <w:r>
        <w:rPr>
          <w:rFonts w:ascii="Arial" w:cs="Arial" w:eastAsia="Arial" w:hAnsi="Arial"/>
          <w:sz w:val="16"/>
          <w:szCs w:val="16"/>
          <w:b w:val="1"/>
          <w:bCs w:val="1"/>
          <w:color w:val="auto"/>
        </w:rPr>
        <w:t>severance calculations</w:t>
      </w:r>
      <w:r>
        <w:rPr>
          <w:rFonts w:ascii="Arial" w:cs="Arial" w:eastAsia="Arial" w:hAnsi="Arial"/>
          <w:sz w:val="16"/>
          <w:szCs w:val="16"/>
          <w:color w:val="auto"/>
        </w:rPr>
        <w:t>, while retaining other legacy provisions that have been in place for over ten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-832485</wp:posOffset>
            </wp:positionV>
            <wp:extent cx="5760720" cy="8915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760720" cy="8915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815" w:lineRule="exact"/>
        <w:rPr>
          <w:sz w:val="20"/>
          <w:szCs w:val="20"/>
          <w:color w:val="auto"/>
        </w:rPr>
      </w:pPr>
    </w:p>
    <w:p>
      <w:pPr>
        <w:sectPr>
          <w:pgSz w:w="11900" w:h="16838" w:orient="portrait"/>
          <w:cols w:equalWidth="0" w:num="2">
            <w:col w:w="9680" w:space="40"/>
            <w:col w:w="220"/>
          </w:cols>
          <w:pgMar w:left="580" w:top="97" w:right="1379" w:bottom="1440" w:gutter="0" w:footer="0" w:header="0"/>
          <w:type w:val="continuous"/>
        </w:sectPr>
      </w:pPr>
    </w:p>
    <w:p>
      <w:pPr>
        <w:spacing w:after="0" w:line="196"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Our 2024 Executive Compensation Program</w:t>
      </w:r>
    </w:p>
    <w:p>
      <w:pPr>
        <w:spacing w:after="0" w:line="110"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83AD40"/>
        </w:rPr>
        <w:t>Elements of Compensation</w:t>
      </w:r>
    </w:p>
    <w:p>
      <w:pPr>
        <w:spacing w:after="0" w:line="144" w:lineRule="exact"/>
        <w:rPr>
          <w:sz w:val="20"/>
          <w:szCs w:val="20"/>
          <w:color w:val="auto"/>
        </w:rPr>
      </w:pPr>
    </w:p>
    <w:p>
      <w:pPr>
        <w:ind w:left="820" w:right="120"/>
        <w:spacing w:after="0" w:line="321" w:lineRule="auto"/>
        <w:rPr>
          <w:sz w:val="20"/>
          <w:szCs w:val="20"/>
          <w:color w:val="auto"/>
        </w:rPr>
      </w:pPr>
      <w:r>
        <w:rPr>
          <w:rFonts w:ascii="Arial" w:cs="Arial" w:eastAsia="Arial" w:hAnsi="Arial"/>
          <w:sz w:val="16"/>
          <w:szCs w:val="16"/>
          <w:color w:val="auto"/>
        </w:rPr>
        <w:t>Since 2019, our executive compensation program has been updated and simplified in line with stockholder feedback to comprise only the following four pay elements:</w:t>
      </w:r>
    </w:p>
    <w:p>
      <w:pPr>
        <w:sectPr>
          <w:pgSz w:w="11900" w:h="16838" w:orient="portrait"/>
          <w:cols w:equalWidth="0" w:num="1">
            <w:col w:w="9940"/>
          </w:cols>
          <w:pgMar w:left="580" w:top="97" w:right="1379" w:bottom="1440" w:gutter="0" w:footer="0" w:header="0"/>
          <w:type w:val="continuous"/>
        </w:sectPr>
      </w:pPr>
    </w:p>
    <w:p>
      <w:pPr>
        <w:spacing w:after="0" w:line="120"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ind w:left="220"/>
              <w:spacing w:after="0"/>
              <w:rPr>
                <w:sz w:val="20"/>
                <w:szCs w:val="20"/>
                <w:color w:val="auto"/>
              </w:rPr>
            </w:pPr>
            <w:r>
              <w:rPr>
                <w:rFonts w:ascii="Arial" w:cs="Arial" w:eastAsia="Arial" w:hAnsi="Arial"/>
                <w:sz w:val="14"/>
                <w:szCs w:val="14"/>
                <w:color w:val="1F2668"/>
              </w:rPr>
              <w:t>Percentage</w:t>
            </w: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40" w:type="dxa"/>
            <w:vAlign w:val="bottom"/>
            <w:tcBorders>
              <w:bottom w:val="single" w:sz="8" w:color="1F2668"/>
            </w:tcBorders>
          </w:tcPr>
          <w:p>
            <w:pPr>
              <w:jc w:val="center"/>
              <w:spacing w:after="0" w:line="199" w:lineRule="exact"/>
              <w:rPr>
                <w:sz w:val="20"/>
                <w:szCs w:val="20"/>
                <w:color w:val="auto"/>
              </w:rPr>
            </w:pPr>
            <w:r>
              <w:rPr>
                <w:rFonts w:ascii="Arial" w:cs="Arial" w:eastAsia="Arial" w:hAnsi="Arial"/>
                <w:sz w:val="22"/>
                <w:szCs w:val="22"/>
                <w:color w:val="1F2668"/>
                <w:vertAlign w:val="subscript"/>
              </w:rPr>
              <w:t>​</w:t>
            </w:r>
            <w:r>
              <w:rPr>
                <w:rFonts w:ascii="Arial" w:cs="Arial" w:eastAsia="Arial" w:hAnsi="Arial"/>
                <w:sz w:val="12"/>
                <w:szCs w:val="12"/>
                <w:color w:val="1F2668"/>
              </w:rPr>
              <w:t xml:space="preserve"> ​</w:t>
            </w:r>
          </w:p>
        </w:tc>
        <w:tc>
          <w:tcPr>
            <w:tcW w:w="240" w:type="dxa"/>
            <w:vAlign w:val="bottom"/>
            <w:tcBorders>
              <w:bottom w:val="single" w:sz="8" w:color="1F2668"/>
            </w:tcBorders>
          </w:tcPr>
          <w:p>
            <w:pPr>
              <w:spacing w:after="0"/>
              <w:rPr>
                <w:sz w:val="17"/>
                <w:szCs w:val="17"/>
                <w:color w:val="auto"/>
              </w:rPr>
            </w:pPr>
          </w:p>
        </w:tc>
        <w:tc>
          <w:tcPr>
            <w:tcW w:w="1260" w:type="dxa"/>
            <w:vAlign w:val="bottom"/>
            <w:tcBorders>
              <w:bottom w:val="single" w:sz="8" w:color="1F2668"/>
            </w:tcBorders>
            <w:gridSpan w:val="2"/>
          </w:tcPr>
          <w:p>
            <w:pPr>
              <w:ind w:left="40"/>
              <w:spacing w:after="0" w:line="199" w:lineRule="exact"/>
              <w:rPr>
                <w:sz w:val="20"/>
                <w:szCs w:val="20"/>
                <w:color w:val="auto"/>
              </w:rPr>
            </w:pPr>
            <w:r>
              <w:rPr>
                <w:rFonts w:ascii="Arial" w:cs="Arial" w:eastAsia="Arial" w:hAnsi="Arial"/>
                <w:sz w:val="22"/>
                <w:szCs w:val="22"/>
                <w:color w:val="1F2668"/>
                <w:vertAlign w:val="subscript"/>
              </w:rPr>
              <w:t>​ ​</w:t>
            </w:r>
            <w:r>
              <w:rPr>
                <w:rFonts w:ascii="Arial" w:cs="Arial" w:eastAsia="Arial" w:hAnsi="Arial"/>
                <w:sz w:val="12"/>
                <w:szCs w:val="12"/>
                <w:color w:val="1F2668"/>
              </w:rPr>
              <w:t xml:space="preserve">  (all NEOs)</w:t>
            </w:r>
          </w:p>
        </w:tc>
        <w:tc>
          <w:tcPr>
            <w:tcW w:w="1500" w:type="dxa"/>
            <w:vAlign w:val="bottom"/>
            <w:tcBorders>
              <w:bottom w:val="single" w:sz="8" w:color="1F2668"/>
            </w:tcBorders>
          </w:tcPr>
          <w:p>
            <w:pPr>
              <w:ind w:left="160"/>
              <w:spacing w:after="0" w:line="199" w:lineRule="exact"/>
              <w:rPr>
                <w:sz w:val="20"/>
                <w:szCs w:val="20"/>
                <w:color w:val="auto"/>
              </w:rPr>
            </w:pPr>
            <w:r>
              <w:rPr>
                <w:rFonts w:ascii="Arial" w:cs="Arial" w:eastAsia="Arial" w:hAnsi="Arial"/>
                <w:sz w:val="22"/>
                <w:szCs w:val="22"/>
                <w:color w:val="1F2668"/>
                <w:vertAlign w:val="subscript"/>
              </w:rPr>
              <w:t>​ ​</w:t>
            </w:r>
            <w:r>
              <w:rPr>
                <w:rFonts w:ascii="Arial" w:cs="Arial" w:eastAsia="Arial" w:hAnsi="Arial"/>
                <w:sz w:val="12"/>
                <w:szCs w:val="12"/>
                <w:color w:val="1F2668"/>
              </w:rPr>
              <w:t xml:space="preserve"> Pay Element</w:t>
            </w:r>
          </w:p>
        </w:tc>
        <w:tc>
          <w:tcPr>
            <w:tcW w:w="5920" w:type="dxa"/>
            <w:vAlign w:val="bottom"/>
            <w:tcBorders>
              <w:bottom w:val="single" w:sz="8" w:color="1F2668"/>
            </w:tcBorders>
            <w:gridSpan w:val="2"/>
          </w:tcPr>
          <w:p>
            <w:pPr>
              <w:ind w:left="20"/>
              <w:spacing w:after="0" w:line="199" w:lineRule="exact"/>
              <w:rPr>
                <w:sz w:val="20"/>
                <w:szCs w:val="20"/>
                <w:color w:val="auto"/>
              </w:rPr>
            </w:pPr>
            <w:r>
              <w:rPr>
                <w:rFonts w:ascii="Arial" w:cs="Arial" w:eastAsia="Arial" w:hAnsi="Arial"/>
                <w:sz w:val="22"/>
                <w:szCs w:val="22"/>
                <w:color w:val="1F2668"/>
                <w:vertAlign w:val="subscript"/>
              </w:rPr>
              <w:t>​ ​</w:t>
            </w:r>
            <w:r>
              <w:rPr>
                <w:rFonts w:ascii="Arial" w:cs="Arial" w:eastAsia="Arial" w:hAnsi="Arial"/>
                <w:sz w:val="12"/>
                <w:szCs w:val="12"/>
                <w:color w:val="1F2668"/>
              </w:rPr>
              <w:t xml:space="preserve"> Purpose and Key Characteristics</w:t>
            </w:r>
          </w:p>
        </w:tc>
        <w:tc>
          <w:tcPr>
            <w:tcW w:w="0" w:type="dxa"/>
            <w:vAlign w:val="bottom"/>
          </w:tcPr>
          <w:p>
            <w:pPr>
              <w:spacing w:after="0"/>
              <w:rPr>
                <w:sz w:val="1"/>
                <w:szCs w:val="1"/>
                <w:color w:val="auto"/>
              </w:rPr>
            </w:pPr>
          </w:p>
        </w:tc>
      </w:tr>
      <w:tr>
        <w:trPr>
          <w:trHeight w:val="236"/>
        </w:trPr>
        <w:tc>
          <w:tcPr>
            <w:tcW w:w="140" w:type="dxa"/>
            <w:vAlign w:val="bottom"/>
            <w:shd w:val="clear" w:color="auto" w:fill="1F2668"/>
          </w:tcPr>
          <w:p>
            <w:pPr>
              <w:spacing w:after="0"/>
              <w:rPr>
                <w:sz w:val="20"/>
                <w:szCs w:val="20"/>
                <w:color w:val="auto"/>
              </w:rPr>
            </w:pPr>
          </w:p>
        </w:tc>
        <w:tc>
          <w:tcPr>
            <w:tcW w:w="240" w:type="dxa"/>
            <w:vAlign w:val="bottom"/>
            <w:shd w:val="clear" w:color="auto" w:fill="1F2668"/>
          </w:tcPr>
          <w:p>
            <w:pPr>
              <w:spacing w:after="0"/>
              <w:rPr>
                <w:sz w:val="20"/>
                <w:szCs w:val="20"/>
                <w:color w:val="auto"/>
              </w:rPr>
            </w:pPr>
          </w:p>
        </w:tc>
        <w:tc>
          <w:tcPr>
            <w:tcW w:w="160" w:type="dxa"/>
            <w:vAlign w:val="bottom"/>
            <w:shd w:val="clear" w:color="auto" w:fill="1F2668"/>
          </w:tcPr>
          <w:p>
            <w:pPr>
              <w:spacing w:after="0"/>
              <w:rPr>
                <w:sz w:val="20"/>
                <w:szCs w:val="20"/>
                <w:color w:val="auto"/>
              </w:rPr>
            </w:pPr>
          </w:p>
        </w:tc>
        <w:tc>
          <w:tcPr>
            <w:tcW w:w="1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6"/>
                <w:szCs w:val="16"/>
                <w:color w:val="auto"/>
              </w:rPr>
              <w:t>• Competitive annual base salaries encourage the retention and attraction of</w:t>
            </w:r>
          </w:p>
        </w:tc>
        <w:tc>
          <w:tcPr>
            <w:tcW w:w="0" w:type="dxa"/>
            <w:vAlign w:val="bottom"/>
          </w:tcPr>
          <w:p>
            <w:pPr>
              <w:spacing w:after="0"/>
              <w:rPr>
                <w:sz w:val="1"/>
                <w:szCs w:val="1"/>
                <w:color w:val="auto"/>
              </w:rPr>
            </w:pPr>
          </w:p>
        </w:tc>
      </w:tr>
      <w:tr>
        <w:trPr>
          <w:trHeight w:val="203"/>
        </w:trPr>
        <w:tc>
          <w:tcPr>
            <w:tcW w:w="140" w:type="dxa"/>
            <w:vAlign w:val="bottom"/>
            <w:shd w:val="clear" w:color="auto" w:fill="1F2668"/>
          </w:tcPr>
          <w:p>
            <w:pPr>
              <w:spacing w:after="0"/>
              <w:rPr>
                <w:sz w:val="17"/>
                <w:szCs w:val="17"/>
                <w:color w:val="auto"/>
              </w:rPr>
            </w:pPr>
          </w:p>
        </w:tc>
        <w:tc>
          <w:tcPr>
            <w:tcW w:w="240" w:type="dxa"/>
            <w:vAlign w:val="bottom"/>
            <w:vMerge w:val="restart"/>
            <w:textDirection w:val="btLr"/>
            <w:shd w:val="clear" w:color="auto" w:fill="1F2668"/>
          </w:tcPr>
          <w:p>
            <w:pPr>
              <w:ind w:left="54"/>
              <w:spacing w:after="0"/>
              <w:rPr>
                <w:sz w:val="20"/>
                <w:szCs w:val="20"/>
                <w:color w:val="auto"/>
              </w:rPr>
            </w:pPr>
            <w:r>
              <w:rPr>
                <w:rFonts w:ascii="Arial" w:cs="Arial" w:eastAsia="Arial" w:hAnsi="Arial"/>
                <w:sz w:val="16"/>
                <w:szCs w:val="16"/>
                <w:b w:val="1"/>
                <w:bCs w:val="1"/>
                <w:color w:val="FFFFFF"/>
                <w:w w:val="76"/>
              </w:rPr>
              <w:t>FIXED</w:t>
            </w:r>
          </w:p>
        </w:tc>
        <w:tc>
          <w:tcPr>
            <w:tcW w:w="160" w:type="dxa"/>
            <w:vAlign w:val="bottom"/>
            <w:shd w:val="clear" w:color="auto" w:fill="1F2668"/>
          </w:tcPr>
          <w:p>
            <w:pPr>
              <w:spacing w:after="0"/>
              <w:rPr>
                <w:sz w:val="17"/>
                <w:szCs w:val="17"/>
                <w:color w:val="auto"/>
              </w:rPr>
            </w:pPr>
          </w:p>
        </w:tc>
        <w:tc>
          <w:tcPr>
            <w:tcW w:w="1100" w:type="dxa"/>
            <w:vAlign w:val="bottom"/>
          </w:tcPr>
          <w:p>
            <w:pPr>
              <w:spacing w:after="0"/>
              <w:rPr>
                <w:sz w:val="17"/>
                <w:szCs w:val="17"/>
                <w:color w:val="auto"/>
              </w:rPr>
            </w:pPr>
          </w:p>
        </w:tc>
        <w:tc>
          <w:tcPr>
            <w:tcW w:w="1500" w:type="dxa"/>
            <w:vAlign w:val="bottom"/>
            <w:vMerge w:val="restart"/>
          </w:tcPr>
          <w:p>
            <w:pPr>
              <w:ind w:left="200"/>
              <w:spacing w:after="0" w:line="365" w:lineRule="exact"/>
              <w:rPr>
                <w:sz w:val="20"/>
                <w:szCs w:val="20"/>
                <w:color w:val="auto"/>
              </w:rPr>
            </w:pPr>
            <w:r>
              <w:rPr>
                <w:rFonts w:ascii="Arial" w:cs="Arial" w:eastAsia="Arial" w:hAnsi="Arial"/>
                <w:sz w:val="32"/>
                <w:szCs w:val="32"/>
                <w:color w:val="000000"/>
                <w:vertAlign w:val="subscript"/>
              </w:rPr>
              <w:t>​ ​</w:t>
            </w:r>
            <w:r>
              <w:rPr>
                <w:rFonts w:ascii="Arial" w:cs="Arial" w:eastAsia="Arial" w:hAnsi="Arial"/>
                <w:sz w:val="16"/>
                <w:szCs w:val="16"/>
                <w:b w:val="1"/>
                <w:bCs w:val="1"/>
                <w:color w:val="1F2668"/>
              </w:rPr>
              <w:t xml:space="preserve"> Annual Base</w:t>
            </w:r>
          </w:p>
        </w:tc>
        <w:tc>
          <w:tcPr>
            <w:tcW w:w="240" w:type="dxa"/>
            <w:vAlign w:val="bottom"/>
          </w:tcPr>
          <w:p>
            <w:pPr>
              <w:spacing w:after="0"/>
              <w:rPr>
                <w:sz w:val="17"/>
                <w:szCs w:val="17"/>
                <w:color w:val="auto"/>
              </w:rPr>
            </w:pPr>
          </w:p>
        </w:tc>
        <w:tc>
          <w:tcPr>
            <w:tcW w:w="5680" w:type="dxa"/>
            <w:vAlign w:val="bottom"/>
          </w:tcPr>
          <w:p>
            <w:pPr>
              <w:ind w:left="160"/>
              <w:spacing w:after="0"/>
              <w:rPr>
                <w:sz w:val="20"/>
                <w:szCs w:val="20"/>
                <w:color w:val="auto"/>
              </w:rPr>
            </w:pPr>
            <w:r>
              <w:rPr>
                <w:rFonts w:ascii="Arial" w:cs="Arial" w:eastAsia="Arial" w:hAnsi="Arial"/>
                <w:sz w:val="16"/>
                <w:szCs w:val="16"/>
                <w:color w:val="auto"/>
              </w:rPr>
              <w:t>talented leadership, and reflect the scope of each executive officer’s duties</w:t>
            </w:r>
          </w:p>
        </w:tc>
        <w:tc>
          <w:tcPr>
            <w:tcW w:w="0" w:type="dxa"/>
            <w:vAlign w:val="bottom"/>
          </w:tcPr>
          <w:p>
            <w:pPr>
              <w:spacing w:after="0"/>
              <w:rPr>
                <w:sz w:val="1"/>
                <w:szCs w:val="1"/>
                <w:color w:val="auto"/>
              </w:rPr>
            </w:pPr>
          </w:p>
        </w:tc>
      </w:tr>
      <w:tr>
        <w:trPr>
          <w:trHeight w:val="163"/>
        </w:trPr>
        <w:tc>
          <w:tcPr>
            <w:tcW w:w="140" w:type="dxa"/>
            <w:vAlign w:val="bottom"/>
            <w:shd w:val="clear" w:color="auto" w:fill="1F2668"/>
          </w:tcPr>
          <w:p>
            <w:pPr>
              <w:jc w:val="center"/>
              <w:spacing w:after="0" w:line="163" w:lineRule="exact"/>
              <w:rPr>
                <w:sz w:val="20"/>
                <w:szCs w:val="20"/>
                <w:color w:val="auto"/>
              </w:rPr>
            </w:pPr>
            <w:r>
              <w:rPr>
                <w:rFonts w:ascii="Arial" w:cs="Arial" w:eastAsia="Arial" w:hAnsi="Arial"/>
                <w:sz w:val="16"/>
                <w:szCs w:val="16"/>
                <w:color w:val="auto"/>
              </w:rPr>
              <w:t>​</w:t>
            </w:r>
          </w:p>
        </w:tc>
        <w:tc>
          <w:tcPr>
            <w:tcW w:w="240" w:type="dxa"/>
            <w:vAlign w:val="bottom"/>
            <w:vMerge w:val="continue"/>
            <w:shd w:val="clear" w:color="auto" w:fill="1F2668"/>
          </w:tcPr>
          <w:p>
            <w:pPr>
              <w:spacing w:after="0"/>
              <w:rPr>
                <w:sz w:val="14"/>
                <w:szCs w:val="14"/>
                <w:color w:val="auto"/>
              </w:rPr>
            </w:pPr>
          </w:p>
        </w:tc>
        <w:tc>
          <w:tcPr>
            <w:tcW w:w="160" w:type="dxa"/>
            <w:vAlign w:val="bottom"/>
            <w:shd w:val="clear" w:color="auto" w:fill="1F2668"/>
          </w:tcPr>
          <w:p>
            <w:pPr>
              <w:ind w:left="100"/>
              <w:spacing w:after="0" w:line="163" w:lineRule="exact"/>
              <w:rPr>
                <w:sz w:val="20"/>
                <w:szCs w:val="20"/>
                <w:color w:val="auto"/>
              </w:rPr>
            </w:pPr>
            <w:r>
              <w:rPr>
                <w:rFonts w:ascii="Arial" w:cs="Arial" w:eastAsia="Arial" w:hAnsi="Arial"/>
                <w:sz w:val="16"/>
                <w:szCs w:val="16"/>
                <w:color w:val="auto"/>
              </w:rPr>
              <w:t>​</w:t>
            </w:r>
          </w:p>
        </w:tc>
        <w:tc>
          <w:tcPr>
            <w:tcW w:w="1100" w:type="dxa"/>
            <w:vAlign w:val="bottom"/>
          </w:tcPr>
          <w:p>
            <w:pPr>
              <w:ind w:left="60"/>
              <w:spacing w:after="0" w:line="163" w:lineRule="exact"/>
              <w:rPr>
                <w:sz w:val="20"/>
                <w:szCs w:val="20"/>
                <w:color w:val="auto"/>
              </w:rPr>
            </w:pPr>
            <w:r>
              <w:rPr>
                <w:rFonts w:ascii="Arial" w:cs="Arial" w:eastAsia="Arial" w:hAnsi="Arial"/>
                <w:sz w:val="16"/>
                <w:szCs w:val="16"/>
                <w:color w:val="auto"/>
              </w:rPr>
              <w:t>​</w:t>
            </w:r>
          </w:p>
        </w:tc>
        <w:tc>
          <w:tcPr>
            <w:tcW w:w="1500" w:type="dxa"/>
            <w:vAlign w:val="bottom"/>
            <w:vMerge w:val="continue"/>
          </w:tcPr>
          <w:p>
            <w:pPr>
              <w:spacing w:after="0"/>
              <w:rPr>
                <w:sz w:val="14"/>
                <w:szCs w:val="14"/>
                <w:color w:val="auto"/>
              </w:rPr>
            </w:pPr>
          </w:p>
        </w:tc>
        <w:tc>
          <w:tcPr>
            <w:tcW w:w="240" w:type="dxa"/>
            <w:vAlign w:val="bottom"/>
          </w:tcPr>
          <w:p>
            <w:pPr>
              <w:ind w:left="80"/>
              <w:spacing w:after="0" w:line="163" w:lineRule="exact"/>
              <w:rPr>
                <w:sz w:val="20"/>
                <w:szCs w:val="20"/>
                <w:color w:val="auto"/>
              </w:rPr>
            </w:pPr>
            <w:r>
              <w:rPr>
                <w:rFonts w:ascii="Arial" w:cs="Arial" w:eastAsia="Arial" w:hAnsi="Arial"/>
                <w:sz w:val="16"/>
                <w:szCs w:val="16"/>
                <w:color w:val="auto"/>
              </w:rPr>
              <w:t>​ ​</w:t>
            </w:r>
          </w:p>
        </w:tc>
        <w:tc>
          <w:tcPr>
            <w:tcW w:w="5680" w:type="dxa"/>
            <w:vAlign w:val="bottom"/>
          </w:tcPr>
          <w:p>
            <w:pPr>
              <w:ind w:left="160"/>
              <w:spacing w:after="0" w:line="163" w:lineRule="exact"/>
              <w:rPr>
                <w:sz w:val="20"/>
                <w:szCs w:val="20"/>
                <w:color w:val="auto"/>
              </w:rPr>
            </w:pPr>
            <w:r>
              <w:rPr>
                <w:rFonts w:ascii="Arial" w:cs="Arial" w:eastAsia="Arial" w:hAnsi="Arial"/>
                <w:sz w:val="16"/>
                <w:szCs w:val="16"/>
                <w:color w:val="auto"/>
              </w:rPr>
              <w:t>and responsibilities</w:t>
            </w:r>
          </w:p>
        </w:tc>
        <w:tc>
          <w:tcPr>
            <w:tcW w:w="0" w:type="dxa"/>
            <w:vAlign w:val="bottom"/>
          </w:tcPr>
          <w:p>
            <w:pPr>
              <w:spacing w:after="0"/>
              <w:rPr>
                <w:sz w:val="1"/>
                <w:szCs w:val="1"/>
                <w:color w:val="auto"/>
              </w:rPr>
            </w:pPr>
          </w:p>
        </w:tc>
      </w:tr>
      <w:tr>
        <w:trPr>
          <w:trHeight w:val="223"/>
        </w:trPr>
        <w:tc>
          <w:tcPr>
            <w:tcW w:w="140" w:type="dxa"/>
            <w:vAlign w:val="bottom"/>
            <w:shd w:val="clear" w:color="auto" w:fill="1F2668"/>
          </w:tcPr>
          <w:p>
            <w:pPr>
              <w:spacing w:after="0"/>
              <w:rPr>
                <w:sz w:val="19"/>
                <w:szCs w:val="19"/>
                <w:color w:val="auto"/>
              </w:rPr>
            </w:pPr>
          </w:p>
        </w:tc>
        <w:tc>
          <w:tcPr>
            <w:tcW w:w="240" w:type="dxa"/>
            <w:vAlign w:val="bottom"/>
            <w:shd w:val="clear" w:color="auto" w:fill="1F2668"/>
          </w:tcPr>
          <w:p>
            <w:pPr>
              <w:spacing w:after="0"/>
              <w:rPr>
                <w:sz w:val="19"/>
                <w:szCs w:val="19"/>
                <w:color w:val="auto"/>
              </w:rPr>
            </w:pPr>
          </w:p>
        </w:tc>
        <w:tc>
          <w:tcPr>
            <w:tcW w:w="160" w:type="dxa"/>
            <w:vAlign w:val="bottom"/>
            <w:shd w:val="clear" w:color="auto" w:fill="1F2668"/>
          </w:tcPr>
          <w:p>
            <w:pPr>
              <w:spacing w:after="0"/>
              <w:rPr>
                <w:sz w:val="19"/>
                <w:szCs w:val="19"/>
                <w:color w:val="auto"/>
              </w:rPr>
            </w:pPr>
          </w:p>
        </w:tc>
        <w:tc>
          <w:tcPr>
            <w:tcW w:w="1100" w:type="dxa"/>
            <w:vAlign w:val="bottom"/>
          </w:tcPr>
          <w:p>
            <w:pPr>
              <w:spacing w:after="0"/>
              <w:rPr>
                <w:sz w:val="19"/>
                <w:szCs w:val="19"/>
                <w:color w:val="auto"/>
              </w:rPr>
            </w:pPr>
          </w:p>
        </w:tc>
        <w:tc>
          <w:tcPr>
            <w:tcW w:w="1500" w:type="dxa"/>
            <w:vAlign w:val="bottom"/>
          </w:tcPr>
          <w:p>
            <w:pPr>
              <w:ind w:left="380"/>
              <w:spacing w:after="0"/>
              <w:rPr>
                <w:sz w:val="20"/>
                <w:szCs w:val="20"/>
                <w:color w:val="auto"/>
              </w:rPr>
            </w:pPr>
            <w:r>
              <w:rPr>
                <w:rFonts w:ascii="Arial" w:cs="Arial" w:eastAsia="Arial" w:hAnsi="Arial"/>
                <w:sz w:val="16"/>
                <w:szCs w:val="16"/>
                <w:b w:val="1"/>
                <w:bCs w:val="1"/>
                <w:color w:val="1F2668"/>
              </w:rPr>
              <w:t>Salary</w:t>
            </w:r>
          </w:p>
        </w:tc>
        <w:tc>
          <w:tcPr>
            <w:tcW w:w="240" w:type="dxa"/>
            <w:vAlign w:val="bottom"/>
          </w:tcPr>
          <w:p>
            <w:pPr>
              <w:spacing w:after="0"/>
              <w:rPr>
                <w:sz w:val="19"/>
                <w:szCs w:val="19"/>
                <w:color w:val="auto"/>
              </w:rPr>
            </w:pPr>
          </w:p>
        </w:tc>
        <w:tc>
          <w:tcPr>
            <w:tcW w:w="5680" w:type="dxa"/>
            <w:vAlign w:val="bottom"/>
            <w:vMerge w:val="restart"/>
          </w:tcPr>
          <w:p>
            <w:pPr>
              <w:spacing w:after="0"/>
              <w:rPr>
                <w:sz w:val="20"/>
                <w:szCs w:val="20"/>
                <w:color w:val="auto"/>
              </w:rPr>
            </w:pPr>
            <w:r>
              <w:rPr>
                <w:rFonts w:ascii="Arial" w:cs="Arial" w:eastAsia="Arial" w:hAnsi="Arial"/>
                <w:sz w:val="16"/>
                <w:szCs w:val="16"/>
                <w:color w:val="auto"/>
              </w:rPr>
              <w:t>• Base salary comprises a relatively small portion of our total NEO</w:t>
            </w:r>
          </w:p>
        </w:tc>
        <w:tc>
          <w:tcPr>
            <w:tcW w:w="0" w:type="dxa"/>
            <w:vAlign w:val="bottom"/>
          </w:tcPr>
          <w:p>
            <w:pPr>
              <w:spacing w:after="0"/>
              <w:rPr>
                <w:sz w:val="1"/>
                <w:szCs w:val="1"/>
                <w:color w:val="auto"/>
              </w:rPr>
            </w:pPr>
          </w:p>
        </w:tc>
      </w:tr>
      <w:tr>
        <w:trPr>
          <w:trHeight w:val="101"/>
        </w:trPr>
        <w:tc>
          <w:tcPr>
            <w:tcW w:w="140" w:type="dxa"/>
            <w:vAlign w:val="bottom"/>
            <w:shd w:val="clear" w:color="auto" w:fill="1F2668"/>
          </w:tcPr>
          <w:p>
            <w:pPr>
              <w:spacing w:after="0"/>
              <w:rPr>
                <w:sz w:val="8"/>
                <w:szCs w:val="8"/>
                <w:color w:val="auto"/>
              </w:rPr>
            </w:pPr>
          </w:p>
        </w:tc>
        <w:tc>
          <w:tcPr>
            <w:tcW w:w="240" w:type="dxa"/>
            <w:vAlign w:val="bottom"/>
            <w:shd w:val="clear" w:color="auto" w:fill="1F2668"/>
          </w:tcPr>
          <w:p>
            <w:pPr>
              <w:spacing w:after="0"/>
              <w:rPr>
                <w:sz w:val="8"/>
                <w:szCs w:val="8"/>
                <w:color w:val="auto"/>
              </w:rPr>
            </w:pPr>
          </w:p>
        </w:tc>
        <w:tc>
          <w:tcPr>
            <w:tcW w:w="160" w:type="dxa"/>
            <w:vAlign w:val="bottom"/>
            <w:shd w:val="clear" w:color="auto" w:fill="1F2668"/>
          </w:tcPr>
          <w:p>
            <w:pPr>
              <w:spacing w:after="0"/>
              <w:rPr>
                <w:sz w:val="8"/>
                <w:szCs w:val="8"/>
                <w:color w:val="auto"/>
              </w:rPr>
            </w:pPr>
          </w:p>
        </w:tc>
        <w:tc>
          <w:tcPr>
            <w:tcW w:w="11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0" w:type="dxa"/>
            <w:vAlign w:val="bottom"/>
            <w:tcBorders>
              <w:bottom w:val="single" w:sz="8" w:color="1F2668"/>
            </w:tcBorders>
            <w:shd w:val="clear" w:color="auto" w:fill="1F2668"/>
          </w:tcPr>
          <w:p>
            <w:pPr>
              <w:spacing w:after="0"/>
              <w:rPr>
                <w:sz w:val="18"/>
                <w:szCs w:val="18"/>
                <w:color w:val="auto"/>
              </w:rPr>
            </w:pPr>
          </w:p>
        </w:tc>
        <w:tc>
          <w:tcPr>
            <w:tcW w:w="240" w:type="dxa"/>
            <w:vAlign w:val="bottom"/>
            <w:tcBorders>
              <w:bottom w:val="single" w:sz="8" w:color="1F2668"/>
            </w:tcBorders>
            <w:shd w:val="clear" w:color="auto" w:fill="1F2668"/>
          </w:tcPr>
          <w:p>
            <w:pPr>
              <w:spacing w:after="0"/>
              <w:rPr>
                <w:sz w:val="18"/>
                <w:szCs w:val="18"/>
                <w:color w:val="auto"/>
              </w:rPr>
            </w:pPr>
          </w:p>
        </w:tc>
        <w:tc>
          <w:tcPr>
            <w:tcW w:w="160" w:type="dxa"/>
            <w:vAlign w:val="bottom"/>
            <w:tcBorders>
              <w:bottom w:val="single" w:sz="8" w:color="1F2668"/>
            </w:tcBorders>
            <w:shd w:val="clear" w:color="auto" w:fill="1F2668"/>
          </w:tcPr>
          <w:p>
            <w:pPr>
              <w:spacing w:after="0"/>
              <w:rPr>
                <w:sz w:val="18"/>
                <w:szCs w:val="18"/>
                <w:color w:val="auto"/>
              </w:rPr>
            </w:pPr>
          </w:p>
        </w:tc>
        <w:tc>
          <w:tcPr>
            <w:tcW w:w="1100" w:type="dxa"/>
            <w:vAlign w:val="bottom"/>
            <w:tcBorders>
              <w:bottom w:val="single" w:sz="8" w:color="1F2668"/>
            </w:tcBorders>
          </w:tcPr>
          <w:p>
            <w:pPr>
              <w:spacing w:after="0"/>
              <w:rPr>
                <w:sz w:val="18"/>
                <w:szCs w:val="18"/>
                <w:color w:val="auto"/>
              </w:rPr>
            </w:pPr>
          </w:p>
        </w:tc>
        <w:tc>
          <w:tcPr>
            <w:tcW w:w="1500" w:type="dxa"/>
            <w:vAlign w:val="bottom"/>
            <w:tcBorders>
              <w:bottom w:val="single" w:sz="8" w:color="1F2668"/>
            </w:tcBorders>
          </w:tcPr>
          <w:p>
            <w:pPr>
              <w:spacing w:after="0"/>
              <w:rPr>
                <w:sz w:val="18"/>
                <w:szCs w:val="18"/>
                <w:color w:val="auto"/>
              </w:rPr>
            </w:pPr>
          </w:p>
        </w:tc>
        <w:tc>
          <w:tcPr>
            <w:tcW w:w="240" w:type="dxa"/>
            <w:vAlign w:val="bottom"/>
            <w:tcBorders>
              <w:bottom w:val="single" w:sz="8" w:color="1F2668"/>
            </w:tcBorders>
          </w:tcPr>
          <w:p>
            <w:pPr>
              <w:spacing w:after="0"/>
              <w:rPr>
                <w:sz w:val="18"/>
                <w:szCs w:val="18"/>
                <w:color w:val="auto"/>
              </w:rPr>
            </w:pPr>
          </w:p>
        </w:tc>
        <w:tc>
          <w:tcPr>
            <w:tcW w:w="5680" w:type="dxa"/>
            <w:vAlign w:val="bottom"/>
            <w:tcBorders>
              <w:bottom w:val="single" w:sz="8" w:color="1F2668"/>
            </w:tcBorders>
          </w:tcPr>
          <w:p>
            <w:pPr>
              <w:ind w:left="160"/>
              <w:spacing w:after="0"/>
              <w:rPr>
                <w:sz w:val="20"/>
                <w:szCs w:val="20"/>
                <w:color w:val="auto"/>
              </w:rPr>
            </w:pPr>
            <w:r>
              <w:rPr>
                <w:rFonts w:ascii="Arial" w:cs="Arial" w:eastAsia="Arial" w:hAnsi="Arial"/>
                <w:sz w:val="16"/>
                <w:szCs w:val="16"/>
                <w:color w:val="auto"/>
              </w:rPr>
              <w:t>compensation</w:t>
            </w:r>
          </w:p>
        </w:tc>
        <w:tc>
          <w:tcPr>
            <w:tcW w:w="0" w:type="dxa"/>
            <w:vAlign w:val="bottom"/>
          </w:tcPr>
          <w:p>
            <w:pPr>
              <w:spacing w:after="0"/>
              <w:rPr>
                <w:sz w:val="1"/>
                <w:szCs w:val="1"/>
                <w:color w:val="auto"/>
              </w:rPr>
            </w:pPr>
          </w:p>
        </w:tc>
      </w:tr>
      <w:tr>
        <w:trPr>
          <w:trHeight w:val="223"/>
        </w:trPr>
        <w:tc>
          <w:tcPr>
            <w:tcW w:w="140" w:type="dxa"/>
            <w:vAlign w:val="bottom"/>
            <w:shd w:val="clear" w:color="auto" w:fill="83AD40"/>
          </w:tcPr>
          <w:p>
            <w:pPr>
              <w:spacing w:after="0"/>
              <w:rPr>
                <w:sz w:val="19"/>
                <w:szCs w:val="19"/>
                <w:color w:val="auto"/>
              </w:rPr>
            </w:pPr>
          </w:p>
        </w:tc>
        <w:tc>
          <w:tcPr>
            <w:tcW w:w="240" w:type="dxa"/>
            <w:vAlign w:val="bottom"/>
            <w:shd w:val="clear" w:color="auto" w:fill="83AD40"/>
          </w:tcPr>
          <w:p>
            <w:pPr>
              <w:spacing w:after="0"/>
              <w:rPr>
                <w:sz w:val="19"/>
                <w:szCs w:val="19"/>
                <w:color w:val="auto"/>
              </w:rPr>
            </w:pPr>
          </w:p>
        </w:tc>
        <w:tc>
          <w:tcPr>
            <w:tcW w:w="160" w:type="dxa"/>
            <w:vAlign w:val="bottom"/>
            <w:shd w:val="clear" w:color="auto" w:fill="83AD40"/>
          </w:tcPr>
          <w:p>
            <w:pPr>
              <w:spacing w:after="0"/>
              <w:rPr>
                <w:sz w:val="19"/>
                <w:szCs w:val="19"/>
                <w:color w:val="auto"/>
              </w:rPr>
            </w:pPr>
          </w:p>
        </w:tc>
        <w:tc>
          <w:tcPr>
            <w:tcW w:w="1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6"/>
                <w:szCs w:val="16"/>
                <w:color w:val="auto"/>
              </w:rPr>
              <w:t>• Annual bonuses incentivize our named executive officers based on the</w:t>
            </w:r>
          </w:p>
        </w:tc>
        <w:tc>
          <w:tcPr>
            <w:tcW w:w="0" w:type="dxa"/>
            <w:vAlign w:val="bottom"/>
          </w:tcPr>
          <w:p>
            <w:pPr>
              <w:spacing w:after="0"/>
              <w:rPr>
                <w:sz w:val="1"/>
                <w:szCs w:val="1"/>
                <w:color w:val="auto"/>
              </w:rPr>
            </w:pPr>
          </w:p>
        </w:tc>
      </w:tr>
      <w:tr>
        <w:trPr>
          <w:trHeight w:val="215"/>
        </w:trPr>
        <w:tc>
          <w:tcPr>
            <w:tcW w:w="140" w:type="dxa"/>
            <w:vAlign w:val="bottom"/>
            <w:shd w:val="clear" w:color="auto" w:fill="83AD40"/>
          </w:tcPr>
          <w:p>
            <w:pPr>
              <w:spacing w:after="0"/>
              <w:rPr>
                <w:sz w:val="18"/>
                <w:szCs w:val="18"/>
                <w:color w:val="auto"/>
              </w:rPr>
            </w:pPr>
          </w:p>
        </w:tc>
        <w:tc>
          <w:tcPr>
            <w:tcW w:w="240" w:type="dxa"/>
            <w:vAlign w:val="bottom"/>
            <w:shd w:val="clear" w:color="auto" w:fill="83AD40"/>
          </w:tcPr>
          <w:p>
            <w:pPr>
              <w:spacing w:after="0"/>
              <w:rPr>
                <w:sz w:val="18"/>
                <w:szCs w:val="18"/>
                <w:color w:val="auto"/>
              </w:rPr>
            </w:pPr>
          </w:p>
        </w:tc>
        <w:tc>
          <w:tcPr>
            <w:tcW w:w="160" w:type="dxa"/>
            <w:vAlign w:val="bottom"/>
            <w:shd w:val="clear" w:color="auto" w:fill="83AD40"/>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6"/>
                <w:szCs w:val="16"/>
                <w:color w:val="auto"/>
              </w:rPr>
              <w:t>achievement of annual financial and strategic goals</w:t>
            </w:r>
          </w:p>
        </w:tc>
        <w:tc>
          <w:tcPr>
            <w:tcW w:w="0" w:type="dxa"/>
            <w:vAlign w:val="bottom"/>
          </w:tcPr>
          <w:p>
            <w:pPr>
              <w:spacing w:after="0"/>
              <w:rPr>
                <w:sz w:val="1"/>
                <w:szCs w:val="1"/>
                <w:color w:val="auto"/>
              </w:rPr>
            </w:pPr>
          </w:p>
        </w:tc>
      </w:tr>
      <w:tr>
        <w:trPr>
          <w:trHeight w:val="271"/>
        </w:trPr>
        <w:tc>
          <w:tcPr>
            <w:tcW w:w="140" w:type="dxa"/>
            <w:vAlign w:val="bottom"/>
            <w:shd w:val="clear" w:color="auto" w:fill="83AD40"/>
          </w:tcPr>
          <w:p>
            <w:pPr>
              <w:spacing w:after="0"/>
              <w:rPr>
                <w:sz w:val="23"/>
                <w:szCs w:val="23"/>
                <w:color w:val="auto"/>
              </w:rPr>
            </w:pPr>
          </w:p>
        </w:tc>
        <w:tc>
          <w:tcPr>
            <w:tcW w:w="240" w:type="dxa"/>
            <w:vAlign w:val="bottom"/>
            <w:shd w:val="clear" w:color="auto" w:fill="83AD40"/>
          </w:tcPr>
          <w:p>
            <w:pPr>
              <w:spacing w:after="0"/>
              <w:rPr>
                <w:sz w:val="23"/>
                <w:szCs w:val="23"/>
                <w:color w:val="auto"/>
              </w:rPr>
            </w:pPr>
          </w:p>
        </w:tc>
        <w:tc>
          <w:tcPr>
            <w:tcW w:w="160" w:type="dxa"/>
            <w:vAlign w:val="bottom"/>
            <w:shd w:val="clear" w:color="auto" w:fill="83AD40"/>
          </w:tcPr>
          <w:p>
            <w:pPr>
              <w:spacing w:after="0"/>
              <w:rPr>
                <w:sz w:val="23"/>
                <w:szCs w:val="23"/>
                <w:color w:val="auto"/>
              </w:rPr>
            </w:pPr>
          </w:p>
        </w:tc>
        <w:tc>
          <w:tcPr>
            <w:tcW w:w="1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80" w:type="dxa"/>
            <w:vAlign w:val="bottom"/>
          </w:tcPr>
          <w:p>
            <w:pPr>
              <w:spacing w:after="0"/>
              <w:rPr>
                <w:sz w:val="20"/>
                <w:szCs w:val="20"/>
                <w:color w:val="auto"/>
              </w:rPr>
            </w:pPr>
            <w:r>
              <w:rPr>
                <w:rFonts w:ascii="Arial" w:cs="Arial" w:eastAsia="Arial" w:hAnsi="Arial"/>
                <w:sz w:val="16"/>
                <w:szCs w:val="16"/>
                <w:color w:val="auto"/>
              </w:rPr>
              <w:t>• Our executives may receive all or a portion of annual bonuses in the form of</w:t>
            </w:r>
          </w:p>
        </w:tc>
        <w:tc>
          <w:tcPr>
            <w:tcW w:w="0" w:type="dxa"/>
            <w:vAlign w:val="bottom"/>
          </w:tcPr>
          <w:p>
            <w:pPr>
              <w:spacing w:after="0"/>
              <w:rPr>
                <w:sz w:val="1"/>
                <w:szCs w:val="1"/>
                <w:color w:val="auto"/>
              </w:rPr>
            </w:pPr>
          </w:p>
        </w:tc>
      </w:tr>
      <w:tr>
        <w:trPr>
          <w:trHeight w:val="271"/>
        </w:trPr>
        <w:tc>
          <w:tcPr>
            <w:tcW w:w="140" w:type="dxa"/>
            <w:vAlign w:val="bottom"/>
            <w:shd w:val="clear" w:color="auto" w:fill="83AD40"/>
          </w:tcPr>
          <w:p>
            <w:pPr>
              <w:spacing w:after="0"/>
              <w:rPr>
                <w:sz w:val="23"/>
                <w:szCs w:val="23"/>
                <w:color w:val="auto"/>
              </w:rPr>
            </w:pPr>
          </w:p>
        </w:tc>
        <w:tc>
          <w:tcPr>
            <w:tcW w:w="240" w:type="dxa"/>
            <w:vAlign w:val="bottom"/>
            <w:shd w:val="clear" w:color="auto" w:fill="83AD40"/>
          </w:tcPr>
          <w:p>
            <w:pPr>
              <w:spacing w:after="0"/>
              <w:rPr>
                <w:sz w:val="23"/>
                <w:szCs w:val="23"/>
                <w:color w:val="auto"/>
              </w:rPr>
            </w:pPr>
          </w:p>
        </w:tc>
        <w:tc>
          <w:tcPr>
            <w:tcW w:w="160" w:type="dxa"/>
            <w:vAlign w:val="bottom"/>
            <w:shd w:val="clear" w:color="auto" w:fill="83AD40"/>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16"/>
                <w:szCs w:val="16"/>
                <w:color w:val="auto"/>
              </w:rPr>
              <w:t>​</w:t>
            </w:r>
          </w:p>
        </w:tc>
        <w:tc>
          <w:tcPr>
            <w:tcW w:w="1500" w:type="dxa"/>
            <w:vAlign w:val="bottom"/>
          </w:tcPr>
          <w:p>
            <w:pPr>
              <w:ind w:left="200"/>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1F2668"/>
              </w:rPr>
              <w:t>Annual Bonus</w:t>
            </w:r>
          </w:p>
        </w:tc>
        <w:tc>
          <w:tcPr>
            <w:tcW w:w="240" w:type="dxa"/>
            <w:vAlign w:val="bottom"/>
          </w:tcPr>
          <w:p>
            <w:pPr>
              <w:ind w:left="80"/>
              <w:spacing w:after="0"/>
              <w:rPr>
                <w:sz w:val="20"/>
                <w:szCs w:val="20"/>
                <w:color w:val="auto"/>
              </w:rPr>
            </w:pPr>
            <w:r>
              <w:rPr>
                <w:rFonts w:ascii="Arial" w:cs="Arial" w:eastAsia="Arial" w:hAnsi="Arial"/>
                <w:sz w:val="16"/>
                <w:szCs w:val="16"/>
                <w:color w:val="auto"/>
              </w:rPr>
              <w:t>​ ​</w:t>
            </w:r>
          </w:p>
        </w:tc>
        <w:tc>
          <w:tcPr>
            <w:tcW w:w="5680" w:type="dxa"/>
            <w:vAlign w:val="bottom"/>
          </w:tcPr>
          <w:p>
            <w:pPr>
              <w:ind w:left="160"/>
              <w:spacing w:after="0"/>
              <w:rPr>
                <w:sz w:val="20"/>
                <w:szCs w:val="20"/>
                <w:color w:val="auto"/>
              </w:rPr>
            </w:pPr>
            <w:r>
              <w:rPr>
                <w:rFonts w:ascii="Arial" w:cs="Arial" w:eastAsia="Arial" w:hAnsi="Arial"/>
                <w:sz w:val="16"/>
                <w:szCs w:val="16"/>
                <w:color w:val="auto"/>
              </w:rPr>
              <w:t>fully vested equity that is subject to a multi-year no-sell restriction</w:t>
            </w:r>
          </w:p>
        </w:tc>
        <w:tc>
          <w:tcPr>
            <w:tcW w:w="0" w:type="dxa"/>
            <w:vAlign w:val="bottom"/>
          </w:tcPr>
          <w:p>
            <w:pPr>
              <w:spacing w:after="0"/>
              <w:rPr>
                <w:sz w:val="1"/>
                <w:szCs w:val="1"/>
                <w:color w:val="auto"/>
              </w:rPr>
            </w:pPr>
          </w:p>
        </w:tc>
      </w:tr>
      <w:tr>
        <w:trPr>
          <w:trHeight w:val="215"/>
        </w:trPr>
        <w:tc>
          <w:tcPr>
            <w:tcW w:w="140" w:type="dxa"/>
            <w:vAlign w:val="bottom"/>
            <w:shd w:val="clear" w:color="auto" w:fill="83AD40"/>
          </w:tcPr>
          <w:p>
            <w:pPr>
              <w:spacing w:after="0"/>
              <w:rPr>
                <w:sz w:val="18"/>
                <w:szCs w:val="18"/>
                <w:color w:val="auto"/>
              </w:rPr>
            </w:pPr>
          </w:p>
        </w:tc>
        <w:tc>
          <w:tcPr>
            <w:tcW w:w="240" w:type="dxa"/>
            <w:vAlign w:val="bottom"/>
            <w:shd w:val="clear" w:color="auto" w:fill="83AD40"/>
          </w:tcPr>
          <w:p>
            <w:pPr>
              <w:spacing w:after="0"/>
              <w:rPr>
                <w:sz w:val="18"/>
                <w:szCs w:val="18"/>
                <w:color w:val="auto"/>
              </w:rPr>
            </w:pPr>
          </w:p>
        </w:tc>
        <w:tc>
          <w:tcPr>
            <w:tcW w:w="160" w:type="dxa"/>
            <w:vAlign w:val="bottom"/>
            <w:shd w:val="clear" w:color="auto" w:fill="83AD40"/>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6"/>
                <w:szCs w:val="16"/>
                <w:color w:val="auto"/>
              </w:rPr>
              <w:t>• Our CEO’s annual bonus is 100% formulaic and performance-based</w:t>
            </w:r>
          </w:p>
        </w:tc>
        <w:tc>
          <w:tcPr>
            <w:tcW w:w="0" w:type="dxa"/>
            <w:vAlign w:val="bottom"/>
          </w:tcPr>
          <w:p>
            <w:pPr>
              <w:spacing w:after="0"/>
              <w:rPr>
                <w:sz w:val="1"/>
                <w:szCs w:val="1"/>
                <w:color w:val="auto"/>
              </w:rPr>
            </w:pPr>
          </w:p>
        </w:tc>
      </w:tr>
      <w:tr>
        <w:trPr>
          <w:trHeight w:val="257"/>
        </w:trPr>
        <w:tc>
          <w:tcPr>
            <w:tcW w:w="140" w:type="dxa"/>
            <w:vAlign w:val="bottom"/>
            <w:shd w:val="clear" w:color="auto" w:fill="83AD40"/>
          </w:tcPr>
          <w:p>
            <w:pPr>
              <w:spacing w:after="0"/>
              <w:rPr>
                <w:sz w:val="22"/>
                <w:szCs w:val="22"/>
                <w:color w:val="auto"/>
              </w:rPr>
            </w:pPr>
          </w:p>
        </w:tc>
        <w:tc>
          <w:tcPr>
            <w:tcW w:w="240" w:type="dxa"/>
            <w:vAlign w:val="bottom"/>
            <w:shd w:val="clear" w:color="auto" w:fill="83AD40"/>
          </w:tcPr>
          <w:p>
            <w:pPr>
              <w:spacing w:after="0"/>
              <w:rPr>
                <w:sz w:val="22"/>
                <w:szCs w:val="22"/>
                <w:color w:val="auto"/>
              </w:rPr>
            </w:pPr>
          </w:p>
        </w:tc>
        <w:tc>
          <w:tcPr>
            <w:tcW w:w="160" w:type="dxa"/>
            <w:vAlign w:val="bottom"/>
            <w:shd w:val="clear" w:color="auto" w:fill="83AD40"/>
          </w:tcPr>
          <w:p>
            <w:pPr>
              <w:spacing w:after="0"/>
              <w:rPr>
                <w:sz w:val="22"/>
                <w:szCs w:val="22"/>
                <w:color w:val="auto"/>
              </w:rPr>
            </w:pPr>
          </w:p>
        </w:tc>
        <w:tc>
          <w:tcPr>
            <w:tcW w:w="1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80" w:type="dxa"/>
            <w:vAlign w:val="bottom"/>
          </w:tcPr>
          <w:p>
            <w:pPr>
              <w:spacing w:after="0"/>
              <w:rPr>
                <w:sz w:val="20"/>
                <w:szCs w:val="20"/>
                <w:color w:val="auto"/>
              </w:rPr>
            </w:pPr>
            <w:r>
              <w:rPr>
                <w:rFonts w:ascii="Arial" w:cs="Arial" w:eastAsia="Arial" w:hAnsi="Arial"/>
                <w:sz w:val="16"/>
                <w:szCs w:val="16"/>
                <w:color w:val="auto"/>
              </w:rPr>
              <w:t>• Our CFO’s annual bonus is 60% formulaic and performance-based using the</w:t>
            </w:r>
          </w:p>
        </w:tc>
        <w:tc>
          <w:tcPr>
            <w:tcW w:w="0" w:type="dxa"/>
            <w:vAlign w:val="bottom"/>
          </w:tcPr>
          <w:p>
            <w:pPr>
              <w:spacing w:after="0"/>
              <w:rPr>
                <w:sz w:val="1"/>
                <w:szCs w:val="1"/>
                <w:color w:val="auto"/>
              </w:rPr>
            </w:pPr>
          </w:p>
        </w:tc>
      </w:tr>
      <w:tr>
        <w:trPr>
          <w:trHeight w:val="189"/>
        </w:trPr>
        <w:tc>
          <w:tcPr>
            <w:tcW w:w="140" w:type="dxa"/>
            <w:vAlign w:val="bottom"/>
            <w:shd w:val="clear" w:color="auto" w:fill="83AD40"/>
          </w:tcPr>
          <w:p>
            <w:pPr>
              <w:spacing w:after="0"/>
              <w:rPr>
                <w:sz w:val="16"/>
                <w:szCs w:val="16"/>
                <w:color w:val="auto"/>
              </w:rPr>
            </w:pPr>
          </w:p>
        </w:tc>
        <w:tc>
          <w:tcPr>
            <w:tcW w:w="240" w:type="dxa"/>
            <w:vAlign w:val="bottom"/>
            <w:shd w:val="clear" w:color="auto" w:fill="83AD40"/>
          </w:tcPr>
          <w:p>
            <w:pPr>
              <w:spacing w:after="0"/>
              <w:rPr>
                <w:sz w:val="16"/>
                <w:szCs w:val="16"/>
                <w:color w:val="auto"/>
              </w:rPr>
            </w:pPr>
          </w:p>
        </w:tc>
        <w:tc>
          <w:tcPr>
            <w:tcW w:w="160" w:type="dxa"/>
            <w:vAlign w:val="bottom"/>
            <w:shd w:val="clear" w:color="auto" w:fill="83AD40"/>
          </w:tcPr>
          <w:p>
            <w:pPr>
              <w:spacing w:after="0"/>
              <w:rPr>
                <w:sz w:val="16"/>
                <w:szCs w:val="16"/>
                <w:color w:val="auto"/>
              </w:rPr>
            </w:pPr>
          </w:p>
        </w:tc>
        <w:tc>
          <w:tcPr>
            <w:tcW w:w="1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80" w:type="dxa"/>
            <w:vAlign w:val="bottom"/>
          </w:tcPr>
          <w:p>
            <w:pPr>
              <w:ind w:left="160"/>
              <w:spacing w:after="0"/>
              <w:rPr>
                <w:sz w:val="20"/>
                <w:szCs w:val="20"/>
                <w:color w:val="auto"/>
              </w:rPr>
            </w:pPr>
            <w:r>
              <w:rPr>
                <w:rFonts w:ascii="Arial" w:cs="Arial" w:eastAsia="Arial" w:hAnsi="Arial"/>
                <w:sz w:val="16"/>
                <w:szCs w:val="16"/>
                <w:color w:val="auto"/>
              </w:rPr>
              <w:t>same criteria as our CEO, with the remaining 40% limited based on the</w:t>
            </w:r>
          </w:p>
        </w:tc>
        <w:tc>
          <w:tcPr>
            <w:tcW w:w="0" w:type="dxa"/>
            <w:vAlign w:val="bottom"/>
          </w:tcPr>
          <w:p>
            <w:pPr>
              <w:spacing w:after="0"/>
              <w:rPr>
                <w:sz w:val="1"/>
                <w:szCs w:val="1"/>
                <w:color w:val="auto"/>
              </w:rPr>
            </w:pPr>
          </w:p>
        </w:tc>
      </w:tr>
      <w:tr>
        <w:trPr>
          <w:trHeight w:val="224"/>
        </w:trPr>
        <w:tc>
          <w:tcPr>
            <w:tcW w:w="140" w:type="dxa"/>
            <w:vAlign w:val="bottom"/>
            <w:tcBorders>
              <w:bottom w:val="single" w:sz="8" w:color="83AD40"/>
            </w:tcBorders>
            <w:shd w:val="clear" w:color="auto" w:fill="83AD40"/>
          </w:tcPr>
          <w:p>
            <w:pPr>
              <w:spacing w:after="0"/>
              <w:rPr>
                <w:sz w:val="19"/>
                <w:szCs w:val="19"/>
                <w:color w:val="auto"/>
              </w:rPr>
            </w:pPr>
          </w:p>
        </w:tc>
        <w:tc>
          <w:tcPr>
            <w:tcW w:w="240" w:type="dxa"/>
            <w:vAlign w:val="bottom"/>
            <w:tcBorders>
              <w:bottom w:val="single" w:sz="8" w:color="83AD40"/>
            </w:tcBorders>
            <w:vMerge w:val="restart"/>
            <w:textDirection w:val="btLr"/>
            <w:shd w:val="clear" w:color="auto" w:fill="83AD40"/>
          </w:tcPr>
          <w:p>
            <w:pPr>
              <w:ind w:left="54"/>
              <w:spacing w:after="0"/>
              <w:rPr>
                <w:sz w:val="20"/>
                <w:szCs w:val="20"/>
                <w:color w:val="auto"/>
              </w:rPr>
            </w:pPr>
            <w:r>
              <w:rPr>
                <w:rFonts w:ascii="Arial" w:cs="Arial" w:eastAsia="Arial" w:hAnsi="Arial"/>
                <w:sz w:val="16"/>
                <w:szCs w:val="16"/>
                <w:b w:val="1"/>
                <w:bCs w:val="1"/>
                <w:color w:val="FFFFFF"/>
                <w:w w:val="95"/>
              </w:rPr>
              <w:t>AT-RISK</w:t>
            </w:r>
          </w:p>
        </w:tc>
        <w:tc>
          <w:tcPr>
            <w:tcW w:w="160" w:type="dxa"/>
            <w:vAlign w:val="bottom"/>
            <w:tcBorders>
              <w:bottom w:val="single" w:sz="8" w:color="83AD40"/>
            </w:tcBorders>
            <w:shd w:val="clear" w:color="auto" w:fill="83AD40"/>
          </w:tcPr>
          <w:p>
            <w:pPr>
              <w:spacing w:after="0"/>
              <w:rPr>
                <w:sz w:val="19"/>
                <w:szCs w:val="19"/>
                <w:color w:val="auto"/>
              </w:rPr>
            </w:pPr>
          </w:p>
        </w:tc>
        <w:tc>
          <w:tcPr>
            <w:tcW w:w="1100" w:type="dxa"/>
            <w:vAlign w:val="bottom"/>
            <w:tcBorders>
              <w:bottom w:val="single" w:sz="8" w:color="1F2668"/>
            </w:tcBorders>
          </w:tcPr>
          <w:p>
            <w:pPr>
              <w:spacing w:after="0"/>
              <w:rPr>
                <w:sz w:val="19"/>
                <w:szCs w:val="19"/>
                <w:color w:val="auto"/>
              </w:rPr>
            </w:pPr>
          </w:p>
        </w:tc>
        <w:tc>
          <w:tcPr>
            <w:tcW w:w="1500" w:type="dxa"/>
            <w:vAlign w:val="bottom"/>
            <w:tcBorders>
              <w:bottom w:val="single" w:sz="8" w:color="1F2668"/>
            </w:tcBorders>
          </w:tcPr>
          <w:p>
            <w:pPr>
              <w:spacing w:after="0"/>
              <w:rPr>
                <w:sz w:val="19"/>
                <w:szCs w:val="19"/>
                <w:color w:val="auto"/>
              </w:rPr>
            </w:pPr>
          </w:p>
        </w:tc>
        <w:tc>
          <w:tcPr>
            <w:tcW w:w="240" w:type="dxa"/>
            <w:vAlign w:val="bottom"/>
            <w:tcBorders>
              <w:bottom w:val="single" w:sz="8" w:color="1F2668"/>
            </w:tcBorders>
          </w:tcPr>
          <w:p>
            <w:pPr>
              <w:spacing w:after="0"/>
              <w:rPr>
                <w:sz w:val="19"/>
                <w:szCs w:val="19"/>
                <w:color w:val="auto"/>
              </w:rPr>
            </w:pPr>
          </w:p>
        </w:tc>
        <w:tc>
          <w:tcPr>
            <w:tcW w:w="5680" w:type="dxa"/>
            <w:vAlign w:val="bottom"/>
            <w:tcBorders>
              <w:bottom w:val="single" w:sz="8" w:color="1F2668"/>
            </w:tcBorders>
          </w:tcPr>
          <w:p>
            <w:pPr>
              <w:ind w:left="160"/>
              <w:spacing w:after="0"/>
              <w:rPr>
                <w:sz w:val="20"/>
                <w:szCs w:val="20"/>
                <w:color w:val="auto"/>
              </w:rPr>
            </w:pPr>
            <w:r>
              <w:rPr>
                <w:rFonts w:ascii="Arial" w:cs="Arial" w:eastAsia="Arial" w:hAnsi="Arial"/>
                <w:sz w:val="16"/>
                <w:szCs w:val="16"/>
                <w:color w:val="auto"/>
              </w:rPr>
              <w:t>calculation of the formulaic component</w:t>
            </w:r>
          </w:p>
        </w:tc>
        <w:tc>
          <w:tcPr>
            <w:tcW w:w="0" w:type="dxa"/>
            <w:vAlign w:val="bottom"/>
          </w:tcPr>
          <w:p>
            <w:pPr>
              <w:spacing w:after="0"/>
              <w:rPr>
                <w:sz w:val="1"/>
                <w:szCs w:val="1"/>
                <w:color w:val="auto"/>
              </w:rPr>
            </w:pPr>
          </w:p>
        </w:tc>
      </w:tr>
      <w:tr>
        <w:trPr>
          <w:trHeight w:val="229"/>
        </w:trPr>
        <w:tc>
          <w:tcPr>
            <w:tcW w:w="140" w:type="dxa"/>
            <w:vAlign w:val="bottom"/>
            <w:shd w:val="clear" w:color="auto" w:fill="83AD40"/>
          </w:tcPr>
          <w:p>
            <w:pPr>
              <w:spacing w:after="0"/>
              <w:rPr>
                <w:sz w:val="19"/>
                <w:szCs w:val="19"/>
                <w:color w:val="auto"/>
              </w:rPr>
            </w:pPr>
          </w:p>
        </w:tc>
        <w:tc>
          <w:tcPr>
            <w:tcW w:w="240" w:type="dxa"/>
            <w:vAlign w:val="bottom"/>
            <w:vMerge w:val="continue"/>
            <w:shd w:val="clear" w:color="auto" w:fill="83AD40"/>
          </w:tcPr>
          <w:p>
            <w:pPr>
              <w:spacing w:after="0"/>
              <w:rPr>
                <w:sz w:val="19"/>
                <w:szCs w:val="19"/>
                <w:color w:val="auto"/>
              </w:rPr>
            </w:pPr>
          </w:p>
        </w:tc>
        <w:tc>
          <w:tcPr>
            <w:tcW w:w="160" w:type="dxa"/>
            <w:vAlign w:val="bottom"/>
            <w:shd w:val="clear" w:color="auto" w:fill="83AD40"/>
          </w:tcPr>
          <w:p>
            <w:pPr>
              <w:spacing w:after="0"/>
              <w:rPr>
                <w:sz w:val="19"/>
                <w:szCs w:val="19"/>
                <w:color w:val="auto"/>
              </w:rPr>
            </w:pPr>
          </w:p>
        </w:tc>
        <w:tc>
          <w:tcPr>
            <w:tcW w:w="1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6"/>
                <w:szCs w:val="16"/>
                <w:color w:val="auto"/>
              </w:rPr>
              <w:t>• Performance-based equity awards provide long-term incentives based on</w:t>
            </w:r>
          </w:p>
        </w:tc>
        <w:tc>
          <w:tcPr>
            <w:tcW w:w="0" w:type="dxa"/>
            <w:vAlign w:val="bottom"/>
          </w:tcPr>
          <w:p>
            <w:pPr>
              <w:spacing w:after="0"/>
              <w:rPr>
                <w:sz w:val="1"/>
                <w:szCs w:val="1"/>
                <w:color w:val="auto"/>
              </w:rPr>
            </w:pPr>
          </w:p>
        </w:tc>
      </w:tr>
      <w:tr>
        <w:trPr>
          <w:trHeight w:val="203"/>
        </w:trPr>
        <w:tc>
          <w:tcPr>
            <w:tcW w:w="140" w:type="dxa"/>
            <w:vAlign w:val="bottom"/>
            <w:shd w:val="clear" w:color="auto" w:fill="83AD40"/>
          </w:tcPr>
          <w:p>
            <w:pPr>
              <w:jc w:val="center"/>
              <w:spacing w:after="0"/>
              <w:rPr>
                <w:sz w:val="20"/>
                <w:szCs w:val="20"/>
                <w:color w:val="auto"/>
              </w:rPr>
            </w:pPr>
            <w:r>
              <w:rPr>
                <w:rFonts w:ascii="Arial" w:cs="Arial" w:eastAsia="Arial" w:hAnsi="Arial"/>
                <w:sz w:val="16"/>
                <w:szCs w:val="16"/>
                <w:color w:val="auto"/>
              </w:rPr>
              <w:t>​</w:t>
            </w:r>
          </w:p>
        </w:tc>
        <w:tc>
          <w:tcPr>
            <w:tcW w:w="240" w:type="dxa"/>
            <w:vAlign w:val="bottom"/>
            <w:vMerge w:val="continue"/>
            <w:shd w:val="clear" w:color="auto" w:fill="83AD40"/>
          </w:tcPr>
          <w:p>
            <w:pPr>
              <w:spacing w:after="0"/>
              <w:rPr>
                <w:sz w:val="17"/>
                <w:szCs w:val="17"/>
                <w:color w:val="auto"/>
              </w:rPr>
            </w:pPr>
          </w:p>
        </w:tc>
        <w:tc>
          <w:tcPr>
            <w:tcW w:w="160" w:type="dxa"/>
            <w:vAlign w:val="bottom"/>
            <w:shd w:val="clear" w:color="auto" w:fill="83AD40"/>
          </w:tcPr>
          <w:p>
            <w:pPr>
              <w:ind w:left="10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80" w:type="dxa"/>
            <w:vAlign w:val="bottom"/>
          </w:tcPr>
          <w:p>
            <w:pPr>
              <w:ind w:left="160"/>
              <w:spacing w:after="0"/>
              <w:rPr>
                <w:sz w:val="20"/>
                <w:szCs w:val="20"/>
                <w:color w:val="auto"/>
              </w:rPr>
            </w:pPr>
            <w:r>
              <w:rPr>
                <w:rFonts w:ascii="Arial" w:cs="Arial" w:eastAsia="Arial" w:hAnsi="Arial"/>
                <w:sz w:val="16"/>
                <w:szCs w:val="16"/>
                <w:color w:val="auto"/>
              </w:rPr>
              <w:t>Company performance with the value derived directly linked to stockholder</w:t>
            </w:r>
          </w:p>
        </w:tc>
        <w:tc>
          <w:tcPr>
            <w:tcW w:w="0" w:type="dxa"/>
            <w:vAlign w:val="bottom"/>
          </w:tcPr>
          <w:p>
            <w:pPr>
              <w:spacing w:after="0"/>
              <w:rPr>
                <w:sz w:val="1"/>
                <w:szCs w:val="1"/>
                <w:color w:val="auto"/>
              </w:rPr>
            </w:pPr>
          </w:p>
        </w:tc>
      </w:tr>
      <w:tr>
        <w:trPr>
          <w:trHeight w:val="215"/>
        </w:trPr>
        <w:tc>
          <w:tcPr>
            <w:tcW w:w="140" w:type="dxa"/>
            <w:vAlign w:val="bottom"/>
            <w:shd w:val="clear" w:color="auto" w:fill="83AD40"/>
          </w:tcPr>
          <w:p>
            <w:pPr>
              <w:spacing w:after="0"/>
              <w:rPr>
                <w:sz w:val="18"/>
                <w:szCs w:val="18"/>
                <w:color w:val="auto"/>
              </w:rPr>
            </w:pPr>
          </w:p>
        </w:tc>
        <w:tc>
          <w:tcPr>
            <w:tcW w:w="240" w:type="dxa"/>
            <w:vAlign w:val="bottom"/>
            <w:vMerge w:val="continue"/>
            <w:shd w:val="clear" w:color="auto" w:fill="83AD40"/>
          </w:tcPr>
          <w:p>
            <w:pPr>
              <w:spacing w:after="0"/>
              <w:rPr>
                <w:sz w:val="18"/>
                <w:szCs w:val="18"/>
                <w:color w:val="auto"/>
              </w:rPr>
            </w:pPr>
          </w:p>
        </w:tc>
        <w:tc>
          <w:tcPr>
            <w:tcW w:w="160" w:type="dxa"/>
            <w:vAlign w:val="bottom"/>
            <w:shd w:val="clear" w:color="auto" w:fill="83AD40"/>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vMerge w:val="restart"/>
          </w:tcPr>
          <w:p>
            <w:pPr>
              <w:ind w:left="380"/>
              <w:spacing w:after="0"/>
              <w:rPr>
                <w:sz w:val="20"/>
                <w:szCs w:val="20"/>
                <w:color w:val="auto"/>
              </w:rPr>
            </w:pPr>
            <w:r>
              <w:rPr>
                <w:rFonts w:ascii="Arial" w:cs="Arial" w:eastAsia="Arial" w:hAnsi="Arial"/>
                <w:sz w:val="16"/>
                <w:szCs w:val="16"/>
                <w:b w:val="1"/>
                <w:bCs w:val="1"/>
                <w:color w:val="1F2668"/>
              </w:rPr>
              <w:t>Performance-</w:t>
            </w:r>
          </w:p>
        </w:tc>
        <w:tc>
          <w:tcPr>
            <w:tcW w:w="24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6"/>
                <w:szCs w:val="16"/>
                <w:color w:val="auto"/>
              </w:rPr>
              <w:t>value creation:</w:t>
            </w:r>
          </w:p>
        </w:tc>
        <w:tc>
          <w:tcPr>
            <w:tcW w:w="0" w:type="dxa"/>
            <w:vAlign w:val="bottom"/>
          </w:tcPr>
          <w:p>
            <w:pPr>
              <w:spacing w:after="0"/>
              <w:rPr>
                <w:sz w:val="1"/>
                <w:szCs w:val="1"/>
                <w:color w:val="auto"/>
              </w:rPr>
            </w:pPr>
          </w:p>
        </w:tc>
      </w:tr>
      <w:tr>
        <w:trPr>
          <w:trHeight w:val="55"/>
        </w:trPr>
        <w:tc>
          <w:tcPr>
            <w:tcW w:w="140" w:type="dxa"/>
            <w:vAlign w:val="bottom"/>
            <w:shd w:val="clear" w:color="auto" w:fill="83AD40"/>
          </w:tcPr>
          <w:p>
            <w:pPr>
              <w:spacing w:after="0"/>
              <w:rPr>
                <w:sz w:val="4"/>
                <w:szCs w:val="4"/>
                <w:color w:val="auto"/>
              </w:rPr>
            </w:pPr>
          </w:p>
        </w:tc>
        <w:tc>
          <w:tcPr>
            <w:tcW w:w="240" w:type="dxa"/>
            <w:vAlign w:val="bottom"/>
            <w:shd w:val="clear" w:color="auto" w:fill="83AD40"/>
          </w:tcPr>
          <w:p>
            <w:pPr>
              <w:spacing w:after="0"/>
              <w:rPr>
                <w:sz w:val="4"/>
                <w:szCs w:val="4"/>
                <w:color w:val="auto"/>
              </w:rPr>
            </w:pPr>
          </w:p>
        </w:tc>
        <w:tc>
          <w:tcPr>
            <w:tcW w:w="160" w:type="dxa"/>
            <w:vAlign w:val="bottom"/>
            <w:shd w:val="clear" w:color="auto" w:fill="83AD40"/>
          </w:tcPr>
          <w:p>
            <w:pPr>
              <w:spacing w:after="0"/>
              <w:rPr>
                <w:sz w:val="4"/>
                <w:szCs w:val="4"/>
                <w:color w:val="auto"/>
              </w:rPr>
            </w:pPr>
          </w:p>
        </w:tc>
        <w:tc>
          <w:tcPr>
            <w:tcW w:w="110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5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83AD40"/>
          </w:tcPr>
          <w:p>
            <w:pPr>
              <w:spacing w:after="0"/>
              <w:rPr>
                <w:sz w:val="17"/>
                <w:szCs w:val="17"/>
                <w:color w:val="auto"/>
              </w:rPr>
            </w:pPr>
          </w:p>
        </w:tc>
        <w:tc>
          <w:tcPr>
            <w:tcW w:w="240" w:type="dxa"/>
            <w:vAlign w:val="bottom"/>
            <w:shd w:val="clear" w:color="auto" w:fill="83AD40"/>
          </w:tcPr>
          <w:p>
            <w:pPr>
              <w:spacing w:after="0"/>
              <w:rPr>
                <w:sz w:val="17"/>
                <w:szCs w:val="17"/>
                <w:color w:val="auto"/>
              </w:rPr>
            </w:pPr>
          </w:p>
        </w:tc>
        <w:tc>
          <w:tcPr>
            <w:tcW w:w="160" w:type="dxa"/>
            <w:vAlign w:val="bottom"/>
            <w:shd w:val="clear" w:color="auto" w:fill="83AD40"/>
          </w:tcPr>
          <w:p>
            <w:pPr>
              <w:spacing w:after="0"/>
              <w:rPr>
                <w:sz w:val="17"/>
                <w:szCs w:val="17"/>
                <w:color w:val="auto"/>
              </w:rPr>
            </w:pPr>
          </w:p>
        </w:tc>
        <w:tc>
          <w:tcPr>
            <w:tcW w:w="1100" w:type="dxa"/>
            <w:vAlign w:val="bottom"/>
          </w:tcPr>
          <w:p>
            <w:pPr>
              <w:spacing w:after="0"/>
              <w:rPr>
                <w:sz w:val="20"/>
                <w:szCs w:val="20"/>
                <w:color w:val="auto"/>
              </w:rPr>
            </w:pPr>
            <w:r>
              <w:rPr>
                <w:rFonts w:ascii="Arial" w:cs="Arial" w:eastAsia="Arial" w:hAnsi="Arial"/>
                <w:sz w:val="16"/>
                <w:szCs w:val="16"/>
                <w:color w:val="auto"/>
              </w:rPr>
              <w:t>​</w:t>
            </w:r>
          </w:p>
        </w:tc>
        <w:tc>
          <w:tcPr>
            <w:tcW w:w="1500" w:type="dxa"/>
            <w:vAlign w:val="bottom"/>
          </w:tcPr>
          <w:p>
            <w:pPr>
              <w:ind w:left="160"/>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1F2668"/>
              </w:rPr>
              <w:t>Based Equity</w:t>
            </w:r>
          </w:p>
        </w:tc>
        <w:tc>
          <w:tcPr>
            <w:tcW w:w="240" w:type="dxa"/>
            <w:vAlign w:val="bottom"/>
          </w:tcPr>
          <w:p>
            <w:pPr>
              <w:ind w:left="20"/>
              <w:spacing w:after="0"/>
              <w:rPr>
                <w:sz w:val="20"/>
                <w:szCs w:val="20"/>
                <w:color w:val="auto"/>
              </w:rPr>
            </w:pPr>
            <w:r>
              <w:rPr>
                <w:rFonts w:ascii="Arial" w:cs="Arial" w:eastAsia="Arial" w:hAnsi="Arial"/>
                <w:sz w:val="16"/>
                <w:szCs w:val="16"/>
                <w:color w:val="auto"/>
              </w:rPr>
              <w:t>​ ​</w:t>
            </w:r>
          </w:p>
        </w:tc>
        <w:tc>
          <w:tcPr>
            <w:tcW w:w="5680" w:type="dxa"/>
            <w:vAlign w:val="bottom"/>
          </w:tcPr>
          <w:p>
            <w:pPr>
              <w:ind w:left="160"/>
              <w:spacing w:after="0"/>
              <w:rPr>
                <w:sz w:val="20"/>
                <w:szCs w:val="20"/>
                <w:color w:val="auto"/>
              </w:rPr>
            </w:pPr>
            <w:r>
              <w:rPr>
                <w:rFonts w:ascii="Arial" w:cs="Arial" w:eastAsia="Arial" w:hAnsi="Arial"/>
                <w:sz w:val="16"/>
                <w:szCs w:val="16"/>
                <w:color w:val="auto"/>
              </w:rPr>
              <w:t>• 50% based on performance against annual operating goals subject to a</w:t>
            </w:r>
          </w:p>
        </w:tc>
        <w:tc>
          <w:tcPr>
            <w:tcW w:w="0" w:type="dxa"/>
            <w:vAlign w:val="bottom"/>
          </w:tcPr>
          <w:p>
            <w:pPr>
              <w:spacing w:after="0"/>
              <w:rPr>
                <w:sz w:val="1"/>
                <w:szCs w:val="1"/>
                <w:color w:val="auto"/>
              </w:rPr>
            </w:pPr>
          </w:p>
        </w:tc>
      </w:tr>
      <w:tr>
        <w:trPr>
          <w:trHeight w:val="228"/>
        </w:trPr>
        <w:tc>
          <w:tcPr>
            <w:tcW w:w="140" w:type="dxa"/>
            <w:vAlign w:val="bottom"/>
            <w:shd w:val="clear" w:color="auto" w:fill="83AD40"/>
          </w:tcPr>
          <w:p>
            <w:pPr>
              <w:spacing w:after="0"/>
              <w:rPr>
                <w:sz w:val="19"/>
                <w:szCs w:val="19"/>
                <w:color w:val="auto"/>
              </w:rPr>
            </w:pPr>
          </w:p>
        </w:tc>
        <w:tc>
          <w:tcPr>
            <w:tcW w:w="240" w:type="dxa"/>
            <w:vAlign w:val="bottom"/>
            <w:shd w:val="clear" w:color="auto" w:fill="83AD40"/>
          </w:tcPr>
          <w:p>
            <w:pPr>
              <w:spacing w:after="0"/>
              <w:rPr>
                <w:sz w:val="19"/>
                <w:szCs w:val="19"/>
                <w:color w:val="auto"/>
              </w:rPr>
            </w:pPr>
          </w:p>
        </w:tc>
        <w:tc>
          <w:tcPr>
            <w:tcW w:w="160" w:type="dxa"/>
            <w:vAlign w:val="bottom"/>
            <w:shd w:val="clear" w:color="auto" w:fill="83AD40"/>
          </w:tcPr>
          <w:p>
            <w:pPr>
              <w:spacing w:after="0"/>
              <w:rPr>
                <w:sz w:val="19"/>
                <w:szCs w:val="19"/>
                <w:color w:val="auto"/>
              </w:rPr>
            </w:pPr>
          </w:p>
        </w:tc>
        <w:tc>
          <w:tcPr>
            <w:tcW w:w="1100" w:type="dxa"/>
            <w:vAlign w:val="bottom"/>
          </w:tcPr>
          <w:p>
            <w:pPr>
              <w:spacing w:after="0"/>
              <w:rPr>
                <w:sz w:val="19"/>
                <w:szCs w:val="19"/>
                <w:color w:val="auto"/>
              </w:rPr>
            </w:pPr>
          </w:p>
        </w:tc>
        <w:tc>
          <w:tcPr>
            <w:tcW w:w="1500" w:type="dxa"/>
            <w:vAlign w:val="bottom"/>
          </w:tcPr>
          <w:p>
            <w:pPr>
              <w:ind w:left="380"/>
              <w:spacing w:after="0"/>
              <w:rPr>
                <w:sz w:val="20"/>
                <w:szCs w:val="20"/>
                <w:color w:val="auto"/>
              </w:rPr>
            </w:pPr>
            <w:r>
              <w:rPr>
                <w:rFonts w:ascii="Arial" w:cs="Arial" w:eastAsia="Arial" w:hAnsi="Arial"/>
                <w:sz w:val="16"/>
                <w:szCs w:val="16"/>
                <w:b w:val="1"/>
                <w:bCs w:val="1"/>
                <w:color w:val="1F2668"/>
              </w:rPr>
              <w:t>Awards</w:t>
            </w:r>
          </w:p>
        </w:tc>
        <w:tc>
          <w:tcPr>
            <w:tcW w:w="240" w:type="dxa"/>
            <w:vAlign w:val="bottom"/>
          </w:tcPr>
          <w:p>
            <w:pPr>
              <w:spacing w:after="0"/>
              <w:rPr>
                <w:sz w:val="19"/>
                <w:szCs w:val="19"/>
                <w:color w:val="auto"/>
              </w:rPr>
            </w:pPr>
          </w:p>
        </w:tc>
        <w:tc>
          <w:tcPr>
            <w:tcW w:w="5680" w:type="dxa"/>
            <w:vAlign w:val="bottom"/>
          </w:tcPr>
          <w:p>
            <w:pPr>
              <w:ind w:left="320"/>
              <w:spacing w:after="0"/>
              <w:rPr>
                <w:sz w:val="20"/>
                <w:szCs w:val="20"/>
                <w:color w:val="auto"/>
              </w:rPr>
            </w:pPr>
            <w:r>
              <w:rPr>
                <w:rFonts w:ascii="Arial" w:cs="Arial" w:eastAsia="Arial" w:hAnsi="Arial"/>
                <w:sz w:val="16"/>
                <w:szCs w:val="16"/>
                <w:color w:val="auto"/>
              </w:rPr>
              <w:t>three-year absolute TSR performance modifier</w:t>
            </w:r>
          </w:p>
        </w:tc>
        <w:tc>
          <w:tcPr>
            <w:tcW w:w="0" w:type="dxa"/>
            <w:vAlign w:val="bottom"/>
          </w:tcPr>
          <w:p>
            <w:pPr>
              <w:spacing w:after="0"/>
              <w:rPr>
                <w:sz w:val="1"/>
                <w:szCs w:val="1"/>
                <w:color w:val="auto"/>
              </w:rPr>
            </w:pPr>
          </w:p>
        </w:tc>
      </w:tr>
      <w:tr>
        <w:trPr>
          <w:trHeight w:val="271"/>
        </w:trPr>
        <w:tc>
          <w:tcPr>
            <w:tcW w:w="140" w:type="dxa"/>
            <w:vAlign w:val="bottom"/>
            <w:shd w:val="clear" w:color="auto" w:fill="83AD40"/>
          </w:tcPr>
          <w:p>
            <w:pPr>
              <w:spacing w:after="0"/>
              <w:rPr>
                <w:sz w:val="23"/>
                <w:szCs w:val="23"/>
                <w:color w:val="auto"/>
              </w:rPr>
            </w:pPr>
          </w:p>
        </w:tc>
        <w:tc>
          <w:tcPr>
            <w:tcW w:w="240" w:type="dxa"/>
            <w:vAlign w:val="bottom"/>
            <w:shd w:val="clear" w:color="auto" w:fill="83AD40"/>
          </w:tcPr>
          <w:p>
            <w:pPr>
              <w:spacing w:after="0"/>
              <w:rPr>
                <w:sz w:val="23"/>
                <w:szCs w:val="23"/>
                <w:color w:val="auto"/>
              </w:rPr>
            </w:pPr>
          </w:p>
        </w:tc>
        <w:tc>
          <w:tcPr>
            <w:tcW w:w="160" w:type="dxa"/>
            <w:vAlign w:val="bottom"/>
            <w:shd w:val="clear" w:color="auto" w:fill="83AD40"/>
          </w:tcPr>
          <w:p>
            <w:pPr>
              <w:spacing w:after="0"/>
              <w:rPr>
                <w:sz w:val="23"/>
                <w:szCs w:val="23"/>
                <w:color w:val="auto"/>
              </w:rPr>
            </w:pPr>
          </w:p>
        </w:tc>
        <w:tc>
          <w:tcPr>
            <w:tcW w:w="1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80" w:type="dxa"/>
            <w:vAlign w:val="bottom"/>
          </w:tcPr>
          <w:p>
            <w:pPr>
              <w:ind w:left="160"/>
              <w:spacing w:after="0"/>
              <w:rPr>
                <w:sz w:val="20"/>
                <w:szCs w:val="20"/>
                <w:color w:val="auto"/>
              </w:rPr>
            </w:pPr>
            <w:r>
              <w:rPr>
                <w:rFonts w:ascii="Arial" w:cs="Arial" w:eastAsia="Arial" w:hAnsi="Arial"/>
                <w:sz w:val="16"/>
                <w:szCs w:val="16"/>
                <w:color w:val="auto"/>
              </w:rPr>
              <w:t>• 50% based on three-year relative TSR performance, subject to a vesting</w:t>
            </w:r>
          </w:p>
        </w:tc>
        <w:tc>
          <w:tcPr>
            <w:tcW w:w="0" w:type="dxa"/>
            <w:vAlign w:val="bottom"/>
          </w:tcPr>
          <w:p>
            <w:pPr>
              <w:spacing w:after="0"/>
              <w:rPr>
                <w:sz w:val="1"/>
                <w:szCs w:val="1"/>
                <w:color w:val="auto"/>
              </w:rPr>
            </w:pPr>
          </w:p>
        </w:tc>
      </w:tr>
      <w:tr>
        <w:trPr>
          <w:trHeight w:val="216"/>
        </w:trPr>
        <w:tc>
          <w:tcPr>
            <w:tcW w:w="140" w:type="dxa"/>
            <w:vAlign w:val="bottom"/>
            <w:tcBorders>
              <w:bottom w:val="single" w:sz="8" w:color="83AD40"/>
            </w:tcBorders>
            <w:shd w:val="clear" w:color="auto" w:fill="83AD40"/>
          </w:tcPr>
          <w:p>
            <w:pPr>
              <w:spacing w:after="0"/>
              <w:rPr>
                <w:sz w:val="18"/>
                <w:szCs w:val="18"/>
                <w:color w:val="auto"/>
              </w:rPr>
            </w:pPr>
          </w:p>
        </w:tc>
        <w:tc>
          <w:tcPr>
            <w:tcW w:w="240" w:type="dxa"/>
            <w:vAlign w:val="bottom"/>
            <w:tcBorders>
              <w:bottom w:val="single" w:sz="8" w:color="83AD40"/>
            </w:tcBorders>
            <w:shd w:val="clear" w:color="auto" w:fill="83AD40"/>
          </w:tcPr>
          <w:p>
            <w:pPr>
              <w:spacing w:after="0"/>
              <w:rPr>
                <w:sz w:val="18"/>
                <w:szCs w:val="18"/>
                <w:color w:val="auto"/>
              </w:rPr>
            </w:pPr>
          </w:p>
        </w:tc>
        <w:tc>
          <w:tcPr>
            <w:tcW w:w="160" w:type="dxa"/>
            <w:vAlign w:val="bottom"/>
            <w:tcBorders>
              <w:bottom w:val="single" w:sz="8" w:color="83AD40"/>
            </w:tcBorders>
            <w:shd w:val="clear" w:color="auto" w:fill="83AD40"/>
          </w:tcPr>
          <w:p>
            <w:pPr>
              <w:spacing w:after="0"/>
              <w:rPr>
                <w:sz w:val="18"/>
                <w:szCs w:val="18"/>
                <w:color w:val="auto"/>
              </w:rPr>
            </w:pPr>
          </w:p>
        </w:tc>
        <w:tc>
          <w:tcPr>
            <w:tcW w:w="1100" w:type="dxa"/>
            <w:vAlign w:val="bottom"/>
            <w:tcBorders>
              <w:bottom w:val="single" w:sz="8" w:color="1F2668"/>
            </w:tcBorders>
          </w:tcPr>
          <w:p>
            <w:pPr>
              <w:spacing w:after="0"/>
              <w:rPr>
                <w:sz w:val="18"/>
                <w:szCs w:val="18"/>
                <w:color w:val="auto"/>
              </w:rPr>
            </w:pPr>
          </w:p>
        </w:tc>
        <w:tc>
          <w:tcPr>
            <w:tcW w:w="1500" w:type="dxa"/>
            <w:vAlign w:val="bottom"/>
            <w:tcBorders>
              <w:bottom w:val="single" w:sz="8" w:color="1F2668"/>
            </w:tcBorders>
          </w:tcPr>
          <w:p>
            <w:pPr>
              <w:spacing w:after="0"/>
              <w:rPr>
                <w:sz w:val="18"/>
                <w:szCs w:val="18"/>
                <w:color w:val="auto"/>
              </w:rPr>
            </w:pPr>
          </w:p>
        </w:tc>
        <w:tc>
          <w:tcPr>
            <w:tcW w:w="240" w:type="dxa"/>
            <w:vAlign w:val="bottom"/>
            <w:tcBorders>
              <w:bottom w:val="single" w:sz="8" w:color="1F2668"/>
            </w:tcBorders>
          </w:tcPr>
          <w:p>
            <w:pPr>
              <w:spacing w:after="0"/>
              <w:rPr>
                <w:sz w:val="18"/>
                <w:szCs w:val="18"/>
                <w:color w:val="auto"/>
              </w:rPr>
            </w:pPr>
          </w:p>
        </w:tc>
        <w:tc>
          <w:tcPr>
            <w:tcW w:w="5680" w:type="dxa"/>
            <w:vAlign w:val="bottom"/>
            <w:tcBorders>
              <w:bottom w:val="single" w:sz="8" w:color="1F2668"/>
            </w:tcBorders>
          </w:tcPr>
          <w:p>
            <w:pPr>
              <w:ind w:left="320"/>
              <w:spacing w:after="0"/>
              <w:rPr>
                <w:sz w:val="20"/>
                <w:szCs w:val="20"/>
                <w:color w:val="auto"/>
              </w:rPr>
            </w:pPr>
            <w:r>
              <w:rPr>
                <w:rFonts w:ascii="Arial" w:cs="Arial" w:eastAsia="Arial" w:hAnsi="Arial"/>
                <w:sz w:val="16"/>
                <w:szCs w:val="16"/>
                <w:color w:val="auto"/>
              </w:rPr>
              <w:t>cap when three-year absolute TSR is negative</w:t>
            </w:r>
          </w:p>
        </w:tc>
        <w:tc>
          <w:tcPr>
            <w:tcW w:w="0" w:type="dxa"/>
            <w:vAlign w:val="bottom"/>
          </w:tcPr>
          <w:p>
            <w:pPr>
              <w:spacing w:after="0"/>
              <w:rPr>
                <w:sz w:val="1"/>
                <w:szCs w:val="1"/>
                <w:color w:val="auto"/>
              </w:rPr>
            </w:pPr>
          </w:p>
        </w:tc>
      </w:tr>
      <w:tr>
        <w:trPr>
          <w:trHeight w:val="370"/>
        </w:trPr>
        <w:tc>
          <w:tcPr>
            <w:tcW w:w="140" w:type="dxa"/>
            <w:vAlign w:val="bottom"/>
            <w:shd w:val="clear" w:color="auto" w:fill="83AD40"/>
          </w:tcPr>
          <w:p>
            <w:pPr>
              <w:spacing w:after="0"/>
              <w:rPr>
                <w:sz w:val="24"/>
                <w:szCs w:val="24"/>
                <w:color w:val="auto"/>
              </w:rPr>
            </w:pPr>
          </w:p>
        </w:tc>
        <w:tc>
          <w:tcPr>
            <w:tcW w:w="240" w:type="dxa"/>
            <w:vAlign w:val="bottom"/>
            <w:shd w:val="clear" w:color="auto" w:fill="83AD40"/>
          </w:tcPr>
          <w:p>
            <w:pPr>
              <w:spacing w:after="0"/>
              <w:rPr>
                <w:sz w:val="24"/>
                <w:szCs w:val="24"/>
                <w:color w:val="auto"/>
              </w:rPr>
            </w:pPr>
          </w:p>
        </w:tc>
        <w:tc>
          <w:tcPr>
            <w:tcW w:w="160" w:type="dxa"/>
            <w:vAlign w:val="bottom"/>
            <w:shd w:val="clear" w:color="auto" w:fill="83AD40"/>
          </w:tcPr>
          <w:p>
            <w:pPr>
              <w:spacing w:after="0"/>
              <w:rPr>
                <w:sz w:val="24"/>
                <w:szCs w:val="24"/>
                <w:color w:val="auto"/>
              </w:rPr>
            </w:pPr>
          </w:p>
        </w:tc>
        <w:tc>
          <w:tcPr>
            <w:tcW w:w="1100" w:type="dxa"/>
            <w:vAlign w:val="bottom"/>
          </w:tcPr>
          <w:p>
            <w:pPr>
              <w:spacing w:after="0"/>
              <w:rPr>
                <w:sz w:val="24"/>
                <w:szCs w:val="24"/>
                <w:color w:val="auto"/>
              </w:rPr>
            </w:pPr>
          </w:p>
        </w:tc>
        <w:tc>
          <w:tcPr>
            <w:tcW w:w="1500" w:type="dxa"/>
            <w:vAlign w:val="bottom"/>
            <w:vMerge w:val="restart"/>
          </w:tcPr>
          <w:p>
            <w:pPr>
              <w:ind w:left="380"/>
              <w:spacing w:after="0"/>
              <w:rPr>
                <w:sz w:val="20"/>
                <w:szCs w:val="20"/>
                <w:color w:val="auto"/>
              </w:rPr>
            </w:pPr>
            <w:r>
              <w:rPr>
                <w:rFonts w:ascii="Arial" w:cs="Arial" w:eastAsia="Arial" w:hAnsi="Arial"/>
                <w:sz w:val="16"/>
                <w:szCs w:val="16"/>
                <w:b w:val="1"/>
                <w:bCs w:val="1"/>
                <w:color w:val="1F2668"/>
              </w:rPr>
              <w:t>Time-Based</w:t>
            </w:r>
          </w:p>
        </w:tc>
        <w:tc>
          <w:tcPr>
            <w:tcW w:w="240" w:type="dxa"/>
            <w:vAlign w:val="bottom"/>
          </w:tcPr>
          <w:p>
            <w:pPr>
              <w:spacing w:after="0"/>
              <w:rPr>
                <w:sz w:val="24"/>
                <w:szCs w:val="24"/>
                <w:color w:val="auto"/>
              </w:rPr>
            </w:pPr>
          </w:p>
        </w:tc>
        <w:tc>
          <w:tcPr>
            <w:tcW w:w="5680" w:type="dxa"/>
            <w:vAlign w:val="bottom"/>
          </w:tcPr>
          <w:p>
            <w:pPr>
              <w:ind w:left="20"/>
              <w:spacing w:after="0"/>
              <w:rPr>
                <w:sz w:val="20"/>
                <w:szCs w:val="20"/>
                <w:color w:val="auto"/>
              </w:rPr>
            </w:pPr>
            <w:r>
              <w:rPr>
                <w:rFonts w:ascii="Arial" w:cs="Arial" w:eastAsia="Arial" w:hAnsi="Arial"/>
                <w:sz w:val="16"/>
                <w:szCs w:val="16"/>
                <w:color w:val="auto"/>
              </w:rPr>
              <w:t>• Time-based equity grants, which are awarded based on performance and</w:t>
            </w:r>
          </w:p>
        </w:tc>
        <w:tc>
          <w:tcPr>
            <w:tcW w:w="0" w:type="dxa"/>
            <w:vAlign w:val="bottom"/>
          </w:tcPr>
          <w:p>
            <w:pPr>
              <w:spacing w:after="0"/>
              <w:rPr>
                <w:sz w:val="1"/>
                <w:szCs w:val="1"/>
                <w:color w:val="auto"/>
              </w:rPr>
            </w:pPr>
          </w:p>
        </w:tc>
      </w:tr>
      <w:tr>
        <w:trPr>
          <w:trHeight w:val="43"/>
        </w:trPr>
        <w:tc>
          <w:tcPr>
            <w:tcW w:w="140" w:type="dxa"/>
            <w:vAlign w:val="bottom"/>
            <w:shd w:val="clear" w:color="auto" w:fill="83AD40"/>
          </w:tcPr>
          <w:p>
            <w:pPr>
              <w:spacing w:after="0"/>
              <w:rPr>
                <w:sz w:val="3"/>
                <w:szCs w:val="3"/>
                <w:color w:val="auto"/>
              </w:rPr>
            </w:pPr>
          </w:p>
        </w:tc>
        <w:tc>
          <w:tcPr>
            <w:tcW w:w="240" w:type="dxa"/>
            <w:vAlign w:val="bottom"/>
            <w:shd w:val="clear" w:color="auto" w:fill="83AD40"/>
          </w:tcPr>
          <w:p>
            <w:pPr>
              <w:spacing w:after="0"/>
              <w:rPr>
                <w:sz w:val="3"/>
                <w:szCs w:val="3"/>
                <w:color w:val="auto"/>
              </w:rPr>
            </w:pPr>
          </w:p>
        </w:tc>
        <w:tc>
          <w:tcPr>
            <w:tcW w:w="160" w:type="dxa"/>
            <w:vAlign w:val="bottom"/>
            <w:shd w:val="clear" w:color="auto" w:fill="83AD40"/>
          </w:tcPr>
          <w:p>
            <w:pPr>
              <w:spacing w:after="0"/>
              <w:rPr>
                <w:sz w:val="3"/>
                <w:szCs w:val="3"/>
                <w:color w:val="auto"/>
              </w:rPr>
            </w:pPr>
          </w:p>
        </w:tc>
        <w:tc>
          <w:tcPr>
            <w:tcW w:w="110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5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83AD40"/>
          </w:tcPr>
          <w:p>
            <w:pPr>
              <w:spacing w:after="0"/>
              <w:rPr>
                <w:sz w:val="17"/>
                <w:szCs w:val="17"/>
                <w:color w:val="auto"/>
              </w:rPr>
            </w:pPr>
          </w:p>
        </w:tc>
        <w:tc>
          <w:tcPr>
            <w:tcW w:w="240" w:type="dxa"/>
            <w:vAlign w:val="bottom"/>
            <w:shd w:val="clear" w:color="auto" w:fill="83AD40"/>
          </w:tcPr>
          <w:p>
            <w:pPr>
              <w:spacing w:after="0"/>
              <w:rPr>
                <w:sz w:val="17"/>
                <w:szCs w:val="17"/>
                <w:color w:val="auto"/>
              </w:rPr>
            </w:pPr>
          </w:p>
        </w:tc>
        <w:tc>
          <w:tcPr>
            <w:tcW w:w="160" w:type="dxa"/>
            <w:vAlign w:val="bottom"/>
            <w:shd w:val="clear" w:color="auto" w:fill="83AD40"/>
          </w:tcPr>
          <w:p>
            <w:pPr>
              <w:spacing w:after="0"/>
              <w:rPr>
                <w:sz w:val="17"/>
                <w:szCs w:val="17"/>
                <w:color w:val="auto"/>
              </w:rPr>
            </w:pPr>
          </w:p>
        </w:tc>
        <w:tc>
          <w:tcPr>
            <w:tcW w:w="1100" w:type="dxa"/>
            <w:vAlign w:val="bottom"/>
          </w:tcPr>
          <w:p>
            <w:pPr>
              <w:spacing w:after="0"/>
              <w:rPr>
                <w:sz w:val="20"/>
                <w:szCs w:val="20"/>
                <w:color w:val="auto"/>
              </w:rPr>
            </w:pPr>
            <w:r>
              <w:rPr>
                <w:rFonts w:ascii="Arial" w:cs="Arial" w:eastAsia="Arial" w:hAnsi="Arial"/>
                <w:sz w:val="16"/>
                <w:szCs w:val="16"/>
                <w:color w:val="auto"/>
              </w:rPr>
              <w:t>​</w:t>
            </w:r>
          </w:p>
        </w:tc>
        <w:tc>
          <w:tcPr>
            <w:tcW w:w="1500" w:type="dxa"/>
            <w:vAlign w:val="bottom"/>
          </w:tcPr>
          <w:p>
            <w:pPr>
              <w:ind w:left="160"/>
              <w:spacing w:after="0" w:line="202" w:lineRule="exact"/>
              <w:rPr>
                <w:sz w:val="20"/>
                <w:szCs w:val="20"/>
                <w:color w:val="auto"/>
              </w:rPr>
            </w:pPr>
            <w:r>
              <w:rPr>
                <w:rFonts w:ascii="Arial" w:cs="Arial" w:eastAsia="Arial" w:hAnsi="Arial"/>
                <w:sz w:val="23"/>
                <w:szCs w:val="23"/>
                <w:color w:val="000000"/>
                <w:vertAlign w:val="superscript"/>
              </w:rPr>
              <w:t>​ ​</w:t>
            </w:r>
            <w:r>
              <w:rPr>
                <w:rFonts w:ascii="Arial" w:cs="Arial" w:eastAsia="Arial" w:hAnsi="Arial"/>
                <w:sz w:val="13"/>
                <w:szCs w:val="13"/>
                <w:b w:val="1"/>
                <w:bCs w:val="1"/>
                <w:color w:val="1F2668"/>
              </w:rPr>
              <w:t xml:space="preserve"> Equity Awards</w:t>
            </w:r>
          </w:p>
        </w:tc>
        <w:tc>
          <w:tcPr>
            <w:tcW w:w="240" w:type="dxa"/>
            <w:vAlign w:val="bottom"/>
          </w:tcPr>
          <w:p>
            <w:pPr>
              <w:ind w:left="20"/>
              <w:spacing w:after="0"/>
              <w:rPr>
                <w:sz w:val="20"/>
                <w:szCs w:val="20"/>
                <w:color w:val="auto"/>
              </w:rPr>
            </w:pPr>
            <w:r>
              <w:rPr>
                <w:rFonts w:ascii="Arial" w:cs="Arial" w:eastAsia="Arial" w:hAnsi="Arial"/>
                <w:sz w:val="16"/>
                <w:szCs w:val="16"/>
                <w:color w:val="auto"/>
              </w:rPr>
              <w:t>​ ​</w:t>
            </w:r>
          </w:p>
        </w:tc>
        <w:tc>
          <w:tcPr>
            <w:tcW w:w="5680" w:type="dxa"/>
            <w:vAlign w:val="bottom"/>
          </w:tcPr>
          <w:p>
            <w:pPr>
              <w:ind w:left="180"/>
              <w:spacing w:after="0"/>
              <w:rPr>
                <w:sz w:val="20"/>
                <w:szCs w:val="20"/>
                <w:color w:val="auto"/>
              </w:rPr>
            </w:pPr>
            <w:r>
              <w:rPr>
                <w:rFonts w:ascii="Arial" w:cs="Arial" w:eastAsia="Arial" w:hAnsi="Arial"/>
                <w:sz w:val="16"/>
                <w:szCs w:val="16"/>
                <w:color w:val="auto"/>
              </w:rPr>
              <w:t>other factors provide both a retention tool and ensure the alignment of the</w:t>
            </w:r>
          </w:p>
        </w:tc>
        <w:tc>
          <w:tcPr>
            <w:tcW w:w="0" w:type="dxa"/>
            <w:vAlign w:val="bottom"/>
          </w:tcPr>
          <w:p>
            <w:pPr>
              <w:spacing w:after="0"/>
              <w:rPr>
                <w:sz w:val="1"/>
                <w:szCs w:val="1"/>
                <w:color w:val="auto"/>
              </w:rPr>
            </w:pPr>
          </w:p>
        </w:tc>
      </w:tr>
      <w:tr>
        <w:trPr>
          <w:trHeight w:val="215"/>
        </w:trPr>
        <w:tc>
          <w:tcPr>
            <w:tcW w:w="140" w:type="dxa"/>
            <w:vAlign w:val="bottom"/>
            <w:shd w:val="clear" w:color="auto" w:fill="83AD40"/>
          </w:tcPr>
          <w:p>
            <w:pPr>
              <w:spacing w:after="0"/>
              <w:rPr>
                <w:sz w:val="18"/>
                <w:szCs w:val="18"/>
                <w:color w:val="auto"/>
              </w:rPr>
            </w:pPr>
          </w:p>
        </w:tc>
        <w:tc>
          <w:tcPr>
            <w:tcW w:w="240" w:type="dxa"/>
            <w:vAlign w:val="bottom"/>
            <w:shd w:val="clear" w:color="auto" w:fill="83AD40"/>
          </w:tcPr>
          <w:p>
            <w:pPr>
              <w:spacing w:after="0"/>
              <w:rPr>
                <w:sz w:val="18"/>
                <w:szCs w:val="18"/>
                <w:color w:val="auto"/>
              </w:rPr>
            </w:pPr>
          </w:p>
        </w:tc>
        <w:tc>
          <w:tcPr>
            <w:tcW w:w="160" w:type="dxa"/>
            <w:vAlign w:val="bottom"/>
            <w:shd w:val="clear" w:color="auto" w:fill="83AD40"/>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Arial" w:cs="Arial" w:eastAsia="Arial" w:hAnsi="Arial"/>
                <w:sz w:val="16"/>
                <w:szCs w:val="16"/>
                <w:color w:val="auto"/>
              </w:rPr>
              <w:t>interests of our executives with long-term stockholders</w:t>
            </w:r>
          </w:p>
        </w:tc>
        <w:tc>
          <w:tcPr>
            <w:tcW w:w="0" w:type="dxa"/>
            <w:vAlign w:val="bottom"/>
          </w:tcPr>
          <w:p>
            <w:pPr>
              <w:spacing w:after="0"/>
              <w:rPr>
                <w:sz w:val="1"/>
                <w:szCs w:val="1"/>
                <w:color w:val="auto"/>
              </w:rPr>
            </w:pPr>
          </w:p>
        </w:tc>
      </w:tr>
      <w:tr>
        <w:trPr>
          <w:trHeight w:val="116"/>
        </w:trPr>
        <w:tc>
          <w:tcPr>
            <w:tcW w:w="140" w:type="dxa"/>
            <w:vAlign w:val="bottom"/>
            <w:tcBorders>
              <w:bottom w:val="single" w:sz="8" w:color="1F2668"/>
            </w:tcBorders>
            <w:shd w:val="clear" w:color="auto" w:fill="83AD40"/>
          </w:tcPr>
          <w:p>
            <w:pPr>
              <w:spacing w:after="0"/>
              <w:rPr>
                <w:sz w:val="10"/>
                <w:szCs w:val="10"/>
                <w:color w:val="auto"/>
              </w:rPr>
            </w:pPr>
          </w:p>
        </w:tc>
        <w:tc>
          <w:tcPr>
            <w:tcW w:w="240" w:type="dxa"/>
            <w:vAlign w:val="bottom"/>
            <w:tcBorders>
              <w:bottom w:val="single" w:sz="8" w:color="1F2668"/>
            </w:tcBorders>
            <w:shd w:val="clear" w:color="auto" w:fill="83AD40"/>
          </w:tcPr>
          <w:p>
            <w:pPr>
              <w:spacing w:after="0"/>
              <w:rPr>
                <w:sz w:val="10"/>
                <w:szCs w:val="10"/>
                <w:color w:val="auto"/>
              </w:rPr>
            </w:pPr>
          </w:p>
        </w:tc>
        <w:tc>
          <w:tcPr>
            <w:tcW w:w="160" w:type="dxa"/>
            <w:vAlign w:val="bottom"/>
            <w:tcBorders>
              <w:bottom w:val="single" w:sz="8" w:color="1F2668"/>
            </w:tcBorders>
            <w:shd w:val="clear" w:color="auto" w:fill="83AD40"/>
          </w:tcPr>
          <w:p>
            <w:pPr>
              <w:spacing w:after="0"/>
              <w:rPr>
                <w:sz w:val="10"/>
                <w:szCs w:val="10"/>
                <w:color w:val="auto"/>
              </w:rPr>
            </w:pPr>
          </w:p>
        </w:tc>
        <w:tc>
          <w:tcPr>
            <w:tcW w:w="1100" w:type="dxa"/>
            <w:vAlign w:val="bottom"/>
            <w:tcBorders>
              <w:bottom w:val="single" w:sz="8" w:color="1F2668"/>
            </w:tcBorders>
          </w:tcPr>
          <w:p>
            <w:pPr>
              <w:spacing w:after="0"/>
              <w:rPr>
                <w:sz w:val="10"/>
                <w:szCs w:val="10"/>
                <w:color w:val="auto"/>
              </w:rPr>
            </w:pPr>
          </w:p>
        </w:tc>
        <w:tc>
          <w:tcPr>
            <w:tcW w:w="1500" w:type="dxa"/>
            <w:vAlign w:val="bottom"/>
            <w:tcBorders>
              <w:bottom w:val="single" w:sz="8" w:color="1F2668"/>
            </w:tcBorders>
          </w:tcPr>
          <w:p>
            <w:pPr>
              <w:spacing w:after="0"/>
              <w:rPr>
                <w:sz w:val="10"/>
                <w:szCs w:val="10"/>
                <w:color w:val="auto"/>
              </w:rPr>
            </w:pPr>
          </w:p>
        </w:tc>
        <w:tc>
          <w:tcPr>
            <w:tcW w:w="240" w:type="dxa"/>
            <w:vAlign w:val="bottom"/>
            <w:tcBorders>
              <w:bottom w:val="single" w:sz="8" w:color="1F2668"/>
            </w:tcBorders>
          </w:tcPr>
          <w:p>
            <w:pPr>
              <w:spacing w:after="0"/>
              <w:rPr>
                <w:sz w:val="10"/>
                <w:szCs w:val="10"/>
                <w:color w:val="auto"/>
              </w:rPr>
            </w:pPr>
          </w:p>
        </w:tc>
        <w:tc>
          <w:tcPr>
            <w:tcW w:w="5680" w:type="dxa"/>
            <w:vAlign w:val="bottom"/>
            <w:tcBorders>
              <w:bottom w:val="single" w:sz="8" w:color="1F2668"/>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1040130</wp:posOffset>
            </wp:positionH>
            <wp:positionV relativeFrom="paragraph">
              <wp:posOffset>-3522980</wp:posOffset>
            </wp:positionV>
            <wp:extent cx="582930" cy="58293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82930" cy="58293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-2553970</wp:posOffset>
            </wp:positionV>
            <wp:extent cx="591185" cy="59118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91185" cy="591185"/>
                    </a:xfrm>
                    <a:prstGeom prst="rect">
                      <a:avLst/>
                    </a:prstGeom>
                    <a:noFill/>
                  </pic:spPr>
                </pic:pic>
              </a:graphicData>
            </a:graphic>
          </wp:anchor>
        </w:drawing>
        <w:drawing>
          <wp:anchor simplePos="0" relativeHeight="251657728" behindDoc="1" locked="0" layoutInCell="0" allowOverlap="1">
            <wp:simplePos x="0" y="0"/>
            <wp:positionH relativeFrom="column">
              <wp:posOffset>1040130</wp:posOffset>
            </wp:positionH>
            <wp:positionV relativeFrom="paragraph">
              <wp:posOffset>-1431290</wp:posOffset>
            </wp:positionV>
            <wp:extent cx="582930" cy="58293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82930" cy="582930"/>
                    </a:xfrm>
                    <a:prstGeom prst="rect">
                      <a:avLst/>
                    </a:prstGeom>
                    <a:noFill/>
                  </pic:spPr>
                </pic:pic>
              </a:graphicData>
            </a:graphic>
          </wp:anchor>
        </w:drawing>
        <w:drawing>
          <wp:anchor simplePos="0" relativeHeight="251657728" behindDoc="1" locked="0" layoutInCell="0" allowOverlap="1">
            <wp:simplePos x="0" y="0"/>
            <wp:positionH relativeFrom="column">
              <wp:posOffset>1040130</wp:posOffset>
            </wp:positionH>
            <wp:positionV relativeFrom="paragraph">
              <wp:posOffset>-608330</wp:posOffset>
            </wp:positionV>
            <wp:extent cx="582930" cy="58293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82930" cy="582930"/>
                    </a:xfrm>
                    <a:prstGeom prst="rect">
                      <a:avLst/>
                    </a:prstGeom>
                    <a:noFill/>
                  </pic:spPr>
                </pic:pic>
              </a:graphicData>
            </a:graphic>
          </wp:anchor>
        </w:drawing>
      </w:r>
    </w:p>
    <w:p>
      <w:pPr>
        <w:spacing w:after="0" w:line="182" w:lineRule="exact"/>
        <w:rPr>
          <w:sz w:val="20"/>
          <w:szCs w:val="20"/>
          <w:color w:val="auto"/>
        </w:rPr>
      </w:pPr>
    </w:p>
    <w:p>
      <w:pPr>
        <w:jc w:val="both"/>
        <w:ind w:left="980" w:right="100" w:hanging="159"/>
        <w:spacing w:after="0" w:line="245" w:lineRule="auto"/>
        <w:tabs>
          <w:tab w:leader="none" w:pos="960" w:val="left"/>
        </w:tabs>
        <w:rPr>
          <w:sz w:val="20"/>
          <w:szCs w:val="20"/>
          <w:color w:val="auto"/>
        </w:rPr>
      </w:pPr>
      <w:r>
        <w:rPr>
          <w:rFonts w:ascii="Arial" w:cs="Arial" w:eastAsia="Arial" w:hAnsi="Arial"/>
          <w:sz w:val="32"/>
          <w:szCs w:val="32"/>
          <w:b w:val="1"/>
          <w:bCs w:val="1"/>
          <w:color w:val="auto"/>
          <w:vertAlign w:val="superscript"/>
        </w:rPr>
        <w:t>​</w:t>
      </w:r>
      <w:r>
        <w:rPr>
          <w:sz w:val="20"/>
          <w:szCs w:val="20"/>
          <w:color w:val="auto"/>
        </w:rPr>
        <w:tab/>
      </w:r>
      <w:r>
        <w:rPr>
          <w:rFonts w:ascii="Arial" w:cs="Arial" w:eastAsia="Arial" w:hAnsi="Arial"/>
          <w:sz w:val="16"/>
          <w:szCs w:val="16"/>
          <w:b w:val="1"/>
          <w:bCs w:val="1"/>
          <w:color w:val="auto"/>
        </w:rPr>
        <w:t xml:space="preserve">For 2025, in connection with entering into a new employment with our CEO, we have further increased the at-risk, </w:t>
      </w: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performance-based equity portions of our compensation program—while eliminating short-term performance goals —to further strengthen the alignment between senior management and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-467360</wp:posOffset>
            </wp:positionV>
            <wp:extent cx="5760720" cy="52260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760720" cy="52260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1516380</wp:posOffset>
            </wp:positionV>
            <wp:extent cx="683196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1F2668"/>
        </w:rPr>
        <w:t>​</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ectPr>
          <w:pgSz w:w="11900" w:h="16838" w:orient="portrait"/>
          <w:cols w:equalWidth="0" w:num="2">
            <w:col w:w="9880" w:space="0"/>
            <w:col w:w="60"/>
          </w:cols>
          <w:pgMar w:left="580" w:top="97" w:right="1379"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5100" w:type="dxa"/>
            <w:vAlign w:val="bottom"/>
          </w:tcPr>
          <w:p>
            <w:pPr>
              <w:spacing w:after="0"/>
              <w:rPr>
                <w:sz w:val="20"/>
                <w:szCs w:val="20"/>
                <w:color w:val="auto"/>
              </w:rPr>
            </w:pPr>
            <w:r>
              <w:rPr>
                <w:rFonts w:ascii="Arial" w:cs="Arial" w:eastAsia="Arial" w:hAnsi="Arial"/>
                <w:sz w:val="14"/>
                <w:szCs w:val="14"/>
                <w:b w:val="1"/>
                <w:bCs w:val="1"/>
                <w:color w:val="auto"/>
              </w:rPr>
              <w:t>​</w:t>
            </w:r>
          </w:p>
        </w:tc>
        <w:tc>
          <w:tcPr>
            <w:tcW w:w="3480" w:type="dxa"/>
            <w:vAlign w:val="bottom"/>
          </w:tcPr>
          <w:p>
            <w:pPr>
              <w:ind w:left="3100"/>
              <w:spacing w:after="0"/>
              <w:rPr>
                <w:sz w:val="20"/>
                <w:szCs w:val="20"/>
                <w:color w:val="auto"/>
              </w:rPr>
            </w:pPr>
            <w:r>
              <w:rPr>
                <w:rFonts w:ascii="Arial" w:cs="Arial" w:eastAsia="Arial" w:hAnsi="Arial"/>
                <w:sz w:val="14"/>
                <w:szCs w:val="14"/>
                <w:b w:val="1"/>
                <w:bCs w:val="1"/>
                <w:color w:val="auto"/>
              </w:rPr>
              <w:t>​ ​</w:t>
            </w:r>
          </w:p>
        </w:tc>
        <w:tc>
          <w:tcPr>
            <w:tcW w:w="480" w:type="dxa"/>
            <w:vAlign w:val="bottom"/>
            <w:vMerge w:val="restart"/>
          </w:tcPr>
          <w:p>
            <w:pPr>
              <w:jc w:val="right"/>
              <w:spacing w:after="0"/>
              <w:rPr>
                <w:sz w:val="20"/>
                <w:szCs w:val="20"/>
                <w:color w:val="auto"/>
              </w:rPr>
            </w:pPr>
            <w:r>
              <w:rPr>
                <w:rFonts w:ascii="Arial" w:cs="Arial" w:eastAsia="Arial" w:hAnsi="Arial"/>
                <w:sz w:val="22"/>
                <w:szCs w:val="22"/>
                <w:b w:val="1"/>
                <w:bCs w:val="1"/>
                <w:color w:val="1F2668"/>
              </w:rPr>
              <w:t>47</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5100" w:type="dxa"/>
            <w:vAlign w:val="bottom"/>
          </w:tcPr>
          <w:p>
            <w:pPr>
              <w:spacing w:after="0"/>
              <w:rPr>
                <w:sz w:val="20"/>
                <w:szCs w:val="20"/>
                <w:color w:val="auto"/>
              </w:rPr>
            </w:pPr>
            <w:r>
              <w:rPr>
                <w:rFonts w:ascii="Arial" w:cs="Arial" w:eastAsia="Arial" w:hAnsi="Arial"/>
                <w:sz w:val="14"/>
                <w:szCs w:val="14"/>
                <w:b w:val="1"/>
                <w:bCs w:val="1"/>
                <w:color w:val="auto"/>
              </w:rPr>
              <w:t>EXECUTIVE COMPENSATION</w:t>
            </w:r>
          </w:p>
        </w:tc>
        <w:tc>
          <w:tcPr>
            <w:tcW w:w="348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83AD40"/>
        </w:rPr>
        <w:t>Transformation of Executive Pay Reflects Stockholder Feedback</w:t>
      </w:r>
    </w:p>
    <w:p>
      <w:pPr>
        <w:spacing w:after="0" w:line="131" w:lineRule="exact"/>
        <w:rPr>
          <w:sz w:val="20"/>
          <w:szCs w:val="20"/>
          <w:color w:val="auto"/>
        </w:rPr>
      </w:pPr>
    </w:p>
    <w:p>
      <w:pPr>
        <w:ind w:left="820" w:right="1040"/>
        <w:spacing w:after="0" w:line="340" w:lineRule="auto"/>
        <w:rPr>
          <w:sz w:val="20"/>
          <w:szCs w:val="20"/>
          <w:color w:val="auto"/>
        </w:rPr>
      </w:pPr>
      <w:r>
        <w:rPr>
          <w:rFonts w:ascii="Arial" w:cs="Arial" w:eastAsia="Arial" w:hAnsi="Arial"/>
          <w:sz w:val="15"/>
          <w:szCs w:val="15"/>
          <w:color w:val="auto"/>
        </w:rPr>
        <w:t>In line with stockholder feedback received over the past several years, our executive pay structure has been deliberately and decisively transformed to focus on incentivizing and rewarding executives for actions that create sustainable stockholder value.</w:t>
      </w:r>
    </w:p>
    <w:p>
      <w:pPr>
        <w:sectPr>
          <w:pgSz w:w="11900" w:h="16838" w:orient="portrait"/>
          <w:cols w:equalWidth="0" w:num="1">
            <w:col w:w="10720"/>
          </w:cols>
          <w:pgMar w:left="580" w:top="97" w:right="599" w:bottom="1440" w:gutter="0" w:footer="0" w:header="0"/>
        </w:sectPr>
      </w:pPr>
    </w:p>
    <w:p>
      <w:pPr>
        <w:spacing w:after="0" w:line="164"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1F2668"/>
        </w:rPr>
        <w:t>Pay</w:t>
      </w:r>
    </w:p>
    <w:p>
      <w:pPr>
        <w:ind w:left="820"/>
        <w:spacing w:after="0" w:line="182" w:lineRule="auto"/>
        <w:rPr>
          <w:sz w:val="20"/>
          <w:szCs w:val="20"/>
          <w:color w:val="auto"/>
        </w:rPr>
      </w:pPr>
      <w:r>
        <w:rPr>
          <w:rFonts w:ascii="Arial" w:cs="Arial" w:eastAsia="Arial" w:hAnsi="Arial"/>
          <w:sz w:val="23"/>
          <w:szCs w:val="23"/>
          <w:b w:val="1"/>
          <w:bCs w:val="1"/>
          <w:color w:val="1F2668"/>
          <w:vertAlign w:val="subscript"/>
        </w:rPr>
        <w:t>​</w:t>
      </w:r>
      <w:r>
        <w:rPr>
          <w:rFonts w:ascii="Arial" w:cs="Arial" w:eastAsia="Arial" w:hAnsi="Arial"/>
          <w:sz w:val="13"/>
          <w:szCs w:val="13"/>
          <w:b w:val="1"/>
          <w:bCs w:val="1"/>
          <w:color w:val="1F2668"/>
        </w:rPr>
        <w:t xml:space="preserve"> Element </w:t>
      </w:r>
      <w:r>
        <w:rPr>
          <w:rFonts w:ascii="Arial" w:cs="Arial" w:eastAsia="Arial" w:hAnsi="Arial"/>
          <w:sz w:val="23"/>
          <w:szCs w:val="23"/>
          <w:b w:val="1"/>
          <w:bCs w:val="1"/>
          <w:color w:val="1F2668"/>
          <w:vertAlign w:val="subscript"/>
        </w:rPr>
        <w:t>​ ​</w:t>
      </w:r>
      <w:r>
        <w:rPr>
          <w:rFonts w:ascii="Arial" w:cs="Arial" w:eastAsia="Arial" w:hAnsi="Arial"/>
          <w:sz w:val="13"/>
          <w:szCs w:val="13"/>
          <w:b w:val="1"/>
          <w:bCs w:val="1"/>
          <w:color w:val="1F2668"/>
        </w:rPr>
        <w:t xml:space="preserve"> Actions in line with Stockholder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0</wp:posOffset>
            </wp:positionV>
            <wp:extent cx="5760720" cy="317182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760720" cy="3171825"/>
                    </a:xfrm>
                    <a:prstGeom prst="rect">
                      <a:avLst/>
                    </a:prstGeom>
                    <a:noFill/>
                  </pic:spPr>
                </pic:pic>
              </a:graphicData>
            </a:graphic>
          </wp:anchor>
        </w:drawing>
      </w:r>
    </w:p>
    <w:tbl>
      <w:tblPr>
        <w:tblLayout w:type="fixed"/>
        <w:tblInd w:w="820" w:type="dxa"/>
        <w:tblCellMar>
          <w:top w:w="0" w:type="dxa"/>
          <w:left w:w="0" w:type="dxa"/>
          <w:bottom w:w="0" w:type="dxa"/>
          <w:right w:w="0" w:type="dxa"/>
        </w:tblCellMar>
      </w:tblPr>
      <w:tr>
        <w:trPr>
          <w:trHeight w:val="435"/>
        </w:trPr>
        <w:tc>
          <w:tcPr>
            <w:tcW w:w="120" w:type="dxa"/>
            <w:vAlign w:val="bottom"/>
          </w:tcPr>
          <w:p>
            <w:pPr>
              <w:spacing w:after="0"/>
              <w:rPr>
                <w:sz w:val="20"/>
                <w:szCs w:val="20"/>
                <w:color w:val="auto"/>
              </w:rPr>
            </w:pPr>
            <w:r>
              <w:rPr>
                <w:rFonts w:ascii="Arial" w:cs="Arial" w:eastAsia="Arial" w:hAnsi="Arial"/>
                <w:sz w:val="16"/>
                <w:szCs w:val="16"/>
                <w:color w:val="auto"/>
              </w:rPr>
              <w:t>​</w:t>
            </w:r>
          </w:p>
        </w:tc>
        <w:tc>
          <w:tcPr>
            <w:tcW w:w="240" w:type="dxa"/>
            <w:vAlign w:val="bottom"/>
            <w:vMerge w:val="restart"/>
            <w:textDirection w:val="btLr"/>
          </w:tcPr>
          <w:p>
            <w:pPr>
              <w:ind w:left="56"/>
              <w:spacing w:after="0"/>
              <w:rPr>
                <w:sz w:val="20"/>
                <w:szCs w:val="20"/>
                <w:color w:val="auto"/>
              </w:rPr>
            </w:pPr>
            <w:r>
              <w:rPr>
                <w:rFonts w:ascii="Arial" w:cs="Arial" w:eastAsia="Arial" w:hAnsi="Arial"/>
                <w:sz w:val="16"/>
                <w:szCs w:val="16"/>
                <w:color w:val="1F2668"/>
              </w:rPr>
              <w:t>Base</w:t>
            </w:r>
          </w:p>
        </w:tc>
        <w:tc>
          <w:tcPr>
            <w:tcW w:w="240" w:type="dxa"/>
            <w:vAlign w:val="bottom"/>
            <w:vMerge w:val="restart"/>
            <w:textDirection w:val="btLr"/>
          </w:tcPr>
          <w:p>
            <w:pPr>
              <w:ind w:left="29"/>
              <w:spacing w:after="0"/>
              <w:rPr>
                <w:sz w:val="20"/>
                <w:szCs w:val="20"/>
                <w:color w:val="auto"/>
              </w:rPr>
            </w:pPr>
            <w:r>
              <w:rPr>
                <w:rFonts w:ascii="Arial" w:cs="Arial" w:eastAsia="Arial" w:hAnsi="Arial"/>
                <w:sz w:val="16"/>
                <w:szCs w:val="16"/>
                <w:color w:val="1F2668"/>
                <w:w w:val="98"/>
              </w:rPr>
              <w:t>salary</w:t>
            </w:r>
          </w:p>
        </w:tc>
        <w:tc>
          <w:tcPr>
            <w:tcW w:w="4200" w:type="dxa"/>
            <w:vAlign w:val="bottom"/>
          </w:tcPr>
          <w:p>
            <w:pPr>
              <w:ind w:left="80"/>
              <w:spacing w:after="0" w:line="368" w:lineRule="exact"/>
              <w:rPr>
                <w:sz w:val="20"/>
                <w:szCs w:val="20"/>
                <w:color w:val="auto"/>
              </w:rPr>
            </w:pPr>
            <w:r>
              <w:rPr>
                <w:rFonts w:ascii="Arial" w:cs="Arial" w:eastAsia="Arial" w:hAnsi="Arial"/>
                <w:sz w:val="32"/>
                <w:szCs w:val="32"/>
                <w:color w:val="auto"/>
                <w:vertAlign w:val="superscript"/>
              </w:rPr>
              <w:t>​ ​</w:t>
            </w:r>
            <w:r>
              <w:rPr>
                <w:rFonts w:ascii="Arial" w:cs="Arial" w:eastAsia="Arial" w:hAnsi="Arial"/>
                <w:sz w:val="16"/>
                <w:szCs w:val="16"/>
                <w:color w:val="auto"/>
              </w:rPr>
              <w:t xml:space="preserve"> </w:t>
            </w:r>
            <w:r>
              <w:rPr>
                <w:rFonts w:ascii="MS PGothic" w:cs="MS PGothic" w:eastAsia="MS PGothic" w:hAnsi="MS PGothic"/>
                <w:sz w:val="16"/>
                <w:szCs w:val="16"/>
                <w:color w:val="83AD40"/>
              </w:rPr>
              <w:t>✓</w:t>
            </w:r>
            <w:r>
              <w:rPr>
                <w:rFonts w:ascii="Arial" w:cs="Arial" w:eastAsia="Arial" w:hAnsi="Arial"/>
                <w:sz w:val="16"/>
                <w:szCs w:val="16"/>
                <w:color w:val="auto"/>
              </w:rPr>
              <w:t xml:space="preserve"> Eliminated Deferred Compensation</w:t>
            </w:r>
          </w:p>
        </w:tc>
        <w:tc>
          <w:tcPr>
            <w:tcW w:w="0" w:type="dxa"/>
            <w:vAlign w:val="bottom"/>
          </w:tcPr>
          <w:p>
            <w:pPr>
              <w:spacing w:after="0"/>
              <w:rPr>
                <w:sz w:val="1"/>
                <w:szCs w:val="1"/>
                <w:color w:val="auto"/>
              </w:rPr>
            </w:pPr>
          </w:p>
        </w:tc>
      </w:tr>
      <w:tr>
        <w:trPr>
          <w:trHeight w:val="50"/>
        </w:trPr>
        <w:tc>
          <w:tcPr>
            <w:tcW w:w="12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4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0"/>
        </w:trPr>
        <w:tc>
          <w:tcPr>
            <w:tcW w:w="120" w:type="dxa"/>
            <w:vAlign w:val="bottom"/>
          </w:tcPr>
          <w:p>
            <w:pPr>
              <w:spacing w:after="0"/>
              <w:rPr>
                <w:sz w:val="20"/>
                <w:szCs w:val="20"/>
                <w:color w:val="auto"/>
              </w:rPr>
            </w:pPr>
            <w:r>
              <w:rPr>
                <w:rFonts w:ascii="Arial" w:cs="Arial" w:eastAsia="Arial" w:hAnsi="Arial"/>
                <w:sz w:val="16"/>
                <w:szCs w:val="16"/>
                <w:color w:val="auto"/>
              </w:rPr>
              <w:t>​</w:t>
            </w:r>
          </w:p>
        </w:tc>
        <w:tc>
          <w:tcPr>
            <w:tcW w:w="480" w:type="dxa"/>
            <w:vAlign w:val="bottom"/>
            <w:gridSpan w:val="2"/>
            <w:vMerge w:val="restart"/>
            <w:textDirection w:val="btLr"/>
          </w:tcPr>
          <w:p>
            <w:pPr>
              <w:ind w:left="196"/>
              <w:spacing w:after="0"/>
              <w:rPr>
                <w:sz w:val="20"/>
                <w:szCs w:val="20"/>
                <w:color w:val="auto"/>
              </w:rPr>
            </w:pPr>
            <w:r>
              <w:rPr>
                <w:rFonts w:ascii="Arial" w:cs="Arial" w:eastAsia="Arial" w:hAnsi="Arial"/>
                <w:sz w:val="16"/>
                <w:szCs w:val="16"/>
                <w:b w:val="1"/>
                <w:bCs w:val="1"/>
                <w:color w:val="1F2668"/>
                <w:w w:val="72"/>
              </w:rPr>
              <w:t>Incentive</w:t>
            </w:r>
          </w:p>
        </w:tc>
        <w:tc>
          <w:tcPr>
            <w:tcW w:w="4200" w:type="dxa"/>
            <w:vAlign w:val="bottom"/>
          </w:tcPr>
          <w:p>
            <w:pPr>
              <w:ind w:left="80"/>
              <w:spacing w:after="0" w:line="184" w:lineRule="exact"/>
              <w:rPr>
                <w:sz w:val="20"/>
                <w:szCs w:val="20"/>
                <w:color w:val="auto"/>
              </w:rPr>
            </w:pPr>
            <w:r>
              <w:rPr>
                <w:rFonts w:ascii="Arial" w:cs="Arial" w:eastAsia="Arial" w:hAnsi="Arial"/>
                <w:sz w:val="16"/>
                <w:szCs w:val="16"/>
                <w:color w:val="auto"/>
              </w:rPr>
              <w:t xml:space="preserve">​ ​ </w:t>
            </w:r>
            <w:r>
              <w:rPr>
                <w:rFonts w:ascii="MS PGothic" w:cs="MS PGothic" w:eastAsia="MS PGothic" w:hAnsi="MS PGothic"/>
                <w:sz w:val="16"/>
                <w:szCs w:val="16"/>
                <w:color w:val="83AD40"/>
              </w:rPr>
              <w:t>✓</w:t>
            </w:r>
            <w:r>
              <w:rPr>
                <w:rFonts w:ascii="Arial" w:cs="Arial" w:eastAsia="Arial" w:hAnsi="Arial"/>
                <w:sz w:val="16"/>
                <w:szCs w:val="16"/>
                <w:color w:val="auto"/>
              </w:rPr>
              <w:t xml:space="preserve"> Replaced TSR with operating metrics</w:t>
            </w: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4200" w:type="dxa"/>
            <w:vAlign w:val="bottom"/>
            <w:vMerge w:val="restart"/>
          </w:tcPr>
          <w:p>
            <w:pPr>
              <w:ind w:left="240"/>
              <w:spacing w:after="0" w:line="184" w:lineRule="exact"/>
              <w:rPr>
                <w:sz w:val="20"/>
                <w:szCs w:val="20"/>
                <w:color w:val="auto"/>
              </w:rPr>
            </w:pPr>
            <w:r>
              <w:rPr>
                <w:rFonts w:ascii="MS PGothic" w:cs="MS PGothic" w:eastAsia="MS PGothic" w:hAnsi="MS PGothic"/>
                <w:sz w:val="16"/>
                <w:szCs w:val="16"/>
                <w:color w:val="83AD40"/>
              </w:rPr>
              <w:t>✓</w:t>
            </w:r>
            <w:r>
              <w:rPr>
                <w:rFonts w:ascii="Arial" w:cs="Arial" w:eastAsia="Arial" w:hAnsi="Arial"/>
                <w:sz w:val="16"/>
                <w:szCs w:val="16"/>
                <w:color w:val="auto"/>
              </w:rPr>
              <w:t xml:space="preserve"> Eliminated discretionary annual bonus process</w:t>
            </w:r>
          </w:p>
        </w:tc>
        <w:tc>
          <w:tcPr>
            <w:tcW w:w="0" w:type="dxa"/>
            <w:vAlign w:val="bottom"/>
          </w:tcPr>
          <w:p>
            <w:pPr>
              <w:spacing w:after="0"/>
              <w:rPr>
                <w:sz w:val="1"/>
                <w:szCs w:val="1"/>
                <w:color w:val="auto"/>
              </w:rPr>
            </w:pPr>
          </w:p>
        </w:tc>
      </w:tr>
      <w:tr>
        <w:trPr>
          <w:trHeight w:val="31"/>
        </w:trPr>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0" w:type="dxa"/>
            <w:vAlign w:val="bottom"/>
          </w:tcPr>
          <w:p>
            <w:pPr>
              <w:ind w:left="240"/>
              <w:spacing w:after="0" w:line="184" w:lineRule="exact"/>
              <w:rPr>
                <w:sz w:val="20"/>
                <w:szCs w:val="20"/>
                <w:color w:val="auto"/>
              </w:rPr>
            </w:pPr>
            <w:r>
              <w:rPr>
                <w:rFonts w:ascii="MS PGothic" w:cs="MS PGothic" w:eastAsia="MS PGothic" w:hAnsi="MS PGothic"/>
                <w:sz w:val="16"/>
                <w:szCs w:val="16"/>
                <w:color w:val="83AD40"/>
                <w:w w:val="99"/>
              </w:rPr>
              <w:t>✓</w:t>
            </w:r>
            <w:r>
              <w:rPr>
                <w:rFonts w:ascii="Arial" w:cs="Arial" w:eastAsia="Arial" w:hAnsi="Arial"/>
                <w:sz w:val="16"/>
                <w:szCs w:val="16"/>
                <w:color w:val="auto"/>
                <w:w w:val="99"/>
              </w:rPr>
              <w:t xml:space="preserve"> Updated CEO to be 100% formulaic and CFO annual</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480" w:type="dxa"/>
            <w:vAlign w:val="bottom"/>
            <w:gridSpan w:val="2"/>
            <w:vMerge w:val="restart"/>
            <w:textDirection w:val="btLr"/>
          </w:tcPr>
          <w:p>
            <w:pPr>
              <w:ind w:left="219"/>
              <w:spacing w:after="0"/>
              <w:rPr>
                <w:sz w:val="20"/>
                <w:szCs w:val="20"/>
                <w:color w:val="auto"/>
              </w:rPr>
            </w:pPr>
            <w:r>
              <w:rPr>
                <w:rFonts w:ascii="Arial" w:cs="Arial" w:eastAsia="Arial" w:hAnsi="Arial"/>
                <w:sz w:val="14"/>
                <w:szCs w:val="14"/>
                <w:b w:val="1"/>
                <w:bCs w:val="1"/>
                <w:color w:val="1F2668"/>
                <w:w w:val="71"/>
              </w:rPr>
              <w:t>Annual</w:t>
            </w:r>
          </w:p>
        </w:tc>
        <w:tc>
          <w:tcPr>
            <w:tcW w:w="4200" w:type="dxa"/>
            <w:vAlign w:val="bottom"/>
          </w:tcPr>
          <w:p>
            <w:pPr>
              <w:ind w:left="460"/>
              <w:spacing w:after="0"/>
              <w:rPr>
                <w:sz w:val="20"/>
                <w:szCs w:val="20"/>
                <w:color w:val="auto"/>
              </w:rPr>
            </w:pPr>
            <w:r>
              <w:rPr>
                <w:rFonts w:ascii="Arial" w:cs="Arial" w:eastAsia="Arial" w:hAnsi="Arial"/>
                <w:sz w:val="16"/>
                <w:szCs w:val="16"/>
                <w:color w:val="auto"/>
              </w:rPr>
              <w:t>incentive to be 60% formulaic and based on</w:t>
            </w:r>
          </w:p>
        </w:tc>
        <w:tc>
          <w:tcPr>
            <w:tcW w:w="0" w:type="dxa"/>
            <w:vAlign w:val="bottom"/>
          </w:tcPr>
          <w:p>
            <w:pPr>
              <w:spacing w:after="0"/>
              <w:rPr>
                <w:sz w:val="1"/>
                <w:szCs w:val="1"/>
                <w:color w:val="auto"/>
              </w:rPr>
            </w:pPr>
          </w:p>
        </w:tc>
      </w:tr>
      <w:tr>
        <w:trPr>
          <w:trHeight w:val="163"/>
        </w:trPr>
        <w:tc>
          <w:tcPr>
            <w:tcW w:w="12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4200" w:type="dxa"/>
            <w:vAlign w:val="bottom"/>
            <w:vMerge w:val="restart"/>
          </w:tcPr>
          <w:p>
            <w:pPr>
              <w:ind w:left="460"/>
              <w:spacing w:after="0"/>
              <w:rPr>
                <w:sz w:val="20"/>
                <w:szCs w:val="20"/>
                <w:color w:val="auto"/>
              </w:rPr>
            </w:pPr>
            <w:r>
              <w:rPr>
                <w:rFonts w:ascii="Arial" w:cs="Arial" w:eastAsia="Arial" w:hAnsi="Arial"/>
                <w:sz w:val="16"/>
                <w:szCs w:val="16"/>
                <w:color w:val="auto"/>
              </w:rPr>
              <w:t>Company performance against preset goals</w:t>
            </w:r>
          </w:p>
        </w:tc>
        <w:tc>
          <w:tcPr>
            <w:tcW w:w="0" w:type="dxa"/>
            <w:vAlign w:val="bottom"/>
          </w:tcPr>
          <w:p>
            <w:pPr>
              <w:spacing w:after="0"/>
              <w:rPr>
                <w:sz w:val="1"/>
                <w:szCs w:val="1"/>
                <w:color w:val="auto"/>
              </w:rPr>
            </w:pPr>
          </w:p>
        </w:tc>
      </w:tr>
      <w:tr>
        <w:trPr>
          <w:trHeight w:val="52"/>
        </w:trPr>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33"/>
        </w:trPr>
        <w:tc>
          <w:tcPr>
            <w:tcW w:w="120" w:type="dxa"/>
            <w:vAlign w:val="bottom"/>
          </w:tcPr>
          <w:p>
            <w:pPr>
              <w:spacing w:after="0"/>
              <w:rPr>
                <w:sz w:val="20"/>
                <w:szCs w:val="20"/>
                <w:color w:val="auto"/>
              </w:rPr>
            </w:pPr>
            <w:r>
              <w:rPr>
                <w:rFonts w:ascii="Arial" w:cs="Arial" w:eastAsia="Arial" w:hAnsi="Arial"/>
                <w:sz w:val="16"/>
                <w:szCs w:val="16"/>
                <w:color w:val="auto"/>
              </w:rPr>
              <w:t>​</w:t>
            </w:r>
          </w:p>
        </w:tc>
        <w:tc>
          <w:tcPr>
            <w:tcW w:w="240" w:type="dxa"/>
            <w:vAlign w:val="bottom"/>
            <w:vMerge w:val="restart"/>
            <w:textDirection w:val="btLr"/>
          </w:tcPr>
          <w:p>
            <w:pPr>
              <w:ind w:left="125"/>
              <w:spacing w:after="0"/>
              <w:rPr>
                <w:sz w:val="20"/>
                <w:szCs w:val="20"/>
                <w:color w:val="auto"/>
              </w:rPr>
            </w:pPr>
            <w:r>
              <w:rPr>
                <w:rFonts w:ascii="Arial" w:cs="Arial" w:eastAsia="Arial" w:hAnsi="Arial"/>
                <w:sz w:val="10"/>
                <w:szCs w:val="10"/>
                <w:b w:val="1"/>
                <w:bCs w:val="1"/>
                <w:color w:val="1F2668"/>
                <w:w w:val="75"/>
              </w:rPr>
              <w:t>Long-termIncentives</w:t>
            </w:r>
          </w:p>
        </w:tc>
        <w:tc>
          <w:tcPr>
            <w:tcW w:w="240" w:type="dxa"/>
            <w:vAlign w:val="bottom"/>
            <w:vMerge w:val="restart"/>
            <w:textDirection w:val="btLr"/>
          </w:tcPr>
          <w:p>
            <w:pPr>
              <w:ind w:left="37"/>
              <w:spacing w:after="0"/>
              <w:rPr>
                <w:sz w:val="20"/>
                <w:szCs w:val="20"/>
                <w:color w:val="auto"/>
              </w:rPr>
            </w:pPr>
            <w:r>
              <w:rPr>
                <w:rFonts w:ascii="Arial" w:cs="Arial" w:eastAsia="Arial" w:hAnsi="Arial"/>
                <w:sz w:val="16"/>
                <w:szCs w:val="16"/>
                <w:b w:val="1"/>
                <w:bCs w:val="1"/>
                <w:color w:val="1F2668"/>
                <w:w w:val="98"/>
              </w:rPr>
              <w:t>(“LTI”)</w:t>
            </w:r>
          </w:p>
        </w:tc>
        <w:tc>
          <w:tcPr>
            <w:tcW w:w="4200" w:type="dxa"/>
            <w:vAlign w:val="bottom"/>
          </w:tcPr>
          <w:p>
            <w:pPr>
              <w:ind w:left="80"/>
              <w:spacing w:after="0" w:line="184" w:lineRule="exact"/>
              <w:rPr>
                <w:sz w:val="20"/>
                <w:szCs w:val="20"/>
                <w:color w:val="auto"/>
              </w:rPr>
            </w:pPr>
            <w:r>
              <w:rPr>
                <w:rFonts w:ascii="Arial" w:cs="Arial" w:eastAsia="Arial" w:hAnsi="Arial"/>
                <w:sz w:val="16"/>
                <w:szCs w:val="16"/>
                <w:color w:val="auto"/>
              </w:rPr>
              <w:t xml:space="preserve">​ ​ </w:t>
            </w:r>
            <w:r>
              <w:rPr>
                <w:rFonts w:ascii="MS PGothic" w:cs="MS PGothic" w:eastAsia="MS PGothic" w:hAnsi="MS PGothic"/>
                <w:sz w:val="16"/>
                <w:szCs w:val="16"/>
                <w:color w:val="83AD40"/>
              </w:rPr>
              <w:t>✓</w:t>
            </w:r>
            <w:r>
              <w:rPr>
                <w:rFonts w:ascii="Arial" w:cs="Arial" w:eastAsia="Arial" w:hAnsi="Arial"/>
                <w:sz w:val="16"/>
                <w:szCs w:val="16"/>
                <w:color w:val="auto"/>
              </w:rPr>
              <w:t xml:space="preserve"> Eliminated retesting and guaranteed equity grants</w:t>
            </w: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4200" w:type="dxa"/>
            <w:vAlign w:val="bottom"/>
            <w:vMerge w:val="restart"/>
          </w:tcPr>
          <w:p>
            <w:pPr>
              <w:ind w:left="240"/>
              <w:spacing w:after="0" w:line="184" w:lineRule="exact"/>
              <w:rPr>
                <w:sz w:val="20"/>
                <w:szCs w:val="20"/>
                <w:color w:val="auto"/>
              </w:rPr>
            </w:pPr>
            <w:r>
              <w:rPr>
                <w:rFonts w:ascii="MS PGothic" w:cs="MS PGothic" w:eastAsia="MS PGothic" w:hAnsi="MS PGothic"/>
                <w:sz w:val="16"/>
                <w:szCs w:val="16"/>
                <w:color w:val="83AD40"/>
              </w:rPr>
              <w:t>✓</w:t>
            </w:r>
            <w:r>
              <w:rPr>
                <w:rFonts w:ascii="Arial" w:cs="Arial" w:eastAsia="Arial" w:hAnsi="Arial"/>
                <w:sz w:val="16"/>
                <w:szCs w:val="16"/>
                <w:color w:val="auto"/>
              </w:rPr>
              <w:t xml:space="preserve"> Added 3-year Absolute TSR modifier to LTI</w:t>
            </w: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0" w:type="dxa"/>
            <w:vAlign w:val="bottom"/>
          </w:tcPr>
          <w:p>
            <w:pPr>
              <w:ind w:left="460"/>
              <w:spacing w:after="0" w:line="175" w:lineRule="exact"/>
              <w:rPr>
                <w:sz w:val="20"/>
                <w:szCs w:val="20"/>
                <w:color w:val="auto"/>
              </w:rPr>
            </w:pPr>
            <w:r>
              <w:rPr>
                <w:rFonts w:ascii="Arial" w:cs="Arial" w:eastAsia="Arial" w:hAnsi="Arial"/>
                <w:sz w:val="16"/>
                <w:szCs w:val="16"/>
                <w:color w:val="auto"/>
                <w:w w:val="99"/>
              </w:rPr>
              <w:t>performance equity underpinned by annual operating</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0" w:type="dxa"/>
            <w:vAlign w:val="bottom"/>
          </w:tcPr>
          <w:p>
            <w:pPr>
              <w:ind w:left="460"/>
              <w:spacing w:after="0"/>
              <w:rPr>
                <w:sz w:val="20"/>
                <w:szCs w:val="20"/>
                <w:color w:val="auto"/>
              </w:rPr>
            </w:pPr>
            <w:r>
              <w:rPr>
                <w:rFonts w:ascii="Arial" w:cs="Arial" w:eastAsia="Arial" w:hAnsi="Arial"/>
                <w:sz w:val="16"/>
                <w:szCs w:val="16"/>
                <w:color w:val="auto"/>
              </w:rPr>
              <w:t>goals,</w:t>
            </w: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0" w:type="dxa"/>
            <w:vAlign w:val="bottom"/>
          </w:tcPr>
          <w:p>
            <w:pPr>
              <w:ind w:left="240"/>
              <w:spacing w:after="0" w:line="184" w:lineRule="exact"/>
              <w:rPr>
                <w:sz w:val="20"/>
                <w:szCs w:val="20"/>
                <w:color w:val="auto"/>
              </w:rPr>
            </w:pPr>
            <w:r>
              <w:rPr>
                <w:rFonts w:ascii="MS PGothic" w:cs="MS PGothic" w:eastAsia="MS PGothic" w:hAnsi="MS PGothic"/>
                <w:sz w:val="16"/>
                <w:szCs w:val="16"/>
                <w:color w:val="83AD40"/>
              </w:rPr>
              <w:t>✓</w:t>
            </w:r>
            <w:r>
              <w:rPr>
                <w:rFonts w:ascii="Arial" w:cs="Arial" w:eastAsia="Arial" w:hAnsi="Arial"/>
                <w:sz w:val="16"/>
                <w:szCs w:val="16"/>
                <w:color w:val="auto"/>
              </w:rPr>
              <w:t xml:space="preserve"> Added 3-year Relative TSR for 50% of LTIP</w:t>
            </w:r>
          </w:p>
        </w:tc>
        <w:tc>
          <w:tcPr>
            <w:tcW w:w="0" w:type="dxa"/>
            <w:vAlign w:val="bottom"/>
          </w:tcPr>
          <w:p>
            <w:pPr>
              <w:spacing w:after="0"/>
              <w:rPr>
                <w:sz w:val="1"/>
                <w:szCs w:val="1"/>
                <w:color w:val="auto"/>
              </w:rPr>
            </w:pPr>
          </w:p>
        </w:tc>
      </w:tr>
      <w:tr>
        <w:trPr>
          <w:trHeight w:val="225"/>
        </w:trPr>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0" w:type="dxa"/>
            <w:vAlign w:val="bottom"/>
          </w:tcPr>
          <w:p>
            <w:pPr>
              <w:ind w:left="240"/>
              <w:spacing w:after="0" w:line="184" w:lineRule="exact"/>
              <w:rPr>
                <w:sz w:val="20"/>
                <w:szCs w:val="20"/>
                <w:color w:val="auto"/>
              </w:rPr>
            </w:pPr>
            <w:r>
              <w:rPr>
                <w:rFonts w:ascii="MS PGothic" w:cs="MS PGothic" w:eastAsia="MS PGothic" w:hAnsi="MS PGothic"/>
                <w:sz w:val="16"/>
                <w:szCs w:val="16"/>
                <w:color w:val="83AD40"/>
                <w:w w:val="99"/>
              </w:rPr>
              <w:t>✓</w:t>
            </w:r>
            <w:r>
              <w:rPr>
                <w:rFonts w:ascii="Arial" w:cs="Arial" w:eastAsia="Arial" w:hAnsi="Arial"/>
                <w:sz w:val="16"/>
                <w:szCs w:val="16"/>
                <w:color w:val="auto"/>
                <w:w w:val="99"/>
              </w:rPr>
              <w:t xml:space="preserve"> Implemented vesting cap for Relative TSR-based LTI</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0" w:type="dxa"/>
            <w:vAlign w:val="bottom"/>
          </w:tcPr>
          <w:p>
            <w:pPr>
              <w:ind w:left="460"/>
              <w:spacing w:after="0"/>
              <w:rPr>
                <w:sz w:val="20"/>
                <w:szCs w:val="20"/>
                <w:color w:val="auto"/>
              </w:rPr>
            </w:pPr>
            <w:r>
              <w:rPr>
                <w:rFonts w:ascii="Arial" w:cs="Arial" w:eastAsia="Arial" w:hAnsi="Arial"/>
                <w:sz w:val="16"/>
                <w:szCs w:val="16"/>
                <w:color w:val="auto"/>
              </w:rPr>
              <w:t>performance equity</w:t>
            </w:r>
          </w:p>
        </w:tc>
        <w:tc>
          <w:tcPr>
            <w:tcW w:w="0" w:type="dxa"/>
            <w:vAlign w:val="bottom"/>
          </w:tcPr>
          <w:p>
            <w:pPr>
              <w:spacing w:after="0"/>
              <w:rPr>
                <w:sz w:val="1"/>
                <w:szCs w:val="1"/>
                <w:color w:val="auto"/>
              </w:rPr>
            </w:pPr>
          </w:p>
        </w:tc>
      </w:tr>
      <w:tr>
        <w:trPr>
          <w:trHeight w:val="231"/>
        </w:trPr>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0" w:type="dxa"/>
            <w:vAlign w:val="bottom"/>
          </w:tcPr>
          <w:p>
            <w:pPr>
              <w:ind w:left="240"/>
              <w:spacing w:after="0" w:line="184" w:lineRule="exact"/>
              <w:rPr>
                <w:sz w:val="20"/>
                <w:szCs w:val="20"/>
                <w:color w:val="auto"/>
              </w:rPr>
            </w:pPr>
            <w:r>
              <w:rPr>
                <w:rFonts w:ascii="MS PGothic" w:cs="MS PGothic" w:eastAsia="MS PGothic" w:hAnsi="MS PGothic"/>
                <w:sz w:val="16"/>
                <w:szCs w:val="16"/>
                <w:color w:val="83AD40"/>
              </w:rPr>
              <w:t>✓</w:t>
            </w:r>
            <w:r>
              <w:rPr>
                <w:rFonts w:ascii="Arial" w:cs="Arial" w:eastAsia="Arial" w:hAnsi="Arial"/>
                <w:sz w:val="16"/>
                <w:szCs w:val="16"/>
                <w:b w:val="1"/>
                <w:bCs w:val="1"/>
                <w:color w:val="auto"/>
              </w:rPr>
              <w:t xml:space="preserve"> Eliminated short-term performance goals for all</w:t>
            </w: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0" w:type="dxa"/>
            <w:vAlign w:val="bottom"/>
          </w:tcPr>
          <w:p>
            <w:pPr>
              <w:ind w:left="460"/>
              <w:spacing w:after="0"/>
              <w:rPr>
                <w:sz w:val="20"/>
                <w:szCs w:val="20"/>
                <w:color w:val="auto"/>
              </w:rPr>
            </w:pPr>
            <w:r>
              <w:rPr>
                <w:rFonts w:ascii="Arial" w:cs="Arial" w:eastAsia="Arial" w:hAnsi="Arial"/>
                <w:sz w:val="16"/>
                <w:szCs w:val="16"/>
                <w:b w:val="1"/>
                <w:bCs w:val="1"/>
                <w:color w:val="auto"/>
              </w:rPr>
              <w:t>LTI performance equity (2025)</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0" w:type="dxa"/>
            <w:vAlign w:val="bottom"/>
          </w:tcPr>
          <w:p>
            <w:pPr>
              <w:ind w:left="80"/>
              <w:spacing w:after="0" w:line="184" w:lineRule="exact"/>
              <w:rPr>
                <w:sz w:val="20"/>
                <w:szCs w:val="20"/>
                <w:color w:val="auto"/>
              </w:rPr>
            </w:pPr>
            <w:r>
              <w:rPr>
                <w:rFonts w:ascii="Arial" w:cs="Arial" w:eastAsia="Arial" w:hAnsi="Arial"/>
                <w:sz w:val="16"/>
                <w:szCs w:val="16"/>
                <w:color w:val="auto"/>
              </w:rPr>
              <w:t xml:space="preserve">​ ​ </w:t>
            </w:r>
            <w:r>
              <w:rPr>
                <w:rFonts w:ascii="MS PGothic" w:cs="MS PGothic" w:eastAsia="MS PGothic" w:hAnsi="MS PGothic"/>
                <w:sz w:val="16"/>
                <w:szCs w:val="16"/>
                <w:color w:val="83AD40"/>
              </w:rPr>
              <w:t>✓</w:t>
            </w:r>
            <w:r>
              <w:rPr>
                <w:rFonts w:ascii="Arial" w:cs="Arial" w:eastAsia="Arial" w:hAnsi="Arial"/>
                <w:sz w:val="16"/>
                <w:szCs w:val="16"/>
                <w:color w:val="auto"/>
              </w:rPr>
              <w:t xml:space="preserve"> Eliminated automobile benefits for NEOs</w:t>
            </w:r>
          </w:p>
        </w:tc>
        <w:tc>
          <w:tcPr>
            <w:tcW w:w="0" w:type="dxa"/>
            <w:vAlign w:val="bottom"/>
          </w:tcPr>
          <w:p>
            <w:pPr>
              <w:spacing w:after="0"/>
              <w:rPr>
                <w:sz w:val="1"/>
                <w:szCs w:val="1"/>
                <w:color w:val="auto"/>
              </w:rPr>
            </w:pPr>
          </w:p>
        </w:tc>
      </w:tr>
      <w:tr>
        <w:trPr>
          <w:trHeight w:val="241"/>
        </w:trPr>
        <w:tc>
          <w:tcPr>
            <w:tcW w:w="120" w:type="dxa"/>
            <w:vAlign w:val="bottom"/>
          </w:tcPr>
          <w:p>
            <w:pPr>
              <w:spacing w:after="0"/>
              <w:rPr>
                <w:sz w:val="20"/>
                <w:szCs w:val="20"/>
                <w:color w:val="auto"/>
              </w:rPr>
            </w:pPr>
          </w:p>
        </w:tc>
        <w:tc>
          <w:tcPr>
            <w:tcW w:w="480" w:type="dxa"/>
            <w:vAlign w:val="bottom"/>
            <w:gridSpan w:val="2"/>
            <w:textDirection w:val="btLr"/>
          </w:tcPr>
          <w:p>
            <w:pPr>
              <w:ind w:left="242"/>
              <w:spacing w:after="0"/>
              <w:rPr>
                <w:sz w:val="20"/>
                <w:szCs w:val="20"/>
                <w:color w:val="auto"/>
              </w:rPr>
            </w:pPr>
            <w:r>
              <w:rPr>
                <w:rFonts w:ascii="Arial" w:cs="Arial" w:eastAsia="Arial" w:hAnsi="Arial"/>
                <w:sz w:val="12"/>
                <w:szCs w:val="12"/>
                <w:b w:val="1"/>
                <w:bCs w:val="1"/>
                <w:color w:val="1F2668"/>
                <w:w w:val="74"/>
              </w:rPr>
              <w:t>Other</w:t>
            </w:r>
          </w:p>
        </w:tc>
        <w:tc>
          <w:tcPr>
            <w:tcW w:w="4200" w:type="dxa"/>
            <w:vAlign w:val="bottom"/>
          </w:tcPr>
          <w:p>
            <w:pPr>
              <w:ind w:left="240"/>
              <w:spacing w:after="0" w:line="184" w:lineRule="exact"/>
              <w:rPr>
                <w:sz w:val="20"/>
                <w:szCs w:val="20"/>
                <w:color w:val="auto"/>
              </w:rPr>
            </w:pPr>
            <w:r>
              <w:rPr>
                <w:rFonts w:ascii="MS PGothic" w:cs="MS PGothic" w:eastAsia="MS PGothic" w:hAnsi="MS PGothic"/>
                <w:sz w:val="16"/>
                <w:szCs w:val="16"/>
                <w:color w:val="83AD40"/>
              </w:rPr>
              <w:t>✓</w:t>
            </w:r>
            <w:r>
              <w:rPr>
                <w:rFonts w:ascii="Arial" w:cs="Arial" w:eastAsia="Arial" w:hAnsi="Arial"/>
                <w:sz w:val="16"/>
                <w:szCs w:val="16"/>
                <w:b w:val="1"/>
                <w:bCs w:val="1"/>
                <w:color w:val="auto"/>
              </w:rPr>
              <w:t xml:space="preserve"> Modified cash severance to average bonus in</w:t>
            </w:r>
          </w:p>
        </w:tc>
        <w:tc>
          <w:tcPr>
            <w:tcW w:w="0" w:type="dxa"/>
            <w:vAlign w:val="bottom"/>
          </w:tcPr>
          <w:p>
            <w:pPr>
              <w:spacing w:after="0"/>
              <w:rPr>
                <w:sz w:val="1"/>
                <w:szCs w:val="1"/>
                <w:color w:val="auto"/>
              </w:rPr>
            </w:pPr>
          </w:p>
        </w:tc>
      </w:tr>
    </w:tbl>
    <w:p>
      <w:pPr>
        <w:ind w:left="1880" w:right="140"/>
        <w:spacing w:after="0" w:line="252" w:lineRule="auto"/>
        <w:rPr>
          <w:sz w:val="20"/>
          <w:szCs w:val="20"/>
          <w:color w:val="auto"/>
        </w:rPr>
      </w:pPr>
      <w:r>
        <w:rPr>
          <w:rFonts w:ascii="Arial" w:cs="Arial" w:eastAsia="Arial" w:hAnsi="Arial"/>
          <w:sz w:val="16"/>
          <w:szCs w:val="16"/>
          <w:b w:val="1"/>
          <w:bCs w:val="1"/>
          <w:color w:val="auto"/>
        </w:rPr>
        <w:t>prior two years (from maximum bonus) for non-CIC Termination without Cause or for Good Reason (2025)</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91"/>
        </w:trPr>
        <w:tc>
          <w:tcPr>
            <w:tcW w:w="80" w:type="dxa"/>
            <w:vAlign w:val="bottom"/>
          </w:tcPr>
          <w:p>
            <w:pPr>
              <w:spacing w:after="0"/>
              <w:rPr>
                <w:sz w:val="20"/>
                <w:szCs w:val="20"/>
                <w:color w:val="auto"/>
              </w:rPr>
            </w:pPr>
            <w:r>
              <w:rPr>
                <w:rFonts w:ascii="Arial" w:cs="Arial" w:eastAsia="Arial" w:hAnsi="Arial"/>
                <w:sz w:val="14"/>
                <w:szCs w:val="14"/>
                <w:b w:val="1"/>
                <w:bCs w:val="1"/>
                <w:color w:val="1F2668"/>
              </w:rPr>
              <w:t>​</w:t>
            </w:r>
          </w:p>
        </w:tc>
        <w:tc>
          <w:tcPr>
            <w:tcW w:w="3720" w:type="dxa"/>
            <w:vAlign w:val="bottom"/>
            <w:shd w:val="clear" w:color="auto" w:fill="E2F7CB"/>
          </w:tcPr>
          <w:p>
            <w:pPr>
              <w:ind w:left="20"/>
              <w:spacing w:after="0"/>
              <w:rPr>
                <w:sz w:val="20"/>
                <w:szCs w:val="20"/>
                <w:color w:val="auto"/>
              </w:rPr>
            </w:pPr>
            <w:r>
              <w:rPr>
                <w:rFonts w:ascii="Arial" w:cs="Arial" w:eastAsia="Arial" w:hAnsi="Arial"/>
                <w:sz w:val="28"/>
                <w:szCs w:val="28"/>
                <w:b w:val="1"/>
                <w:bCs w:val="1"/>
                <w:color w:val="1F2668"/>
                <w:vertAlign w:val="subscript"/>
              </w:rPr>
              <w:t>​</w:t>
            </w:r>
            <w:r>
              <w:rPr>
                <w:rFonts w:ascii="Arial" w:cs="Arial" w:eastAsia="Arial" w:hAnsi="Arial"/>
                <w:sz w:val="14"/>
                <w:szCs w:val="14"/>
                <w:b w:val="1"/>
                <w:bCs w:val="1"/>
                <w:color w:val="1F2668"/>
              </w:rPr>
              <w:t xml:space="preserve"> 2025 Features</w:t>
            </w:r>
          </w:p>
        </w:tc>
        <w:tc>
          <w:tcPr>
            <w:tcW w:w="440" w:type="dxa"/>
            <w:vAlign w:val="bottom"/>
            <w:shd w:val="clear" w:color="auto" w:fill="E2F7CB"/>
          </w:tcPr>
          <w:p>
            <w:pPr>
              <w:ind w:left="340"/>
              <w:spacing w:after="0"/>
              <w:rPr>
                <w:sz w:val="20"/>
                <w:szCs w:val="20"/>
                <w:color w:val="auto"/>
              </w:rPr>
            </w:pPr>
            <w:r>
              <w:rPr>
                <w:rFonts w:ascii="Arial" w:cs="Arial" w:eastAsia="Arial" w:hAnsi="Arial"/>
                <w:sz w:val="14"/>
                <w:szCs w:val="14"/>
                <w:b w:val="1"/>
                <w:bCs w:val="1"/>
                <w:color w:val="1F2668"/>
              </w:rPr>
              <w:t>​</w:t>
            </w:r>
          </w:p>
        </w:tc>
      </w:tr>
      <w:tr>
        <w:trPr>
          <w:trHeight w:val="261"/>
        </w:trPr>
        <w:tc>
          <w:tcPr>
            <w:tcW w:w="80" w:type="dxa"/>
            <w:vAlign w:val="bottom"/>
          </w:tcPr>
          <w:p>
            <w:pPr>
              <w:spacing w:after="0"/>
              <w:rPr>
                <w:sz w:val="20"/>
                <w:szCs w:val="20"/>
                <w:color w:val="auto"/>
              </w:rPr>
            </w:pPr>
            <w:r>
              <w:rPr>
                <w:rFonts w:ascii="Arial" w:cs="Arial" w:eastAsia="Arial" w:hAnsi="Arial"/>
                <w:sz w:val="16"/>
                <w:szCs w:val="16"/>
                <w:color w:val="auto"/>
              </w:rPr>
              <w:t>​</w:t>
            </w:r>
          </w:p>
        </w:tc>
        <w:tc>
          <w:tcPr>
            <w:tcW w:w="3720" w:type="dxa"/>
            <w:vAlign w:val="bottom"/>
          </w:tcPr>
          <w:p>
            <w:pPr>
              <w:ind w:left="20"/>
              <w:spacing w:after="0" w:line="261"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xml:space="preserve"> </w:t>
            </w:r>
            <w:r>
              <w:rPr>
                <w:rFonts w:ascii="MS PGothic" w:cs="MS PGothic" w:eastAsia="MS PGothic" w:hAnsi="MS PGothic"/>
                <w:sz w:val="16"/>
                <w:szCs w:val="16"/>
                <w:color w:val="83AD40"/>
              </w:rPr>
              <w:t>✓</w:t>
            </w:r>
            <w:r>
              <w:rPr>
                <w:rFonts w:ascii="Arial" w:cs="Arial" w:eastAsia="Arial" w:hAnsi="Arial"/>
                <w:sz w:val="16"/>
                <w:szCs w:val="16"/>
                <w:color w:val="auto"/>
              </w:rPr>
              <w:t xml:space="preserve"> Base salary remains only fixed pay element</w:t>
            </w:r>
          </w:p>
        </w:tc>
        <w:tc>
          <w:tcPr>
            <w:tcW w:w="440" w:type="dxa"/>
            <w:vAlign w:val="bottom"/>
          </w:tcPr>
          <w:p>
            <w:pPr>
              <w:ind w:left="340"/>
              <w:spacing w:after="0"/>
              <w:rPr>
                <w:sz w:val="20"/>
                <w:szCs w:val="20"/>
                <w:color w:val="auto"/>
              </w:rPr>
            </w:pPr>
            <w:r>
              <w:rPr>
                <w:rFonts w:ascii="Arial" w:cs="Arial" w:eastAsia="Arial" w:hAnsi="Arial"/>
                <w:sz w:val="16"/>
                <w:szCs w:val="16"/>
                <w:color w:val="auto"/>
              </w:rPr>
              <w:t>​</w:t>
            </w:r>
          </w:p>
        </w:tc>
      </w:tr>
    </w:tbl>
    <w:p>
      <w:pPr>
        <w:ind w:left="380" w:hanging="209"/>
        <w:spacing w:after="0"/>
        <w:tabs>
          <w:tab w:leader="none" w:pos="380" w:val="left"/>
        </w:tabs>
        <w:numPr>
          <w:ilvl w:val="0"/>
          <w:numId w:val="56"/>
        </w:numPr>
        <w:rPr>
          <w:rFonts w:ascii="MS PGothic" w:cs="MS PGothic" w:eastAsia="MS PGothic" w:hAnsi="MS PGothic"/>
          <w:sz w:val="16"/>
          <w:szCs w:val="16"/>
          <w:color w:val="83AD40"/>
        </w:rPr>
      </w:pPr>
      <w:r>
        <w:rPr>
          <w:rFonts w:ascii="Arial" w:cs="Arial" w:eastAsia="Arial" w:hAnsi="Arial"/>
          <w:sz w:val="16"/>
          <w:szCs w:val="16"/>
          <w:color w:val="auto"/>
        </w:rPr>
        <w:t>1</w:t>
      </w:r>
      <w:r>
        <w:rPr>
          <w:rFonts w:ascii="Arial" w:cs="Arial" w:eastAsia="Arial" w:hAnsi="Arial"/>
          <w:sz w:val="19"/>
          <w:szCs w:val="19"/>
          <w:color w:val="auto"/>
          <w:vertAlign w:val="superscript"/>
        </w:rPr>
        <w:t>st</w:t>
      </w:r>
      <w:r>
        <w:rPr>
          <w:rFonts w:ascii="Arial" w:cs="Arial" w:eastAsia="Arial" w:hAnsi="Arial"/>
          <w:sz w:val="16"/>
          <w:szCs w:val="16"/>
          <w:color w:val="auto"/>
        </w:rPr>
        <w:t xml:space="preserve"> increase in CEO base salary since 2018</w:t>
      </w:r>
    </w:p>
    <w:p>
      <w:pPr>
        <w:spacing w:after="0" w:line="78" w:lineRule="exact"/>
        <w:rPr>
          <w:sz w:val="20"/>
          <w:szCs w:val="20"/>
          <w:color w:val="auto"/>
        </w:rPr>
      </w:pPr>
    </w:p>
    <w:p>
      <w:pPr>
        <w:ind w:left="380" w:right="900" w:hanging="377"/>
        <w:spacing w:after="0" w:line="273" w:lineRule="exact"/>
        <w:rPr>
          <w:sz w:val="20"/>
          <w:szCs w:val="20"/>
          <w:color w:val="auto"/>
        </w:rPr>
      </w:pPr>
      <w:r>
        <w:rPr>
          <w:rFonts w:ascii="Arial" w:cs="Arial" w:eastAsia="Arial" w:hAnsi="Arial"/>
          <w:sz w:val="16"/>
          <w:szCs w:val="16"/>
          <w:color w:val="auto"/>
        </w:rPr>
        <w:t xml:space="preserve">​ ​ </w:t>
      </w:r>
      <w:r>
        <w:rPr>
          <w:rFonts w:ascii="MS PGothic" w:cs="MS PGothic" w:eastAsia="MS PGothic" w:hAnsi="MS PGothic"/>
          <w:sz w:val="16"/>
          <w:szCs w:val="16"/>
          <w:color w:val="83AD40"/>
        </w:rPr>
        <w:t>✓</w:t>
      </w:r>
      <w:r>
        <w:rPr>
          <w:rFonts w:ascii="Arial" w:cs="Arial" w:eastAsia="Arial" w:hAnsi="Arial"/>
          <w:sz w:val="16"/>
          <w:szCs w:val="16"/>
          <w:color w:val="auto"/>
        </w:rPr>
        <w:t xml:space="preserve"> 100% of CEO and 60% of CFO annual incentive is</w:t>
      </w:r>
      <w:r>
        <w:rPr>
          <w:sz w:val="20"/>
          <w:szCs w:val="20"/>
          <w:color w:val="auto"/>
        </w:rPr>
        <w:t xml:space="preserve"> </w:t>
      </w:r>
      <w:r>
        <w:rPr>
          <w:rFonts w:ascii="Arial" w:cs="Arial" w:eastAsia="Arial" w:hAnsi="Arial"/>
          <w:sz w:val="16"/>
          <w:szCs w:val="16"/>
          <w:color w:val="auto"/>
        </w:rPr>
        <w:t>​ formulaic</w:t>
      </w:r>
    </w:p>
    <w:p>
      <w:pPr>
        <w:spacing w:after="0" w:line="195" w:lineRule="exact"/>
        <w:rPr>
          <w:sz w:val="20"/>
          <w:szCs w:val="20"/>
          <w:color w:val="auto"/>
        </w:rPr>
      </w:pPr>
    </w:p>
    <w:p>
      <w:pPr>
        <w:jc w:val="both"/>
        <w:ind w:left="380" w:right="960" w:hanging="209"/>
        <w:spacing w:after="0" w:line="321" w:lineRule="auto"/>
        <w:tabs>
          <w:tab w:leader="none" w:pos="380" w:val="left"/>
        </w:tabs>
        <w:numPr>
          <w:ilvl w:val="0"/>
          <w:numId w:val="57"/>
        </w:numPr>
        <w:rPr>
          <w:rFonts w:ascii="MS PGothic" w:cs="MS PGothic" w:eastAsia="MS PGothic" w:hAnsi="MS PGothic"/>
          <w:sz w:val="15"/>
          <w:szCs w:val="15"/>
          <w:color w:val="83AD40"/>
        </w:rPr>
      </w:pPr>
      <w:r>
        <w:rPr>
          <w:rFonts w:ascii="Arial" w:cs="Arial" w:eastAsia="Arial" w:hAnsi="Arial"/>
          <w:sz w:val="15"/>
          <w:szCs w:val="15"/>
          <w:color w:val="auto"/>
        </w:rPr>
        <w:t>Up to 100% of annual incentive may be paid in equity that remains subject to a three-year no-sell restriction</w:t>
      </w:r>
    </w:p>
    <w:p>
      <w:pPr>
        <w:spacing w:after="0" w:line="200" w:lineRule="exact"/>
        <w:rPr>
          <w:sz w:val="20"/>
          <w:szCs w:val="20"/>
          <w:color w:val="auto"/>
        </w:rPr>
      </w:pPr>
    </w:p>
    <w:p>
      <w:pPr>
        <w:spacing w:after="0" w:line="261" w:lineRule="exact"/>
        <w:rPr>
          <w:sz w:val="20"/>
          <w:szCs w:val="20"/>
          <w:color w:val="auto"/>
        </w:rPr>
      </w:pPr>
    </w:p>
    <w:p>
      <w:pPr>
        <w:ind w:left="380" w:right="900" w:hanging="377"/>
        <w:spacing w:after="0" w:line="221" w:lineRule="exact"/>
        <w:rPr>
          <w:sz w:val="20"/>
          <w:szCs w:val="20"/>
          <w:color w:val="auto"/>
        </w:rPr>
      </w:pPr>
      <w:r>
        <w:rPr>
          <w:rFonts w:ascii="Arial" w:cs="Arial" w:eastAsia="Arial" w:hAnsi="Arial"/>
          <w:sz w:val="16"/>
          <w:szCs w:val="16"/>
          <w:color w:val="auto"/>
        </w:rPr>
        <w:t xml:space="preserve">​ ​ </w:t>
      </w:r>
      <w:r>
        <w:rPr>
          <w:rFonts w:ascii="MS PGothic" w:cs="MS PGothic" w:eastAsia="MS PGothic" w:hAnsi="MS PGothic"/>
          <w:sz w:val="16"/>
          <w:szCs w:val="16"/>
          <w:color w:val="83AD40"/>
        </w:rPr>
        <w:t>✓</w:t>
      </w:r>
      <w:r>
        <w:rPr>
          <w:rFonts w:ascii="Arial" w:cs="Arial" w:eastAsia="Arial" w:hAnsi="Arial"/>
          <w:sz w:val="16"/>
          <w:szCs w:val="16"/>
          <w:color w:val="auto"/>
        </w:rPr>
        <w:t xml:space="preserve"> Greater than 60% of CEO’s target equity incentives</w:t>
      </w:r>
      <w:r>
        <w:rPr>
          <w:sz w:val="20"/>
          <w:szCs w:val="20"/>
          <w:color w:val="auto"/>
        </w:rPr>
        <w:t xml:space="preserve"> </w:t>
      </w:r>
      <w:r>
        <w:rPr>
          <w:rFonts w:ascii="Arial" w:cs="Arial" w:eastAsia="Arial" w:hAnsi="Arial"/>
          <w:sz w:val="16"/>
          <w:szCs w:val="16"/>
          <w:color w:val="auto"/>
        </w:rPr>
        <w:t>​ are in the form of performance-based equity incentives</w:t>
      </w:r>
    </w:p>
    <w:p>
      <w:pPr>
        <w:spacing w:after="0" w:line="217" w:lineRule="exact"/>
        <w:rPr>
          <w:sz w:val="20"/>
          <w:szCs w:val="20"/>
          <w:color w:val="auto"/>
        </w:rPr>
      </w:pPr>
    </w:p>
    <w:p>
      <w:pPr>
        <w:jc w:val="both"/>
        <w:ind w:left="380" w:right="1380" w:hanging="209"/>
        <w:spacing w:after="0" w:line="266" w:lineRule="auto"/>
        <w:tabs>
          <w:tab w:leader="none" w:pos="380" w:val="left"/>
        </w:tabs>
        <w:numPr>
          <w:ilvl w:val="0"/>
          <w:numId w:val="58"/>
        </w:numPr>
        <w:rPr>
          <w:rFonts w:ascii="MS PGothic" w:cs="MS PGothic" w:eastAsia="MS PGothic" w:hAnsi="MS PGothic"/>
          <w:sz w:val="16"/>
          <w:szCs w:val="16"/>
          <w:color w:val="83AD40"/>
        </w:rPr>
      </w:pPr>
      <w:r>
        <w:rPr>
          <w:rFonts w:ascii="Arial" w:cs="Arial" w:eastAsia="Arial" w:hAnsi="Arial"/>
          <w:sz w:val="16"/>
          <w:szCs w:val="16"/>
          <w:color w:val="auto"/>
        </w:rPr>
        <w:t>No short-term performance goals in CEO’s LTI performance awards in line with commitment to stockholders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3380" w:type="dxa"/>
            <w:vAlign w:val="bottom"/>
          </w:tcPr>
          <w:p>
            <w:pPr>
              <w:spacing w:after="0" w:line="184" w:lineRule="exact"/>
              <w:rPr>
                <w:sz w:val="20"/>
                <w:szCs w:val="20"/>
                <w:color w:val="auto"/>
              </w:rPr>
            </w:pPr>
            <w:r>
              <w:rPr>
                <w:rFonts w:ascii="Arial" w:cs="Arial" w:eastAsia="Arial" w:hAnsi="Arial"/>
                <w:sz w:val="16"/>
                <w:szCs w:val="16"/>
                <w:color w:val="auto"/>
              </w:rPr>
              <w:t xml:space="preserve">​ ​ </w:t>
            </w:r>
            <w:r>
              <w:rPr>
                <w:rFonts w:ascii="MS PGothic" w:cs="MS PGothic" w:eastAsia="MS PGothic" w:hAnsi="MS PGothic"/>
                <w:sz w:val="16"/>
                <w:szCs w:val="16"/>
                <w:color w:val="83AD40"/>
              </w:rPr>
              <w:t>✓</w:t>
            </w:r>
            <w:r>
              <w:rPr>
                <w:rFonts w:ascii="Arial" w:cs="Arial" w:eastAsia="Arial" w:hAnsi="Arial"/>
                <w:sz w:val="16"/>
                <w:szCs w:val="16"/>
                <w:color w:val="auto"/>
              </w:rPr>
              <w:t xml:space="preserve"> No excessive benefits for NEOs</w:t>
            </w:r>
          </w:p>
        </w:tc>
        <w:tc>
          <w:tcPr>
            <w:tcW w:w="800" w:type="dxa"/>
            <w:vAlign w:val="bottom"/>
          </w:tcPr>
          <w:p>
            <w:pPr>
              <w:ind w:left="760"/>
              <w:spacing w:after="0"/>
              <w:rPr>
                <w:sz w:val="20"/>
                <w:szCs w:val="20"/>
                <w:color w:val="auto"/>
              </w:rPr>
            </w:pPr>
            <w:r>
              <w:rPr>
                <w:rFonts w:ascii="Arial" w:cs="Arial" w:eastAsia="Arial" w:hAnsi="Arial"/>
                <w:sz w:val="16"/>
                <w:szCs w:val="16"/>
                <w:color w:val="auto"/>
              </w:rPr>
              <w:t>​</w:t>
            </w:r>
          </w:p>
        </w:tc>
      </w:tr>
    </w:tbl>
    <w:p>
      <w:pPr>
        <w:spacing w:after="0" w:line="977" w:lineRule="exact"/>
        <w:rPr>
          <w:sz w:val="20"/>
          <w:szCs w:val="20"/>
          <w:color w:val="auto"/>
        </w:rPr>
      </w:pPr>
    </w:p>
    <w:p>
      <w:pPr>
        <w:sectPr>
          <w:pgSz w:w="11900" w:h="16838" w:orient="portrait"/>
          <w:cols w:equalWidth="0" w:num="2">
            <w:col w:w="5620" w:space="20"/>
            <w:col w:w="5080"/>
          </w:cols>
          <w:pgMar w:left="580" w:top="97" w:right="599" w:bottom="1440" w:gutter="0" w:footer="0" w:header="0"/>
          <w:type w:val="continuous"/>
        </w:sectPr>
      </w:pPr>
    </w:p>
    <w:p>
      <w:pPr>
        <w:spacing w:after="0" w:line="5"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83AD40"/>
        </w:rPr>
        <w:t>Summary of 2024 Compensation</w:t>
      </w:r>
    </w:p>
    <w:p>
      <w:pPr>
        <w:spacing w:after="0" w:line="144"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Committee’s compensation decisions focus on:</w:t>
      </w:r>
    </w:p>
    <w:p>
      <w:pPr>
        <w:spacing w:after="0" w:line="202"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120" w:type="dxa"/>
            <w:vAlign w:val="bottom"/>
            <w:tcBorders>
              <w:top w:val="single" w:sz="8" w:color="83AD40"/>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2780" w:type="dxa"/>
            <w:vAlign w:val="bottom"/>
            <w:tcBorders>
              <w:top w:val="single" w:sz="8" w:color="83AD40"/>
              <w:right w:val="single" w:sz="8" w:color="83AD40"/>
            </w:tcBorders>
          </w:tcPr>
          <w:p>
            <w:pPr>
              <w:ind w:left="2460"/>
              <w:spacing w:after="0" w:line="162" w:lineRule="exact"/>
              <w:rPr>
                <w:sz w:val="20"/>
                <w:szCs w:val="20"/>
                <w:color w:val="auto"/>
              </w:rPr>
            </w:pPr>
            <w:r>
              <w:rPr>
                <w:rFonts w:ascii="Arial" w:cs="Arial" w:eastAsia="Arial" w:hAnsi="Arial"/>
                <w:sz w:val="16"/>
                <w:szCs w:val="16"/>
                <w:b w:val="1"/>
                <w:bCs w:val="1"/>
                <w:color w:val="auto"/>
              </w:rPr>
              <w:t>​</w:t>
            </w:r>
          </w:p>
        </w:tc>
        <w:tc>
          <w:tcPr>
            <w:tcW w:w="2860" w:type="dxa"/>
            <w:vAlign w:val="bottom"/>
            <w:tcBorders>
              <w:top w:val="single" w:sz="8" w:color="83AD40"/>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320" w:type="dxa"/>
            <w:vAlign w:val="bottom"/>
            <w:tcBorders>
              <w:top w:val="single" w:sz="8" w:color="83AD40"/>
              <w:right w:val="single" w:sz="8" w:color="83AD40"/>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2740" w:type="dxa"/>
            <w:vAlign w:val="bottom"/>
            <w:tcBorders>
              <w:top w:val="single" w:sz="8" w:color="83AD40"/>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240" w:type="dxa"/>
            <w:vAlign w:val="bottom"/>
            <w:tcBorders>
              <w:top w:val="single" w:sz="8" w:color="83AD40"/>
            </w:tcBorders>
          </w:tcPr>
          <w:p>
            <w:pPr>
              <w:ind w:left="120"/>
              <w:spacing w:after="0" w:line="162" w:lineRule="exact"/>
              <w:rPr>
                <w:sz w:val="20"/>
                <w:szCs w:val="20"/>
                <w:color w:val="auto"/>
              </w:rPr>
            </w:pPr>
            <w:r>
              <w:rPr>
                <w:rFonts w:ascii="Arial" w:cs="Arial" w:eastAsia="Arial" w:hAnsi="Arial"/>
                <w:sz w:val="16"/>
                <w:szCs w:val="16"/>
                <w:b w:val="1"/>
                <w:bCs w:val="1"/>
                <w:color w:val="auto"/>
              </w:rPr>
              <w:t>​</w:t>
            </w:r>
          </w:p>
        </w:tc>
      </w:tr>
      <w:tr>
        <w:trPr>
          <w:trHeight w:val="202"/>
        </w:trPr>
        <w:tc>
          <w:tcPr>
            <w:tcW w:w="120" w:type="dxa"/>
            <w:vAlign w:val="bottom"/>
          </w:tcPr>
          <w:p>
            <w:pPr>
              <w:ind w:left="40"/>
              <w:spacing w:after="0"/>
              <w:rPr>
                <w:sz w:val="20"/>
                <w:szCs w:val="20"/>
                <w:color w:val="auto"/>
              </w:rPr>
            </w:pPr>
            <w:r>
              <w:rPr>
                <w:rFonts w:ascii="Arial" w:cs="Arial" w:eastAsia="Arial" w:hAnsi="Arial"/>
                <w:sz w:val="16"/>
                <w:szCs w:val="16"/>
                <w:color w:val="auto"/>
              </w:rPr>
              <w:t>•</w:t>
            </w:r>
          </w:p>
        </w:tc>
        <w:tc>
          <w:tcPr>
            <w:tcW w:w="2780" w:type="dxa"/>
            <w:vAlign w:val="bottom"/>
            <w:tcBorders>
              <w:right w:val="single" w:sz="8" w:color="83AD40"/>
            </w:tcBorders>
          </w:tcPr>
          <w:p>
            <w:pPr>
              <w:ind w:left="80"/>
              <w:spacing w:after="0"/>
              <w:rPr>
                <w:sz w:val="20"/>
                <w:szCs w:val="20"/>
                <w:color w:val="auto"/>
              </w:rPr>
            </w:pPr>
            <w:r>
              <w:rPr>
                <w:rFonts w:ascii="Arial" w:cs="Arial" w:eastAsia="Arial" w:hAnsi="Arial"/>
                <w:sz w:val="16"/>
                <w:szCs w:val="16"/>
                <w:b w:val="1"/>
                <w:bCs w:val="1"/>
                <w:color w:val="auto"/>
              </w:rPr>
              <w:t>Contributions by our</w:t>
            </w:r>
          </w:p>
        </w:tc>
        <w:tc>
          <w:tcPr>
            <w:tcW w:w="2860" w:type="dxa"/>
            <w:vAlign w:val="bottom"/>
          </w:tcPr>
          <w:p>
            <w:pPr>
              <w:ind w:left="30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The retention and motivation of</w:t>
            </w:r>
          </w:p>
        </w:tc>
        <w:tc>
          <w:tcPr>
            <w:tcW w:w="320" w:type="dxa"/>
            <w:vAlign w:val="bottom"/>
            <w:tcBorders>
              <w:right w:val="single" w:sz="8" w:color="83AD40"/>
            </w:tcBorders>
          </w:tcPr>
          <w:p>
            <w:pPr>
              <w:spacing w:after="0"/>
              <w:rPr>
                <w:sz w:val="17"/>
                <w:szCs w:val="17"/>
                <w:color w:val="auto"/>
              </w:rPr>
            </w:pPr>
          </w:p>
        </w:tc>
        <w:tc>
          <w:tcPr>
            <w:tcW w:w="2740" w:type="dxa"/>
            <w:vAlign w:val="bottom"/>
          </w:tcPr>
          <w:p>
            <w:pPr>
              <w:ind w:left="32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Aligning the economic</w:t>
            </w:r>
          </w:p>
        </w:tc>
        <w:tc>
          <w:tcPr>
            <w:tcW w:w="24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2780" w:type="dxa"/>
            <w:vAlign w:val="bottom"/>
            <w:tcBorders>
              <w:right w:val="single" w:sz="8" w:color="83AD40"/>
            </w:tcBorders>
          </w:tcPr>
          <w:p>
            <w:pPr>
              <w:ind w:left="80"/>
              <w:spacing w:after="0"/>
              <w:rPr>
                <w:sz w:val="20"/>
                <w:szCs w:val="20"/>
                <w:color w:val="auto"/>
              </w:rPr>
            </w:pPr>
            <w:r>
              <w:rPr>
                <w:rFonts w:ascii="Arial" w:cs="Arial" w:eastAsia="Arial" w:hAnsi="Arial"/>
                <w:sz w:val="16"/>
                <w:szCs w:val="16"/>
                <w:b w:val="1"/>
                <w:bCs w:val="1"/>
                <w:color w:val="auto"/>
              </w:rPr>
              <w:t>executives to our financial and</w:t>
            </w:r>
          </w:p>
        </w:tc>
        <w:tc>
          <w:tcPr>
            <w:tcW w:w="2860" w:type="dxa"/>
            <w:vAlign w:val="bottom"/>
          </w:tcPr>
          <w:p>
            <w:pPr>
              <w:ind w:left="480"/>
              <w:spacing w:after="0"/>
              <w:rPr>
                <w:sz w:val="20"/>
                <w:szCs w:val="20"/>
                <w:color w:val="auto"/>
              </w:rPr>
            </w:pPr>
            <w:r>
              <w:rPr>
                <w:rFonts w:ascii="Arial" w:cs="Arial" w:eastAsia="Arial" w:hAnsi="Arial"/>
                <w:sz w:val="16"/>
                <w:szCs w:val="16"/>
                <w:b w:val="1"/>
                <w:bCs w:val="1"/>
                <w:color w:val="auto"/>
              </w:rPr>
              <w:t>key leaders</w:t>
            </w:r>
          </w:p>
        </w:tc>
        <w:tc>
          <w:tcPr>
            <w:tcW w:w="320" w:type="dxa"/>
            <w:vAlign w:val="bottom"/>
            <w:tcBorders>
              <w:right w:val="single" w:sz="8" w:color="83AD40"/>
            </w:tcBorders>
          </w:tcPr>
          <w:p>
            <w:pPr>
              <w:spacing w:after="0"/>
              <w:rPr>
                <w:sz w:val="17"/>
                <w:szCs w:val="17"/>
                <w:color w:val="auto"/>
              </w:rPr>
            </w:pPr>
          </w:p>
        </w:tc>
        <w:tc>
          <w:tcPr>
            <w:tcW w:w="2740" w:type="dxa"/>
            <w:vAlign w:val="bottom"/>
          </w:tcPr>
          <w:p>
            <w:pPr>
              <w:ind w:left="480"/>
              <w:spacing w:after="0"/>
              <w:rPr>
                <w:sz w:val="20"/>
                <w:szCs w:val="20"/>
                <w:color w:val="auto"/>
              </w:rPr>
            </w:pPr>
            <w:r>
              <w:rPr>
                <w:rFonts w:ascii="Arial" w:cs="Arial" w:eastAsia="Arial" w:hAnsi="Arial"/>
                <w:sz w:val="16"/>
                <w:szCs w:val="16"/>
                <w:b w:val="1"/>
                <w:bCs w:val="1"/>
                <w:color w:val="auto"/>
              </w:rPr>
              <w:t>interests of our management</w:t>
            </w:r>
          </w:p>
        </w:tc>
        <w:tc>
          <w:tcPr>
            <w:tcW w:w="240" w:type="dxa"/>
            <w:vAlign w:val="bottom"/>
          </w:tcPr>
          <w:p>
            <w:pPr>
              <w:spacing w:after="0"/>
              <w:rPr>
                <w:sz w:val="17"/>
                <w:szCs w:val="17"/>
                <w:color w:val="auto"/>
              </w:rPr>
            </w:pPr>
          </w:p>
        </w:tc>
      </w:tr>
      <w:tr>
        <w:trPr>
          <w:trHeight w:val="223"/>
        </w:trPr>
        <w:tc>
          <w:tcPr>
            <w:tcW w:w="120" w:type="dxa"/>
            <w:vAlign w:val="bottom"/>
          </w:tcPr>
          <w:p>
            <w:pPr>
              <w:spacing w:after="0"/>
              <w:rPr>
                <w:sz w:val="19"/>
                <w:szCs w:val="19"/>
                <w:color w:val="auto"/>
              </w:rPr>
            </w:pPr>
          </w:p>
        </w:tc>
        <w:tc>
          <w:tcPr>
            <w:tcW w:w="2780" w:type="dxa"/>
            <w:vAlign w:val="bottom"/>
            <w:tcBorders>
              <w:right w:val="single" w:sz="8" w:color="83AD40"/>
            </w:tcBorders>
          </w:tcPr>
          <w:p>
            <w:pPr>
              <w:ind w:left="80"/>
              <w:spacing w:after="0"/>
              <w:rPr>
                <w:sz w:val="20"/>
                <w:szCs w:val="20"/>
                <w:color w:val="auto"/>
              </w:rPr>
            </w:pPr>
            <w:r>
              <w:rPr>
                <w:rFonts w:ascii="Arial" w:cs="Arial" w:eastAsia="Arial" w:hAnsi="Arial"/>
                <w:sz w:val="16"/>
                <w:szCs w:val="16"/>
                <w:b w:val="1"/>
                <w:bCs w:val="1"/>
                <w:color w:val="auto"/>
              </w:rPr>
              <w:t>operating performance</w:t>
            </w:r>
          </w:p>
        </w:tc>
        <w:tc>
          <w:tcPr>
            <w:tcW w:w="2860" w:type="dxa"/>
            <w:vAlign w:val="bottom"/>
          </w:tcPr>
          <w:p>
            <w:pPr>
              <w:spacing w:after="0"/>
              <w:rPr>
                <w:sz w:val="19"/>
                <w:szCs w:val="19"/>
                <w:color w:val="auto"/>
              </w:rPr>
            </w:pPr>
          </w:p>
        </w:tc>
        <w:tc>
          <w:tcPr>
            <w:tcW w:w="320" w:type="dxa"/>
            <w:vAlign w:val="bottom"/>
            <w:tcBorders>
              <w:right w:val="single" w:sz="8" w:color="83AD40"/>
            </w:tcBorders>
          </w:tcPr>
          <w:p>
            <w:pPr>
              <w:spacing w:after="0"/>
              <w:rPr>
                <w:sz w:val="19"/>
                <w:szCs w:val="19"/>
                <w:color w:val="auto"/>
              </w:rPr>
            </w:pPr>
          </w:p>
        </w:tc>
        <w:tc>
          <w:tcPr>
            <w:tcW w:w="2740" w:type="dxa"/>
            <w:vAlign w:val="bottom"/>
          </w:tcPr>
          <w:p>
            <w:pPr>
              <w:ind w:left="480"/>
              <w:spacing w:after="0"/>
              <w:rPr>
                <w:sz w:val="20"/>
                <w:szCs w:val="20"/>
                <w:color w:val="auto"/>
              </w:rPr>
            </w:pPr>
            <w:r>
              <w:rPr>
                <w:rFonts w:ascii="Arial" w:cs="Arial" w:eastAsia="Arial" w:hAnsi="Arial"/>
                <w:sz w:val="16"/>
                <w:szCs w:val="16"/>
                <w:b w:val="1"/>
                <w:bCs w:val="1"/>
                <w:color w:val="auto"/>
              </w:rPr>
              <w:t>team with our stockholders</w:t>
            </w:r>
          </w:p>
        </w:tc>
        <w:tc>
          <w:tcPr>
            <w:tcW w:w="240" w:type="dxa"/>
            <w:vAlign w:val="bottom"/>
          </w:tcPr>
          <w:p>
            <w:pPr>
              <w:spacing w:after="0"/>
              <w:rPr>
                <w:sz w:val="19"/>
                <w:szCs w:val="19"/>
                <w:color w:val="auto"/>
              </w:rPr>
            </w:pPr>
          </w:p>
        </w:tc>
      </w:tr>
      <w:tr>
        <w:trPr>
          <w:trHeight w:val="142"/>
        </w:trPr>
        <w:tc>
          <w:tcPr>
            <w:tcW w:w="120" w:type="dxa"/>
            <w:vAlign w:val="bottom"/>
            <w:tcBorders>
              <w:bottom w:val="single" w:sz="8" w:color="83AD40"/>
            </w:tcBorders>
          </w:tcPr>
          <w:p>
            <w:pPr>
              <w:spacing w:after="0"/>
              <w:rPr>
                <w:sz w:val="12"/>
                <w:szCs w:val="12"/>
                <w:color w:val="auto"/>
              </w:rPr>
            </w:pPr>
          </w:p>
        </w:tc>
        <w:tc>
          <w:tcPr>
            <w:tcW w:w="2780" w:type="dxa"/>
            <w:vAlign w:val="bottom"/>
            <w:tcBorders>
              <w:bottom w:val="single" w:sz="8" w:color="83AD40"/>
              <w:right w:val="single" w:sz="8" w:color="83AD40"/>
            </w:tcBorders>
          </w:tcPr>
          <w:p>
            <w:pPr>
              <w:spacing w:after="0"/>
              <w:rPr>
                <w:sz w:val="12"/>
                <w:szCs w:val="12"/>
                <w:color w:val="auto"/>
              </w:rPr>
            </w:pPr>
          </w:p>
        </w:tc>
        <w:tc>
          <w:tcPr>
            <w:tcW w:w="3180" w:type="dxa"/>
            <w:vAlign w:val="bottom"/>
            <w:tcBorders>
              <w:bottom w:val="single" w:sz="8" w:color="83AD40"/>
              <w:right w:val="single" w:sz="8" w:color="83AD40"/>
            </w:tcBorders>
            <w:gridSpan w:val="2"/>
          </w:tcPr>
          <w:p>
            <w:pPr>
              <w:spacing w:after="0"/>
              <w:rPr>
                <w:sz w:val="12"/>
                <w:szCs w:val="12"/>
                <w:color w:val="auto"/>
              </w:rPr>
            </w:pPr>
          </w:p>
        </w:tc>
        <w:tc>
          <w:tcPr>
            <w:tcW w:w="2740" w:type="dxa"/>
            <w:vAlign w:val="bottom"/>
            <w:tcBorders>
              <w:bottom w:val="single" w:sz="8" w:color="83AD40"/>
            </w:tcBorders>
          </w:tcPr>
          <w:p>
            <w:pPr>
              <w:spacing w:after="0"/>
              <w:rPr>
                <w:sz w:val="12"/>
                <w:szCs w:val="12"/>
                <w:color w:val="auto"/>
              </w:rPr>
            </w:pPr>
          </w:p>
        </w:tc>
        <w:tc>
          <w:tcPr>
            <w:tcW w:w="240" w:type="dxa"/>
            <w:vAlign w:val="bottom"/>
            <w:tcBorders>
              <w:bottom w:val="single" w:sz="8" w:color="83AD40"/>
            </w:tcBorders>
          </w:tcPr>
          <w:p>
            <w:pPr>
              <w:spacing w:after="0"/>
              <w:rPr>
                <w:sz w:val="12"/>
                <w:szCs w:val="12"/>
                <w:color w:val="auto"/>
              </w:rPr>
            </w:pPr>
          </w:p>
        </w:tc>
      </w:tr>
      <w:tr>
        <w:trPr>
          <w:trHeight w:val="210"/>
        </w:trPr>
        <w:tc>
          <w:tcPr>
            <w:tcW w:w="120" w:type="dxa"/>
            <w:vAlign w:val="bottom"/>
          </w:tcPr>
          <w:p>
            <w:pPr>
              <w:spacing w:after="0"/>
              <w:rPr>
                <w:sz w:val="18"/>
                <w:szCs w:val="18"/>
                <w:color w:val="auto"/>
              </w:rPr>
            </w:pPr>
          </w:p>
        </w:tc>
        <w:tc>
          <w:tcPr>
            <w:tcW w:w="8700" w:type="dxa"/>
            <w:vAlign w:val="bottom"/>
            <w:gridSpan w:val="4"/>
          </w:tcPr>
          <w:p>
            <w:pPr>
              <w:spacing w:after="0"/>
              <w:rPr>
                <w:sz w:val="18"/>
                <w:szCs w:val="18"/>
                <w:color w:val="auto"/>
              </w:rPr>
            </w:pPr>
          </w:p>
        </w:tc>
        <w:tc>
          <w:tcPr>
            <w:tcW w:w="240" w:type="dxa"/>
            <w:vAlign w:val="bottom"/>
          </w:tcPr>
          <w:p>
            <w:pPr>
              <w:spacing w:after="0"/>
              <w:rPr>
                <w:sz w:val="18"/>
                <w:szCs w:val="18"/>
                <w:color w:val="auto"/>
              </w:rPr>
            </w:pPr>
          </w:p>
        </w:tc>
      </w:tr>
      <w:tr>
        <w:trPr>
          <w:trHeight w:val="296"/>
        </w:trPr>
        <w:tc>
          <w:tcPr>
            <w:tcW w:w="120" w:type="dxa"/>
            <w:vAlign w:val="bottom"/>
            <w:shd w:val="clear" w:color="auto" w:fill="E9F9D8"/>
          </w:tcPr>
          <w:p>
            <w:pPr>
              <w:spacing w:after="0"/>
              <w:rPr>
                <w:sz w:val="20"/>
                <w:szCs w:val="20"/>
                <w:color w:val="auto"/>
              </w:rPr>
            </w:pPr>
            <w:r>
              <w:rPr>
                <w:rFonts w:ascii="Arial" w:cs="Arial" w:eastAsia="Arial" w:hAnsi="Arial"/>
                <w:sz w:val="16"/>
                <w:szCs w:val="16"/>
                <w:color w:val="auto"/>
              </w:rPr>
              <w:t>​</w:t>
            </w:r>
          </w:p>
        </w:tc>
        <w:tc>
          <w:tcPr>
            <w:tcW w:w="8700" w:type="dxa"/>
            <w:vAlign w:val="bottom"/>
            <w:gridSpan w:val="4"/>
            <w:shd w:val="clear" w:color="auto" w:fill="E9F9D8"/>
          </w:tcPr>
          <w:p>
            <w:pPr>
              <w:ind w:left="40"/>
              <w:spacing w:after="0"/>
              <w:rPr>
                <w:sz w:val="20"/>
                <w:szCs w:val="20"/>
                <w:color w:val="auto"/>
              </w:rPr>
            </w:pPr>
            <w:r>
              <w:rPr>
                <w:rFonts w:ascii="Arial" w:cs="Arial" w:eastAsia="Arial" w:hAnsi="Arial"/>
                <w:sz w:val="16"/>
                <w:szCs w:val="16"/>
                <w:color w:val="auto"/>
              </w:rPr>
              <w:t>On an aggregate basis, based on amounts reported in the Summary Compensation Table, compensation expense for our</w:t>
            </w:r>
          </w:p>
        </w:tc>
        <w:tc>
          <w:tcPr>
            <w:tcW w:w="240" w:type="dxa"/>
            <w:vAlign w:val="bottom"/>
            <w:shd w:val="clear" w:color="auto" w:fill="E9F9D8"/>
          </w:tcPr>
          <w:p>
            <w:pPr>
              <w:ind w:left="80"/>
              <w:spacing w:after="0"/>
              <w:rPr>
                <w:sz w:val="20"/>
                <w:szCs w:val="20"/>
                <w:color w:val="auto"/>
              </w:rPr>
            </w:pPr>
            <w:r>
              <w:rPr>
                <w:rFonts w:ascii="Arial" w:cs="Arial" w:eastAsia="Arial" w:hAnsi="Arial"/>
                <w:sz w:val="16"/>
                <w:szCs w:val="16"/>
                <w:color w:val="auto"/>
              </w:rPr>
              <w:t>​</w:t>
            </w:r>
          </w:p>
        </w:tc>
      </w:tr>
      <w:tr>
        <w:trPr>
          <w:trHeight w:val="223"/>
        </w:trPr>
        <w:tc>
          <w:tcPr>
            <w:tcW w:w="120" w:type="dxa"/>
            <w:vAlign w:val="bottom"/>
            <w:shd w:val="clear" w:color="auto" w:fill="E9F9D8"/>
          </w:tcPr>
          <w:p>
            <w:pPr>
              <w:spacing w:after="0"/>
              <w:rPr>
                <w:sz w:val="19"/>
                <w:szCs w:val="19"/>
                <w:color w:val="auto"/>
              </w:rPr>
            </w:pPr>
          </w:p>
        </w:tc>
        <w:tc>
          <w:tcPr>
            <w:tcW w:w="8700" w:type="dxa"/>
            <w:vAlign w:val="bottom"/>
            <w:gridSpan w:val="4"/>
            <w:shd w:val="clear" w:color="auto" w:fill="E9F9D8"/>
          </w:tcPr>
          <w:p>
            <w:pPr>
              <w:ind w:left="40"/>
              <w:spacing w:after="0"/>
              <w:rPr>
                <w:sz w:val="20"/>
                <w:szCs w:val="20"/>
                <w:color w:val="auto"/>
              </w:rPr>
            </w:pPr>
            <w:r>
              <w:rPr>
                <w:rFonts w:ascii="Arial" w:cs="Arial" w:eastAsia="Arial" w:hAnsi="Arial"/>
                <w:sz w:val="16"/>
                <w:szCs w:val="16"/>
                <w:color w:val="auto"/>
              </w:rPr>
              <w:t xml:space="preserve">named executive officers </w:t>
            </w:r>
            <w:r>
              <w:rPr>
                <w:rFonts w:ascii="Arial" w:cs="Arial" w:eastAsia="Arial" w:hAnsi="Arial"/>
                <w:sz w:val="16"/>
                <w:szCs w:val="16"/>
                <w:b w:val="1"/>
                <w:bCs w:val="1"/>
                <w:color w:val="auto"/>
              </w:rPr>
              <w:t>materially decreased by over 25%</w:t>
            </w:r>
            <w:r>
              <w:rPr>
                <w:rFonts w:ascii="Arial" w:cs="Arial" w:eastAsia="Arial" w:hAnsi="Arial"/>
                <w:sz w:val="16"/>
                <w:szCs w:val="16"/>
                <w:color w:val="auto"/>
              </w:rPr>
              <w:t xml:space="preserve"> due primarily to the non-renewal of our former President.</w:t>
            </w:r>
          </w:p>
        </w:tc>
        <w:tc>
          <w:tcPr>
            <w:tcW w:w="240" w:type="dxa"/>
            <w:vAlign w:val="bottom"/>
            <w:shd w:val="clear" w:color="auto" w:fill="E9F9D8"/>
          </w:tcPr>
          <w:p>
            <w:pPr>
              <w:spacing w:after="0"/>
              <w:rPr>
                <w:sz w:val="19"/>
                <w:szCs w:val="19"/>
                <w:color w:val="auto"/>
              </w:rPr>
            </w:pPr>
          </w:p>
        </w:tc>
      </w:tr>
      <w:tr>
        <w:trPr>
          <w:trHeight w:val="278"/>
        </w:trPr>
        <w:tc>
          <w:tcPr>
            <w:tcW w:w="120" w:type="dxa"/>
            <w:vAlign w:val="bottom"/>
            <w:shd w:val="clear" w:color="auto" w:fill="E9F9D8"/>
          </w:tcPr>
          <w:p>
            <w:pPr>
              <w:spacing w:after="0"/>
              <w:rPr>
                <w:sz w:val="24"/>
                <w:szCs w:val="24"/>
                <w:color w:val="auto"/>
              </w:rPr>
            </w:pPr>
          </w:p>
        </w:tc>
        <w:tc>
          <w:tcPr>
            <w:tcW w:w="2780" w:type="dxa"/>
            <w:vAlign w:val="bottom"/>
            <w:tcBorders>
              <w:right w:val="single" w:sz="8" w:color="E9F9D8"/>
            </w:tcBorders>
            <w:shd w:val="clear" w:color="auto" w:fill="E9F9D8"/>
          </w:tcPr>
          <w:p>
            <w:pPr>
              <w:spacing w:after="0"/>
              <w:rPr>
                <w:sz w:val="24"/>
                <w:szCs w:val="24"/>
                <w:color w:val="auto"/>
              </w:rPr>
            </w:pPr>
          </w:p>
        </w:tc>
        <w:tc>
          <w:tcPr>
            <w:tcW w:w="2860" w:type="dxa"/>
            <w:vAlign w:val="bottom"/>
            <w:shd w:val="clear" w:color="auto" w:fill="E9F9D8"/>
          </w:tcPr>
          <w:p>
            <w:pPr>
              <w:spacing w:after="0"/>
              <w:rPr>
                <w:sz w:val="24"/>
                <w:szCs w:val="24"/>
                <w:color w:val="auto"/>
              </w:rPr>
            </w:pPr>
          </w:p>
        </w:tc>
        <w:tc>
          <w:tcPr>
            <w:tcW w:w="320" w:type="dxa"/>
            <w:vAlign w:val="bottom"/>
            <w:tcBorders>
              <w:right w:val="single" w:sz="8" w:color="E9F9D8"/>
            </w:tcBorders>
            <w:shd w:val="clear" w:color="auto" w:fill="E9F9D8"/>
          </w:tcPr>
          <w:p>
            <w:pPr>
              <w:spacing w:after="0"/>
              <w:rPr>
                <w:sz w:val="24"/>
                <w:szCs w:val="24"/>
                <w:color w:val="auto"/>
              </w:rPr>
            </w:pPr>
          </w:p>
        </w:tc>
        <w:tc>
          <w:tcPr>
            <w:tcW w:w="2740" w:type="dxa"/>
            <w:vAlign w:val="bottom"/>
            <w:shd w:val="clear" w:color="auto" w:fill="E9F9D8"/>
          </w:tcPr>
          <w:p>
            <w:pPr>
              <w:spacing w:after="0"/>
              <w:rPr>
                <w:sz w:val="24"/>
                <w:szCs w:val="24"/>
                <w:color w:val="auto"/>
              </w:rPr>
            </w:pPr>
          </w:p>
        </w:tc>
        <w:tc>
          <w:tcPr>
            <w:tcW w:w="240" w:type="dxa"/>
            <w:vAlign w:val="bottom"/>
            <w:shd w:val="clear" w:color="auto" w:fill="E9F9D8"/>
          </w:tcPr>
          <w:p>
            <w:pPr>
              <w:spacing w:after="0"/>
              <w:rPr>
                <w:sz w:val="24"/>
                <w:szCs w:val="24"/>
                <w:color w:val="auto"/>
              </w:rPr>
            </w:pPr>
          </w:p>
        </w:tc>
      </w:tr>
    </w:tbl>
    <w:p>
      <w:pPr>
        <w:spacing w:after="0" w:line="175"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1F2668"/>
        </w:rPr>
        <w:t>TOTAL DIRECT COMPENSATION FOR 2024</w:t>
      </w:r>
    </w:p>
    <w:p>
      <w:pPr>
        <w:spacing w:after="0" w:line="167" w:lineRule="exact"/>
        <w:rPr>
          <w:sz w:val="20"/>
          <w:szCs w:val="20"/>
          <w:color w:val="auto"/>
        </w:rPr>
      </w:pPr>
    </w:p>
    <w:p>
      <w:pPr>
        <w:ind w:left="820" w:right="840"/>
        <w:spacing w:after="0" w:line="284" w:lineRule="auto"/>
        <w:rPr>
          <w:sz w:val="20"/>
          <w:szCs w:val="20"/>
          <w:color w:val="auto"/>
        </w:rPr>
      </w:pPr>
      <w:r>
        <w:rPr>
          <w:rFonts w:ascii="Arial" w:cs="Arial" w:eastAsia="Arial" w:hAnsi="Arial"/>
          <w:sz w:val="16"/>
          <w:szCs w:val="16"/>
          <w:color w:val="auto"/>
        </w:rPr>
        <w:t>“Total Direct Compensation” reflects the actual amounts awarded by the Committee. The methodology for 2024 was generally consistent with 2023, with a year-over-year increase in the value of the annual Time-Based Equity Awards granted retrospectively in 2025 for 2024 performance.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4"/>
                <w:szCs w:val="14"/>
                <w:b w:val="1"/>
                <w:bCs w:val="1"/>
                <w:color w:val="1F2668"/>
              </w:rPr>
              <w:t>​</w:t>
            </w:r>
          </w:p>
        </w:tc>
        <w:tc>
          <w:tcPr>
            <w:tcW w:w="300" w:type="dxa"/>
            <w:vAlign w:val="bottom"/>
            <w:gridSpan w:val="2"/>
          </w:tcPr>
          <w:p>
            <w:pPr>
              <w:spacing w:after="0"/>
              <w:rPr>
                <w:sz w:val="20"/>
                <w:szCs w:val="20"/>
                <w:color w:val="auto"/>
              </w:rPr>
            </w:pPr>
            <w:r>
              <w:rPr>
                <w:rFonts w:ascii="Arial" w:cs="Arial" w:eastAsia="Arial" w:hAnsi="Arial"/>
                <w:sz w:val="14"/>
                <w:szCs w:val="14"/>
                <w:b w:val="1"/>
                <w:bCs w:val="1"/>
                <w:color w:val="1F2668"/>
              </w:rPr>
              <w:t>​​</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80" w:type="dxa"/>
            <w:vAlign w:val="bottom"/>
            <w:gridSpan w:val="9"/>
          </w:tcPr>
          <w:p>
            <w:pPr>
              <w:ind w:left="460"/>
              <w:spacing w:after="0"/>
              <w:rPr>
                <w:sz w:val="20"/>
                <w:szCs w:val="20"/>
                <w:color w:val="auto"/>
              </w:rPr>
            </w:pPr>
            <w:r>
              <w:rPr>
                <w:rFonts w:ascii="Arial" w:cs="Arial" w:eastAsia="Arial" w:hAnsi="Arial"/>
                <w:sz w:val="14"/>
                <w:szCs w:val="14"/>
                <w:b w:val="1"/>
                <w:bCs w:val="1"/>
                <w:color w:val="1F2668"/>
              </w:rPr>
              <w:t>2024 Total Direct Compensation</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jc w:val="right"/>
              <w:ind w:right="744"/>
              <w:spacing w:after="0"/>
              <w:rPr>
                <w:sz w:val="20"/>
                <w:szCs w:val="20"/>
                <w:color w:val="auto"/>
              </w:rPr>
            </w:pPr>
            <w:r>
              <w:rPr>
                <w:rFonts w:ascii="Arial" w:cs="Arial" w:eastAsia="Arial" w:hAnsi="Arial"/>
                <w:sz w:val="1"/>
                <w:szCs w:val="1"/>
                <w:b w:val="1"/>
                <w:bCs w:val="1"/>
                <w:color w:val="1F2668"/>
                <w:w w:val="4294942296"/>
              </w:rPr>
              <w:t>​</w:t>
            </w:r>
          </w:p>
        </w:tc>
        <w:tc>
          <w:tcPr>
            <w:tcW w:w="0" w:type="dxa"/>
            <w:vAlign w:val="bottom"/>
          </w:tcPr>
          <w:p>
            <w:pPr>
              <w:spacing w:after="0"/>
              <w:rPr>
                <w:sz w:val="1"/>
                <w:szCs w:val="1"/>
                <w:color w:val="auto"/>
              </w:rPr>
            </w:pPr>
          </w:p>
        </w:tc>
      </w:tr>
      <w:tr>
        <w:trPr>
          <w:trHeight w:val="200"/>
        </w:trPr>
        <w:tc>
          <w:tcPr>
            <w:tcW w:w="8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1F2668"/>
            </w:tcBorders>
          </w:tcPr>
          <w:p>
            <w:pPr>
              <w:spacing w:after="0"/>
              <w:rPr>
                <w:sz w:val="17"/>
                <w:szCs w:val="17"/>
                <w:color w:val="auto"/>
              </w:rPr>
            </w:pPr>
          </w:p>
        </w:tc>
        <w:tc>
          <w:tcPr>
            <w:tcW w:w="640" w:type="dxa"/>
            <w:vAlign w:val="bottom"/>
            <w:tcBorders>
              <w:top w:val="single" w:sz="8" w:color="1F2668"/>
            </w:tcBorders>
          </w:tcPr>
          <w:p>
            <w:pPr>
              <w:spacing w:after="0"/>
              <w:rPr>
                <w:sz w:val="17"/>
                <w:szCs w:val="17"/>
                <w:color w:val="auto"/>
              </w:rPr>
            </w:pPr>
          </w:p>
        </w:tc>
        <w:tc>
          <w:tcPr>
            <w:tcW w:w="120" w:type="dxa"/>
            <w:vAlign w:val="bottom"/>
            <w:tcBorders>
              <w:top w:val="single" w:sz="8" w:color="1F2668"/>
            </w:tcBorders>
          </w:tcPr>
          <w:p>
            <w:pPr>
              <w:spacing w:after="0"/>
              <w:rPr>
                <w:sz w:val="17"/>
                <w:szCs w:val="17"/>
                <w:color w:val="auto"/>
              </w:rPr>
            </w:pPr>
          </w:p>
        </w:tc>
        <w:tc>
          <w:tcPr>
            <w:tcW w:w="120" w:type="dxa"/>
            <w:vAlign w:val="bottom"/>
            <w:tcBorders>
              <w:top w:val="single" w:sz="8" w:color="1F2668"/>
            </w:tcBorders>
          </w:tcPr>
          <w:p>
            <w:pPr>
              <w:spacing w:after="0"/>
              <w:rPr>
                <w:sz w:val="17"/>
                <w:szCs w:val="17"/>
                <w:color w:val="auto"/>
              </w:rPr>
            </w:pPr>
          </w:p>
        </w:tc>
        <w:tc>
          <w:tcPr>
            <w:tcW w:w="960" w:type="dxa"/>
            <w:vAlign w:val="bottom"/>
            <w:tcBorders>
              <w:top w:val="single" w:sz="8" w:color="1F2668"/>
            </w:tcBorders>
          </w:tcPr>
          <w:p>
            <w:pPr>
              <w:spacing w:after="0"/>
              <w:rPr>
                <w:sz w:val="17"/>
                <w:szCs w:val="17"/>
                <w:color w:val="auto"/>
              </w:rPr>
            </w:pPr>
          </w:p>
        </w:tc>
        <w:tc>
          <w:tcPr>
            <w:tcW w:w="140" w:type="dxa"/>
            <w:vAlign w:val="bottom"/>
            <w:tcBorders>
              <w:top w:val="single" w:sz="8" w:color="1F2668"/>
            </w:tcBorders>
          </w:tcPr>
          <w:p>
            <w:pPr>
              <w:spacing w:after="0"/>
              <w:rPr>
                <w:sz w:val="17"/>
                <w:szCs w:val="17"/>
                <w:color w:val="auto"/>
              </w:rPr>
            </w:pPr>
          </w:p>
        </w:tc>
        <w:tc>
          <w:tcPr>
            <w:tcW w:w="120" w:type="dxa"/>
            <w:vAlign w:val="bottom"/>
            <w:tcBorders>
              <w:top w:val="single" w:sz="8" w:color="1F2668"/>
            </w:tcBorders>
          </w:tcPr>
          <w:p>
            <w:pPr>
              <w:spacing w:after="0"/>
              <w:rPr>
                <w:sz w:val="17"/>
                <w:szCs w:val="17"/>
                <w:color w:val="auto"/>
              </w:rPr>
            </w:pPr>
          </w:p>
        </w:tc>
        <w:tc>
          <w:tcPr>
            <w:tcW w:w="1860" w:type="dxa"/>
            <w:vAlign w:val="bottom"/>
            <w:tcBorders>
              <w:top w:val="single" w:sz="8" w:color="1F2668"/>
            </w:tcBorders>
            <w:gridSpan w:val="6"/>
          </w:tcPr>
          <w:p>
            <w:pPr>
              <w:spacing w:after="0"/>
              <w:rPr>
                <w:sz w:val="20"/>
                <w:szCs w:val="20"/>
                <w:color w:val="auto"/>
              </w:rPr>
            </w:pPr>
            <w:r>
              <w:rPr>
                <w:rFonts w:ascii="Arial" w:cs="Arial" w:eastAsia="Arial" w:hAnsi="Arial"/>
                <w:sz w:val="14"/>
                <w:szCs w:val="14"/>
                <w:b w:val="1"/>
                <w:bCs w:val="1"/>
                <w:color w:val="1F2668"/>
              </w:rPr>
              <w:t>Performance-  Time-Based</w:t>
            </w:r>
          </w:p>
        </w:tc>
        <w:tc>
          <w:tcPr>
            <w:tcW w:w="120" w:type="dxa"/>
            <w:vAlign w:val="bottom"/>
            <w:tcBorders>
              <w:top w:val="single" w:sz="8" w:color="1F2668"/>
            </w:tcBorders>
          </w:tcPr>
          <w:p>
            <w:pPr>
              <w:spacing w:after="0"/>
              <w:rPr>
                <w:sz w:val="17"/>
                <w:szCs w:val="17"/>
                <w:color w:val="auto"/>
              </w:rPr>
            </w:pPr>
          </w:p>
        </w:tc>
        <w:tc>
          <w:tcPr>
            <w:tcW w:w="160" w:type="dxa"/>
            <w:vAlign w:val="bottom"/>
            <w:tcBorders>
              <w:top w:val="single" w:sz="8" w:color="1F2668"/>
            </w:tcBorders>
          </w:tcPr>
          <w:p>
            <w:pPr>
              <w:spacing w:after="0"/>
              <w:rPr>
                <w:sz w:val="17"/>
                <w:szCs w:val="17"/>
                <w:color w:val="auto"/>
              </w:rPr>
            </w:pPr>
          </w:p>
        </w:tc>
        <w:tc>
          <w:tcPr>
            <w:tcW w:w="760" w:type="dxa"/>
            <w:vAlign w:val="bottom"/>
            <w:tcBorders>
              <w:top w:val="single" w:sz="8" w:color="1F2668"/>
            </w:tcBorders>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1F2668"/>
              </w:rPr>
              <w:t>Based Equity</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ind w:left="260"/>
              <w:spacing w:after="0"/>
              <w:rPr>
                <w:sz w:val="20"/>
                <w:szCs w:val="20"/>
                <w:color w:val="auto"/>
              </w:rPr>
            </w:pPr>
            <w:r>
              <w:rPr>
                <w:rFonts w:ascii="Arial" w:cs="Arial" w:eastAsia="Arial" w:hAnsi="Arial"/>
                <w:sz w:val="14"/>
                <w:szCs w:val="14"/>
                <w:b w:val="1"/>
                <w:bCs w:val="1"/>
                <w:color w:val="1F2668"/>
              </w:rPr>
              <w:t>Equity</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8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4"/>
                <w:szCs w:val="14"/>
                <w:b w:val="1"/>
                <w:bCs w:val="1"/>
                <w:color w:val="1F2668"/>
              </w:rPr>
              <w:t>Name</w:t>
            </w:r>
          </w:p>
        </w:tc>
        <w:tc>
          <w:tcPr>
            <w:tcW w:w="2140" w:type="dxa"/>
            <w:vAlign w:val="bottom"/>
            <w:gridSpan w:val="6"/>
          </w:tcPr>
          <w:p>
            <w:pPr>
              <w:ind w:left="60"/>
              <w:spacing w:after="0" w:line="225" w:lineRule="exact"/>
              <w:rPr>
                <w:sz w:val="20"/>
                <w:szCs w:val="20"/>
                <w:color w:val="auto"/>
              </w:rPr>
            </w:pPr>
            <w:r>
              <w:rPr>
                <w:rFonts w:ascii="Arial" w:cs="Arial" w:eastAsia="Arial" w:hAnsi="Arial"/>
                <w:sz w:val="26"/>
                <w:szCs w:val="26"/>
                <w:b w:val="1"/>
                <w:bCs w:val="1"/>
                <w:color w:val="1F2668"/>
                <w:vertAlign w:val="subscript"/>
              </w:rPr>
              <w:t>​​</w:t>
            </w:r>
            <w:r>
              <w:rPr>
                <w:rFonts w:ascii="Arial" w:cs="Arial" w:eastAsia="Arial" w:hAnsi="Arial"/>
                <w:sz w:val="14"/>
                <w:szCs w:val="14"/>
                <w:b w:val="1"/>
                <w:bCs w:val="1"/>
                <w:color w:val="1F2668"/>
              </w:rPr>
              <w:t xml:space="preserve">Base Salary </w:t>
            </w:r>
            <w:r>
              <w:rPr>
                <w:rFonts w:ascii="Arial" w:cs="Arial" w:eastAsia="Arial" w:hAnsi="Arial"/>
                <w:sz w:val="26"/>
                <w:szCs w:val="26"/>
                <w:b w:val="1"/>
                <w:bCs w:val="1"/>
                <w:color w:val="1F2668"/>
                <w:vertAlign w:val="subscript"/>
              </w:rPr>
              <w:t>​​</w:t>
            </w:r>
            <w:r>
              <w:rPr>
                <w:rFonts w:ascii="Arial" w:cs="Arial" w:eastAsia="Arial" w:hAnsi="Arial"/>
                <w:sz w:val="14"/>
                <w:szCs w:val="14"/>
                <w:b w:val="1"/>
                <w:bCs w:val="1"/>
                <w:color w:val="1F2668"/>
              </w:rPr>
              <w:t>Annual Bonus</w:t>
            </w:r>
            <w:r>
              <w:rPr>
                <w:rFonts w:ascii="Arial" w:cs="Arial" w:eastAsia="Arial" w:hAnsi="Arial"/>
                <w:sz w:val="16"/>
                <w:szCs w:val="16"/>
                <w:b w:val="1"/>
                <w:bCs w:val="1"/>
                <w:color w:val="1F2668"/>
                <w:vertAlign w:val="superscript"/>
              </w:rPr>
              <w:t>(1)</w:t>
            </w:r>
          </w:p>
        </w:tc>
        <w:tc>
          <w:tcPr>
            <w:tcW w:w="260" w:type="dxa"/>
            <w:vAlign w:val="bottom"/>
            <w:gridSpan w:val="2"/>
          </w:tcPr>
          <w:p>
            <w:pPr>
              <w:jc w:val="center"/>
              <w:ind w:left="46"/>
              <w:spacing w:after="0"/>
              <w:rPr>
                <w:sz w:val="20"/>
                <w:szCs w:val="20"/>
                <w:color w:val="auto"/>
              </w:rPr>
            </w:pPr>
            <w:r>
              <w:rPr>
                <w:rFonts w:ascii="Arial" w:cs="Arial" w:eastAsia="Arial" w:hAnsi="Arial"/>
                <w:sz w:val="14"/>
                <w:szCs w:val="14"/>
                <w:b w:val="1"/>
                <w:bCs w:val="1"/>
                <w:color w:val="1F2668"/>
              </w:rPr>
              <w:t>​ ​</w:t>
            </w:r>
          </w:p>
        </w:tc>
        <w:tc>
          <w:tcPr>
            <w:tcW w:w="1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1F2668"/>
              </w:rPr>
              <w:t>Awards</w:t>
            </w:r>
            <w:r>
              <w:rPr>
                <w:rFonts w:ascii="Arial" w:cs="Arial" w:eastAsia="Arial" w:hAnsi="Arial"/>
                <w:sz w:val="17"/>
                <w:szCs w:val="17"/>
                <w:b w:val="1"/>
                <w:bCs w:val="1"/>
                <w:color w:val="1F2668"/>
                <w:vertAlign w:val="superscript"/>
              </w:rPr>
              <w:t>(2)</w:t>
            </w:r>
          </w:p>
        </w:tc>
        <w:tc>
          <w:tcPr>
            <w:tcW w:w="2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1F2668"/>
              </w:rPr>
              <w:t>​​</w:t>
            </w:r>
          </w:p>
        </w:tc>
        <w:tc>
          <w:tcPr>
            <w:tcW w:w="720" w:type="dxa"/>
            <w:vAlign w:val="bottom"/>
          </w:tcPr>
          <w:p>
            <w:pPr>
              <w:ind w:left="100"/>
              <w:spacing w:after="0"/>
              <w:rPr>
                <w:sz w:val="20"/>
                <w:szCs w:val="20"/>
                <w:color w:val="auto"/>
              </w:rPr>
            </w:pPr>
            <w:r>
              <w:rPr>
                <w:rFonts w:ascii="Arial" w:cs="Arial" w:eastAsia="Arial" w:hAnsi="Arial"/>
                <w:sz w:val="14"/>
                <w:szCs w:val="14"/>
                <w:b w:val="1"/>
                <w:bCs w:val="1"/>
                <w:color w:val="1F2668"/>
                <w:w w:val="93"/>
              </w:rPr>
              <w:t>Awards</w:t>
            </w:r>
            <w:r>
              <w:rPr>
                <w:rFonts w:ascii="Arial" w:cs="Arial" w:eastAsia="Arial" w:hAnsi="Arial"/>
                <w:sz w:val="17"/>
                <w:szCs w:val="17"/>
                <w:b w:val="1"/>
                <w:bCs w:val="1"/>
                <w:color w:val="1F2668"/>
                <w:w w:val="93"/>
                <w:vertAlign w:val="superscript"/>
              </w:rPr>
              <w:t>(2)</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1F2668"/>
              </w:rPr>
              <w:t>​​</w:t>
            </w:r>
          </w:p>
        </w:tc>
        <w:tc>
          <w:tcPr>
            <w:tcW w:w="1600" w:type="dxa"/>
            <w:vAlign w:val="bottom"/>
            <w:gridSpan w:val="3"/>
          </w:tcPr>
          <w:p>
            <w:pPr>
              <w:jc w:val="right"/>
              <w:ind w:right="744"/>
              <w:spacing w:after="0" w:line="225" w:lineRule="exact"/>
              <w:rPr>
                <w:sz w:val="20"/>
                <w:szCs w:val="20"/>
                <w:color w:val="auto"/>
              </w:rPr>
            </w:pPr>
            <w:r>
              <w:rPr>
                <w:rFonts w:ascii="Arial" w:cs="Arial" w:eastAsia="Arial" w:hAnsi="Arial"/>
                <w:sz w:val="14"/>
                <w:szCs w:val="14"/>
                <w:b w:val="1"/>
                <w:bCs w:val="1"/>
                <w:color w:val="1F2668"/>
              </w:rPr>
              <w:t>Total</w:t>
            </w:r>
            <w:r>
              <w:rPr>
                <w:rFonts w:ascii="Arial" w:cs="Arial" w:eastAsia="Arial" w:hAnsi="Arial"/>
                <w:sz w:val="16"/>
                <w:szCs w:val="16"/>
                <w:b w:val="1"/>
                <w:bCs w:val="1"/>
                <w:color w:val="1F2668"/>
                <w:vertAlign w:val="superscript"/>
              </w:rPr>
              <w:t>(3)</w:t>
            </w:r>
            <w:r>
              <w:rPr>
                <w:rFonts w:ascii="Arial" w:cs="Arial" w:eastAsia="Arial" w:hAnsi="Arial"/>
                <w:sz w:val="26"/>
                <w:szCs w:val="26"/>
                <w:b w:val="1"/>
                <w:bCs w:val="1"/>
                <w:color w:val="1F2668"/>
                <w:vertAlign w:val="subscript"/>
              </w:rPr>
              <w:t>​</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76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shd w:val="clear" w:color="auto" w:fill="1F266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1F2668"/>
          </w:tcPr>
          <w:p>
            <w:pPr>
              <w:spacing w:after="0" w:line="20" w:lineRule="exact"/>
              <w:rPr>
                <w:sz w:val="1"/>
                <w:szCs w:val="1"/>
                <w:color w:val="auto"/>
              </w:rPr>
            </w:pPr>
          </w:p>
        </w:tc>
        <w:tc>
          <w:tcPr>
            <w:tcW w:w="960" w:type="dxa"/>
            <w:vAlign w:val="bottom"/>
            <w:shd w:val="clear" w:color="auto" w:fill="1F266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1F2668"/>
            </w:tcBorders>
          </w:tcPr>
          <w:p>
            <w:pPr>
              <w:spacing w:after="0" w:line="20" w:lineRule="exact"/>
              <w:rPr>
                <w:sz w:val="1"/>
                <w:szCs w:val="1"/>
                <w:color w:val="auto"/>
              </w:rPr>
            </w:pPr>
          </w:p>
        </w:tc>
        <w:tc>
          <w:tcPr>
            <w:tcW w:w="140" w:type="dxa"/>
            <w:vAlign w:val="bottom"/>
            <w:shd w:val="clear" w:color="auto" w:fill="1F2668"/>
          </w:tcPr>
          <w:p>
            <w:pPr>
              <w:spacing w:after="0" w:line="20" w:lineRule="exact"/>
              <w:rPr>
                <w:sz w:val="1"/>
                <w:szCs w:val="1"/>
                <w:color w:val="auto"/>
              </w:rPr>
            </w:pPr>
          </w:p>
        </w:tc>
        <w:tc>
          <w:tcPr>
            <w:tcW w:w="760" w:type="dxa"/>
            <w:vAlign w:val="bottom"/>
            <w:shd w:val="clear" w:color="auto" w:fill="1F266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1F2668"/>
          </w:tcPr>
          <w:p>
            <w:pPr>
              <w:spacing w:after="0" w:line="20" w:lineRule="exact"/>
              <w:rPr>
                <w:sz w:val="1"/>
                <w:szCs w:val="1"/>
                <w:color w:val="auto"/>
              </w:rPr>
            </w:pPr>
          </w:p>
        </w:tc>
        <w:tc>
          <w:tcPr>
            <w:tcW w:w="720" w:type="dxa"/>
            <w:vAlign w:val="bottom"/>
            <w:shd w:val="clear" w:color="auto" w:fill="1F266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shd w:val="clear" w:color="auto" w:fill="1F266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6"/>
                <w:szCs w:val="16"/>
                <w:b w:val="1"/>
                <w:bCs w:val="1"/>
                <w:color w:val="1F2668"/>
              </w:rPr>
              <w:t>Marc Holliday</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$1,250,000</w:t>
            </w:r>
          </w:p>
        </w:tc>
        <w:tc>
          <w:tcPr>
            <w:tcW w:w="24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100"/>
              <w:spacing w:after="0" w:line="210" w:lineRule="exact"/>
              <w:rPr>
                <w:sz w:val="20"/>
                <w:szCs w:val="20"/>
                <w:color w:val="auto"/>
              </w:rPr>
            </w:pPr>
            <w:r>
              <w:rPr>
                <w:rFonts w:ascii="Arial" w:cs="Arial" w:eastAsia="Arial" w:hAnsi="Arial"/>
                <w:sz w:val="16"/>
                <w:szCs w:val="16"/>
                <w:color w:val="auto"/>
                <w:w w:val="97"/>
              </w:rPr>
              <w:t>$ 3,168,333</w:t>
            </w:r>
            <w:r>
              <w:rPr>
                <w:rFonts w:ascii="Arial" w:cs="Arial" w:eastAsia="Arial" w:hAnsi="Arial"/>
                <w:sz w:val="19"/>
                <w:szCs w:val="19"/>
                <w:color w:val="auto"/>
                <w:w w:val="97"/>
                <w:vertAlign w:val="superscript"/>
              </w:rPr>
              <w:t>(4)</w:t>
            </w:r>
          </w:p>
        </w:tc>
        <w:tc>
          <w:tcPr>
            <w:tcW w:w="12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7,500,000</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20"/>
                <w:szCs w:val="20"/>
                <w:color w:val="auto"/>
              </w:rPr>
            </w:pPr>
            <w:r>
              <w:rPr>
                <w:rFonts w:ascii="Arial" w:cs="Arial" w:eastAsia="Arial" w:hAnsi="Arial"/>
                <w:sz w:val="16"/>
                <w:szCs w:val="16"/>
                <w:color w:val="auto"/>
                <w:w w:val="98"/>
              </w:rPr>
              <w:t>7,875,000</w:t>
            </w:r>
          </w:p>
        </w:tc>
        <w:tc>
          <w:tcPr>
            <w:tcW w:w="1060" w:type="dxa"/>
            <w:vAlign w:val="bottom"/>
            <w:gridSpan w:val="4"/>
          </w:tcPr>
          <w:p>
            <w:pPr>
              <w:jc w:val="right"/>
              <w:ind w:right="20"/>
              <w:spacing w:after="0"/>
              <w:rPr>
                <w:sz w:val="20"/>
                <w:szCs w:val="20"/>
                <w:color w:val="auto"/>
              </w:rPr>
            </w:pPr>
            <w:r>
              <w:rPr>
                <w:rFonts w:ascii="Arial" w:cs="Arial" w:eastAsia="Arial" w:hAnsi="Arial"/>
                <w:sz w:val="16"/>
                <w:szCs w:val="16"/>
                <w:color w:val="auto"/>
              </w:rPr>
              <w:t>$19,834,273</w:t>
            </w:r>
          </w:p>
        </w:tc>
        <w:tc>
          <w:tcPr>
            <w:tcW w:w="820" w:type="dxa"/>
            <w:vAlign w:val="bottom"/>
            <w:vMerge w:val="restart"/>
          </w:tcPr>
          <w:p>
            <w:pPr>
              <w:jc w:val="right"/>
              <w:ind w:right="7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8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00" w:type="dxa"/>
            <w:vAlign w:val="bottom"/>
            <w:gridSpan w:val="2"/>
          </w:tcPr>
          <w:p>
            <w:pPr>
              <w:ind w:left="20"/>
              <w:spacing w:after="0" w:line="81" w:lineRule="exact"/>
              <w:rPr>
                <w:sz w:val="20"/>
                <w:szCs w:val="20"/>
                <w:color w:val="auto"/>
              </w:rPr>
            </w:pPr>
            <w:r>
              <w:rPr>
                <w:rFonts w:ascii="Arial" w:cs="Arial" w:eastAsia="Arial" w:hAnsi="Arial"/>
                <w:sz w:val="9"/>
                <w:szCs w:val="9"/>
                <w:color w:val="auto"/>
              </w:rPr>
              <w:t>​​​</w:t>
            </w:r>
          </w:p>
        </w:tc>
        <w:tc>
          <w:tcPr>
            <w:tcW w:w="640" w:type="dxa"/>
            <w:vAlign w:val="bottom"/>
          </w:tcPr>
          <w:p>
            <w:pPr>
              <w:spacing w:after="0"/>
              <w:rPr>
                <w:sz w:val="7"/>
                <w:szCs w:val="7"/>
                <w:color w:val="auto"/>
              </w:rPr>
            </w:pPr>
          </w:p>
        </w:tc>
        <w:tc>
          <w:tcPr>
            <w:tcW w:w="240" w:type="dxa"/>
            <w:vAlign w:val="bottom"/>
            <w:gridSpan w:val="2"/>
            <w:vMerge w:val="continue"/>
          </w:tcPr>
          <w:p>
            <w:pPr>
              <w:spacing w:after="0"/>
              <w:rPr>
                <w:sz w:val="7"/>
                <w:szCs w:val="7"/>
                <w:color w:val="auto"/>
              </w:rPr>
            </w:pPr>
          </w:p>
        </w:tc>
        <w:tc>
          <w:tcPr>
            <w:tcW w:w="960" w:type="dxa"/>
            <w:vAlign w:val="bottom"/>
          </w:tcPr>
          <w:p>
            <w:pPr>
              <w:ind w:left="100"/>
              <w:spacing w:after="0" w:line="81" w:lineRule="exact"/>
              <w:rPr>
                <w:sz w:val="20"/>
                <w:szCs w:val="20"/>
                <w:color w:val="auto"/>
              </w:rPr>
            </w:pPr>
            <w:r>
              <w:rPr>
                <w:rFonts w:ascii="Arial" w:cs="Arial" w:eastAsia="Arial" w:hAnsi="Arial"/>
                <w:sz w:val="9"/>
                <w:szCs w:val="9"/>
                <w:color w:val="auto"/>
              </w:rPr>
              <w:t>​</w:t>
            </w:r>
          </w:p>
        </w:tc>
        <w:tc>
          <w:tcPr>
            <w:tcW w:w="140" w:type="dxa"/>
            <w:vAlign w:val="bottom"/>
          </w:tcPr>
          <w:p>
            <w:pPr>
              <w:spacing w:after="0" w:line="81" w:lineRule="exact"/>
              <w:rPr>
                <w:sz w:val="20"/>
                <w:szCs w:val="20"/>
                <w:color w:val="auto"/>
              </w:rPr>
            </w:pPr>
            <w:r>
              <w:rPr>
                <w:rFonts w:ascii="Arial" w:cs="Arial" w:eastAsia="Arial" w:hAnsi="Arial"/>
                <w:sz w:val="9"/>
                <w:szCs w:val="9"/>
                <w:color w:val="auto"/>
              </w:rPr>
              <w:t>​​</w:t>
            </w:r>
          </w:p>
        </w:tc>
        <w:tc>
          <w:tcPr>
            <w:tcW w:w="120" w:type="dxa"/>
            <w:vAlign w:val="bottom"/>
            <w:vMerge w:val="continue"/>
          </w:tcPr>
          <w:p>
            <w:pPr>
              <w:spacing w:after="0"/>
              <w:rPr>
                <w:sz w:val="7"/>
                <w:szCs w:val="7"/>
                <w:color w:val="auto"/>
              </w:rPr>
            </w:pPr>
          </w:p>
        </w:tc>
        <w:tc>
          <w:tcPr>
            <w:tcW w:w="140" w:type="dxa"/>
            <w:vAlign w:val="bottom"/>
          </w:tcPr>
          <w:p>
            <w:pPr>
              <w:spacing w:after="0" w:line="81" w:lineRule="exact"/>
              <w:rPr>
                <w:sz w:val="20"/>
                <w:szCs w:val="20"/>
                <w:color w:val="auto"/>
              </w:rPr>
            </w:pPr>
            <w:r>
              <w:rPr>
                <w:rFonts w:ascii="Arial" w:cs="Arial" w:eastAsia="Arial" w:hAnsi="Arial"/>
                <w:sz w:val="9"/>
                <w:szCs w:val="9"/>
                <w:color w:val="auto"/>
              </w:rPr>
              <w:t>​</w:t>
            </w: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gridSpan w:val="2"/>
          </w:tcPr>
          <w:p>
            <w:pPr>
              <w:jc w:val="right"/>
              <w:ind w:right="60"/>
              <w:spacing w:after="0" w:line="81" w:lineRule="exact"/>
              <w:rPr>
                <w:sz w:val="20"/>
                <w:szCs w:val="20"/>
                <w:color w:val="auto"/>
              </w:rPr>
            </w:pPr>
            <w:r>
              <w:rPr>
                <w:rFonts w:ascii="Arial" w:cs="Arial" w:eastAsia="Arial" w:hAnsi="Arial"/>
                <w:sz w:val="9"/>
                <w:szCs w:val="9"/>
                <w:color w:val="auto"/>
              </w:rPr>
              <w:t>​​​​</w:t>
            </w:r>
          </w:p>
        </w:tc>
        <w:tc>
          <w:tcPr>
            <w:tcW w:w="720" w:type="dxa"/>
            <w:vAlign w:val="bottom"/>
          </w:tcPr>
          <w:p>
            <w:pPr>
              <w:spacing w:after="0"/>
              <w:rPr>
                <w:sz w:val="7"/>
                <w:szCs w:val="7"/>
                <w:color w:val="auto"/>
              </w:rPr>
            </w:pPr>
          </w:p>
        </w:tc>
        <w:tc>
          <w:tcPr>
            <w:tcW w:w="280" w:type="dxa"/>
            <w:vAlign w:val="bottom"/>
            <w:gridSpan w:val="2"/>
          </w:tcPr>
          <w:p>
            <w:pPr>
              <w:jc w:val="right"/>
              <w:ind w:right="120"/>
              <w:spacing w:after="0" w:line="81" w:lineRule="exact"/>
              <w:rPr>
                <w:sz w:val="20"/>
                <w:szCs w:val="20"/>
                <w:color w:val="auto"/>
              </w:rPr>
            </w:pPr>
            <w:r>
              <w:rPr>
                <w:rFonts w:ascii="Arial" w:cs="Arial" w:eastAsia="Arial" w:hAnsi="Arial"/>
                <w:sz w:val="9"/>
                <w:szCs w:val="9"/>
                <w:color w:val="auto"/>
              </w:rPr>
              <w:t>​​​​</w:t>
            </w: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76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4B5088"/>
          </w:tcPr>
          <w:p>
            <w:pPr>
              <w:spacing w:after="0" w:line="20" w:lineRule="exact"/>
              <w:rPr>
                <w:sz w:val="1"/>
                <w:szCs w:val="1"/>
                <w:color w:val="auto"/>
              </w:rPr>
            </w:pPr>
          </w:p>
        </w:tc>
        <w:tc>
          <w:tcPr>
            <w:tcW w:w="64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4B5088"/>
          </w:tcPr>
          <w:p>
            <w:pPr>
              <w:spacing w:after="0" w:line="20" w:lineRule="exact"/>
              <w:rPr>
                <w:sz w:val="1"/>
                <w:szCs w:val="1"/>
                <w:color w:val="auto"/>
              </w:rPr>
            </w:pPr>
          </w:p>
        </w:tc>
        <w:tc>
          <w:tcPr>
            <w:tcW w:w="960" w:type="dxa"/>
            <w:vAlign w:val="bottom"/>
            <w:shd w:val="clear" w:color="auto" w:fill="4B508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4B5088"/>
            </w:tcBorders>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760" w:type="dxa"/>
            <w:vAlign w:val="bottom"/>
            <w:shd w:val="clear" w:color="auto" w:fill="4B50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4B5088"/>
          </w:tcPr>
          <w:p>
            <w:pPr>
              <w:spacing w:after="0" w:line="20" w:lineRule="exact"/>
              <w:rPr>
                <w:sz w:val="1"/>
                <w:szCs w:val="1"/>
                <w:color w:val="auto"/>
              </w:rPr>
            </w:pPr>
          </w:p>
        </w:tc>
        <w:tc>
          <w:tcPr>
            <w:tcW w:w="72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760" w:type="dxa"/>
            <w:vAlign w:val="bottom"/>
            <w:shd w:val="clear" w:color="auto" w:fill="4B50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Arial" w:cs="Arial" w:eastAsia="Arial" w:hAnsi="Arial"/>
                <w:sz w:val="16"/>
                <w:szCs w:val="16"/>
                <w:b w:val="1"/>
                <w:bCs w:val="1"/>
                <w:color w:val="1F2668"/>
              </w:rPr>
              <w:t>Matthew J. DiLiberto</w:t>
            </w:r>
          </w:p>
        </w:tc>
        <w:tc>
          <w:tcPr>
            <w:tcW w:w="1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600,000</w:t>
            </w:r>
          </w:p>
        </w:tc>
        <w:tc>
          <w:tcPr>
            <w:tcW w:w="24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100"/>
              <w:spacing w:after="0" w:line="196" w:lineRule="exact"/>
              <w:rPr>
                <w:sz w:val="20"/>
                <w:szCs w:val="20"/>
                <w:color w:val="auto"/>
              </w:rPr>
            </w:pPr>
            <w:r>
              <w:rPr>
                <w:rFonts w:ascii="Arial" w:cs="Arial" w:eastAsia="Arial" w:hAnsi="Arial"/>
                <w:sz w:val="16"/>
                <w:szCs w:val="16"/>
                <w:color w:val="auto"/>
                <w:w w:val="97"/>
              </w:rPr>
              <w:t>$ 2,226,100</w:t>
            </w:r>
            <w:r>
              <w:rPr>
                <w:rFonts w:ascii="Arial" w:cs="Arial" w:eastAsia="Arial" w:hAnsi="Arial"/>
                <w:sz w:val="19"/>
                <w:szCs w:val="19"/>
                <w:color w:val="auto"/>
                <w:w w:val="97"/>
                <w:vertAlign w:val="superscript"/>
              </w:rPr>
              <w:t>(4)</w:t>
            </w:r>
          </w:p>
        </w:tc>
        <w:tc>
          <w:tcPr>
            <w:tcW w:w="12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555,556</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20"/>
                <w:szCs w:val="20"/>
                <w:color w:val="auto"/>
              </w:rPr>
            </w:pPr>
            <w:r>
              <w:rPr>
                <w:rFonts w:ascii="Arial" w:cs="Arial" w:eastAsia="Arial" w:hAnsi="Arial"/>
                <w:sz w:val="16"/>
                <w:szCs w:val="16"/>
                <w:color w:val="auto"/>
                <w:w w:val="98"/>
              </w:rPr>
              <w:t>2,100,000</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5,495,456</w:t>
            </w:r>
          </w:p>
        </w:tc>
        <w:tc>
          <w:tcPr>
            <w:tcW w:w="820" w:type="dxa"/>
            <w:vAlign w:val="bottom"/>
            <w:vMerge w:val="restart"/>
          </w:tcPr>
          <w:p>
            <w:pPr>
              <w:jc w:val="right"/>
              <w:ind w:right="7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8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00" w:type="dxa"/>
            <w:vAlign w:val="bottom"/>
            <w:gridSpan w:val="2"/>
          </w:tcPr>
          <w:p>
            <w:pPr>
              <w:ind w:left="20"/>
              <w:spacing w:after="0" w:line="81" w:lineRule="exact"/>
              <w:rPr>
                <w:sz w:val="20"/>
                <w:szCs w:val="20"/>
                <w:color w:val="auto"/>
              </w:rPr>
            </w:pPr>
            <w:r>
              <w:rPr>
                <w:rFonts w:ascii="Arial" w:cs="Arial" w:eastAsia="Arial" w:hAnsi="Arial"/>
                <w:sz w:val="9"/>
                <w:szCs w:val="9"/>
                <w:color w:val="auto"/>
              </w:rPr>
              <w:t>​​​</w:t>
            </w:r>
          </w:p>
        </w:tc>
        <w:tc>
          <w:tcPr>
            <w:tcW w:w="640" w:type="dxa"/>
            <w:vAlign w:val="bottom"/>
          </w:tcPr>
          <w:p>
            <w:pPr>
              <w:spacing w:after="0"/>
              <w:rPr>
                <w:sz w:val="7"/>
                <w:szCs w:val="7"/>
                <w:color w:val="auto"/>
              </w:rPr>
            </w:pPr>
          </w:p>
        </w:tc>
        <w:tc>
          <w:tcPr>
            <w:tcW w:w="240" w:type="dxa"/>
            <w:vAlign w:val="bottom"/>
            <w:gridSpan w:val="2"/>
            <w:vMerge w:val="continue"/>
          </w:tcPr>
          <w:p>
            <w:pPr>
              <w:spacing w:after="0"/>
              <w:rPr>
                <w:sz w:val="7"/>
                <w:szCs w:val="7"/>
                <w:color w:val="auto"/>
              </w:rPr>
            </w:pPr>
          </w:p>
        </w:tc>
        <w:tc>
          <w:tcPr>
            <w:tcW w:w="960" w:type="dxa"/>
            <w:vAlign w:val="bottom"/>
          </w:tcPr>
          <w:p>
            <w:pPr>
              <w:ind w:left="100"/>
              <w:spacing w:after="0" w:line="81" w:lineRule="exact"/>
              <w:rPr>
                <w:sz w:val="20"/>
                <w:szCs w:val="20"/>
                <w:color w:val="auto"/>
              </w:rPr>
            </w:pPr>
            <w:r>
              <w:rPr>
                <w:rFonts w:ascii="Arial" w:cs="Arial" w:eastAsia="Arial" w:hAnsi="Arial"/>
                <w:sz w:val="9"/>
                <w:szCs w:val="9"/>
                <w:color w:val="auto"/>
              </w:rPr>
              <w:t>​</w:t>
            </w:r>
          </w:p>
        </w:tc>
        <w:tc>
          <w:tcPr>
            <w:tcW w:w="140" w:type="dxa"/>
            <w:vAlign w:val="bottom"/>
          </w:tcPr>
          <w:p>
            <w:pPr>
              <w:spacing w:after="0" w:line="81" w:lineRule="exact"/>
              <w:rPr>
                <w:sz w:val="20"/>
                <w:szCs w:val="20"/>
                <w:color w:val="auto"/>
              </w:rPr>
            </w:pPr>
            <w:r>
              <w:rPr>
                <w:rFonts w:ascii="Arial" w:cs="Arial" w:eastAsia="Arial" w:hAnsi="Arial"/>
                <w:sz w:val="9"/>
                <w:szCs w:val="9"/>
                <w:color w:val="auto"/>
              </w:rPr>
              <w:t>​​</w:t>
            </w:r>
          </w:p>
        </w:tc>
        <w:tc>
          <w:tcPr>
            <w:tcW w:w="120" w:type="dxa"/>
            <w:vAlign w:val="bottom"/>
            <w:vMerge w:val="continue"/>
          </w:tcPr>
          <w:p>
            <w:pPr>
              <w:spacing w:after="0"/>
              <w:rPr>
                <w:sz w:val="7"/>
                <w:szCs w:val="7"/>
                <w:color w:val="auto"/>
              </w:rPr>
            </w:pPr>
          </w:p>
        </w:tc>
        <w:tc>
          <w:tcPr>
            <w:tcW w:w="140" w:type="dxa"/>
            <w:vAlign w:val="bottom"/>
          </w:tcPr>
          <w:p>
            <w:pPr>
              <w:spacing w:after="0" w:line="81" w:lineRule="exact"/>
              <w:rPr>
                <w:sz w:val="20"/>
                <w:szCs w:val="20"/>
                <w:color w:val="auto"/>
              </w:rPr>
            </w:pPr>
            <w:r>
              <w:rPr>
                <w:rFonts w:ascii="Arial" w:cs="Arial" w:eastAsia="Arial" w:hAnsi="Arial"/>
                <w:sz w:val="9"/>
                <w:szCs w:val="9"/>
                <w:color w:val="auto"/>
              </w:rPr>
              <w:t>​</w:t>
            </w: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gridSpan w:val="2"/>
          </w:tcPr>
          <w:p>
            <w:pPr>
              <w:jc w:val="right"/>
              <w:ind w:right="60"/>
              <w:spacing w:after="0" w:line="81" w:lineRule="exact"/>
              <w:rPr>
                <w:sz w:val="20"/>
                <w:szCs w:val="20"/>
                <w:color w:val="auto"/>
              </w:rPr>
            </w:pPr>
            <w:r>
              <w:rPr>
                <w:rFonts w:ascii="Arial" w:cs="Arial" w:eastAsia="Arial" w:hAnsi="Arial"/>
                <w:sz w:val="9"/>
                <w:szCs w:val="9"/>
                <w:color w:val="auto"/>
              </w:rPr>
              <w:t>​​​​</w:t>
            </w:r>
          </w:p>
        </w:tc>
        <w:tc>
          <w:tcPr>
            <w:tcW w:w="720" w:type="dxa"/>
            <w:vAlign w:val="bottom"/>
          </w:tcPr>
          <w:p>
            <w:pPr>
              <w:spacing w:after="0"/>
              <w:rPr>
                <w:sz w:val="7"/>
                <w:szCs w:val="7"/>
                <w:color w:val="auto"/>
              </w:rPr>
            </w:pPr>
          </w:p>
        </w:tc>
        <w:tc>
          <w:tcPr>
            <w:tcW w:w="280" w:type="dxa"/>
            <w:vAlign w:val="bottom"/>
            <w:gridSpan w:val="2"/>
          </w:tcPr>
          <w:p>
            <w:pPr>
              <w:jc w:val="right"/>
              <w:ind w:right="120"/>
              <w:spacing w:after="0" w:line="81" w:lineRule="exact"/>
              <w:rPr>
                <w:sz w:val="20"/>
                <w:szCs w:val="20"/>
                <w:color w:val="auto"/>
              </w:rPr>
            </w:pPr>
            <w:r>
              <w:rPr>
                <w:rFonts w:ascii="Arial" w:cs="Arial" w:eastAsia="Arial" w:hAnsi="Arial"/>
                <w:sz w:val="9"/>
                <w:szCs w:val="9"/>
                <w:color w:val="auto"/>
              </w:rPr>
              <w:t>​​​​</w:t>
            </w: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76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4B5088"/>
          </w:tcPr>
          <w:p>
            <w:pPr>
              <w:spacing w:after="0" w:line="20" w:lineRule="exact"/>
              <w:rPr>
                <w:sz w:val="1"/>
                <w:szCs w:val="1"/>
                <w:color w:val="auto"/>
              </w:rPr>
            </w:pPr>
          </w:p>
        </w:tc>
        <w:tc>
          <w:tcPr>
            <w:tcW w:w="64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4B5088"/>
          </w:tcPr>
          <w:p>
            <w:pPr>
              <w:spacing w:after="0" w:line="20" w:lineRule="exact"/>
              <w:rPr>
                <w:sz w:val="1"/>
                <w:szCs w:val="1"/>
                <w:color w:val="auto"/>
              </w:rPr>
            </w:pPr>
          </w:p>
        </w:tc>
        <w:tc>
          <w:tcPr>
            <w:tcW w:w="960" w:type="dxa"/>
            <w:vAlign w:val="bottom"/>
            <w:shd w:val="clear" w:color="auto" w:fill="4B5088"/>
          </w:tcPr>
          <w:p>
            <w:pPr>
              <w:spacing w:after="0" w:line="20" w:lineRule="exact"/>
              <w:rPr>
                <w:sz w:val="1"/>
                <w:szCs w:val="1"/>
                <w:color w:val="auto"/>
              </w:rPr>
            </w:pPr>
          </w:p>
        </w:tc>
        <w:tc>
          <w:tcPr>
            <w:tcW w:w="260" w:type="dxa"/>
            <w:vAlign w:val="bottom"/>
            <w:tcBorders>
              <w:right w:val="single" w:sz="8" w:color="4B5088"/>
            </w:tcBorders>
            <w:gridSpan w:val="2"/>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760" w:type="dxa"/>
            <w:vAlign w:val="bottom"/>
            <w:shd w:val="clear" w:color="auto" w:fill="4B508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shd w:val="clear" w:color="auto" w:fill="4B5088"/>
          </w:tcPr>
          <w:p>
            <w:pPr>
              <w:spacing w:after="0" w:line="20" w:lineRule="exact"/>
              <w:rPr>
                <w:sz w:val="1"/>
                <w:szCs w:val="1"/>
                <w:color w:val="auto"/>
              </w:rPr>
            </w:pPr>
          </w:p>
        </w:tc>
        <w:tc>
          <w:tcPr>
            <w:tcW w:w="72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760" w:type="dxa"/>
            <w:vAlign w:val="bottom"/>
            <w:shd w:val="clear" w:color="auto" w:fill="4B5088"/>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2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Arial" w:cs="Arial" w:eastAsia="Arial" w:hAnsi="Arial"/>
                <w:sz w:val="16"/>
                <w:szCs w:val="16"/>
                <w:b w:val="1"/>
                <w:bCs w:val="1"/>
                <w:color w:val="1F2668"/>
              </w:rPr>
              <w:t>Andrew S. Levine</w:t>
            </w:r>
          </w:p>
        </w:tc>
        <w:tc>
          <w:tcPr>
            <w:tcW w:w="300" w:type="dxa"/>
            <w:vAlign w:val="bottom"/>
            <w:gridSpan w:val="2"/>
          </w:tcPr>
          <w:p>
            <w:pPr>
              <w:ind w:left="20"/>
              <w:spacing w:after="0" w:line="276"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880" w:type="dxa"/>
            <w:vAlign w:val="bottom"/>
            <w:gridSpan w:val="3"/>
          </w:tcPr>
          <w:p>
            <w:pPr>
              <w:jc w:val="right"/>
              <w:ind w:right="100"/>
              <w:spacing w:after="0" w:line="276" w:lineRule="exact"/>
              <w:rPr>
                <w:sz w:val="20"/>
                <w:szCs w:val="20"/>
                <w:color w:val="auto"/>
              </w:rPr>
            </w:pPr>
            <w:r>
              <w:rPr>
                <w:rFonts w:ascii="Arial" w:cs="Arial" w:eastAsia="Arial" w:hAnsi="Arial"/>
                <w:sz w:val="16"/>
                <w:szCs w:val="16"/>
                <w:color w:val="auto"/>
              </w:rPr>
              <w:t>580,000</w:t>
            </w:r>
            <w:r>
              <w:rPr>
                <w:rFonts w:ascii="Arial" w:cs="Arial" w:eastAsia="Arial" w:hAnsi="Arial"/>
                <w:sz w:val="32"/>
                <w:szCs w:val="32"/>
                <w:color w:val="auto"/>
                <w:vertAlign w:val="subscript"/>
              </w:rPr>
              <w:t>​​​</w:t>
            </w:r>
          </w:p>
        </w:tc>
        <w:tc>
          <w:tcPr>
            <w:tcW w:w="1360" w:type="dxa"/>
            <w:vAlign w:val="bottom"/>
            <w:gridSpan w:val="4"/>
          </w:tcPr>
          <w:p>
            <w:pPr>
              <w:ind w:left="10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$ 1,025,000</w:t>
            </w:r>
            <w:r>
              <w:rPr>
                <w:rFonts w:ascii="Arial" w:cs="Arial" w:eastAsia="Arial" w:hAnsi="Arial"/>
                <w:sz w:val="32"/>
                <w:szCs w:val="32"/>
                <w:color w:val="auto"/>
                <w:vertAlign w:val="subscript"/>
              </w:rPr>
              <w:t>​​ ​ ​</w:t>
            </w:r>
            <w:r>
              <w:rPr>
                <w:rFonts w:ascii="Arial" w:cs="Arial" w:eastAsia="Arial" w:hAnsi="Arial"/>
                <w:sz w:val="16"/>
                <w:szCs w:val="16"/>
                <w:color w:val="auto"/>
              </w:rPr>
              <w:t>$</w:t>
            </w:r>
          </w:p>
        </w:tc>
        <w:tc>
          <w:tcPr>
            <w:tcW w:w="1000" w:type="dxa"/>
            <w:vAlign w:val="bottom"/>
            <w:gridSpan w:val="4"/>
          </w:tcPr>
          <w:p>
            <w:pPr>
              <w:jc w:val="right"/>
              <w:ind w:right="20"/>
              <w:spacing w:after="0" w:line="276" w:lineRule="exact"/>
              <w:rPr>
                <w:sz w:val="20"/>
                <w:szCs w:val="20"/>
                <w:color w:val="auto"/>
              </w:rPr>
            </w:pPr>
            <w:r>
              <w:rPr>
                <w:rFonts w:ascii="Arial" w:cs="Arial" w:eastAsia="Arial" w:hAnsi="Arial"/>
                <w:sz w:val="16"/>
                <w:szCs w:val="16"/>
                <w:color w:val="auto"/>
              </w:rPr>
              <w:t>555,556</w:t>
            </w:r>
            <w:r>
              <w:rPr>
                <w:rFonts w:ascii="Arial" w:cs="Arial" w:eastAsia="Arial" w:hAnsi="Arial"/>
                <w:sz w:val="32"/>
                <w:szCs w:val="32"/>
                <w:color w:val="auto"/>
                <w:vertAlign w:val="subscript"/>
              </w:rPr>
              <w:t>​​​​</w:t>
            </w:r>
            <w:r>
              <w:rPr>
                <w:rFonts w:ascii="Arial" w:cs="Arial" w:eastAsia="Arial" w:hAnsi="Arial"/>
                <w:sz w:val="16"/>
                <w:szCs w:val="16"/>
                <w:color w:val="auto"/>
              </w:rPr>
              <w:t>$</w:t>
            </w:r>
          </w:p>
        </w:tc>
        <w:tc>
          <w:tcPr>
            <w:tcW w:w="1000" w:type="dxa"/>
            <w:vAlign w:val="bottom"/>
            <w:gridSpan w:val="3"/>
          </w:tcPr>
          <w:p>
            <w:pPr>
              <w:spacing w:after="0" w:line="276" w:lineRule="exact"/>
              <w:rPr>
                <w:sz w:val="20"/>
                <w:szCs w:val="20"/>
                <w:color w:val="auto"/>
              </w:rPr>
            </w:pPr>
            <w:r>
              <w:rPr>
                <w:rFonts w:ascii="Arial" w:cs="Arial" w:eastAsia="Arial" w:hAnsi="Arial"/>
                <w:sz w:val="16"/>
                <w:szCs w:val="16"/>
                <w:color w:val="auto"/>
              </w:rPr>
              <w:t>1,812,500</w:t>
            </w:r>
            <w:r>
              <w:rPr>
                <w:rFonts w:ascii="Arial" w:cs="Arial" w:eastAsia="Arial" w:hAnsi="Arial"/>
                <w:sz w:val="32"/>
                <w:szCs w:val="32"/>
                <w:color w:val="auto"/>
                <w:vertAlign w:val="subscript"/>
              </w:rPr>
              <w:t>​​​​</w:t>
            </w:r>
            <w:r>
              <w:rPr>
                <w:rFonts w:ascii="Arial" w:cs="Arial" w:eastAsia="Arial" w:hAnsi="Arial"/>
                <w:sz w:val="16"/>
                <w:szCs w:val="16"/>
                <w:color w:val="auto"/>
              </w:rPr>
              <w:t>$</w:t>
            </w:r>
          </w:p>
        </w:tc>
        <w:tc>
          <w:tcPr>
            <w:tcW w:w="1600" w:type="dxa"/>
            <w:vAlign w:val="bottom"/>
            <w:gridSpan w:val="3"/>
          </w:tcPr>
          <w:p>
            <w:pPr>
              <w:jc w:val="right"/>
              <w:ind w:right="724"/>
              <w:spacing w:after="0" w:line="276" w:lineRule="exact"/>
              <w:rPr>
                <w:sz w:val="20"/>
                <w:szCs w:val="20"/>
                <w:color w:val="auto"/>
              </w:rPr>
            </w:pPr>
            <w:r>
              <w:rPr>
                <w:rFonts w:ascii="Arial" w:cs="Arial" w:eastAsia="Arial" w:hAnsi="Arial"/>
                <w:sz w:val="16"/>
                <w:szCs w:val="16"/>
                <w:color w:val="auto"/>
              </w:rPr>
              <w:t>3,986,856</w:t>
            </w:r>
            <w:r>
              <w:rPr>
                <w:rFonts w:ascii="Arial" w:cs="Arial" w:eastAsia="Arial" w:hAnsi="Arial"/>
                <w:sz w:val="32"/>
                <w:szCs w:val="32"/>
                <w:color w:val="auto"/>
                <w:vertAlign w:val="subscript"/>
              </w:rPr>
              <w:t>​</w:t>
            </w:r>
          </w:p>
        </w:tc>
        <w:tc>
          <w:tcPr>
            <w:tcW w:w="0" w:type="dxa"/>
            <w:vAlign w:val="bottom"/>
          </w:tcPr>
          <w:p>
            <w:pPr>
              <w:spacing w:after="0"/>
              <w:rPr>
                <w:sz w:val="1"/>
                <w:szCs w:val="1"/>
                <w:color w:val="auto"/>
              </w:rPr>
            </w:pPr>
          </w:p>
        </w:tc>
      </w:tr>
      <w:tr>
        <w:trPr>
          <w:trHeight w:val="149"/>
        </w:trPr>
        <w:tc>
          <w:tcPr>
            <w:tcW w:w="820" w:type="dxa"/>
            <w:vAlign w:val="bottom"/>
            <w:tcBorders>
              <w:bottom w:val="single" w:sz="8" w:color="9A9A9A"/>
            </w:tcBorders>
          </w:tcPr>
          <w:p>
            <w:pPr>
              <w:spacing w:after="0"/>
              <w:rPr>
                <w:sz w:val="12"/>
                <w:szCs w:val="12"/>
                <w:color w:val="auto"/>
              </w:rPr>
            </w:pPr>
          </w:p>
        </w:tc>
        <w:tc>
          <w:tcPr>
            <w:tcW w:w="3760" w:type="dxa"/>
            <w:vAlign w:val="bottom"/>
            <w:tcBorders>
              <w:top w:val="single" w:sz="8" w:color="1F2668"/>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00" w:type="dxa"/>
            <w:vAlign w:val="bottom"/>
            <w:tcBorders>
              <w:top w:val="single" w:sz="8" w:color="1F2668"/>
              <w:bottom w:val="single" w:sz="8" w:color="9A9A9A"/>
            </w:tcBorders>
          </w:tcPr>
          <w:p>
            <w:pPr>
              <w:spacing w:after="0"/>
              <w:rPr>
                <w:sz w:val="12"/>
                <w:szCs w:val="12"/>
                <w:color w:val="auto"/>
              </w:rPr>
            </w:pPr>
          </w:p>
        </w:tc>
        <w:tc>
          <w:tcPr>
            <w:tcW w:w="640" w:type="dxa"/>
            <w:vAlign w:val="bottom"/>
            <w:tcBorders>
              <w:top w:val="single" w:sz="8" w:color="1F2668"/>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20" w:type="dxa"/>
            <w:vAlign w:val="bottom"/>
            <w:tcBorders>
              <w:top w:val="single" w:sz="8" w:color="1F2668"/>
              <w:bottom w:val="single" w:sz="8" w:color="9A9A9A"/>
            </w:tcBorders>
          </w:tcPr>
          <w:p>
            <w:pPr>
              <w:spacing w:after="0"/>
              <w:rPr>
                <w:sz w:val="12"/>
                <w:szCs w:val="12"/>
                <w:color w:val="auto"/>
              </w:rPr>
            </w:pPr>
          </w:p>
        </w:tc>
        <w:tc>
          <w:tcPr>
            <w:tcW w:w="960" w:type="dxa"/>
            <w:vAlign w:val="bottom"/>
            <w:tcBorders>
              <w:top w:val="single" w:sz="8" w:color="1F2668"/>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40" w:type="dxa"/>
            <w:vAlign w:val="bottom"/>
            <w:tcBorders>
              <w:top w:val="single" w:sz="8" w:color="1F2668"/>
              <w:bottom w:val="single" w:sz="8" w:color="9A9A9A"/>
            </w:tcBorders>
          </w:tcPr>
          <w:p>
            <w:pPr>
              <w:spacing w:after="0"/>
              <w:rPr>
                <w:sz w:val="12"/>
                <w:szCs w:val="12"/>
                <w:color w:val="auto"/>
              </w:rPr>
            </w:pPr>
          </w:p>
        </w:tc>
        <w:tc>
          <w:tcPr>
            <w:tcW w:w="760" w:type="dxa"/>
            <w:vAlign w:val="bottom"/>
            <w:tcBorders>
              <w:top w:val="single" w:sz="8" w:color="1F2668"/>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20" w:type="dxa"/>
            <w:vAlign w:val="bottom"/>
            <w:tcBorders>
              <w:top w:val="single" w:sz="8" w:color="1F2668"/>
              <w:bottom w:val="single" w:sz="8" w:color="9A9A9A"/>
            </w:tcBorders>
          </w:tcPr>
          <w:p>
            <w:pPr>
              <w:spacing w:after="0"/>
              <w:rPr>
                <w:sz w:val="12"/>
                <w:szCs w:val="12"/>
                <w:color w:val="auto"/>
              </w:rPr>
            </w:pPr>
          </w:p>
        </w:tc>
        <w:tc>
          <w:tcPr>
            <w:tcW w:w="720" w:type="dxa"/>
            <w:vAlign w:val="bottom"/>
            <w:tcBorders>
              <w:top w:val="single" w:sz="8" w:color="1F2668"/>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60" w:type="dxa"/>
            <w:vAlign w:val="bottom"/>
            <w:tcBorders>
              <w:top w:val="single" w:sz="8" w:color="1F2668"/>
              <w:bottom w:val="single" w:sz="8" w:color="9A9A9A"/>
            </w:tcBorders>
          </w:tcPr>
          <w:p>
            <w:pPr>
              <w:spacing w:after="0"/>
              <w:rPr>
                <w:sz w:val="12"/>
                <w:szCs w:val="12"/>
                <w:color w:val="auto"/>
              </w:rPr>
            </w:pPr>
          </w:p>
        </w:tc>
        <w:tc>
          <w:tcPr>
            <w:tcW w:w="760" w:type="dxa"/>
            <w:vAlign w:val="bottom"/>
            <w:tcBorders>
              <w:top w:val="single" w:sz="8" w:color="1F2668"/>
              <w:bottom w:val="single" w:sz="8" w:color="9A9A9A"/>
            </w:tcBorders>
          </w:tcPr>
          <w:p>
            <w:pPr>
              <w:spacing w:after="0"/>
              <w:rPr>
                <w:sz w:val="12"/>
                <w:szCs w:val="12"/>
                <w:color w:val="auto"/>
              </w:rPr>
            </w:pPr>
          </w:p>
        </w:tc>
        <w:tc>
          <w:tcPr>
            <w:tcW w:w="20" w:type="dxa"/>
            <w:vAlign w:val="bottom"/>
            <w:tcBorders>
              <w:top w:val="single" w:sz="8" w:color="1F2668"/>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p>
      <w:pPr>
        <w:ind w:left="820"/>
        <w:spacing w:after="0"/>
        <w:tabs>
          <w:tab w:leader="none" w:pos="1440" w:val="left"/>
          <w:tab w:leader="none" w:pos="9860" w:val="left"/>
        </w:tabs>
        <w:rPr>
          <w:sz w:val="20"/>
          <w:szCs w:val="20"/>
          <w:color w:val="auto"/>
        </w:rPr>
      </w:pPr>
      <w:r>
        <w:rPr>
          <w:rFonts w:ascii="Arial" w:cs="Arial" w:eastAsia="Arial" w:hAnsi="Arial"/>
          <w:sz w:val="22"/>
          <w:szCs w:val="22"/>
          <w:b w:val="1"/>
          <w:bCs w:val="1"/>
          <w:color w:val="1F2668"/>
        </w:rPr>
        <w:t>​48</w:t>
      </w:r>
      <w:r>
        <w:rPr>
          <w:sz w:val="20"/>
          <w:szCs w:val="20"/>
          <w:color w:val="auto"/>
        </w:rPr>
        <w:tab/>
      </w:r>
      <w:r>
        <w:rPr>
          <w:rFonts w:ascii="Arial" w:cs="Arial" w:eastAsia="Arial" w:hAnsi="Arial"/>
          <w:sz w:val="22"/>
          <w:szCs w:val="22"/>
          <w:b w:val="1"/>
          <w:bCs w:val="1"/>
          <w:color w:val="1F2668"/>
        </w:rPr>
        <w:t xml:space="preserve">​ ​ </w:t>
      </w:r>
      <w:r>
        <w:rPr>
          <w:rFonts w:ascii="Arial" w:cs="Arial" w:eastAsia="Arial" w:hAnsi="Arial"/>
          <w:sz w:val="14"/>
          <w:szCs w:val="14"/>
          <w:b w:val="1"/>
          <w:bCs w:val="1"/>
          <w:color w:val="1F2668"/>
        </w:rPr>
        <w:t>SL GREEN REALTY CORP. 2025 PROXY STATEMENT</w:t>
      </w:r>
      <w:r>
        <w:rPr>
          <w:sz w:val="20"/>
          <w:szCs w:val="20"/>
          <w:color w:val="auto"/>
        </w:rPr>
        <w:tab/>
      </w:r>
      <w:r>
        <w:rPr>
          <w:rFonts w:ascii="Arial" w:cs="Arial" w:eastAsia="Arial" w:hAnsi="Arial"/>
          <w:sz w:val="22"/>
          <w:szCs w:val="22"/>
          <w:b w:val="1"/>
          <w:bCs w:val="1"/>
          <w:color w:val="1F2668"/>
        </w:rPr>
        <w:t>​</w:t>
      </w:r>
    </w:p>
    <w:p>
      <w:pPr>
        <w:spacing w:after="0" w:line="200" w:lineRule="exact"/>
        <w:rPr>
          <w:sz w:val="20"/>
          <w:szCs w:val="20"/>
          <w:color w:val="auto"/>
        </w:rPr>
      </w:pPr>
    </w:p>
    <w:p>
      <w:pPr>
        <w:spacing w:after="0" w:line="295" w:lineRule="exact"/>
        <w:rPr>
          <w:sz w:val="20"/>
          <w:szCs w:val="20"/>
          <w:color w:val="auto"/>
        </w:rPr>
      </w:pPr>
    </w:p>
    <w:p>
      <w:pPr>
        <w:ind w:left="1180" w:right="1000" w:hanging="364"/>
        <w:spacing w:after="0" w:line="301" w:lineRule="auto"/>
        <w:tabs>
          <w:tab w:leader="none" w:pos="11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Determined 100% formulaically for Mr. Holliday, on a partially formulaic (60%) and partially discretionary (40%) basis for Mr. DiLiberto and on a discretionary basis for Mr. Levine.</w:t>
      </w:r>
    </w:p>
    <w:p>
      <w:pPr>
        <w:spacing w:after="0" w:line="1" w:lineRule="exact"/>
        <w:rPr>
          <w:rFonts w:ascii="Arial" w:cs="Arial" w:eastAsia="Arial" w:hAnsi="Arial"/>
          <w:sz w:val="14"/>
          <w:szCs w:val="14"/>
          <w:color w:val="auto"/>
        </w:rPr>
      </w:pPr>
    </w:p>
    <w:p>
      <w:pPr>
        <w:ind w:left="1180" w:right="1060" w:hanging="364"/>
        <w:spacing w:after="0" w:line="293" w:lineRule="auto"/>
        <w:tabs>
          <w:tab w:leader="none" w:pos="11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Represents notional values of equity awards. For Mr. Holliday, the “Performance-Based Equity Awards” column excludes the $4,500,000 retention performance incentive of performance-based Class O LTIP units granted in connection with entering into his new employment agreement, which require achieving a twenty-trading day trailing average stock price of $100.00 to be earned.</w:t>
      </w:r>
    </w:p>
    <w:p>
      <w:pPr>
        <w:spacing w:after="0" w:line="4" w:lineRule="exact"/>
        <w:rPr>
          <w:rFonts w:ascii="Arial" w:cs="Arial" w:eastAsia="Arial" w:hAnsi="Arial"/>
          <w:sz w:val="14"/>
          <w:szCs w:val="14"/>
          <w:color w:val="auto"/>
        </w:rPr>
      </w:pPr>
    </w:p>
    <w:p>
      <w:pPr>
        <w:ind w:left="1180" w:hanging="364"/>
        <w:spacing w:after="0"/>
        <w:tabs>
          <w:tab w:leader="none" w:pos="11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Includes the following compensation categorized as “Other Compensation” as reflected in the Summary Compensation Table: Mr. Holliday</w:t>
      </w:r>
    </w:p>
    <w:p>
      <w:pPr>
        <w:spacing w:after="0" w:line="28" w:lineRule="exact"/>
        <w:rPr>
          <w:rFonts w:ascii="Arial" w:cs="Arial" w:eastAsia="Arial" w:hAnsi="Arial"/>
          <w:sz w:val="14"/>
          <w:szCs w:val="14"/>
          <w:color w:val="auto"/>
        </w:rPr>
      </w:pPr>
    </w:p>
    <w:p>
      <w:pPr>
        <w:ind w:left="1180"/>
        <w:spacing w:after="0"/>
        <w:rPr>
          <w:rFonts w:ascii="Arial" w:cs="Arial" w:eastAsia="Arial" w:hAnsi="Arial"/>
          <w:sz w:val="14"/>
          <w:szCs w:val="14"/>
          <w:color w:val="auto"/>
        </w:rPr>
      </w:pPr>
      <w:r>
        <w:rPr>
          <w:rFonts w:ascii="Arial" w:cs="Arial" w:eastAsia="Arial" w:hAnsi="Arial"/>
          <w:sz w:val="14"/>
          <w:szCs w:val="14"/>
          <w:color w:val="auto"/>
        </w:rPr>
        <w:t>—$40,940; Mr. DiLiberto—$13,800; and Mr. Levine—$13,800, respectively.</w:t>
      </w:r>
    </w:p>
    <w:p>
      <w:pPr>
        <w:spacing w:after="0" w:line="54" w:lineRule="exact"/>
        <w:rPr>
          <w:rFonts w:ascii="Arial" w:cs="Arial" w:eastAsia="Arial" w:hAnsi="Arial"/>
          <w:sz w:val="14"/>
          <w:szCs w:val="14"/>
          <w:color w:val="auto"/>
        </w:rPr>
      </w:pPr>
    </w:p>
    <w:p>
      <w:pPr>
        <w:ind w:left="1180" w:right="960" w:hanging="364"/>
        <w:spacing w:after="0" w:line="293" w:lineRule="auto"/>
        <w:tabs>
          <w:tab w:leader="none" w:pos="11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Represents 2024 cash bonus amounts earned less a true-up adjustment based on actual 2023 performance. Each year, we determine the formulaic component of annual cash bonuses in December based on projected results, which may result in adjustments if actual results differ from our projections.</w:t>
      </w:r>
    </w:p>
    <w:p>
      <w:pPr>
        <w:spacing w:after="0" w:line="67" w:lineRule="exact"/>
        <w:rPr>
          <w:sz w:val="20"/>
          <w:szCs w:val="20"/>
          <w:color w:val="auto"/>
        </w:rPr>
      </w:pPr>
    </w:p>
    <w:p>
      <w:pPr>
        <w:ind w:left="820" w:right="1240"/>
        <w:spacing w:after="0" w:line="321" w:lineRule="auto"/>
        <w:rPr>
          <w:sz w:val="20"/>
          <w:szCs w:val="20"/>
          <w:color w:val="auto"/>
        </w:rPr>
      </w:pPr>
      <w:r>
        <w:rPr>
          <w:rFonts w:ascii="Arial" w:cs="Arial" w:eastAsia="Arial" w:hAnsi="Arial"/>
          <w:sz w:val="16"/>
          <w:szCs w:val="16"/>
          <w:color w:val="auto"/>
        </w:rPr>
        <w:t>Using our CEO’s 2024 compensation, the table below illustrates the differences between Total Direct Compensation and the Summary Compensation Table that appears later in this proxy statement.</w:t>
      </w:r>
    </w:p>
    <w:p>
      <w:pPr>
        <w:spacing w:after="0" w:line="129" w:lineRule="exact"/>
        <w:rPr>
          <w:sz w:val="20"/>
          <w:szCs w:val="20"/>
          <w:color w:val="auto"/>
        </w:rPr>
      </w:pPr>
    </w:p>
    <w:p>
      <w:pPr>
        <w:ind w:left="980" w:right="940" w:hanging="159"/>
        <w:spacing w:after="0" w:line="263" w:lineRule="auto"/>
        <w:tabs>
          <w:tab w:leader="none" w:pos="960" w:val="left"/>
        </w:tabs>
        <w:rPr>
          <w:sz w:val="20"/>
          <w:szCs w:val="20"/>
          <w:color w:val="auto"/>
        </w:rPr>
      </w:pPr>
      <w:r>
        <w:rPr>
          <w:rFonts w:ascii="Arial" w:cs="Arial" w:eastAsia="Arial" w:hAnsi="Arial"/>
          <w:sz w:val="29"/>
          <w:szCs w:val="29"/>
          <w:color w:val="auto"/>
          <w:vertAlign w:val="superscript"/>
        </w:rPr>
        <w:t>​</w:t>
      </w:r>
      <w:r>
        <w:rPr>
          <w:sz w:val="20"/>
          <w:szCs w:val="20"/>
          <w:color w:val="auto"/>
        </w:rPr>
        <w:tab/>
      </w:r>
      <w:r>
        <w:rPr>
          <w:rFonts w:ascii="Arial" w:cs="Arial" w:eastAsia="Arial" w:hAnsi="Arial"/>
          <w:sz w:val="15"/>
          <w:szCs w:val="15"/>
          <w:color w:val="auto"/>
        </w:rPr>
        <w:t xml:space="preserve">The Total Direct Compensation approved by the Committee for Mr. Holliday for 2024 reflects </w:t>
      </w:r>
      <w:r>
        <w:rPr>
          <w:rFonts w:ascii="Arial" w:cs="Arial" w:eastAsia="Arial" w:hAnsi="Arial"/>
          <w:sz w:val="15"/>
          <w:szCs w:val="15"/>
          <w:b w:val="1"/>
          <w:bCs w:val="1"/>
          <w:color w:val="auto"/>
        </w:rPr>
        <w:t>our sustained sector-leading</w:t>
      </w:r>
      <w:r>
        <w:rPr>
          <w:rFonts w:ascii="Arial" w:cs="Arial" w:eastAsia="Arial" w:hAnsi="Arial"/>
          <w:sz w:val="15"/>
          <w:szCs w:val="15"/>
          <w:color w:val="auto"/>
        </w:rPr>
        <w:t xml:space="preserve"> </w:t>
      </w:r>
      <w:r>
        <w:rPr>
          <w:rFonts w:ascii="Arial" w:cs="Arial" w:eastAsia="Arial" w:hAnsi="Arial"/>
          <w:sz w:val="29"/>
          <w:szCs w:val="29"/>
          <w:color w:val="auto"/>
          <w:vertAlign w:val="superscript"/>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performance</w:t>
      </w:r>
      <w:r>
        <w:rPr>
          <w:rFonts w:ascii="Arial" w:cs="Arial" w:eastAsia="Arial" w:hAnsi="Arial"/>
          <w:sz w:val="15"/>
          <w:szCs w:val="15"/>
          <w:color w:val="auto"/>
        </w:rPr>
        <w:t>. Due to the timing and valuation methods of equity award grants and bonus determinations, certain amounts</w:t>
      </w:r>
      <w:r>
        <w:rPr>
          <w:rFonts w:ascii="Arial" w:cs="Arial" w:eastAsia="Arial" w:hAnsi="Arial"/>
          <w:sz w:val="15"/>
          <w:szCs w:val="15"/>
          <w:b w:val="1"/>
          <w:bCs w:val="1"/>
          <w:color w:val="auto"/>
        </w:rPr>
        <w:t xml:space="preserve"> </w:t>
      </w:r>
      <w:r>
        <w:rPr>
          <w:rFonts w:ascii="Arial" w:cs="Arial" w:eastAsia="Arial" w:hAnsi="Arial"/>
          <w:sz w:val="15"/>
          <w:szCs w:val="15"/>
          <w:color w:val="auto"/>
        </w:rPr>
        <w:t>reported in the Summary Compensation Table for 2024 do not match the compensation actually approved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-462280</wp:posOffset>
            </wp:positionV>
            <wp:extent cx="5760720" cy="65151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760720" cy="65151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820" w:type="dxa"/>
        <w:tblCellMar>
          <w:top w:w="0" w:type="dxa"/>
          <w:left w:w="0" w:type="dxa"/>
          <w:bottom w:w="0" w:type="dxa"/>
          <w:right w:w="0" w:type="dxa"/>
        </w:tblCellMar>
      </w:tblPr>
      <w:tr>
        <w:trPr>
          <w:trHeight w:val="198"/>
        </w:trPr>
        <w:tc>
          <w:tcPr>
            <w:tcW w:w="2240" w:type="dxa"/>
            <w:vAlign w:val="bottom"/>
            <w:tcBorders>
              <w:bottom w:val="single" w:sz="8" w:color="1F2668"/>
            </w:tcBorders>
          </w:tcPr>
          <w:p>
            <w:pPr>
              <w:spacing w:after="0"/>
              <w:rPr>
                <w:sz w:val="17"/>
                <w:szCs w:val="17"/>
                <w:color w:val="auto"/>
              </w:rPr>
            </w:pPr>
          </w:p>
        </w:tc>
        <w:tc>
          <w:tcPr>
            <w:tcW w:w="5260" w:type="dxa"/>
            <w:vAlign w:val="bottom"/>
            <w:tcBorders>
              <w:bottom w:val="single" w:sz="8" w:color="1F2668"/>
            </w:tcBorders>
            <w:gridSpan w:val="5"/>
          </w:tcPr>
          <w:p>
            <w:pPr>
              <w:jc w:val="right"/>
              <w:ind w:right="599"/>
              <w:spacing w:after="0"/>
              <w:rPr>
                <w:sz w:val="20"/>
                <w:szCs w:val="20"/>
                <w:color w:val="auto"/>
              </w:rPr>
            </w:pPr>
            <w:r>
              <w:rPr>
                <w:rFonts w:ascii="Arial" w:cs="Arial" w:eastAsia="Arial" w:hAnsi="Arial"/>
                <w:sz w:val="14"/>
                <w:szCs w:val="14"/>
                <w:color w:val="1F2668"/>
              </w:rPr>
              <w:t>2024 CEO Direct Compensation vs. 2024 Summary Compensation Table</w:t>
            </w:r>
          </w:p>
        </w:tc>
        <w:tc>
          <w:tcPr>
            <w:tcW w:w="80" w:type="dxa"/>
            <w:vAlign w:val="bottom"/>
            <w:tcBorders>
              <w:bottom w:val="single" w:sz="8" w:color="1F2668"/>
            </w:tcBorders>
          </w:tcPr>
          <w:p>
            <w:pPr>
              <w:spacing w:after="0"/>
              <w:rPr>
                <w:sz w:val="17"/>
                <w:szCs w:val="17"/>
                <w:color w:val="auto"/>
              </w:rPr>
            </w:pPr>
          </w:p>
        </w:tc>
        <w:tc>
          <w:tcPr>
            <w:tcW w:w="100" w:type="dxa"/>
            <w:vAlign w:val="bottom"/>
            <w:tcBorders>
              <w:bottom w:val="single" w:sz="8" w:color="1F2668"/>
            </w:tcBorders>
          </w:tcPr>
          <w:p>
            <w:pPr>
              <w:spacing w:after="0"/>
              <w:rPr>
                <w:sz w:val="17"/>
                <w:szCs w:val="17"/>
                <w:color w:val="auto"/>
              </w:rPr>
            </w:pPr>
          </w:p>
        </w:tc>
        <w:tc>
          <w:tcPr>
            <w:tcW w:w="20" w:type="dxa"/>
            <w:vAlign w:val="bottom"/>
            <w:tcBorders>
              <w:bottom w:val="single" w:sz="8" w:color="1F2668"/>
            </w:tcBorders>
          </w:tcPr>
          <w:p>
            <w:pPr>
              <w:spacing w:after="0"/>
              <w:rPr>
                <w:sz w:val="17"/>
                <w:szCs w:val="17"/>
                <w:color w:val="auto"/>
              </w:rPr>
            </w:pPr>
          </w:p>
        </w:tc>
        <w:tc>
          <w:tcPr>
            <w:tcW w:w="580" w:type="dxa"/>
            <w:vAlign w:val="bottom"/>
            <w:tcBorders>
              <w:bottom w:val="single" w:sz="8" w:color="1F2668"/>
            </w:tcBorders>
          </w:tcPr>
          <w:p>
            <w:pPr>
              <w:spacing w:after="0"/>
              <w:rPr>
                <w:sz w:val="17"/>
                <w:szCs w:val="17"/>
                <w:color w:val="auto"/>
              </w:rPr>
            </w:pPr>
          </w:p>
        </w:tc>
        <w:tc>
          <w:tcPr>
            <w:tcW w:w="780" w:type="dxa"/>
            <w:vAlign w:val="bottom"/>
            <w:tcBorders>
              <w:bottom w:val="single" w:sz="8" w:color="1F2668"/>
            </w:tcBorders>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1F2668"/>
              </w:rPr>
              <w:t>​</w:t>
            </w: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6"/>
          </w:tcPr>
          <w:p>
            <w:pPr>
              <w:jc w:val="right"/>
              <w:ind w:right="160"/>
              <w:spacing w:after="0"/>
              <w:rPr>
                <w:sz w:val="20"/>
                <w:szCs w:val="20"/>
                <w:color w:val="auto"/>
              </w:rPr>
            </w:pPr>
            <w:r>
              <w:rPr>
                <w:rFonts w:ascii="Arial" w:cs="Arial" w:eastAsia="Arial" w:hAnsi="Arial"/>
                <w:sz w:val="14"/>
                <w:szCs w:val="14"/>
                <w:color w:val="1F2668"/>
                <w:w w:val="99"/>
              </w:rPr>
              <w:t>2024 Total Direct</w:t>
            </w:r>
          </w:p>
        </w:tc>
        <w:tc>
          <w:tcPr>
            <w:tcW w:w="1420" w:type="dxa"/>
            <w:vAlign w:val="bottom"/>
            <w:gridSpan w:val="3"/>
          </w:tcPr>
          <w:p>
            <w:pPr>
              <w:jc w:val="right"/>
              <w:ind w:right="28"/>
              <w:spacing w:after="0"/>
              <w:rPr>
                <w:sz w:val="20"/>
                <w:szCs w:val="20"/>
                <w:color w:val="auto"/>
              </w:rPr>
            </w:pPr>
            <w:r>
              <w:rPr>
                <w:rFonts w:ascii="Arial" w:cs="Arial" w:eastAsia="Arial" w:hAnsi="Arial"/>
                <w:sz w:val="14"/>
                <w:szCs w:val="14"/>
                <w:color w:val="1F2668"/>
              </w:rPr>
              <w:t>2024 Summary</w:t>
            </w:r>
          </w:p>
        </w:tc>
        <w:tc>
          <w:tcPr>
            <w:tcW w:w="0" w:type="dxa"/>
            <w:vAlign w:val="bottom"/>
          </w:tcPr>
          <w:p>
            <w:pPr>
              <w:spacing w:after="0"/>
              <w:rPr>
                <w:sz w:val="1"/>
                <w:szCs w:val="1"/>
                <w:color w:val="auto"/>
              </w:rPr>
            </w:pPr>
          </w:p>
        </w:tc>
      </w:tr>
      <w:tr>
        <w:trPr>
          <w:trHeight w:val="198"/>
        </w:trPr>
        <w:tc>
          <w:tcPr>
            <w:tcW w:w="2240" w:type="dxa"/>
            <w:vAlign w:val="bottom"/>
          </w:tcPr>
          <w:p>
            <w:pPr>
              <w:spacing w:after="0"/>
              <w:rPr>
                <w:sz w:val="20"/>
                <w:szCs w:val="20"/>
                <w:color w:val="auto"/>
              </w:rPr>
            </w:pPr>
            <w:r>
              <w:rPr>
                <w:rFonts w:ascii="Arial" w:cs="Arial" w:eastAsia="Arial" w:hAnsi="Arial"/>
                <w:sz w:val="14"/>
                <w:szCs w:val="14"/>
                <w:color w:val="1F2668"/>
              </w:rPr>
              <w:t>Element of Compensation</w:t>
            </w:r>
          </w:p>
        </w:tc>
        <w:tc>
          <w:tcPr>
            <w:tcW w:w="412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1F2668"/>
              </w:rPr>
              <w:t>​​</w:t>
            </w:r>
          </w:p>
        </w:tc>
        <w:tc>
          <w:tcPr>
            <w:tcW w:w="2560" w:type="dxa"/>
            <w:vAlign w:val="bottom"/>
            <w:gridSpan w:val="8"/>
          </w:tcPr>
          <w:p>
            <w:pPr>
              <w:jc w:val="right"/>
              <w:spacing w:after="0" w:line="199" w:lineRule="exact"/>
              <w:rPr>
                <w:sz w:val="20"/>
                <w:szCs w:val="20"/>
                <w:color w:val="auto"/>
              </w:rPr>
            </w:pPr>
            <w:r>
              <w:rPr>
                <w:rFonts w:ascii="Arial" w:cs="Arial" w:eastAsia="Arial" w:hAnsi="Arial"/>
                <w:sz w:val="12"/>
                <w:szCs w:val="12"/>
                <w:color w:val="1F2668"/>
              </w:rPr>
              <w:t xml:space="preserve">Compensation </w:t>
            </w:r>
            <w:r>
              <w:rPr>
                <w:rFonts w:ascii="Arial" w:cs="Arial" w:eastAsia="Arial" w:hAnsi="Arial"/>
                <w:sz w:val="22"/>
                <w:szCs w:val="22"/>
                <w:color w:val="1F2668"/>
                <w:vertAlign w:val="subscript"/>
              </w:rPr>
              <w:t>​​</w:t>
            </w:r>
            <w:r>
              <w:rPr>
                <w:rFonts w:ascii="Arial" w:cs="Arial" w:eastAsia="Arial" w:hAnsi="Arial"/>
                <w:sz w:val="12"/>
                <w:szCs w:val="12"/>
                <w:color w:val="1F2668"/>
              </w:rPr>
              <w:t xml:space="preserve"> Compensation Table</w:t>
            </w:r>
            <w:r>
              <w:rPr>
                <w:rFonts w:ascii="Arial" w:cs="Arial" w:eastAsia="Arial" w:hAnsi="Arial"/>
                <w:sz w:val="22"/>
                <w:szCs w:val="22"/>
                <w:color w:val="1F2668"/>
                <w:vertAlign w:val="subscript"/>
              </w:rPr>
              <w:t>​</w:t>
            </w:r>
          </w:p>
        </w:tc>
        <w:tc>
          <w:tcPr>
            <w:tcW w:w="0" w:type="dxa"/>
            <w:vAlign w:val="bottom"/>
          </w:tcPr>
          <w:p>
            <w:pPr>
              <w:spacing w:after="0"/>
              <w:rPr>
                <w:sz w:val="1"/>
                <w:szCs w:val="1"/>
                <w:color w:val="auto"/>
              </w:rPr>
            </w:pPr>
          </w:p>
        </w:tc>
      </w:tr>
      <w:tr>
        <w:trPr>
          <w:trHeight w:val="20"/>
        </w:trPr>
        <w:tc>
          <w:tcPr>
            <w:tcW w:w="2240" w:type="dxa"/>
            <w:vAlign w:val="bottom"/>
            <w:shd w:val="clear" w:color="auto" w:fill="1F2668"/>
          </w:tcPr>
          <w:p>
            <w:pPr>
              <w:spacing w:after="0" w:line="20" w:lineRule="exact"/>
              <w:rPr>
                <w:sz w:val="1"/>
                <w:szCs w:val="1"/>
                <w:color w:val="auto"/>
              </w:rPr>
            </w:pPr>
          </w:p>
        </w:tc>
        <w:tc>
          <w:tcPr>
            <w:tcW w:w="412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1F2668"/>
          </w:tcPr>
          <w:p>
            <w:pPr>
              <w:spacing w:after="0" w:line="20" w:lineRule="exact"/>
              <w:rPr>
                <w:sz w:val="1"/>
                <w:szCs w:val="1"/>
                <w:color w:val="auto"/>
              </w:rPr>
            </w:pPr>
          </w:p>
        </w:tc>
        <w:tc>
          <w:tcPr>
            <w:tcW w:w="180" w:type="dxa"/>
            <w:vAlign w:val="bottom"/>
            <w:shd w:val="clear" w:color="auto" w:fill="1F2668"/>
          </w:tcPr>
          <w:p>
            <w:pPr>
              <w:spacing w:after="0" w:line="20" w:lineRule="exact"/>
              <w:rPr>
                <w:sz w:val="1"/>
                <w:szCs w:val="1"/>
                <w:color w:val="auto"/>
              </w:rPr>
            </w:pPr>
          </w:p>
        </w:tc>
        <w:tc>
          <w:tcPr>
            <w:tcW w:w="840" w:type="dxa"/>
            <w:vAlign w:val="bottom"/>
            <w:gridSpan w:val="2"/>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1F2668"/>
          </w:tcPr>
          <w:p>
            <w:pPr>
              <w:spacing w:after="0" w:line="20" w:lineRule="exact"/>
              <w:rPr>
                <w:sz w:val="1"/>
                <w:szCs w:val="1"/>
                <w:color w:val="auto"/>
              </w:rPr>
            </w:pPr>
          </w:p>
        </w:tc>
        <w:tc>
          <w:tcPr>
            <w:tcW w:w="580" w:type="dxa"/>
            <w:vAlign w:val="bottom"/>
            <w:shd w:val="clear" w:color="auto" w:fill="1F2668"/>
          </w:tcPr>
          <w:p>
            <w:pPr>
              <w:spacing w:after="0" w:line="20" w:lineRule="exact"/>
              <w:rPr>
                <w:sz w:val="1"/>
                <w:szCs w:val="1"/>
                <w:color w:val="auto"/>
              </w:rPr>
            </w:pPr>
          </w:p>
        </w:tc>
        <w:tc>
          <w:tcPr>
            <w:tcW w:w="780" w:type="dxa"/>
            <w:vAlign w:val="bottom"/>
            <w:shd w:val="clear" w:color="auto" w:fill="1F266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40" w:type="dxa"/>
            <w:vAlign w:val="bottom"/>
          </w:tcPr>
          <w:p>
            <w:pPr>
              <w:spacing w:after="0"/>
              <w:rPr>
                <w:sz w:val="20"/>
                <w:szCs w:val="20"/>
                <w:color w:val="auto"/>
              </w:rPr>
            </w:pPr>
            <w:r>
              <w:rPr>
                <w:rFonts w:ascii="Arial" w:cs="Arial" w:eastAsia="Arial" w:hAnsi="Arial"/>
                <w:sz w:val="16"/>
                <w:szCs w:val="16"/>
                <w:b w:val="1"/>
                <w:bCs w:val="1"/>
                <w:color w:val="1F2668"/>
              </w:rPr>
              <w:t>Base Salary</w:t>
            </w:r>
          </w:p>
        </w:tc>
        <w:tc>
          <w:tcPr>
            <w:tcW w:w="4120" w:type="dxa"/>
            <w:vAlign w:val="bottom"/>
          </w:tcPr>
          <w:p>
            <w:pPr>
              <w:spacing w:after="0"/>
              <w:rPr>
                <w:sz w:val="19"/>
                <w:szCs w:val="19"/>
                <w:color w:val="auto"/>
              </w:rPr>
            </w:pPr>
          </w:p>
        </w:tc>
        <w:tc>
          <w:tcPr>
            <w:tcW w:w="200" w:type="dxa"/>
            <w:vAlign w:val="bottom"/>
            <w:gridSpan w:val="2"/>
          </w:tcPr>
          <w:p>
            <w:pPr>
              <w:jc w:val="right"/>
              <w:ind w:right="8"/>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4"/>
          </w:tcPr>
          <w:p>
            <w:pPr>
              <w:jc w:val="right"/>
              <w:spacing w:after="0"/>
              <w:rPr>
                <w:sz w:val="20"/>
                <w:szCs w:val="20"/>
                <w:color w:val="auto"/>
              </w:rPr>
            </w:pPr>
            <w:r>
              <w:rPr>
                <w:rFonts w:ascii="Arial" w:cs="Arial" w:eastAsia="Arial" w:hAnsi="Arial"/>
                <w:sz w:val="16"/>
                <w:szCs w:val="16"/>
                <w:color w:val="auto"/>
              </w:rPr>
              <w:t>1,250,000​​​</w:t>
            </w:r>
          </w:p>
        </w:tc>
        <w:tc>
          <w:tcPr>
            <w:tcW w:w="580" w:type="dxa"/>
            <w:vAlign w:val="bottom"/>
          </w:tcPr>
          <w:p>
            <w:pPr>
              <w:ind w:left="4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1,250,000​</w:t>
            </w:r>
          </w:p>
        </w:tc>
        <w:tc>
          <w:tcPr>
            <w:tcW w:w="0" w:type="dxa"/>
            <w:vAlign w:val="bottom"/>
          </w:tcPr>
          <w:p>
            <w:pPr>
              <w:spacing w:after="0"/>
              <w:rPr>
                <w:sz w:val="1"/>
                <w:szCs w:val="1"/>
                <w:color w:val="auto"/>
              </w:rPr>
            </w:pPr>
          </w:p>
        </w:tc>
      </w:tr>
      <w:tr>
        <w:trPr>
          <w:trHeight w:val="20"/>
        </w:trPr>
        <w:tc>
          <w:tcPr>
            <w:tcW w:w="2240" w:type="dxa"/>
            <w:vAlign w:val="bottom"/>
            <w:shd w:val="clear" w:color="auto" w:fill="4B5088"/>
          </w:tcPr>
          <w:p>
            <w:pPr>
              <w:spacing w:after="0" w:line="20" w:lineRule="exact"/>
              <w:rPr>
                <w:sz w:val="1"/>
                <w:szCs w:val="1"/>
                <w:color w:val="auto"/>
              </w:rPr>
            </w:pPr>
          </w:p>
        </w:tc>
        <w:tc>
          <w:tcPr>
            <w:tcW w:w="412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180" w:type="dxa"/>
            <w:vAlign w:val="bottom"/>
            <w:shd w:val="clear" w:color="auto" w:fill="4B5088"/>
          </w:tcPr>
          <w:p>
            <w:pPr>
              <w:spacing w:after="0" w:line="20" w:lineRule="exact"/>
              <w:rPr>
                <w:sz w:val="1"/>
                <w:szCs w:val="1"/>
                <w:color w:val="auto"/>
              </w:rPr>
            </w:pPr>
          </w:p>
        </w:tc>
        <w:tc>
          <w:tcPr>
            <w:tcW w:w="840" w:type="dxa"/>
            <w:vAlign w:val="bottom"/>
            <w:gridSpan w:val="2"/>
            <w:shd w:val="clear" w:color="auto" w:fill="4B508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shd w:val="clear" w:color="auto" w:fill="4B5088"/>
          </w:tcPr>
          <w:p>
            <w:pPr>
              <w:spacing w:after="0" w:line="20" w:lineRule="exact"/>
              <w:rPr>
                <w:sz w:val="1"/>
                <w:szCs w:val="1"/>
                <w:color w:val="auto"/>
              </w:rPr>
            </w:pPr>
          </w:p>
        </w:tc>
        <w:tc>
          <w:tcPr>
            <w:tcW w:w="780" w:type="dxa"/>
            <w:vAlign w:val="bottom"/>
            <w:shd w:val="clear" w:color="auto" w:fill="4B5088"/>
          </w:tcPr>
          <w:p>
            <w:pPr>
              <w:spacing w:after="0" w:line="20" w:lineRule="exact"/>
              <w:rPr>
                <w:sz w:val="1"/>
                <w:szCs w:val="1"/>
                <w:color w:val="auto"/>
              </w:rPr>
            </w:pPr>
          </w:p>
        </w:tc>
        <w:tc>
          <w:tcPr>
            <w:tcW w:w="60" w:type="dxa"/>
            <w:vAlign w:val="bottom"/>
            <w:tcBorders>
              <w:left w:val="single" w:sz="8" w:color="4B50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40" w:type="dxa"/>
            <w:vAlign w:val="bottom"/>
          </w:tcPr>
          <w:p>
            <w:pPr>
              <w:spacing w:after="0"/>
              <w:rPr>
                <w:sz w:val="20"/>
                <w:szCs w:val="20"/>
                <w:color w:val="auto"/>
              </w:rPr>
            </w:pPr>
            <w:r>
              <w:rPr>
                <w:rFonts w:ascii="Arial" w:cs="Arial" w:eastAsia="Arial" w:hAnsi="Arial"/>
                <w:sz w:val="16"/>
                <w:szCs w:val="16"/>
                <w:b w:val="1"/>
                <w:bCs w:val="1"/>
                <w:color w:val="1F2668"/>
              </w:rPr>
              <w:t>Annual Bonus</w:t>
            </w:r>
            <w:r>
              <w:rPr>
                <w:rFonts w:ascii="Arial" w:cs="Arial" w:eastAsia="Arial" w:hAnsi="Arial"/>
                <w:sz w:val="19"/>
                <w:szCs w:val="19"/>
                <w:b w:val="1"/>
                <w:bCs w:val="1"/>
                <w:color w:val="1F2668"/>
                <w:vertAlign w:val="superscript"/>
              </w:rPr>
              <w:t>(1)</w:t>
            </w:r>
          </w:p>
        </w:tc>
        <w:tc>
          <w:tcPr>
            <w:tcW w:w="4120" w:type="dxa"/>
            <w:vAlign w:val="bottom"/>
          </w:tcPr>
          <w:p>
            <w:pPr>
              <w:spacing w:after="0"/>
              <w:rPr>
                <w:sz w:val="19"/>
                <w:szCs w:val="19"/>
                <w:color w:val="auto"/>
              </w:rPr>
            </w:pPr>
          </w:p>
        </w:tc>
        <w:tc>
          <w:tcPr>
            <w:tcW w:w="200" w:type="dxa"/>
            <w:vAlign w:val="bottom"/>
            <w:gridSpan w:val="2"/>
          </w:tcPr>
          <w:p>
            <w:pPr>
              <w:jc w:val="right"/>
              <w:ind w:right="8"/>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4"/>
          </w:tcPr>
          <w:p>
            <w:pPr>
              <w:jc w:val="right"/>
              <w:spacing w:after="0"/>
              <w:rPr>
                <w:sz w:val="20"/>
                <w:szCs w:val="20"/>
                <w:color w:val="auto"/>
              </w:rPr>
            </w:pPr>
            <w:r>
              <w:rPr>
                <w:rFonts w:ascii="Arial" w:cs="Arial" w:eastAsia="Arial" w:hAnsi="Arial"/>
                <w:sz w:val="16"/>
                <w:szCs w:val="16"/>
                <w:color w:val="auto"/>
              </w:rPr>
              <w:t>3,168,333​​​</w:t>
            </w:r>
          </w:p>
        </w:tc>
        <w:tc>
          <w:tcPr>
            <w:tcW w:w="580" w:type="dxa"/>
            <w:vAlign w:val="bottom"/>
          </w:tcPr>
          <w:p>
            <w:pPr>
              <w:ind w:left="4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2,486,913​</w:t>
            </w:r>
          </w:p>
        </w:tc>
        <w:tc>
          <w:tcPr>
            <w:tcW w:w="0" w:type="dxa"/>
            <w:vAlign w:val="bottom"/>
          </w:tcPr>
          <w:p>
            <w:pPr>
              <w:spacing w:after="0"/>
              <w:rPr>
                <w:sz w:val="1"/>
                <w:szCs w:val="1"/>
                <w:color w:val="auto"/>
              </w:rPr>
            </w:pPr>
          </w:p>
        </w:tc>
      </w:tr>
      <w:tr>
        <w:trPr>
          <w:trHeight w:val="20"/>
        </w:trPr>
        <w:tc>
          <w:tcPr>
            <w:tcW w:w="2240" w:type="dxa"/>
            <w:vAlign w:val="bottom"/>
            <w:shd w:val="clear" w:color="auto" w:fill="4B5088"/>
          </w:tcPr>
          <w:p>
            <w:pPr>
              <w:spacing w:after="0" w:line="20" w:lineRule="exact"/>
              <w:rPr>
                <w:sz w:val="1"/>
                <w:szCs w:val="1"/>
                <w:color w:val="auto"/>
              </w:rPr>
            </w:pPr>
          </w:p>
        </w:tc>
        <w:tc>
          <w:tcPr>
            <w:tcW w:w="412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180" w:type="dxa"/>
            <w:vAlign w:val="bottom"/>
            <w:shd w:val="clear" w:color="auto" w:fill="4B5088"/>
          </w:tcPr>
          <w:p>
            <w:pPr>
              <w:spacing w:after="0" w:line="20" w:lineRule="exact"/>
              <w:rPr>
                <w:sz w:val="1"/>
                <w:szCs w:val="1"/>
                <w:color w:val="auto"/>
              </w:rPr>
            </w:pPr>
          </w:p>
        </w:tc>
        <w:tc>
          <w:tcPr>
            <w:tcW w:w="840" w:type="dxa"/>
            <w:vAlign w:val="bottom"/>
            <w:gridSpan w:val="2"/>
            <w:shd w:val="clear" w:color="auto" w:fill="4B508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60" w:type="dxa"/>
            <w:vAlign w:val="bottom"/>
            <w:gridSpan w:val="2"/>
            <w:shd w:val="clear" w:color="auto" w:fill="4B5088"/>
          </w:tcPr>
          <w:p>
            <w:pPr>
              <w:spacing w:after="0" w:line="20" w:lineRule="exact"/>
              <w:rPr>
                <w:sz w:val="1"/>
                <w:szCs w:val="1"/>
                <w:color w:val="auto"/>
              </w:rPr>
            </w:pPr>
          </w:p>
        </w:tc>
        <w:tc>
          <w:tcPr>
            <w:tcW w:w="60" w:type="dxa"/>
            <w:vAlign w:val="bottom"/>
            <w:tcBorders>
              <w:left w:val="single" w:sz="8" w:color="4B50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40" w:type="dxa"/>
            <w:vAlign w:val="bottom"/>
          </w:tcPr>
          <w:p>
            <w:pPr>
              <w:spacing w:after="0"/>
              <w:rPr>
                <w:sz w:val="20"/>
                <w:szCs w:val="20"/>
                <w:color w:val="auto"/>
              </w:rPr>
            </w:pPr>
            <w:r>
              <w:rPr>
                <w:rFonts w:ascii="Arial" w:cs="Arial" w:eastAsia="Arial" w:hAnsi="Arial"/>
                <w:sz w:val="16"/>
                <w:szCs w:val="16"/>
                <w:b w:val="1"/>
                <w:bCs w:val="1"/>
                <w:color w:val="1F2668"/>
                <w:w w:val="96"/>
              </w:rPr>
              <w:t>Performance-Based Awards</w:t>
            </w:r>
            <w:r>
              <w:rPr>
                <w:rFonts w:ascii="Arial" w:cs="Arial" w:eastAsia="Arial" w:hAnsi="Arial"/>
                <w:sz w:val="19"/>
                <w:szCs w:val="19"/>
                <w:b w:val="1"/>
                <w:bCs w:val="1"/>
                <w:color w:val="1F2668"/>
                <w:w w:val="96"/>
                <w:vertAlign w:val="superscript"/>
              </w:rPr>
              <w:t>(2)</w:t>
            </w:r>
          </w:p>
        </w:tc>
        <w:tc>
          <w:tcPr>
            <w:tcW w:w="4120" w:type="dxa"/>
            <w:vAlign w:val="bottom"/>
          </w:tcPr>
          <w:p>
            <w:pPr>
              <w:spacing w:after="0"/>
              <w:rPr>
                <w:sz w:val="19"/>
                <w:szCs w:val="19"/>
                <w:color w:val="auto"/>
              </w:rPr>
            </w:pPr>
          </w:p>
        </w:tc>
        <w:tc>
          <w:tcPr>
            <w:tcW w:w="200" w:type="dxa"/>
            <w:vAlign w:val="bottom"/>
            <w:gridSpan w:val="2"/>
          </w:tcPr>
          <w:p>
            <w:pPr>
              <w:jc w:val="right"/>
              <w:ind w:right="8"/>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4"/>
          </w:tcPr>
          <w:p>
            <w:pPr>
              <w:jc w:val="right"/>
              <w:spacing w:after="0"/>
              <w:rPr>
                <w:sz w:val="20"/>
                <w:szCs w:val="20"/>
                <w:color w:val="auto"/>
              </w:rPr>
            </w:pPr>
            <w:r>
              <w:rPr>
                <w:rFonts w:ascii="Arial" w:cs="Arial" w:eastAsia="Arial" w:hAnsi="Arial"/>
                <w:sz w:val="16"/>
                <w:szCs w:val="16"/>
                <w:color w:val="auto"/>
              </w:rPr>
              <w:t>7,500,000​​​</w:t>
            </w:r>
          </w:p>
        </w:tc>
        <w:tc>
          <w:tcPr>
            <w:tcW w:w="1420" w:type="dxa"/>
            <w:vAlign w:val="bottom"/>
            <w:gridSpan w:val="3"/>
          </w:tcPr>
          <w:p>
            <w:pPr>
              <w:jc w:val="right"/>
              <w:spacing w:after="0"/>
              <w:rPr>
                <w:sz w:val="20"/>
                <w:szCs w:val="20"/>
                <w:color w:val="auto"/>
              </w:rPr>
            </w:pPr>
            <w:r>
              <w:rPr>
                <w:rFonts w:ascii="Arial" w:cs="Arial" w:eastAsia="Arial" w:hAnsi="Arial"/>
                <w:sz w:val="16"/>
                <w:szCs w:val="16"/>
                <w:color w:val="auto"/>
              </w:rPr>
              <w:t>​$ 12,863,855​</w:t>
            </w:r>
          </w:p>
        </w:tc>
        <w:tc>
          <w:tcPr>
            <w:tcW w:w="0" w:type="dxa"/>
            <w:vAlign w:val="bottom"/>
          </w:tcPr>
          <w:p>
            <w:pPr>
              <w:spacing w:after="0"/>
              <w:rPr>
                <w:sz w:val="1"/>
                <w:szCs w:val="1"/>
                <w:color w:val="auto"/>
              </w:rPr>
            </w:pPr>
          </w:p>
        </w:tc>
      </w:tr>
      <w:tr>
        <w:trPr>
          <w:trHeight w:val="20"/>
        </w:trPr>
        <w:tc>
          <w:tcPr>
            <w:tcW w:w="2240" w:type="dxa"/>
            <w:vAlign w:val="bottom"/>
            <w:shd w:val="clear" w:color="auto" w:fill="4B5088"/>
          </w:tcPr>
          <w:p>
            <w:pPr>
              <w:spacing w:after="0" w:line="20" w:lineRule="exact"/>
              <w:rPr>
                <w:sz w:val="1"/>
                <w:szCs w:val="1"/>
                <w:color w:val="auto"/>
              </w:rPr>
            </w:pPr>
          </w:p>
        </w:tc>
        <w:tc>
          <w:tcPr>
            <w:tcW w:w="412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180" w:type="dxa"/>
            <w:vAlign w:val="bottom"/>
            <w:shd w:val="clear" w:color="auto" w:fill="4B5088"/>
          </w:tcPr>
          <w:p>
            <w:pPr>
              <w:spacing w:after="0" w:line="20" w:lineRule="exact"/>
              <w:rPr>
                <w:sz w:val="1"/>
                <w:szCs w:val="1"/>
                <w:color w:val="auto"/>
              </w:rPr>
            </w:pPr>
          </w:p>
        </w:tc>
        <w:tc>
          <w:tcPr>
            <w:tcW w:w="760" w:type="dxa"/>
            <w:vAlign w:val="bottom"/>
            <w:shd w:val="clear" w:color="auto" w:fill="4B5088"/>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100" w:type="dxa"/>
            <w:vAlign w:val="bottom"/>
            <w:vMerge w:val="restart"/>
          </w:tcPr>
          <w:p>
            <w:pPr>
              <w:jc w:val="right"/>
              <w:ind w:right="1"/>
              <w:spacing w:after="0"/>
              <w:rPr>
                <w:sz w:val="20"/>
                <w:szCs w:val="20"/>
                <w:color w:val="auto"/>
              </w:rPr>
            </w:pPr>
            <w:r>
              <w:rPr>
                <w:rFonts w:ascii="Arial" w:cs="Arial" w:eastAsia="Arial" w:hAnsi="Arial"/>
                <w:sz w:val="7"/>
                <w:szCs w:val="7"/>
                <w:color w:val="auto"/>
                <w:w w:val="83"/>
              </w:rPr>
              <w:t>)</w:t>
            </w:r>
          </w:p>
        </w:tc>
        <w:tc>
          <w:tcPr>
            <w:tcW w:w="20" w:type="dxa"/>
            <w:vAlign w:val="bottom"/>
            <w:shd w:val="clear" w:color="auto" w:fill="4B5088"/>
          </w:tcPr>
          <w:p>
            <w:pPr>
              <w:spacing w:after="0" w:line="20" w:lineRule="exact"/>
              <w:rPr>
                <w:sz w:val="1"/>
                <w:szCs w:val="1"/>
                <w:color w:val="auto"/>
              </w:rPr>
            </w:pPr>
          </w:p>
        </w:tc>
        <w:tc>
          <w:tcPr>
            <w:tcW w:w="580" w:type="dxa"/>
            <w:vAlign w:val="bottom"/>
            <w:shd w:val="clear" w:color="auto" w:fill="4B5088"/>
          </w:tcPr>
          <w:p>
            <w:pPr>
              <w:spacing w:after="0" w:line="20" w:lineRule="exact"/>
              <w:rPr>
                <w:sz w:val="1"/>
                <w:szCs w:val="1"/>
                <w:color w:val="auto"/>
              </w:rPr>
            </w:pPr>
          </w:p>
        </w:tc>
        <w:tc>
          <w:tcPr>
            <w:tcW w:w="780" w:type="dxa"/>
            <w:vAlign w:val="bottom"/>
            <w:shd w:val="clear" w:color="auto" w:fill="4B50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40" w:type="dxa"/>
            <w:vAlign w:val="bottom"/>
            <w:vMerge w:val="restart"/>
          </w:tcPr>
          <w:p>
            <w:pPr>
              <w:spacing w:after="0"/>
              <w:rPr>
                <w:sz w:val="20"/>
                <w:szCs w:val="20"/>
                <w:color w:val="auto"/>
              </w:rPr>
            </w:pPr>
            <w:r>
              <w:rPr>
                <w:rFonts w:ascii="Arial" w:cs="Arial" w:eastAsia="Arial" w:hAnsi="Arial"/>
                <w:sz w:val="16"/>
                <w:szCs w:val="16"/>
                <w:b w:val="1"/>
                <w:bCs w:val="1"/>
                <w:color w:val="1F2668"/>
              </w:rPr>
              <w:t>Annual Time-Based Award</w:t>
            </w:r>
            <w:r>
              <w:rPr>
                <w:rFonts w:ascii="Arial" w:cs="Arial" w:eastAsia="Arial" w:hAnsi="Arial"/>
                <w:sz w:val="19"/>
                <w:szCs w:val="19"/>
                <w:b w:val="1"/>
                <w:bCs w:val="1"/>
                <w:color w:val="1F2668"/>
                <w:vertAlign w:val="superscript"/>
              </w:rPr>
              <w:t>(2)</w:t>
            </w:r>
          </w:p>
        </w:tc>
        <w:tc>
          <w:tcPr>
            <w:tcW w:w="4120" w:type="dxa"/>
            <w:vAlign w:val="bottom"/>
          </w:tcPr>
          <w:p>
            <w:pPr>
              <w:spacing w:after="0"/>
              <w:rPr>
                <w:sz w:val="8"/>
                <w:szCs w:val="8"/>
                <w:color w:val="auto"/>
              </w:rPr>
            </w:pPr>
          </w:p>
        </w:tc>
        <w:tc>
          <w:tcPr>
            <w:tcW w:w="200" w:type="dxa"/>
            <w:vAlign w:val="bottom"/>
            <w:gridSpan w:val="2"/>
            <w:vMerge w:val="restart"/>
          </w:tcPr>
          <w:p>
            <w:pPr>
              <w:jc w:val="right"/>
              <w:ind w:right="8"/>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7,875,000</w:t>
            </w:r>
          </w:p>
        </w:tc>
        <w:tc>
          <w:tcPr>
            <w:tcW w:w="80" w:type="dxa"/>
            <w:vAlign w:val="bottom"/>
          </w:tcPr>
          <w:p>
            <w:pPr>
              <w:jc w:val="right"/>
              <w:spacing w:after="0" w:line="102" w:lineRule="exact"/>
              <w:rPr>
                <w:sz w:val="20"/>
                <w:szCs w:val="20"/>
                <w:color w:val="auto"/>
              </w:rPr>
            </w:pPr>
            <w:r>
              <w:rPr>
                <w:rFonts w:ascii="Arial" w:cs="Arial" w:eastAsia="Arial" w:hAnsi="Arial"/>
                <w:sz w:val="9"/>
                <w:szCs w:val="9"/>
                <w:color w:val="auto"/>
                <w:w w:val="74"/>
              </w:rPr>
              <w:t>(3</w:t>
            </w:r>
          </w:p>
        </w:tc>
        <w:tc>
          <w:tcPr>
            <w:tcW w:w="1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vMerge w:val="restart"/>
          </w:tcPr>
          <w:p>
            <w:pPr>
              <w:ind w:left="400"/>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tcPr>
          <w:p>
            <w:pPr>
              <w:jc w:val="right"/>
              <w:spacing w:after="0"/>
              <w:rPr>
                <w:sz w:val="20"/>
                <w:szCs w:val="20"/>
                <w:color w:val="auto"/>
              </w:rPr>
            </w:pPr>
            <w:r>
              <w:rPr>
                <w:rFonts w:ascii="Arial" w:cs="Arial" w:eastAsia="Arial" w:hAnsi="Arial"/>
                <w:sz w:val="16"/>
                <w:szCs w:val="16"/>
                <w:color w:val="auto"/>
              </w:rPr>
              <w:t>4,044,048​</w:t>
            </w:r>
          </w:p>
        </w:tc>
        <w:tc>
          <w:tcPr>
            <w:tcW w:w="0" w:type="dxa"/>
            <w:vAlign w:val="bottom"/>
          </w:tcPr>
          <w:p>
            <w:pPr>
              <w:spacing w:after="0"/>
              <w:rPr>
                <w:sz w:val="1"/>
                <w:szCs w:val="1"/>
                <w:color w:val="auto"/>
              </w:rPr>
            </w:pPr>
          </w:p>
        </w:tc>
      </w:tr>
      <w:tr>
        <w:trPr>
          <w:trHeight w:val="148"/>
        </w:trPr>
        <w:tc>
          <w:tcPr>
            <w:tcW w:w="2240" w:type="dxa"/>
            <w:vAlign w:val="bottom"/>
            <w:vMerge w:val="continue"/>
          </w:tcPr>
          <w:p>
            <w:pPr>
              <w:spacing w:after="0"/>
              <w:rPr>
                <w:sz w:val="12"/>
                <w:szCs w:val="12"/>
                <w:color w:val="auto"/>
              </w:rPr>
            </w:pPr>
          </w:p>
        </w:tc>
        <w:tc>
          <w:tcPr>
            <w:tcW w:w="4120" w:type="dxa"/>
            <w:vAlign w:val="bottom"/>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gridSpan w:val="2"/>
          </w:tcPr>
          <w:p>
            <w:pPr>
              <w:jc w:val="right"/>
              <w:spacing w:after="0" w:line="148" w:lineRule="exact"/>
              <w:rPr>
                <w:sz w:val="20"/>
                <w:szCs w:val="20"/>
                <w:color w:val="auto"/>
              </w:rPr>
            </w:pPr>
            <w:r>
              <w:rPr>
                <w:rFonts w:ascii="Arial" w:cs="Arial" w:eastAsia="Arial" w:hAnsi="Arial"/>
                <w:sz w:val="16"/>
                <w:szCs w:val="16"/>
                <w:color w:val="auto"/>
              </w:rPr>
              <w:t>​​​</w:t>
            </w:r>
          </w:p>
        </w:tc>
        <w:tc>
          <w:tcPr>
            <w:tcW w:w="58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40" w:type="dxa"/>
            <w:vAlign w:val="bottom"/>
            <w:shd w:val="clear" w:color="auto" w:fill="4B5088"/>
          </w:tcPr>
          <w:p>
            <w:pPr>
              <w:spacing w:after="0" w:line="20" w:lineRule="exact"/>
              <w:rPr>
                <w:sz w:val="1"/>
                <w:szCs w:val="1"/>
                <w:color w:val="auto"/>
              </w:rPr>
            </w:pPr>
          </w:p>
        </w:tc>
        <w:tc>
          <w:tcPr>
            <w:tcW w:w="412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180" w:type="dxa"/>
            <w:vAlign w:val="bottom"/>
            <w:shd w:val="clear" w:color="auto" w:fill="4B5088"/>
          </w:tcPr>
          <w:p>
            <w:pPr>
              <w:spacing w:after="0" w:line="20" w:lineRule="exact"/>
              <w:rPr>
                <w:sz w:val="1"/>
                <w:szCs w:val="1"/>
                <w:color w:val="auto"/>
              </w:rPr>
            </w:pPr>
          </w:p>
        </w:tc>
        <w:tc>
          <w:tcPr>
            <w:tcW w:w="840" w:type="dxa"/>
            <w:vAlign w:val="bottom"/>
            <w:gridSpan w:val="2"/>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4B5088"/>
          </w:tcPr>
          <w:p>
            <w:pPr>
              <w:spacing w:after="0" w:line="20" w:lineRule="exact"/>
              <w:rPr>
                <w:sz w:val="1"/>
                <w:szCs w:val="1"/>
                <w:color w:val="auto"/>
              </w:rPr>
            </w:pPr>
          </w:p>
        </w:tc>
        <w:tc>
          <w:tcPr>
            <w:tcW w:w="780" w:type="dxa"/>
            <w:vAlign w:val="bottom"/>
            <w:shd w:val="clear" w:color="auto" w:fill="4B50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40" w:type="dxa"/>
            <w:vAlign w:val="bottom"/>
          </w:tcPr>
          <w:p>
            <w:pPr>
              <w:spacing w:after="0"/>
              <w:rPr>
                <w:sz w:val="20"/>
                <w:szCs w:val="20"/>
                <w:color w:val="auto"/>
              </w:rPr>
            </w:pPr>
            <w:r>
              <w:rPr>
                <w:rFonts w:ascii="Arial" w:cs="Arial" w:eastAsia="Arial" w:hAnsi="Arial"/>
                <w:sz w:val="16"/>
                <w:szCs w:val="16"/>
                <w:b w:val="1"/>
                <w:bCs w:val="1"/>
                <w:color w:val="1F2668"/>
              </w:rPr>
              <w:t>Other Compensation</w:t>
            </w:r>
          </w:p>
        </w:tc>
        <w:tc>
          <w:tcPr>
            <w:tcW w:w="4120" w:type="dxa"/>
            <w:vAlign w:val="bottom"/>
          </w:tcPr>
          <w:p>
            <w:pPr>
              <w:spacing w:after="0"/>
              <w:rPr>
                <w:sz w:val="19"/>
                <w:szCs w:val="19"/>
                <w:color w:val="auto"/>
              </w:rPr>
            </w:pPr>
          </w:p>
        </w:tc>
        <w:tc>
          <w:tcPr>
            <w:tcW w:w="200" w:type="dxa"/>
            <w:vAlign w:val="bottom"/>
            <w:gridSpan w:val="2"/>
          </w:tcPr>
          <w:p>
            <w:pPr>
              <w:jc w:val="right"/>
              <w:ind w:right="8"/>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4"/>
          </w:tcPr>
          <w:p>
            <w:pPr>
              <w:jc w:val="right"/>
              <w:spacing w:after="0"/>
              <w:rPr>
                <w:sz w:val="20"/>
                <w:szCs w:val="20"/>
                <w:color w:val="auto"/>
              </w:rPr>
            </w:pPr>
            <w:r>
              <w:rPr>
                <w:rFonts w:ascii="Arial" w:cs="Arial" w:eastAsia="Arial" w:hAnsi="Arial"/>
                <w:sz w:val="16"/>
                <w:szCs w:val="16"/>
                <w:color w:val="auto"/>
              </w:rPr>
              <w:t>40,940​​​</w:t>
            </w:r>
          </w:p>
        </w:tc>
        <w:tc>
          <w:tcPr>
            <w:tcW w:w="580" w:type="dxa"/>
            <w:vAlign w:val="bottom"/>
          </w:tcPr>
          <w:p>
            <w:pPr>
              <w:ind w:left="4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40,940​</w:t>
            </w:r>
          </w:p>
        </w:tc>
        <w:tc>
          <w:tcPr>
            <w:tcW w:w="0" w:type="dxa"/>
            <w:vAlign w:val="bottom"/>
          </w:tcPr>
          <w:p>
            <w:pPr>
              <w:spacing w:after="0"/>
              <w:rPr>
                <w:sz w:val="1"/>
                <w:szCs w:val="1"/>
                <w:color w:val="auto"/>
              </w:rPr>
            </w:pPr>
          </w:p>
        </w:tc>
      </w:tr>
      <w:tr>
        <w:trPr>
          <w:trHeight w:val="20"/>
        </w:trPr>
        <w:tc>
          <w:tcPr>
            <w:tcW w:w="2240" w:type="dxa"/>
            <w:vAlign w:val="bottom"/>
            <w:shd w:val="clear" w:color="auto" w:fill="4B5088"/>
          </w:tcPr>
          <w:p>
            <w:pPr>
              <w:spacing w:after="0" w:line="20" w:lineRule="exact"/>
              <w:rPr>
                <w:sz w:val="1"/>
                <w:szCs w:val="1"/>
                <w:color w:val="auto"/>
              </w:rPr>
            </w:pPr>
          </w:p>
        </w:tc>
        <w:tc>
          <w:tcPr>
            <w:tcW w:w="412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180" w:type="dxa"/>
            <w:vAlign w:val="bottom"/>
            <w:shd w:val="clear" w:color="auto" w:fill="4B5088"/>
          </w:tcPr>
          <w:p>
            <w:pPr>
              <w:spacing w:after="0" w:line="20" w:lineRule="exact"/>
              <w:rPr>
                <w:sz w:val="1"/>
                <w:szCs w:val="1"/>
                <w:color w:val="auto"/>
              </w:rPr>
            </w:pPr>
          </w:p>
        </w:tc>
        <w:tc>
          <w:tcPr>
            <w:tcW w:w="840" w:type="dxa"/>
            <w:vAlign w:val="bottom"/>
            <w:gridSpan w:val="2"/>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2"/>
            <w:shd w:val="clear" w:color="auto" w:fill="4B50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40" w:type="dxa"/>
            <w:vAlign w:val="bottom"/>
          </w:tcPr>
          <w:p>
            <w:pPr>
              <w:spacing w:after="0"/>
              <w:rPr>
                <w:sz w:val="20"/>
                <w:szCs w:val="20"/>
                <w:color w:val="auto"/>
              </w:rPr>
            </w:pPr>
            <w:r>
              <w:rPr>
                <w:rFonts w:ascii="Arial" w:cs="Arial" w:eastAsia="Arial" w:hAnsi="Arial"/>
                <w:sz w:val="16"/>
                <w:szCs w:val="16"/>
                <w:b w:val="1"/>
                <w:bCs w:val="1"/>
                <w:color w:val="1F2668"/>
              </w:rPr>
              <w:t>Total</w:t>
            </w:r>
          </w:p>
        </w:tc>
        <w:tc>
          <w:tcPr>
            <w:tcW w:w="4120" w:type="dxa"/>
            <w:vAlign w:val="bottom"/>
          </w:tcPr>
          <w:p>
            <w:pPr>
              <w:spacing w:after="0"/>
              <w:rPr>
                <w:sz w:val="19"/>
                <w:szCs w:val="19"/>
                <w:color w:val="auto"/>
              </w:rPr>
            </w:pPr>
          </w:p>
        </w:tc>
        <w:tc>
          <w:tcPr>
            <w:tcW w:w="200" w:type="dxa"/>
            <w:vAlign w:val="bottom"/>
            <w:gridSpan w:val="2"/>
          </w:tcPr>
          <w:p>
            <w:pPr>
              <w:jc w:val="right"/>
              <w:ind w:right="8"/>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4"/>
          </w:tcPr>
          <w:p>
            <w:pPr>
              <w:jc w:val="right"/>
              <w:spacing w:after="0"/>
              <w:rPr>
                <w:sz w:val="20"/>
                <w:szCs w:val="20"/>
                <w:color w:val="auto"/>
              </w:rPr>
            </w:pPr>
            <w:r>
              <w:rPr>
                <w:rFonts w:ascii="Arial" w:cs="Arial" w:eastAsia="Arial" w:hAnsi="Arial"/>
                <w:sz w:val="16"/>
                <w:szCs w:val="16"/>
                <w:b w:val="1"/>
                <w:bCs w:val="1"/>
                <w:color w:val="auto"/>
              </w:rPr>
              <w:t>19,834,273</w:t>
            </w:r>
            <w:r>
              <w:rPr>
                <w:rFonts w:ascii="Arial" w:cs="Arial" w:eastAsia="Arial" w:hAnsi="Arial"/>
                <w:sz w:val="16"/>
                <w:szCs w:val="16"/>
                <w:color w:val="auto"/>
              </w:rPr>
              <w:t>​​​</w:t>
            </w:r>
          </w:p>
        </w:tc>
        <w:tc>
          <w:tcPr>
            <w:tcW w:w="1420" w:type="dxa"/>
            <w:vAlign w:val="bottom"/>
            <w:gridSpan w:val="3"/>
          </w:tcPr>
          <w:p>
            <w:pPr>
              <w:jc w:val="right"/>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20,685,756</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240" w:type="dxa"/>
            <w:vAlign w:val="bottom"/>
            <w:shd w:val="clear" w:color="auto" w:fill="1F2668"/>
          </w:tcPr>
          <w:p>
            <w:pPr>
              <w:spacing w:after="0" w:line="20" w:lineRule="exact"/>
              <w:rPr>
                <w:sz w:val="1"/>
                <w:szCs w:val="1"/>
                <w:color w:val="auto"/>
              </w:rPr>
            </w:pPr>
          </w:p>
        </w:tc>
        <w:tc>
          <w:tcPr>
            <w:tcW w:w="412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1F2668"/>
          </w:tcPr>
          <w:p>
            <w:pPr>
              <w:spacing w:after="0" w:line="20" w:lineRule="exact"/>
              <w:rPr>
                <w:sz w:val="1"/>
                <w:szCs w:val="1"/>
                <w:color w:val="auto"/>
              </w:rPr>
            </w:pPr>
          </w:p>
        </w:tc>
        <w:tc>
          <w:tcPr>
            <w:tcW w:w="180" w:type="dxa"/>
            <w:vAlign w:val="bottom"/>
            <w:shd w:val="clear" w:color="auto" w:fill="1F2668"/>
          </w:tcPr>
          <w:p>
            <w:pPr>
              <w:spacing w:after="0" w:line="20" w:lineRule="exact"/>
              <w:rPr>
                <w:sz w:val="1"/>
                <w:szCs w:val="1"/>
                <w:color w:val="auto"/>
              </w:rPr>
            </w:pPr>
          </w:p>
        </w:tc>
        <w:tc>
          <w:tcPr>
            <w:tcW w:w="760" w:type="dxa"/>
            <w:vAlign w:val="bottom"/>
            <w:shd w:val="clear" w:color="auto" w:fill="1F2668"/>
          </w:tcPr>
          <w:p>
            <w:pPr>
              <w:spacing w:after="0" w:line="20" w:lineRule="exact"/>
              <w:rPr>
                <w:sz w:val="1"/>
                <w:szCs w:val="1"/>
                <w:color w:val="auto"/>
              </w:rPr>
            </w:pPr>
          </w:p>
        </w:tc>
        <w:tc>
          <w:tcPr>
            <w:tcW w:w="8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1F2668"/>
          </w:tcPr>
          <w:p>
            <w:pPr>
              <w:spacing w:after="0" w:line="20" w:lineRule="exact"/>
              <w:rPr>
                <w:sz w:val="1"/>
                <w:szCs w:val="1"/>
                <w:color w:val="auto"/>
              </w:rPr>
            </w:pPr>
          </w:p>
        </w:tc>
        <w:tc>
          <w:tcPr>
            <w:tcW w:w="780" w:type="dxa"/>
            <w:vAlign w:val="bottom"/>
            <w:shd w:val="clear" w:color="auto" w:fill="1F2668"/>
          </w:tcPr>
          <w:p>
            <w:pPr>
              <w:spacing w:after="0" w:line="20" w:lineRule="exact"/>
              <w:rPr>
                <w:sz w:val="1"/>
                <w:szCs w:val="1"/>
                <w:color w:val="auto"/>
              </w:rPr>
            </w:pPr>
          </w:p>
        </w:tc>
        <w:tc>
          <w:tcPr>
            <w:tcW w:w="60" w:type="dxa"/>
            <w:vAlign w:val="bottom"/>
            <w:tcBorders>
              <w:left w:val="single" w:sz="8" w:color="1F266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180" w:hanging="364"/>
        <w:spacing w:after="0"/>
        <w:tabs>
          <w:tab w:leader="none" w:pos="11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Represents the bonus amount earned in a formulaic manner less a true-up adjustment based on actual 2023 performance. Because</w:t>
      </w:r>
    </w:p>
    <w:p>
      <w:pPr>
        <w:spacing w:after="0" w:line="28" w:lineRule="exact"/>
        <w:rPr>
          <w:rFonts w:ascii="Arial" w:cs="Arial" w:eastAsia="Arial" w:hAnsi="Arial"/>
          <w:sz w:val="14"/>
          <w:szCs w:val="14"/>
          <w:color w:val="auto"/>
        </w:rPr>
      </w:pPr>
    </w:p>
    <w:p>
      <w:pPr>
        <w:ind w:left="1180" w:right="840"/>
        <w:spacing w:after="0" w:line="284" w:lineRule="auto"/>
        <w:rPr>
          <w:rFonts w:ascii="Arial" w:cs="Arial" w:eastAsia="Arial" w:hAnsi="Arial"/>
          <w:sz w:val="14"/>
          <w:szCs w:val="14"/>
          <w:color w:val="auto"/>
        </w:rPr>
      </w:pPr>
      <w:r>
        <w:rPr>
          <w:rFonts w:ascii="Arial" w:cs="Arial" w:eastAsia="Arial" w:hAnsi="Arial"/>
          <w:sz w:val="14"/>
          <w:szCs w:val="14"/>
          <w:color w:val="auto"/>
        </w:rPr>
        <w:t>Mr. Holliday’s 2024 annual bonus was paid 100% in equity, the “Summary Compensation Table” column reflects the grant date value of LTIP units granted in December 2024.</w:t>
      </w:r>
    </w:p>
    <w:p>
      <w:pPr>
        <w:spacing w:after="0" w:line="9" w:lineRule="exact"/>
        <w:rPr>
          <w:rFonts w:ascii="Arial" w:cs="Arial" w:eastAsia="Arial" w:hAnsi="Arial"/>
          <w:sz w:val="14"/>
          <w:szCs w:val="14"/>
          <w:color w:val="auto"/>
        </w:rPr>
      </w:pPr>
    </w:p>
    <w:p>
      <w:pPr>
        <w:ind w:left="1180" w:right="1000" w:hanging="364"/>
        <w:spacing w:after="0" w:line="282" w:lineRule="auto"/>
        <w:tabs>
          <w:tab w:leader="none" w:pos="11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“Total Direct Compensation” columns reflect the target notional value awarded by the Committee for 2024 and excludes the retention performance incentive of performance-based Class O LTIP units granted in December 2024 in connection with entering into Mr. Holliday’s new employment agreement. The “Summary Compensation Table” column reflects the grant date value of the awards and includes the value of the retention performance incentive award.</w:t>
      </w:r>
    </w:p>
    <w:p>
      <w:pPr>
        <w:spacing w:after="0" w:line="12" w:lineRule="exact"/>
        <w:rPr>
          <w:rFonts w:ascii="Arial" w:cs="Arial" w:eastAsia="Arial" w:hAnsi="Arial"/>
          <w:sz w:val="14"/>
          <w:szCs w:val="14"/>
          <w:color w:val="auto"/>
        </w:rPr>
      </w:pPr>
    </w:p>
    <w:p>
      <w:pPr>
        <w:ind w:left="1180" w:right="940" w:hanging="364"/>
        <w:spacing w:after="0" w:line="293" w:lineRule="auto"/>
        <w:tabs>
          <w:tab w:leader="none" w:pos="11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Represents an annual time-based equity award that recognizes the CEO leadership in achieving SLG’s industry-leading TSR for 2023 and 2024 as well as his expanded role as Interim President for the entirety of 2024. The award was granted in 2025 and will therefore not be included in the Summary Compensation Table until our 2026 proxy statement.</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1F2668"/>
        </w:rPr>
        <w:t>ANNUAL BASE SALARY</w:t>
      </w:r>
    </w:p>
    <w:p>
      <w:pPr>
        <w:spacing w:after="0" w:line="154" w:lineRule="exact"/>
        <w:rPr>
          <w:sz w:val="20"/>
          <w:szCs w:val="20"/>
          <w:color w:val="auto"/>
        </w:rPr>
      </w:pPr>
    </w:p>
    <w:p>
      <w:pPr>
        <w:ind w:left="820" w:right="1480"/>
        <w:spacing w:after="0" w:line="304" w:lineRule="auto"/>
        <w:rPr>
          <w:sz w:val="20"/>
          <w:szCs w:val="20"/>
          <w:color w:val="auto"/>
        </w:rPr>
      </w:pPr>
      <w:r>
        <w:rPr>
          <w:rFonts w:ascii="Arial" w:cs="Arial" w:eastAsia="Arial" w:hAnsi="Arial"/>
          <w:sz w:val="16"/>
          <w:szCs w:val="16"/>
          <w:color w:val="auto"/>
        </w:rPr>
        <w:t>We made no changes to the base salaries of our named executive officers for 2024 and the amounts for 2024 reflect the minimum amounts set forth in each executive’s employment agreement.</w:t>
      </w:r>
    </w:p>
    <w:p>
      <w:pPr>
        <w:spacing w:after="0" w:line="141" w:lineRule="exact"/>
        <w:rPr>
          <w:sz w:val="20"/>
          <w:szCs w:val="20"/>
          <w:color w:val="auto"/>
        </w:rPr>
      </w:pPr>
    </w:p>
    <w:p>
      <w:pPr>
        <w:ind w:left="980" w:right="940" w:hanging="159"/>
        <w:spacing w:after="0" w:line="242" w:lineRule="auto"/>
        <w:tabs>
          <w:tab w:leader="none" w:pos="960" w:val="left"/>
        </w:tabs>
        <w:rPr>
          <w:sz w:val="20"/>
          <w:szCs w:val="20"/>
          <w:color w:val="auto"/>
        </w:rPr>
      </w:pPr>
      <w:r>
        <w:rPr>
          <w:rFonts w:ascii="Arial" w:cs="Arial" w:eastAsia="Arial" w:hAnsi="Arial"/>
          <w:sz w:val="32"/>
          <w:szCs w:val="32"/>
          <w:color w:val="auto"/>
          <w:vertAlign w:val="superscript"/>
        </w:rPr>
        <w:t>​</w:t>
      </w:r>
      <w:r>
        <w:rPr>
          <w:sz w:val="20"/>
          <w:szCs w:val="20"/>
          <w:color w:val="auto"/>
        </w:rPr>
        <w:tab/>
      </w:r>
      <w:r>
        <w:rPr>
          <w:rFonts w:ascii="Arial" w:cs="Arial" w:eastAsia="Arial" w:hAnsi="Arial"/>
          <w:sz w:val="16"/>
          <w:szCs w:val="16"/>
          <w:b w:val="1"/>
          <w:bCs w:val="1"/>
          <w:color w:val="auto"/>
        </w:rPr>
        <w:t xml:space="preserve">Base salary comprises a relatively small portion of our total NEO compensation </w:t>
      </w:r>
      <w:r>
        <w:rPr>
          <w:rFonts w:ascii="Arial" w:cs="Arial" w:eastAsia="Arial" w:hAnsi="Arial"/>
          <w:sz w:val="16"/>
          <w:szCs w:val="16"/>
          <w:color w:val="auto"/>
        </w:rPr>
        <w:t>and has remained nearly unchanged</w:t>
      </w:r>
      <w:r>
        <w:rPr>
          <w:rFonts w:ascii="Arial" w:cs="Arial" w:eastAsia="Arial" w:hAnsi="Arial"/>
          <w:sz w:val="16"/>
          <w:szCs w:val="16"/>
          <w:b w:val="1"/>
          <w:bCs w:val="1"/>
          <w:color w:val="auto"/>
        </w:rPr>
        <w:t xml:space="preserve"> </w:t>
      </w:r>
      <w:r>
        <w:rPr>
          <w:rFonts w:ascii="Arial" w:cs="Arial" w:eastAsia="Arial" w:hAnsi="Arial"/>
          <w:sz w:val="32"/>
          <w:szCs w:val="32"/>
          <w:color w:val="auto"/>
          <w:vertAlign w:val="superscript"/>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for many years. The new employment agreement with our CEO, which is effective for 2025, reflects an increase in line with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-461645</wp:posOffset>
            </wp:positionV>
            <wp:extent cx="5760720" cy="52260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760720" cy="522605"/>
                    </a:xfrm>
                    <a:prstGeom prst="rect">
                      <a:avLst/>
                    </a:prstGeom>
                    <a:noFill/>
                  </pic:spPr>
                </pic:pic>
              </a:graphicData>
            </a:graphic>
          </wp:anchor>
        </w:drawing>
      </w:r>
    </w:p>
    <w:p>
      <w:pPr>
        <w:spacing w:after="0" w:line="277"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1F2668"/>
        </w:rPr>
        <w:t>ANNUAL BONUS ELIGIBILITY</w:t>
      </w:r>
    </w:p>
    <w:p>
      <w:pPr>
        <w:spacing w:after="0" w:line="154" w:lineRule="exact"/>
        <w:rPr>
          <w:sz w:val="20"/>
          <w:szCs w:val="20"/>
          <w:color w:val="auto"/>
        </w:rPr>
      </w:pPr>
    </w:p>
    <w:p>
      <w:pPr>
        <w:ind w:left="820" w:right="1020"/>
        <w:spacing w:after="0" w:line="278" w:lineRule="auto"/>
        <w:rPr>
          <w:sz w:val="20"/>
          <w:szCs w:val="20"/>
          <w:color w:val="auto"/>
        </w:rPr>
      </w:pPr>
      <w:r>
        <w:rPr>
          <w:rFonts w:ascii="Arial" w:cs="Arial" w:eastAsia="Arial" w:hAnsi="Arial"/>
          <w:sz w:val="16"/>
          <w:szCs w:val="16"/>
          <w:b w:val="1"/>
          <w:bCs w:val="1"/>
          <w:color w:val="83AD40"/>
        </w:rPr>
        <w:t xml:space="preserve">Formulaic Annual Bonus—CEO and CFO. </w:t>
      </w:r>
      <w:r>
        <w:rPr>
          <w:rFonts w:ascii="Arial" w:cs="Arial" w:eastAsia="Arial" w:hAnsi="Arial"/>
          <w:sz w:val="16"/>
          <w:szCs w:val="16"/>
          <w:color w:val="000000"/>
        </w:rPr>
        <w:t>Our annual bonus program is 100% formulaic for our CEO and 60% formulaic for</w:t>
      </w:r>
      <w:r>
        <w:rPr>
          <w:rFonts w:ascii="Arial" w:cs="Arial" w:eastAsia="Arial" w:hAnsi="Arial"/>
          <w:sz w:val="16"/>
          <w:szCs w:val="16"/>
          <w:b w:val="1"/>
          <w:bCs w:val="1"/>
          <w:color w:val="83AD40"/>
        </w:rPr>
        <w:t xml:space="preserve"> </w:t>
      </w:r>
      <w:r>
        <w:rPr>
          <w:rFonts w:ascii="Arial" w:cs="Arial" w:eastAsia="Arial" w:hAnsi="Arial"/>
          <w:sz w:val="16"/>
          <w:szCs w:val="16"/>
          <w:color w:val="000000"/>
        </w:rPr>
        <w:t>our CFO. The percentages of base salary that can be earned under the program are set forth in each executive’s employment agreement. For 2024, each of our CEO and CFO were eligible to earn the following percentages of their respective base salary (with linear interpolation used to determine the percentage earned for performance that falls between threshold, target and/or maximum):</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367"/>
        </w:trPr>
        <w:tc>
          <w:tcPr>
            <w:tcW w:w="820" w:type="dxa"/>
            <w:vAlign w:val="bottom"/>
          </w:tcPr>
          <w:p>
            <w:pPr>
              <w:spacing w:after="0"/>
              <w:rPr>
                <w:sz w:val="24"/>
                <w:szCs w:val="24"/>
                <w:color w:val="auto"/>
              </w:rPr>
            </w:pPr>
          </w:p>
        </w:tc>
        <w:tc>
          <w:tcPr>
            <w:tcW w:w="6980" w:type="dxa"/>
            <w:vAlign w:val="bottom"/>
          </w:tcPr>
          <w:p>
            <w:pPr>
              <w:spacing w:after="0"/>
              <w:rPr>
                <w:sz w:val="20"/>
                <w:szCs w:val="20"/>
                <w:color w:val="auto"/>
              </w:rPr>
            </w:pPr>
            <w:r>
              <w:rPr>
                <w:rFonts w:ascii="Arial" w:cs="Arial" w:eastAsia="Arial" w:hAnsi="Arial"/>
                <w:sz w:val="14"/>
                <w:szCs w:val="14"/>
                <w:color w:val="1F2668"/>
              </w:rPr>
              <w:t>Executive</w:t>
            </w:r>
          </w:p>
        </w:tc>
        <w:tc>
          <w:tcPr>
            <w:tcW w:w="2920" w:type="dxa"/>
            <w:vAlign w:val="bottom"/>
            <w:gridSpan w:val="8"/>
          </w:tcPr>
          <w:p>
            <w:pPr>
              <w:jc w:val="right"/>
              <w:ind w:right="719"/>
              <w:spacing w:after="0"/>
              <w:rPr>
                <w:sz w:val="20"/>
                <w:szCs w:val="20"/>
                <w:color w:val="auto"/>
              </w:rPr>
            </w:pPr>
            <w:r>
              <w:rPr>
                <w:rFonts w:ascii="Arial" w:cs="Arial" w:eastAsia="Arial" w:hAnsi="Arial"/>
                <w:sz w:val="28"/>
                <w:szCs w:val="28"/>
                <w:color w:val="1F2668"/>
                <w:vertAlign w:val="subscript"/>
              </w:rPr>
              <w:t>​​</w:t>
            </w:r>
            <w:r>
              <w:rPr>
                <w:rFonts w:ascii="Arial" w:cs="Arial" w:eastAsia="Arial" w:hAnsi="Arial"/>
                <w:sz w:val="14"/>
                <w:szCs w:val="14"/>
                <w:color w:val="1F2668"/>
              </w:rPr>
              <w:t xml:space="preserve">Threshold </w:t>
            </w:r>
            <w:r>
              <w:rPr>
                <w:rFonts w:ascii="Arial" w:cs="Arial" w:eastAsia="Arial" w:hAnsi="Arial"/>
                <w:sz w:val="28"/>
                <w:szCs w:val="28"/>
                <w:color w:val="1F2668"/>
                <w:vertAlign w:val="subscript"/>
              </w:rPr>
              <w:t>​​</w:t>
            </w:r>
            <w:r>
              <w:rPr>
                <w:rFonts w:ascii="Arial" w:cs="Arial" w:eastAsia="Arial" w:hAnsi="Arial"/>
                <w:sz w:val="14"/>
                <w:szCs w:val="14"/>
                <w:color w:val="1F2668"/>
              </w:rPr>
              <w:t xml:space="preserve">Target </w:t>
            </w:r>
            <w:r>
              <w:rPr>
                <w:rFonts w:ascii="Arial" w:cs="Arial" w:eastAsia="Arial" w:hAnsi="Arial"/>
                <w:sz w:val="28"/>
                <w:szCs w:val="28"/>
                <w:color w:val="1F2668"/>
                <w:vertAlign w:val="subscript"/>
              </w:rPr>
              <w:t>​​</w:t>
            </w:r>
            <w:r>
              <w:rPr>
                <w:rFonts w:ascii="Arial" w:cs="Arial" w:eastAsia="Arial" w:hAnsi="Arial"/>
                <w:sz w:val="14"/>
                <w:szCs w:val="14"/>
                <w:color w:val="1F2668"/>
              </w:rPr>
              <w:t>Maximum</w:t>
            </w:r>
            <w:r>
              <w:rPr>
                <w:rFonts w:ascii="Arial" w:cs="Arial" w:eastAsia="Arial" w:hAnsi="Arial"/>
                <w:sz w:val="28"/>
                <w:szCs w:val="28"/>
                <w:color w:val="1F2668"/>
                <w:vertAlign w:val="subscript"/>
              </w:rPr>
              <w:t>​</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98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1F2668"/>
          </w:tcPr>
          <w:p>
            <w:pPr>
              <w:spacing w:after="0" w:line="20" w:lineRule="exact"/>
              <w:rPr>
                <w:sz w:val="1"/>
                <w:szCs w:val="1"/>
                <w:color w:val="auto"/>
              </w:rPr>
            </w:pPr>
          </w:p>
        </w:tc>
        <w:tc>
          <w:tcPr>
            <w:tcW w:w="50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1F2668"/>
          </w:tcPr>
          <w:p>
            <w:pPr>
              <w:spacing w:after="0" w:line="20" w:lineRule="exact"/>
              <w:rPr>
                <w:sz w:val="1"/>
                <w:szCs w:val="1"/>
                <w:color w:val="auto"/>
              </w:rPr>
            </w:pPr>
          </w:p>
        </w:tc>
        <w:tc>
          <w:tcPr>
            <w:tcW w:w="120" w:type="dxa"/>
            <w:vAlign w:val="bottom"/>
            <w:tcBorders>
              <w:right w:val="single" w:sz="8" w:color="1F2668"/>
            </w:tcBorders>
          </w:tcPr>
          <w:p>
            <w:pPr>
              <w:spacing w:after="0" w:line="20" w:lineRule="exact"/>
              <w:rPr>
                <w:sz w:val="1"/>
                <w:szCs w:val="1"/>
                <w:color w:val="auto"/>
              </w:rPr>
            </w:pPr>
          </w:p>
        </w:tc>
        <w:tc>
          <w:tcPr>
            <w:tcW w:w="640" w:type="dxa"/>
            <w:vAlign w:val="bottom"/>
            <w:shd w:val="clear" w:color="auto" w:fill="1F266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6980" w:type="dxa"/>
            <w:vAlign w:val="bottom"/>
          </w:tcPr>
          <w:p>
            <w:pPr>
              <w:spacing w:after="0"/>
              <w:rPr>
                <w:sz w:val="20"/>
                <w:szCs w:val="20"/>
                <w:color w:val="auto"/>
              </w:rPr>
            </w:pPr>
            <w:r>
              <w:rPr>
                <w:rFonts w:ascii="Arial" w:cs="Arial" w:eastAsia="Arial" w:hAnsi="Arial"/>
                <w:sz w:val="16"/>
                <w:szCs w:val="16"/>
                <w:b w:val="1"/>
                <w:bCs w:val="1"/>
                <w:color w:val="auto"/>
              </w:rPr>
              <w:t>Marc Holliday</w:t>
            </w:r>
          </w:p>
        </w:tc>
        <w:tc>
          <w:tcPr>
            <w:tcW w:w="28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500" w:type="dxa"/>
            <w:vAlign w:val="bottom"/>
          </w:tcPr>
          <w:p>
            <w:pPr>
              <w:ind w:left="160"/>
              <w:spacing w:after="0"/>
              <w:rPr>
                <w:sz w:val="20"/>
                <w:szCs w:val="20"/>
                <w:color w:val="auto"/>
              </w:rPr>
            </w:pPr>
            <w:r>
              <w:rPr>
                <w:rFonts w:ascii="Arial" w:cs="Arial" w:eastAsia="Arial" w:hAnsi="Arial"/>
                <w:sz w:val="16"/>
                <w:szCs w:val="16"/>
                <w:color w:val="auto"/>
                <w:w w:val="99"/>
              </w:rPr>
              <w:t>​50%</w:t>
            </w:r>
          </w:p>
        </w:tc>
        <w:tc>
          <w:tcPr>
            <w:tcW w:w="100" w:type="dxa"/>
            <w:vAlign w:val="bottom"/>
          </w:tcPr>
          <w:p>
            <w:pPr>
              <w:spacing w:after="0"/>
              <w:rPr>
                <w:sz w:val="17"/>
                <w:szCs w:val="17"/>
                <w:color w:val="auto"/>
              </w:rPr>
            </w:pPr>
          </w:p>
        </w:tc>
        <w:tc>
          <w:tcPr>
            <w:tcW w:w="440" w:type="dxa"/>
            <w:vAlign w:val="bottom"/>
          </w:tcPr>
          <w:p>
            <w:pPr>
              <w:ind w:left="20"/>
              <w:spacing w:after="0"/>
              <w:rPr>
                <w:sz w:val="20"/>
                <w:szCs w:val="20"/>
                <w:color w:val="auto"/>
              </w:rPr>
            </w:pPr>
            <w:r>
              <w:rPr>
                <w:rFonts w:ascii="Arial" w:cs="Arial" w:eastAsia="Arial" w:hAnsi="Arial"/>
                <w:sz w:val="16"/>
                <w:szCs w:val="16"/>
                <w:color w:val="auto"/>
                <w:w w:val="97"/>
              </w:rPr>
              <w:t>​200%</w:t>
            </w: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640" w:type="dxa"/>
            <w:vAlign w:val="bottom"/>
          </w:tcPr>
          <w:p>
            <w:pPr>
              <w:ind w:left="220"/>
              <w:spacing w:after="0"/>
              <w:rPr>
                <w:sz w:val="20"/>
                <w:szCs w:val="20"/>
                <w:color w:val="auto"/>
              </w:rPr>
            </w:pPr>
            <w:r>
              <w:rPr>
                <w:rFonts w:ascii="Arial" w:cs="Arial" w:eastAsia="Arial" w:hAnsi="Arial"/>
                <w:sz w:val="16"/>
                <w:szCs w:val="16"/>
                <w:color w:val="auto"/>
                <w:w w:val="97"/>
              </w:rPr>
              <w:t>​300%</w:t>
            </w:r>
          </w:p>
        </w:tc>
        <w:tc>
          <w:tcPr>
            <w:tcW w:w="840" w:type="dxa"/>
            <w:vAlign w:val="bottom"/>
            <w:vMerge w:val="restart"/>
          </w:tcPr>
          <w:p>
            <w:pPr>
              <w:jc w:val="right"/>
              <w:ind w:right="6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820" w:type="dxa"/>
            <w:vAlign w:val="bottom"/>
          </w:tcPr>
          <w:p>
            <w:pPr>
              <w:spacing w:after="0"/>
              <w:rPr>
                <w:sz w:val="7"/>
                <w:szCs w:val="7"/>
                <w:color w:val="auto"/>
              </w:rPr>
            </w:pPr>
          </w:p>
        </w:tc>
        <w:tc>
          <w:tcPr>
            <w:tcW w:w="6980" w:type="dxa"/>
            <w:vAlign w:val="bottom"/>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500" w:type="dxa"/>
            <w:vAlign w:val="bottom"/>
          </w:tcPr>
          <w:p>
            <w:pPr>
              <w:ind w:left="160"/>
              <w:spacing w:after="0" w:line="81" w:lineRule="exact"/>
              <w:rPr>
                <w:sz w:val="20"/>
                <w:szCs w:val="20"/>
                <w:color w:val="auto"/>
              </w:rPr>
            </w:pPr>
            <w:r>
              <w:rPr>
                <w:rFonts w:ascii="Arial" w:cs="Arial" w:eastAsia="Arial" w:hAnsi="Arial"/>
                <w:sz w:val="9"/>
                <w:szCs w:val="9"/>
                <w:color w:val="auto"/>
              </w:rPr>
              <w:t>​</w:t>
            </w:r>
          </w:p>
        </w:tc>
        <w:tc>
          <w:tcPr>
            <w:tcW w:w="540" w:type="dxa"/>
            <w:vAlign w:val="bottom"/>
            <w:gridSpan w:val="2"/>
          </w:tcPr>
          <w:p>
            <w:pPr>
              <w:spacing w:after="0" w:line="81" w:lineRule="exact"/>
              <w:rPr>
                <w:sz w:val="20"/>
                <w:szCs w:val="20"/>
                <w:color w:val="auto"/>
              </w:rPr>
            </w:pPr>
            <w:r>
              <w:rPr>
                <w:rFonts w:ascii="Arial" w:cs="Arial" w:eastAsia="Arial" w:hAnsi="Arial"/>
                <w:sz w:val="9"/>
                <w:szCs w:val="9"/>
                <w:color w:val="auto"/>
              </w:rPr>
              <w:t>​​​​</w:t>
            </w:r>
          </w:p>
        </w:tc>
        <w:tc>
          <w:tcPr>
            <w:tcW w:w="120" w:type="dxa"/>
            <w:vAlign w:val="bottom"/>
            <w:vMerge w:val="continue"/>
          </w:tcPr>
          <w:p>
            <w:pPr>
              <w:spacing w:after="0"/>
              <w:rPr>
                <w:sz w:val="7"/>
                <w:szCs w:val="7"/>
                <w:color w:val="auto"/>
              </w:rPr>
            </w:pPr>
          </w:p>
        </w:tc>
        <w:tc>
          <w:tcPr>
            <w:tcW w:w="640" w:type="dxa"/>
            <w:vAlign w:val="bottom"/>
          </w:tcPr>
          <w:p>
            <w:pPr>
              <w:ind w:left="220"/>
              <w:spacing w:after="0" w:line="81" w:lineRule="exact"/>
              <w:rPr>
                <w:sz w:val="20"/>
                <w:szCs w:val="20"/>
                <w:color w:val="auto"/>
              </w:rPr>
            </w:pPr>
            <w:r>
              <w:rPr>
                <w:rFonts w:ascii="Arial" w:cs="Arial" w:eastAsia="Arial" w:hAnsi="Arial"/>
                <w:sz w:val="9"/>
                <w:szCs w:val="9"/>
                <w:color w:val="auto"/>
              </w:rPr>
              <w:t>​</w:t>
            </w: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98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4B5088"/>
          </w:tcPr>
          <w:p>
            <w:pPr>
              <w:spacing w:after="0" w:line="20" w:lineRule="exact"/>
              <w:rPr>
                <w:sz w:val="1"/>
                <w:szCs w:val="1"/>
                <w:color w:val="auto"/>
              </w:rPr>
            </w:pPr>
          </w:p>
        </w:tc>
        <w:tc>
          <w:tcPr>
            <w:tcW w:w="50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4B5088"/>
          </w:tcPr>
          <w:p>
            <w:pPr>
              <w:spacing w:after="0" w:line="20" w:lineRule="exact"/>
              <w:rPr>
                <w:sz w:val="1"/>
                <w:szCs w:val="1"/>
                <w:color w:val="auto"/>
              </w:rPr>
            </w:pPr>
          </w:p>
        </w:tc>
        <w:tc>
          <w:tcPr>
            <w:tcW w:w="120" w:type="dxa"/>
            <w:vAlign w:val="bottom"/>
            <w:tcBorders>
              <w:right w:val="single" w:sz="8" w:color="4B5088"/>
            </w:tcBorders>
          </w:tcPr>
          <w:p>
            <w:pPr>
              <w:spacing w:after="0" w:line="20" w:lineRule="exact"/>
              <w:rPr>
                <w:sz w:val="1"/>
                <w:szCs w:val="1"/>
                <w:color w:val="auto"/>
              </w:rPr>
            </w:pPr>
          </w:p>
        </w:tc>
        <w:tc>
          <w:tcPr>
            <w:tcW w:w="640" w:type="dxa"/>
            <w:vAlign w:val="bottom"/>
            <w:shd w:val="clear" w:color="auto" w:fill="4B508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6980" w:type="dxa"/>
            <w:vAlign w:val="bottom"/>
          </w:tcPr>
          <w:p>
            <w:pPr>
              <w:spacing w:after="0"/>
              <w:rPr>
                <w:sz w:val="20"/>
                <w:szCs w:val="20"/>
                <w:color w:val="auto"/>
              </w:rPr>
            </w:pPr>
            <w:r>
              <w:rPr>
                <w:rFonts w:ascii="Arial" w:cs="Arial" w:eastAsia="Arial" w:hAnsi="Arial"/>
                <w:sz w:val="16"/>
                <w:szCs w:val="16"/>
                <w:b w:val="1"/>
                <w:bCs w:val="1"/>
                <w:color w:val="auto"/>
              </w:rPr>
              <w:t>Matthew J. DiLiberto</w:t>
            </w:r>
          </w:p>
        </w:tc>
        <w:tc>
          <w:tcPr>
            <w:tcW w:w="28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500" w:type="dxa"/>
            <w:vAlign w:val="bottom"/>
          </w:tcPr>
          <w:p>
            <w:pPr>
              <w:ind w:left="160"/>
              <w:spacing w:after="0"/>
              <w:rPr>
                <w:sz w:val="20"/>
                <w:szCs w:val="20"/>
                <w:color w:val="auto"/>
              </w:rPr>
            </w:pPr>
            <w:r>
              <w:rPr>
                <w:rFonts w:ascii="Arial" w:cs="Arial" w:eastAsia="Arial" w:hAnsi="Arial"/>
                <w:sz w:val="16"/>
                <w:szCs w:val="16"/>
                <w:color w:val="auto"/>
                <w:w w:val="99"/>
              </w:rPr>
              <w:t>​50%</w:t>
            </w:r>
          </w:p>
        </w:tc>
        <w:tc>
          <w:tcPr>
            <w:tcW w:w="100" w:type="dxa"/>
            <w:vAlign w:val="bottom"/>
          </w:tcPr>
          <w:p>
            <w:pPr>
              <w:spacing w:after="0"/>
              <w:rPr>
                <w:sz w:val="17"/>
                <w:szCs w:val="17"/>
                <w:color w:val="auto"/>
              </w:rPr>
            </w:pPr>
          </w:p>
        </w:tc>
        <w:tc>
          <w:tcPr>
            <w:tcW w:w="440" w:type="dxa"/>
            <w:vAlign w:val="bottom"/>
          </w:tcPr>
          <w:p>
            <w:pPr>
              <w:ind w:left="20"/>
              <w:spacing w:after="0"/>
              <w:rPr>
                <w:sz w:val="20"/>
                <w:szCs w:val="20"/>
                <w:color w:val="auto"/>
              </w:rPr>
            </w:pPr>
            <w:r>
              <w:rPr>
                <w:rFonts w:ascii="Arial" w:cs="Arial" w:eastAsia="Arial" w:hAnsi="Arial"/>
                <w:sz w:val="16"/>
                <w:szCs w:val="16"/>
                <w:color w:val="auto"/>
                <w:w w:val="97"/>
              </w:rPr>
              <w:t>​175%</w:t>
            </w: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640" w:type="dxa"/>
            <w:vAlign w:val="bottom"/>
          </w:tcPr>
          <w:p>
            <w:pPr>
              <w:ind w:left="220"/>
              <w:spacing w:after="0"/>
              <w:rPr>
                <w:sz w:val="20"/>
                <w:szCs w:val="20"/>
                <w:color w:val="auto"/>
              </w:rPr>
            </w:pPr>
            <w:r>
              <w:rPr>
                <w:rFonts w:ascii="Arial" w:cs="Arial" w:eastAsia="Arial" w:hAnsi="Arial"/>
                <w:sz w:val="16"/>
                <w:szCs w:val="16"/>
                <w:color w:val="auto"/>
                <w:w w:val="97"/>
              </w:rPr>
              <w:t>​250%</w:t>
            </w:r>
          </w:p>
        </w:tc>
        <w:tc>
          <w:tcPr>
            <w:tcW w:w="840" w:type="dxa"/>
            <w:vAlign w:val="bottom"/>
            <w:vMerge w:val="restart"/>
          </w:tcPr>
          <w:p>
            <w:pPr>
              <w:jc w:val="right"/>
              <w:ind w:right="6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820" w:type="dxa"/>
            <w:vAlign w:val="bottom"/>
          </w:tcPr>
          <w:p>
            <w:pPr>
              <w:spacing w:after="0"/>
              <w:rPr>
                <w:sz w:val="7"/>
                <w:szCs w:val="7"/>
                <w:color w:val="auto"/>
              </w:rPr>
            </w:pPr>
          </w:p>
        </w:tc>
        <w:tc>
          <w:tcPr>
            <w:tcW w:w="6980" w:type="dxa"/>
            <w:vAlign w:val="bottom"/>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500" w:type="dxa"/>
            <w:vAlign w:val="bottom"/>
          </w:tcPr>
          <w:p>
            <w:pPr>
              <w:ind w:left="160"/>
              <w:spacing w:after="0" w:line="81" w:lineRule="exact"/>
              <w:rPr>
                <w:sz w:val="20"/>
                <w:szCs w:val="20"/>
                <w:color w:val="auto"/>
              </w:rPr>
            </w:pPr>
            <w:r>
              <w:rPr>
                <w:rFonts w:ascii="Arial" w:cs="Arial" w:eastAsia="Arial" w:hAnsi="Arial"/>
                <w:sz w:val="9"/>
                <w:szCs w:val="9"/>
                <w:color w:val="auto"/>
              </w:rPr>
              <w:t>​</w:t>
            </w:r>
          </w:p>
        </w:tc>
        <w:tc>
          <w:tcPr>
            <w:tcW w:w="540" w:type="dxa"/>
            <w:vAlign w:val="bottom"/>
            <w:gridSpan w:val="2"/>
          </w:tcPr>
          <w:p>
            <w:pPr>
              <w:spacing w:after="0" w:line="81" w:lineRule="exact"/>
              <w:rPr>
                <w:sz w:val="20"/>
                <w:szCs w:val="20"/>
                <w:color w:val="auto"/>
              </w:rPr>
            </w:pPr>
            <w:r>
              <w:rPr>
                <w:rFonts w:ascii="Arial" w:cs="Arial" w:eastAsia="Arial" w:hAnsi="Arial"/>
                <w:sz w:val="9"/>
                <w:szCs w:val="9"/>
                <w:color w:val="auto"/>
              </w:rPr>
              <w:t>​​​​</w:t>
            </w:r>
          </w:p>
        </w:tc>
        <w:tc>
          <w:tcPr>
            <w:tcW w:w="120" w:type="dxa"/>
            <w:vAlign w:val="bottom"/>
            <w:vMerge w:val="continue"/>
          </w:tcPr>
          <w:p>
            <w:pPr>
              <w:spacing w:after="0"/>
              <w:rPr>
                <w:sz w:val="7"/>
                <w:szCs w:val="7"/>
                <w:color w:val="auto"/>
              </w:rPr>
            </w:pPr>
          </w:p>
        </w:tc>
        <w:tc>
          <w:tcPr>
            <w:tcW w:w="640" w:type="dxa"/>
            <w:vAlign w:val="bottom"/>
          </w:tcPr>
          <w:p>
            <w:pPr>
              <w:ind w:left="220"/>
              <w:spacing w:after="0" w:line="81" w:lineRule="exact"/>
              <w:rPr>
                <w:sz w:val="20"/>
                <w:szCs w:val="20"/>
                <w:color w:val="auto"/>
              </w:rPr>
            </w:pPr>
            <w:r>
              <w:rPr>
                <w:rFonts w:ascii="Arial" w:cs="Arial" w:eastAsia="Arial" w:hAnsi="Arial"/>
                <w:sz w:val="9"/>
                <w:szCs w:val="9"/>
                <w:color w:val="auto"/>
              </w:rPr>
              <w:t>​</w:t>
            </w: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820" w:type="dxa"/>
            <w:vAlign w:val="bottom"/>
            <w:tcBorders>
              <w:bottom w:val="single" w:sz="8" w:color="9A9A9A"/>
            </w:tcBorders>
          </w:tcPr>
          <w:p>
            <w:pPr>
              <w:spacing w:after="0"/>
              <w:rPr>
                <w:sz w:val="12"/>
                <w:szCs w:val="12"/>
                <w:color w:val="auto"/>
              </w:rPr>
            </w:pPr>
          </w:p>
        </w:tc>
        <w:tc>
          <w:tcPr>
            <w:tcW w:w="6980" w:type="dxa"/>
            <w:vAlign w:val="bottom"/>
            <w:tcBorders>
              <w:top w:val="single" w:sz="8" w:color="1F2668"/>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80" w:type="dxa"/>
            <w:vAlign w:val="bottom"/>
            <w:tcBorders>
              <w:top w:val="single" w:sz="8" w:color="1F2668"/>
              <w:bottom w:val="single" w:sz="8" w:color="9A9A9A"/>
            </w:tcBorders>
          </w:tcPr>
          <w:p>
            <w:pPr>
              <w:spacing w:after="0"/>
              <w:rPr>
                <w:sz w:val="12"/>
                <w:szCs w:val="12"/>
                <w:color w:val="auto"/>
              </w:rPr>
            </w:pPr>
          </w:p>
        </w:tc>
        <w:tc>
          <w:tcPr>
            <w:tcW w:w="500" w:type="dxa"/>
            <w:vAlign w:val="bottom"/>
            <w:tcBorders>
              <w:top w:val="single" w:sz="8" w:color="1F2668"/>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440" w:type="dxa"/>
            <w:vAlign w:val="bottom"/>
            <w:tcBorders>
              <w:top w:val="single" w:sz="8" w:color="1F2668"/>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40" w:type="dxa"/>
            <w:vAlign w:val="bottom"/>
            <w:tcBorders>
              <w:top w:val="single" w:sz="8" w:color="1F2668"/>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5100" w:type="dxa"/>
            <w:vAlign w:val="bottom"/>
          </w:tcPr>
          <w:p>
            <w:pPr>
              <w:spacing w:after="0"/>
              <w:rPr>
                <w:sz w:val="20"/>
                <w:szCs w:val="20"/>
                <w:color w:val="auto"/>
              </w:rPr>
            </w:pPr>
            <w:r>
              <w:rPr>
                <w:rFonts w:ascii="Arial" w:cs="Arial" w:eastAsia="Arial" w:hAnsi="Arial"/>
                <w:sz w:val="14"/>
                <w:szCs w:val="14"/>
                <w:b w:val="1"/>
                <w:bCs w:val="1"/>
                <w:color w:val="auto"/>
              </w:rPr>
              <w:t>​</w:t>
            </w:r>
          </w:p>
        </w:tc>
        <w:tc>
          <w:tcPr>
            <w:tcW w:w="3480" w:type="dxa"/>
            <w:vAlign w:val="bottom"/>
          </w:tcPr>
          <w:p>
            <w:pPr>
              <w:ind w:left="3100"/>
              <w:spacing w:after="0"/>
              <w:rPr>
                <w:sz w:val="20"/>
                <w:szCs w:val="20"/>
                <w:color w:val="auto"/>
              </w:rPr>
            </w:pPr>
            <w:r>
              <w:rPr>
                <w:rFonts w:ascii="Arial" w:cs="Arial" w:eastAsia="Arial" w:hAnsi="Arial"/>
                <w:sz w:val="14"/>
                <w:szCs w:val="14"/>
                <w:b w:val="1"/>
                <w:bCs w:val="1"/>
                <w:color w:val="auto"/>
              </w:rPr>
              <w:t>​ ​</w:t>
            </w:r>
          </w:p>
        </w:tc>
        <w:tc>
          <w:tcPr>
            <w:tcW w:w="480" w:type="dxa"/>
            <w:vAlign w:val="bottom"/>
            <w:vMerge w:val="restart"/>
          </w:tcPr>
          <w:p>
            <w:pPr>
              <w:jc w:val="right"/>
              <w:spacing w:after="0"/>
              <w:rPr>
                <w:sz w:val="20"/>
                <w:szCs w:val="20"/>
                <w:color w:val="auto"/>
              </w:rPr>
            </w:pPr>
            <w:r>
              <w:rPr>
                <w:rFonts w:ascii="Arial" w:cs="Arial" w:eastAsia="Arial" w:hAnsi="Arial"/>
                <w:sz w:val="22"/>
                <w:szCs w:val="22"/>
                <w:b w:val="1"/>
                <w:bCs w:val="1"/>
                <w:color w:val="1F2668"/>
              </w:rPr>
              <w:t>49</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5100" w:type="dxa"/>
            <w:vAlign w:val="bottom"/>
          </w:tcPr>
          <w:p>
            <w:pPr>
              <w:spacing w:after="0"/>
              <w:rPr>
                <w:sz w:val="20"/>
                <w:szCs w:val="20"/>
                <w:color w:val="auto"/>
              </w:rPr>
            </w:pPr>
            <w:r>
              <w:rPr>
                <w:rFonts w:ascii="Arial" w:cs="Arial" w:eastAsia="Arial" w:hAnsi="Arial"/>
                <w:sz w:val="14"/>
                <w:szCs w:val="14"/>
                <w:b w:val="1"/>
                <w:bCs w:val="1"/>
                <w:color w:val="auto"/>
              </w:rPr>
              <w:t>EXECUTIVE COMPENSATION</w:t>
            </w:r>
          </w:p>
        </w:tc>
        <w:tc>
          <w:tcPr>
            <w:tcW w:w="348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57" w:lineRule="exact"/>
        <w:rPr>
          <w:sz w:val="20"/>
          <w:szCs w:val="20"/>
          <w:color w:val="auto"/>
        </w:rPr>
      </w:pPr>
    </w:p>
    <w:p>
      <w:pPr>
        <w:jc w:val="both"/>
        <w:ind w:left="820" w:right="80"/>
        <w:spacing w:after="0" w:line="306" w:lineRule="auto"/>
        <w:rPr>
          <w:sz w:val="20"/>
          <w:szCs w:val="20"/>
          <w:color w:val="auto"/>
        </w:rPr>
      </w:pPr>
      <w:r>
        <w:rPr>
          <w:rFonts w:ascii="Arial" w:cs="Arial" w:eastAsia="Arial" w:hAnsi="Arial"/>
          <w:sz w:val="16"/>
          <w:szCs w:val="16"/>
          <w:color w:val="auto"/>
        </w:rPr>
        <w:t xml:space="preserve">Based on our performance relative to the </w:t>
      </w:r>
      <w:r>
        <w:rPr>
          <w:rFonts w:ascii="Arial" w:cs="Arial" w:eastAsia="Arial" w:hAnsi="Arial"/>
          <w:sz w:val="16"/>
          <w:szCs w:val="16"/>
          <w:b w:val="1"/>
          <w:bCs w:val="1"/>
          <w:color w:val="auto"/>
        </w:rPr>
        <w:t>objective bonus criteria</w:t>
      </w:r>
      <w:r>
        <w:rPr>
          <w:rFonts w:ascii="Arial" w:cs="Arial" w:eastAsia="Arial" w:hAnsi="Arial"/>
          <w:sz w:val="16"/>
          <w:szCs w:val="16"/>
          <w:color w:val="auto"/>
        </w:rPr>
        <w:t xml:space="preserve"> established in January 2024, Messrs. Holliday and DiLiberto each earned approximately </w:t>
      </w:r>
      <w:r>
        <w:rPr>
          <w:rFonts w:ascii="Arial" w:cs="Arial" w:eastAsia="Arial" w:hAnsi="Arial"/>
          <w:sz w:val="16"/>
          <w:szCs w:val="16"/>
          <w:b w:val="1"/>
          <w:bCs w:val="1"/>
          <w:color w:val="auto"/>
        </w:rPr>
        <w:t>128%</w:t>
      </w:r>
      <w:r>
        <w:rPr>
          <w:rFonts w:ascii="Arial" w:cs="Arial" w:eastAsia="Arial" w:hAnsi="Arial"/>
          <w:sz w:val="16"/>
          <w:szCs w:val="16"/>
          <w:color w:val="auto"/>
        </w:rPr>
        <w:t xml:space="preserve"> of the formulaic component of their respective 2024 target bonus. Each year, we determine the formulaic component of annual cash bonuses in December based on projected results, which may result in adjustments if actual results differ from our projections.</w:t>
      </w:r>
    </w:p>
    <w:p>
      <w:pPr>
        <w:spacing w:after="0" w:line="98" w:lineRule="exact"/>
        <w:rPr>
          <w:sz w:val="20"/>
          <w:szCs w:val="20"/>
          <w:color w:val="auto"/>
        </w:rPr>
      </w:pPr>
    </w:p>
    <w:tbl>
      <w:tblPr>
        <w:tblLayout w:type="fixed"/>
        <w:tblInd w:w="820" w:type="dxa"/>
        <w:tblCellMar>
          <w:top w:w="0" w:type="dxa"/>
          <w:left w:w="0" w:type="dxa"/>
          <w:bottom w:w="0" w:type="dxa"/>
          <w:right w:w="0" w:type="dxa"/>
        </w:tblCellMar>
      </w:tblPr>
      <w:tr>
        <w:trPr>
          <w:trHeight w:val="368"/>
        </w:trPr>
        <w:tc>
          <w:tcPr>
            <w:tcW w:w="8780" w:type="dxa"/>
            <w:vAlign w:val="bottom"/>
            <w:shd w:val="clear" w:color="auto" w:fill="E9F9D8"/>
          </w:tcPr>
          <w:p>
            <w:pPr>
              <w:spacing w:after="0"/>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The specific performance criteria and respective preset goals that underpin our formulaic annual bonus program are</w:t>
            </w:r>
          </w:p>
        </w:tc>
        <w:tc>
          <w:tcPr>
            <w:tcW w:w="280" w:type="dxa"/>
            <w:vAlign w:val="bottom"/>
            <w:shd w:val="clear" w:color="auto" w:fill="E9F9D8"/>
          </w:tcPr>
          <w:p>
            <w:pPr>
              <w:ind w:left="120"/>
              <w:spacing w:after="0"/>
              <w:rPr>
                <w:sz w:val="20"/>
                <w:szCs w:val="20"/>
                <w:color w:val="auto"/>
              </w:rPr>
            </w:pPr>
            <w:r>
              <w:rPr>
                <w:rFonts w:ascii="Arial" w:cs="Arial" w:eastAsia="Arial" w:hAnsi="Arial"/>
                <w:sz w:val="16"/>
                <w:szCs w:val="16"/>
                <w:color w:val="auto"/>
              </w:rPr>
              <w:t>​</w:t>
            </w:r>
          </w:p>
        </w:tc>
      </w:tr>
      <w:tr>
        <w:trPr>
          <w:trHeight w:val="203"/>
        </w:trPr>
        <w:tc>
          <w:tcPr>
            <w:tcW w:w="8780" w:type="dxa"/>
            <w:vAlign w:val="bottom"/>
            <w:shd w:val="clear" w:color="auto" w:fill="E9F9D8"/>
          </w:tcPr>
          <w:p>
            <w:pPr>
              <w:ind w:left="160"/>
              <w:spacing w:after="0"/>
              <w:rPr>
                <w:sz w:val="20"/>
                <w:szCs w:val="20"/>
                <w:color w:val="auto"/>
              </w:rPr>
            </w:pPr>
            <w:r>
              <w:rPr>
                <w:rFonts w:ascii="Arial" w:cs="Arial" w:eastAsia="Arial" w:hAnsi="Arial"/>
                <w:sz w:val="16"/>
                <w:szCs w:val="16"/>
                <w:color w:val="auto"/>
              </w:rPr>
              <w:t>established in January of each year by the Committee. These criteria and goals are in line with guidance presented at our</w:t>
            </w:r>
          </w:p>
        </w:tc>
        <w:tc>
          <w:tcPr>
            <w:tcW w:w="280" w:type="dxa"/>
            <w:vAlign w:val="bottom"/>
            <w:shd w:val="clear" w:color="auto" w:fill="E9F9D8"/>
          </w:tcPr>
          <w:p>
            <w:pPr>
              <w:spacing w:after="0"/>
              <w:rPr>
                <w:sz w:val="17"/>
                <w:szCs w:val="17"/>
                <w:color w:val="auto"/>
              </w:rPr>
            </w:pPr>
          </w:p>
        </w:tc>
      </w:tr>
      <w:tr>
        <w:trPr>
          <w:trHeight w:val="215"/>
        </w:trPr>
        <w:tc>
          <w:tcPr>
            <w:tcW w:w="8780" w:type="dxa"/>
            <w:vAlign w:val="bottom"/>
            <w:shd w:val="clear" w:color="auto" w:fill="E9F9D8"/>
          </w:tcPr>
          <w:p>
            <w:pPr>
              <w:ind w:left="160"/>
              <w:spacing w:after="0"/>
              <w:rPr>
                <w:sz w:val="20"/>
                <w:szCs w:val="20"/>
                <w:color w:val="auto"/>
              </w:rPr>
            </w:pPr>
            <w:r>
              <w:rPr>
                <w:rFonts w:ascii="Arial" w:cs="Arial" w:eastAsia="Arial" w:hAnsi="Arial"/>
                <w:sz w:val="16"/>
                <w:szCs w:val="16"/>
                <w:color w:val="auto"/>
              </w:rPr>
              <w:t>annual investor conference and are set forth below under “2024 Performance Summary.”</w:t>
            </w:r>
          </w:p>
        </w:tc>
        <w:tc>
          <w:tcPr>
            <w:tcW w:w="280" w:type="dxa"/>
            <w:vAlign w:val="bottom"/>
            <w:shd w:val="clear" w:color="auto" w:fill="E9F9D8"/>
          </w:tcPr>
          <w:p>
            <w:pPr>
              <w:spacing w:after="0"/>
              <w:rPr>
                <w:sz w:val="18"/>
                <w:szCs w:val="18"/>
                <w:color w:val="auto"/>
              </w:rPr>
            </w:pPr>
          </w:p>
        </w:tc>
      </w:tr>
      <w:tr>
        <w:trPr>
          <w:trHeight w:val="110"/>
        </w:trPr>
        <w:tc>
          <w:tcPr>
            <w:tcW w:w="8780" w:type="dxa"/>
            <w:vAlign w:val="bottom"/>
            <w:shd w:val="clear" w:color="auto" w:fill="E9F9D8"/>
          </w:tcPr>
          <w:p>
            <w:pPr>
              <w:spacing w:after="0"/>
              <w:rPr>
                <w:sz w:val="9"/>
                <w:szCs w:val="9"/>
                <w:color w:val="auto"/>
              </w:rPr>
            </w:pPr>
          </w:p>
        </w:tc>
        <w:tc>
          <w:tcPr>
            <w:tcW w:w="280" w:type="dxa"/>
            <w:vAlign w:val="bottom"/>
            <w:shd w:val="clear" w:color="auto" w:fill="E9F9D8"/>
          </w:tcPr>
          <w:p>
            <w:pPr>
              <w:spacing w:after="0"/>
              <w:rPr>
                <w:sz w:val="9"/>
                <w:szCs w:val="9"/>
                <w:color w:val="auto"/>
              </w:rPr>
            </w:pPr>
          </w:p>
        </w:tc>
      </w:tr>
    </w:tbl>
    <w:p>
      <w:pPr>
        <w:spacing w:after="0" w:line="229" w:lineRule="exact"/>
        <w:rPr>
          <w:sz w:val="20"/>
          <w:szCs w:val="20"/>
          <w:color w:val="auto"/>
        </w:rPr>
      </w:pPr>
    </w:p>
    <w:p>
      <w:pPr>
        <w:ind w:left="820" w:right="60"/>
        <w:spacing w:after="0" w:line="300" w:lineRule="auto"/>
        <w:rPr>
          <w:sz w:val="20"/>
          <w:szCs w:val="20"/>
          <w:color w:val="auto"/>
        </w:rPr>
      </w:pPr>
      <w:r>
        <w:rPr>
          <w:rFonts w:ascii="Arial" w:cs="Arial" w:eastAsia="Arial" w:hAnsi="Arial"/>
          <w:sz w:val="16"/>
          <w:szCs w:val="16"/>
          <w:b w:val="1"/>
          <w:bCs w:val="1"/>
          <w:color w:val="83AD40"/>
        </w:rPr>
        <w:t xml:space="preserve">Discretionary Annual Bonus—CFO and General Counsel. </w:t>
      </w:r>
      <w:r>
        <w:rPr>
          <w:rFonts w:ascii="Arial" w:cs="Arial" w:eastAsia="Arial" w:hAnsi="Arial"/>
          <w:sz w:val="16"/>
          <w:szCs w:val="16"/>
          <w:color w:val="000000"/>
        </w:rPr>
        <w:t>The employment agreement in effect with our CFO provides for a</w:t>
      </w:r>
      <w:r>
        <w:rPr>
          <w:rFonts w:ascii="Arial" w:cs="Arial" w:eastAsia="Arial" w:hAnsi="Arial"/>
          <w:sz w:val="16"/>
          <w:szCs w:val="16"/>
          <w:b w:val="1"/>
          <w:bCs w:val="1"/>
          <w:color w:val="83AD40"/>
        </w:rPr>
        <w:t xml:space="preserve"> </w:t>
      </w:r>
      <w:r>
        <w:rPr>
          <w:rFonts w:ascii="Arial" w:cs="Arial" w:eastAsia="Arial" w:hAnsi="Arial"/>
          <w:sz w:val="16"/>
          <w:szCs w:val="16"/>
          <w:color w:val="000000"/>
        </w:rPr>
        <w:t>discretionary annual bonus equal to 40% of his total bonus opportunity. After calculating the formulaic component described above, such formulaic amount is then divided by 0.6, less the amount of the as-calculated formulaic component, to establish a non-formulaic bonus opportunity. Our CFO may then earn between 0% and 100% of the non-formulaic component as determined in the discretion of the Committee. For 2024, the Committee awarded $895,000 as the discretionary bonus. For 2024, the employment agreement with our General Counsel did not provide for formulaic percentages of base salary that can be earned and was 100% discretionary.</w:t>
      </w:r>
    </w:p>
    <w:p>
      <w:pPr>
        <w:spacing w:after="0" w:line="145" w:lineRule="exact"/>
        <w:rPr>
          <w:sz w:val="20"/>
          <w:szCs w:val="20"/>
          <w:color w:val="auto"/>
        </w:rPr>
      </w:pPr>
    </w:p>
    <w:p>
      <w:pPr>
        <w:ind w:left="980" w:right="140" w:hanging="159"/>
        <w:spacing w:after="0" w:line="243" w:lineRule="auto"/>
        <w:tabs>
          <w:tab w:leader="none" w:pos="960" w:val="left"/>
        </w:tabs>
        <w:rPr>
          <w:sz w:val="20"/>
          <w:szCs w:val="20"/>
          <w:color w:val="auto"/>
        </w:rPr>
      </w:pPr>
      <w:r>
        <w:rPr>
          <w:rFonts w:ascii="Arial" w:cs="Arial" w:eastAsia="Arial" w:hAnsi="Arial"/>
          <w:sz w:val="32"/>
          <w:szCs w:val="32"/>
          <w:color w:val="auto"/>
          <w:vertAlign w:val="superscript"/>
        </w:rPr>
        <w:t>​</w:t>
      </w:r>
      <w:r>
        <w:rPr>
          <w:sz w:val="20"/>
          <w:szCs w:val="20"/>
          <w:color w:val="auto"/>
        </w:rPr>
        <w:tab/>
      </w:r>
      <w:r>
        <w:rPr>
          <w:rFonts w:ascii="Arial" w:cs="Arial" w:eastAsia="Arial" w:hAnsi="Arial"/>
          <w:sz w:val="16"/>
          <w:szCs w:val="16"/>
          <w:color w:val="auto"/>
        </w:rPr>
        <w:t xml:space="preserve">For 2024, our CFO and General Counsel received the discretionary portions of their respective bonuses based on the same </w:t>
      </w:r>
      <w:r>
        <w:rPr>
          <w:rFonts w:ascii="Arial" w:cs="Arial" w:eastAsia="Arial" w:hAnsi="Arial"/>
          <w:sz w:val="32"/>
          <w:szCs w:val="32"/>
          <w:color w:val="auto"/>
          <w:vertAlign w:val="superscript"/>
        </w:rPr>
        <w:t>​</w:t>
      </w:r>
      <w:r>
        <w:rPr>
          <w:rFonts w:ascii="Arial" w:cs="Arial" w:eastAsia="Arial" w:hAnsi="Arial"/>
          <w:sz w:val="16"/>
          <w:szCs w:val="16"/>
          <w:color w:val="auto"/>
        </w:rPr>
        <w:t xml:space="preserve"> performance criteria that were used for our CEO and CFO’s formulaic annual bonus program, as well as specific company goals and objectives for 2024 that were presented at our annual investor conference in December 2023 (summarized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-581660</wp:posOffset>
            </wp:positionV>
            <wp:extent cx="5760720" cy="65151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760720" cy="651510"/>
                    </a:xfrm>
                    <a:prstGeom prst="rect">
                      <a:avLst/>
                    </a:prstGeom>
                    <a:noFill/>
                  </pic:spPr>
                </pic:pic>
              </a:graphicData>
            </a:graphic>
          </wp:anchor>
        </w:drawing>
      </w:r>
    </w:p>
    <w:p>
      <w:pPr>
        <w:spacing w:after="0" w:line="33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xml:space="preserve">The Committee considered that, </w:t>
      </w:r>
      <w:r>
        <w:rPr>
          <w:rFonts w:ascii="Arial" w:cs="Arial" w:eastAsia="Arial" w:hAnsi="Arial"/>
          <w:sz w:val="16"/>
          <w:szCs w:val="16"/>
          <w:b w:val="1"/>
          <w:bCs w:val="1"/>
          <w:color w:val="auto"/>
        </w:rPr>
        <w:t>on a formulaic basis, we achieved performance levels of target or above for every</w:t>
      </w:r>
    </w:p>
    <w:p>
      <w:pPr>
        <w:spacing w:after="0" w:line="46" w:lineRule="exact"/>
        <w:rPr>
          <w:sz w:val="20"/>
          <w:szCs w:val="20"/>
          <w:color w:val="auto"/>
        </w:rPr>
      </w:pPr>
    </w:p>
    <w:p>
      <w:pPr>
        <w:jc w:val="both"/>
        <w:ind w:left="820" w:right="40"/>
        <w:spacing w:after="0" w:line="310" w:lineRule="auto"/>
        <w:rPr>
          <w:sz w:val="20"/>
          <w:szCs w:val="20"/>
          <w:color w:val="auto"/>
        </w:rPr>
      </w:pPr>
      <w:r>
        <w:rPr>
          <w:rFonts w:ascii="Arial" w:cs="Arial" w:eastAsia="Arial" w:hAnsi="Arial"/>
          <w:sz w:val="16"/>
          <w:szCs w:val="16"/>
          <w:b w:val="1"/>
          <w:bCs w:val="1"/>
          <w:color w:val="auto"/>
        </w:rPr>
        <w:t>component of the formulaic bonus program</w:t>
      </w:r>
      <w:r>
        <w:rPr>
          <w:rFonts w:ascii="Arial" w:cs="Arial" w:eastAsia="Arial" w:hAnsi="Arial"/>
          <w:sz w:val="16"/>
          <w:szCs w:val="16"/>
          <w:color w:val="auto"/>
        </w:rPr>
        <w:t>. In addition, the Committee evaluated the contribution of our CEO and CFO to the</w:t>
      </w:r>
      <w:r>
        <w:rPr>
          <w:rFonts w:ascii="Arial" w:cs="Arial" w:eastAsia="Arial" w:hAnsi="Arial"/>
          <w:sz w:val="16"/>
          <w:szCs w:val="16"/>
          <w:b w:val="1"/>
          <w:bCs w:val="1"/>
          <w:color w:val="auto"/>
        </w:rPr>
        <w:t xml:space="preserve"> </w:t>
      </w:r>
      <w:r>
        <w:rPr>
          <w:rFonts w:ascii="Arial" w:cs="Arial" w:eastAsia="Arial" w:hAnsi="Arial"/>
          <w:sz w:val="16"/>
          <w:szCs w:val="16"/>
          <w:color w:val="auto"/>
        </w:rPr>
        <w:t>full scope of our business, including financial goals, operational goals and other corporate goals and initiatives, many of which are key drivers of stockholder value.</w:t>
      </w:r>
    </w:p>
    <w:p>
      <w:pPr>
        <w:spacing w:after="0" w:line="97" w:lineRule="exact"/>
        <w:rPr>
          <w:sz w:val="20"/>
          <w:szCs w:val="20"/>
          <w:color w:val="auto"/>
        </w:rPr>
      </w:pPr>
    </w:p>
    <w:p>
      <w:pPr>
        <w:ind w:left="820" w:right="100"/>
        <w:spacing w:after="0" w:line="310" w:lineRule="auto"/>
        <w:rPr>
          <w:sz w:val="20"/>
          <w:szCs w:val="20"/>
          <w:color w:val="auto"/>
        </w:rPr>
      </w:pPr>
      <w:r>
        <w:rPr>
          <w:rFonts w:ascii="Arial" w:cs="Arial" w:eastAsia="Arial" w:hAnsi="Arial"/>
          <w:sz w:val="16"/>
          <w:szCs w:val="16"/>
          <w:color w:val="auto"/>
        </w:rPr>
        <w:t xml:space="preserve">Despite a challenging operating environment, we successfully executed many aspects of our strategic vision against the backdrop of a New York City commercial real estate market and office REIT sector that saw many peers struggle. In particular, in addition to the formulaic goals and other goals summarized earlier, </w:t>
      </w:r>
      <w:r>
        <w:rPr>
          <w:rFonts w:ascii="Arial" w:cs="Arial" w:eastAsia="Arial" w:hAnsi="Arial"/>
          <w:sz w:val="16"/>
          <w:szCs w:val="16"/>
          <w:b w:val="1"/>
          <w:bCs w:val="1"/>
          <w:color w:val="auto"/>
        </w:rPr>
        <w:t>the Committee considered performance within three</w:t>
      </w:r>
      <w:r>
        <w:rPr>
          <w:rFonts w:ascii="Arial" w:cs="Arial" w:eastAsia="Arial" w:hAnsi="Arial"/>
          <w:sz w:val="16"/>
          <w:szCs w:val="16"/>
          <w:color w:val="auto"/>
        </w:rPr>
        <w:t xml:space="preserve"> </w:t>
      </w:r>
      <w:r>
        <w:rPr>
          <w:rFonts w:ascii="Arial" w:cs="Arial" w:eastAsia="Arial" w:hAnsi="Arial"/>
          <w:sz w:val="16"/>
          <w:szCs w:val="16"/>
          <w:b w:val="1"/>
          <w:bCs w:val="1"/>
          <w:color w:val="auto"/>
        </w:rPr>
        <w:t>primary categories and specifically recognized</w:t>
      </w:r>
      <w:r>
        <w:rPr>
          <w:rFonts w:ascii="Arial" w:cs="Arial" w:eastAsia="Arial" w:hAnsi="Arial"/>
          <w:sz w:val="16"/>
          <w:szCs w:val="16"/>
          <w:color w:val="auto"/>
        </w:rPr>
        <w:t>:</w:t>
      </w:r>
    </w:p>
    <w:p>
      <w:pPr>
        <w:spacing w:after="0" w:line="137" w:lineRule="exact"/>
        <w:rPr>
          <w:sz w:val="20"/>
          <w:szCs w:val="20"/>
          <w:color w:val="auto"/>
        </w:rPr>
      </w:pPr>
    </w:p>
    <w:tbl>
      <w:tblPr>
        <w:tblLayout w:type="fixed"/>
        <w:tblInd w:w="820" w:type="dxa"/>
        <w:tblCellMar>
          <w:top w:w="0" w:type="dxa"/>
          <w:left w:w="0" w:type="dxa"/>
          <w:bottom w:w="0" w:type="dxa"/>
          <w:right w:w="0" w:type="dxa"/>
        </w:tblCellMar>
      </w:tblPr>
      <w:tr>
        <w:trPr>
          <w:trHeight w:val="351"/>
        </w:trPr>
        <w:tc>
          <w:tcPr>
            <w:tcW w:w="100" w:type="dxa"/>
            <w:vAlign w:val="bottom"/>
            <w:tcBorders>
              <w:top w:val="single" w:sz="8" w:color="83AD40"/>
              <w:bottom w:val="single" w:sz="8" w:color="83AD40"/>
            </w:tcBorders>
          </w:tcPr>
          <w:p>
            <w:pPr>
              <w:ind w:left="20"/>
              <w:spacing w:after="0"/>
              <w:rPr>
                <w:sz w:val="20"/>
                <w:szCs w:val="20"/>
                <w:color w:val="auto"/>
              </w:rPr>
            </w:pPr>
            <w:r>
              <w:rPr>
                <w:rFonts w:ascii="Arial" w:cs="Arial" w:eastAsia="Arial" w:hAnsi="Arial"/>
                <w:sz w:val="14"/>
                <w:szCs w:val="14"/>
                <w:color w:val="auto"/>
              </w:rPr>
              <w:t>​</w:t>
            </w:r>
          </w:p>
        </w:tc>
        <w:tc>
          <w:tcPr>
            <w:tcW w:w="2580" w:type="dxa"/>
            <w:vAlign w:val="bottom"/>
            <w:tcBorders>
              <w:top w:val="single" w:sz="8" w:color="83AD40"/>
              <w:bottom w:val="single" w:sz="8" w:color="83AD40"/>
            </w:tcBorders>
          </w:tcPr>
          <w:p>
            <w:pPr>
              <w:ind w:left="720"/>
              <w:spacing w:after="0"/>
              <w:rPr>
                <w:sz w:val="20"/>
                <w:szCs w:val="20"/>
                <w:color w:val="auto"/>
              </w:rPr>
            </w:pPr>
            <w:r>
              <w:rPr>
                <w:rFonts w:ascii="Arial" w:cs="Arial" w:eastAsia="Arial" w:hAnsi="Arial"/>
                <w:sz w:val="14"/>
                <w:szCs w:val="14"/>
                <w:color w:val="auto"/>
              </w:rPr>
              <w:t>Financial Goals</w:t>
            </w:r>
          </w:p>
        </w:tc>
        <w:tc>
          <w:tcPr>
            <w:tcW w:w="220" w:type="dxa"/>
            <w:vAlign w:val="bottom"/>
            <w:tcBorders>
              <w:top w:val="single" w:sz="8" w:color="83AD40"/>
              <w:bottom w:val="single" w:sz="8" w:color="83AD40"/>
              <w:right w:val="single" w:sz="8" w:color="83AD40"/>
            </w:tcBorders>
          </w:tcPr>
          <w:p>
            <w:pPr>
              <w:ind w:left="60"/>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83AD40"/>
              <w:bottom w:val="single" w:sz="8" w:color="83AD40"/>
            </w:tcBorders>
          </w:tcPr>
          <w:p>
            <w:pPr>
              <w:ind w:left="160"/>
              <w:spacing w:after="0"/>
              <w:rPr>
                <w:sz w:val="20"/>
                <w:szCs w:val="20"/>
                <w:color w:val="auto"/>
              </w:rPr>
            </w:pPr>
            <w:r>
              <w:rPr>
                <w:rFonts w:ascii="Arial" w:cs="Arial" w:eastAsia="Arial" w:hAnsi="Arial"/>
                <w:sz w:val="14"/>
                <w:szCs w:val="14"/>
                <w:color w:val="auto"/>
              </w:rPr>
              <w:t>​</w:t>
            </w:r>
          </w:p>
        </w:tc>
        <w:tc>
          <w:tcPr>
            <w:tcW w:w="2600" w:type="dxa"/>
            <w:vAlign w:val="bottom"/>
            <w:tcBorders>
              <w:top w:val="single" w:sz="8" w:color="83AD40"/>
              <w:bottom w:val="single" w:sz="8" w:color="83AD40"/>
            </w:tcBorders>
          </w:tcPr>
          <w:p>
            <w:pPr>
              <w:ind w:left="760"/>
              <w:spacing w:after="0"/>
              <w:rPr>
                <w:sz w:val="20"/>
                <w:szCs w:val="20"/>
                <w:color w:val="auto"/>
              </w:rPr>
            </w:pPr>
            <w:r>
              <w:rPr>
                <w:rFonts w:ascii="Arial" w:cs="Arial" w:eastAsia="Arial" w:hAnsi="Arial"/>
                <w:sz w:val="14"/>
                <w:szCs w:val="14"/>
                <w:color w:val="auto"/>
              </w:rPr>
              <w:t>Operational Goals</w:t>
            </w:r>
          </w:p>
        </w:tc>
        <w:tc>
          <w:tcPr>
            <w:tcW w:w="100" w:type="dxa"/>
            <w:vAlign w:val="bottom"/>
            <w:tcBorders>
              <w:top w:val="single" w:sz="8" w:color="83AD40"/>
              <w:bottom w:val="single" w:sz="8" w:color="83AD40"/>
            </w:tcBorders>
          </w:tcPr>
          <w:p>
            <w:pPr>
              <w:spacing w:after="0"/>
              <w:rPr>
                <w:sz w:val="24"/>
                <w:szCs w:val="24"/>
                <w:color w:val="auto"/>
              </w:rPr>
            </w:pPr>
          </w:p>
        </w:tc>
        <w:tc>
          <w:tcPr>
            <w:tcW w:w="220" w:type="dxa"/>
            <w:vAlign w:val="bottom"/>
            <w:tcBorders>
              <w:top w:val="single" w:sz="8" w:color="83AD40"/>
              <w:bottom w:val="single" w:sz="8" w:color="83AD40"/>
              <w:right w:val="single" w:sz="8" w:color="83AD40"/>
            </w:tcBorders>
          </w:tcPr>
          <w:p>
            <w:pPr>
              <w:ind w:left="6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83AD40"/>
              <w:bottom w:val="single" w:sz="8" w:color="83AD40"/>
            </w:tcBorders>
          </w:tcPr>
          <w:p>
            <w:pPr>
              <w:spacing w:after="0"/>
              <w:rPr>
                <w:sz w:val="24"/>
                <w:szCs w:val="24"/>
                <w:color w:val="auto"/>
              </w:rPr>
            </w:pPr>
          </w:p>
        </w:tc>
        <w:tc>
          <w:tcPr>
            <w:tcW w:w="320" w:type="dxa"/>
            <w:vAlign w:val="bottom"/>
            <w:tcBorders>
              <w:top w:val="single" w:sz="8" w:color="83AD40"/>
              <w:bottom w:val="single" w:sz="8" w:color="83AD40"/>
            </w:tcBorders>
          </w:tcPr>
          <w:p>
            <w:pPr>
              <w:ind w:left="60"/>
              <w:spacing w:after="0"/>
              <w:rPr>
                <w:sz w:val="20"/>
                <w:szCs w:val="20"/>
                <w:color w:val="auto"/>
              </w:rPr>
            </w:pPr>
            <w:r>
              <w:rPr>
                <w:rFonts w:ascii="Arial" w:cs="Arial" w:eastAsia="Arial" w:hAnsi="Arial"/>
                <w:sz w:val="14"/>
                <w:szCs w:val="14"/>
                <w:color w:val="auto"/>
              </w:rPr>
              <w:t>​</w:t>
            </w:r>
          </w:p>
        </w:tc>
        <w:tc>
          <w:tcPr>
            <w:tcW w:w="2360" w:type="dxa"/>
            <w:vAlign w:val="bottom"/>
            <w:tcBorders>
              <w:top w:val="single" w:sz="8" w:color="83AD40"/>
              <w:bottom w:val="single" w:sz="8" w:color="83AD40"/>
            </w:tcBorders>
          </w:tcPr>
          <w:p>
            <w:pPr>
              <w:ind w:left="780"/>
              <w:spacing w:after="0"/>
              <w:rPr>
                <w:sz w:val="20"/>
                <w:szCs w:val="20"/>
                <w:color w:val="auto"/>
              </w:rPr>
            </w:pPr>
            <w:r>
              <w:rPr>
                <w:rFonts w:ascii="Arial" w:cs="Arial" w:eastAsia="Arial" w:hAnsi="Arial"/>
                <w:sz w:val="14"/>
                <w:szCs w:val="14"/>
                <w:color w:val="auto"/>
              </w:rPr>
              <w:t>Other Goals</w:t>
            </w:r>
          </w:p>
        </w:tc>
        <w:tc>
          <w:tcPr>
            <w:tcW w:w="200" w:type="dxa"/>
            <w:vAlign w:val="bottom"/>
            <w:tcBorders>
              <w:top w:val="single" w:sz="8" w:color="83AD40"/>
              <w:bottom w:val="single" w:sz="8" w:color="83AD40"/>
            </w:tcBorders>
          </w:tcPr>
          <w:p>
            <w:pPr>
              <w:ind w:lef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2680" w:type="dxa"/>
            <w:vAlign w:val="bottom"/>
            <w:gridSpan w:val="2"/>
          </w:tcPr>
          <w:p>
            <w:pPr>
              <w:spacing w:after="0" w:line="222"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 xml:space="preserve">• The continued outperformance of </w:t>
            </w:r>
            <w:r>
              <w:rPr>
                <w:rFonts w:ascii="Arial" w:cs="Arial" w:eastAsia="Arial" w:hAnsi="Arial"/>
                <w:sz w:val="25"/>
                <w:szCs w:val="25"/>
                <w:color w:val="auto"/>
                <w:vertAlign w:val="superscript"/>
              </w:rPr>
              <w:t>​</w:t>
            </w:r>
          </w:p>
        </w:tc>
        <w:tc>
          <w:tcPr>
            <w:tcW w:w="220" w:type="dxa"/>
            <w:vAlign w:val="bottom"/>
            <w:tcBorders>
              <w:right w:val="single" w:sz="8" w:color="83AD40"/>
            </w:tcBorders>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2600" w:type="dxa"/>
            <w:vAlign w:val="bottom"/>
          </w:tcPr>
          <w:p>
            <w:pPr>
              <w:ind w:left="40"/>
              <w:spacing w:after="0"/>
              <w:rPr>
                <w:sz w:val="20"/>
                <w:szCs w:val="20"/>
                <w:color w:val="auto"/>
              </w:rPr>
            </w:pPr>
            <w:r>
              <w:rPr>
                <w:rFonts w:ascii="Arial" w:cs="Arial" w:eastAsia="Arial" w:hAnsi="Arial"/>
                <w:sz w:val="16"/>
                <w:szCs w:val="16"/>
                <w:color w:val="auto"/>
              </w:rPr>
              <w:t>• Significantly exceeding our</w:t>
            </w: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83AD40"/>
            </w:tcBorders>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320" w:type="dxa"/>
            <w:vAlign w:val="bottom"/>
          </w:tcPr>
          <w:p>
            <w:pPr>
              <w:ind w:left="220"/>
              <w:spacing w:after="0"/>
              <w:rPr>
                <w:sz w:val="20"/>
                <w:szCs w:val="20"/>
                <w:color w:val="auto"/>
              </w:rPr>
            </w:pPr>
            <w:r>
              <w:rPr>
                <w:rFonts w:ascii="Arial" w:cs="Arial" w:eastAsia="Arial" w:hAnsi="Arial"/>
                <w:sz w:val="16"/>
                <w:szCs w:val="16"/>
                <w:color w:val="auto"/>
              </w:rPr>
              <w:t>•</w:t>
            </w:r>
          </w:p>
        </w:tc>
        <w:tc>
          <w:tcPr>
            <w:tcW w:w="2560" w:type="dxa"/>
            <w:vAlign w:val="bottom"/>
            <w:gridSpan w:val="2"/>
          </w:tcPr>
          <w:p>
            <w:pPr>
              <w:ind w:left="60"/>
              <w:spacing w:after="0" w:line="222" w:lineRule="exact"/>
              <w:rPr>
                <w:sz w:val="20"/>
                <w:szCs w:val="20"/>
                <w:color w:val="auto"/>
              </w:rPr>
            </w:pPr>
            <w:r>
              <w:rPr>
                <w:rFonts w:ascii="Arial" w:cs="Arial" w:eastAsia="Arial" w:hAnsi="Arial"/>
                <w:sz w:val="14"/>
                <w:szCs w:val="14"/>
                <w:color w:val="auto"/>
              </w:rPr>
              <w:t xml:space="preserve">Launched $1 billion opportunistic </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2580" w:type="dxa"/>
            <w:vAlign w:val="bottom"/>
          </w:tcPr>
          <w:p>
            <w:pPr>
              <w:ind w:left="100"/>
              <w:spacing w:after="0"/>
              <w:rPr>
                <w:sz w:val="20"/>
                <w:szCs w:val="20"/>
                <w:color w:val="auto"/>
              </w:rPr>
            </w:pPr>
            <w:r>
              <w:rPr>
                <w:rFonts w:ascii="Arial" w:cs="Arial" w:eastAsia="Arial" w:hAnsi="Arial"/>
                <w:sz w:val="16"/>
                <w:szCs w:val="16"/>
                <w:color w:val="auto"/>
              </w:rPr>
              <w:t>our platform, where we delivered:</w:t>
            </w:r>
          </w:p>
        </w:tc>
        <w:tc>
          <w:tcPr>
            <w:tcW w:w="220" w:type="dxa"/>
            <w:vAlign w:val="bottom"/>
            <w:tcBorders>
              <w:right w:val="single" w:sz="8" w:color="83AD40"/>
            </w:tcBorders>
          </w:tcPr>
          <w:p>
            <w:pPr>
              <w:spacing w:after="0"/>
              <w:rPr>
                <w:sz w:val="17"/>
                <w:szCs w:val="17"/>
                <w:color w:val="auto"/>
              </w:rPr>
            </w:pPr>
          </w:p>
        </w:tc>
        <w:tc>
          <w:tcPr>
            <w:tcW w:w="260" w:type="dxa"/>
            <w:vAlign w:val="bottom"/>
          </w:tcPr>
          <w:p>
            <w:pPr>
              <w:spacing w:after="0"/>
              <w:rPr>
                <w:sz w:val="17"/>
                <w:szCs w:val="17"/>
                <w:color w:val="auto"/>
              </w:rPr>
            </w:pPr>
          </w:p>
        </w:tc>
        <w:tc>
          <w:tcPr>
            <w:tcW w:w="2600" w:type="dxa"/>
            <w:vAlign w:val="bottom"/>
          </w:tcPr>
          <w:p>
            <w:pPr>
              <w:ind w:left="220"/>
              <w:spacing w:after="0"/>
              <w:rPr>
                <w:sz w:val="20"/>
                <w:szCs w:val="20"/>
                <w:color w:val="auto"/>
              </w:rPr>
            </w:pPr>
            <w:r>
              <w:rPr>
                <w:rFonts w:ascii="Arial" w:cs="Arial" w:eastAsia="Arial" w:hAnsi="Arial"/>
                <w:sz w:val="16"/>
                <w:szCs w:val="16"/>
                <w:color w:val="auto"/>
              </w:rPr>
              <w:t>leasing objectives, where we</w:t>
            </w:r>
          </w:p>
        </w:tc>
        <w:tc>
          <w:tcPr>
            <w:tcW w:w="100" w:type="dxa"/>
            <w:vAlign w:val="bottom"/>
          </w:tcPr>
          <w:p>
            <w:pPr>
              <w:spacing w:after="0"/>
              <w:rPr>
                <w:sz w:val="17"/>
                <w:szCs w:val="17"/>
                <w:color w:val="auto"/>
              </w:rPr>
            </w:pPr>
          </w:p>
        </w:tc>
        <w:tc>
          <w:tcPr>
            <w:tcW w:w="220" w:type="dxa"/>
            <w:vAlign w:val="bottom"/>
            <w:tcBorders>
              <w:right w:val="single" w:sz="8" w:color="83AD40"/>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60" w:type="dxa"/>
            <w:vAlign w:val="bottom"/>
          </w:tcPr>
          <w:p>
            <w:pPr>
              <w:ind w:left="60"/>
              <w:spacing w:after="0"/>
              <w:rPr>
                <w:sz w:val="20"/>
                <w:szCs w:val="20"/>
                <w:color w:val="auto"/>
              </w:rPr>
            </w:pPr>
            <w:r>
              <w:rPr>
                <w:rFonts w:ascii="Arial" w:cs="Arial" w:eastAsia="Arial" w:hAnsi="Arial"/>
                <w:sz w:val="16"/>
                <w:szCs w:val="16"/>
                <w:color w:val="auto"/>
              </w:rPr>
              <w:t>debt fund</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2580" w:type="dxa"/>
            <w:vAlign w:val="bottom"/>
            <w:vMerge w:val="restart"/>
          </w:tcPr>
          <w:p>
            <w:pPr>
              <w:ind w:left="100"/>
              <w:spacing w:after="0"/>
              <w:rPr>
                <w:sz w:val="20"/>
                <w:szCs w:val="20"/>
                <w:color w:val="auto"/>
              </w:rPr>
            </w:pPr>
            <w:r>
              <w:rPr>
                <w:rFonts w:ascii="Arial" w:cs="Arial" w:eastAsia="Arial" w:hAnsi="Arial"/>
                <w:sz w:val="16"/>
                <w:szCs w:val="16"/>
                <w:color w:val="auto"/>
              </w:rPr>
              <w:t xml:space="preserve">• Total return of </w:t>
            </w:r>
            <w:r>
              <w:rPr>
                <w:rFonts w:ascii="Arial" w:cs="Arial" w:eastAsia="Arial" w:hAnsi="Arial"/>
                <w:sz w:val="16"/>
                <w:szCs w:val="16"/>
                <w:b w:val="1"/>
                <w:bCs w:val="1"/>
                <w:color w:val="auto"/>
              </w:rPr>
              <w:t>58%</w:t>
            </w:r>
            <w:r>
              <w:rPr>
                <w:rFonts w:ascii="Arial" w:cs="Arial" w:eastAsia="Arial" w:hAnsi="Arial"/>
                <w:sz w:val="16"/>
                <w:szCs w:val="16"/>
                <w:color w:val="auto"/>
              </w:rPr>
              <w:t xml:space="preserve"> on an</w:t>
            </w:r>
          </w:p>
        </w:tc>
        <w:tc>
          <w:tcPr>
            <w:tcW w:w="220" w:type="dxa"/>
            <w:vAlign w:val="bottom"/>
            <w:tcBorders>
              <w:right w:val="single" w:sz="8" w:color="83AD40"/>
            </w:tcBorders>
          </w:tcPr>
          <w:p>
            <w:pPr>
              <w:spacing w:after="0"/>
              <w:rPr>
                <w:sz w:val="18"/>
                <w:szCs w:val="18"/>
                <w:color w:val="auto"/>
              </w:rPr>
            </w:pPr>
          </w:p>
        </w:tc>
        <w:tc>
          <w:tcPr>
            <w:tcW w:w="260" w:type="dxa"/>
            <w:vAlign w:val="bottom"/>
          </w:tcPr>
          <w:p>
            <w:pPr>
              <w:spacing w:after="0"/>
              <w:rPr>
                <w:sz w:val="18"/>
                <w:szCs w:val="18"/>
                <w:color w:val="auto"/>
              </w:rPr>
            </w:pPr>
          </w:p>
        </w:tc>
        <w:tc>
          <w:tcPr>
            <w:tcW w:w="2600" w:type="dxa"/>
            <w:vAlign w:val="bottom"/>
          </w:tcPr>
          <w:p>
            <w:pPr>
              <w:ind w:left="220"/>
              <w:spacing w:after="0"/>
              <w:rPr>
                <w:sz w:val="20"/>
                <w:szCs w:val="20"/>
                <w:color w:val="auto"/>
              </w:rPr>
            </w:pPr>
            <w:r>
              <w:rPr>
                <w:rFonts w:ascii="Arial" w:cs="Arial" w:eastAsia="Arial" w:hAnsi="Arial"/>
                <w:sz w:val="16"/>
                <w:szCs w:val="16"/>
                <w:color w:val="auto"/>
              </w:rPr>
              <w:t>achieved:</w:t>
            </w:r>
          </w:p>
        </w:tc>
        <w:tc>
          <w:tcPr>
            <w:tcW w:w="100" w:type="dxa"/>
            <w:vAlign w:val="bottom"/>
          </w:tcPr>
          <w:p>
            <w:pPr>
              <w:spacing w:after="0"/>
              <w:rPr>
                <w:sz w:val="18"/>
                <w:szCs w:val="18"/>
                <w:color w:val="auto"/>
              </w:rPr>
            </w:pPr>
          </w:p>
        </w:tc>
        <w:tc>
          <w:tcPr>
            <w:tcW w:w="220" w:type="dxa"/>
            <w:vAlign w:val="bottom"/>
            <w:tcBorders>
              <w:right w:val="single" w:sz="8" w:color="83AD40"/>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vMerge w:val="restart"/>
          </w:tcPr>
          <w:p>
            <w:pPr>
              <w:ind w:left="220"/>
              <w:spacing w:after="0"/>
              <w:rPr>
                <w:sz w:val="20"/>
                <w:szCs w:val="20"/>
                <w:color w:val="auto"/>
              </w:rPr>
            </w:pPr>
            <w:r>
              <w:rPr>
                <w:rFonts w:ascii="Arial" w:cs="Arial" w:eastAsia="Arial" w:hAnsi="Arial"/>
                <w:sz w:val="16"/>
                <w:szCs w:val="16"/>
                <w:color w:val="auto"/>
              </w:rPr>
              <w:t>•</w:t>
            </w:r>
          </w:p>
        </w:tc>
        <w:tc>
          <w:tcPr>
            <w:tcW w:w="2360" w:type="dxa"/>
            <w:vAlign w:val="bottom"/>
            <w:vMerge w:val="restart"/>
          </w:tcPr>
          <w:p>
            <w:pPr>
              <w:ind w:left="60"/>
              <w:spacing w:after="0"/>
              <w:rPr>
                <w:sz w:val="20"/>
                <w:szCs w:val="20"/>
                <w:color w:val="auto"/>
              </w:rPr>
            </w:pPr>
            <w:r>
              <w:rPr>
                <w:rFonts w:ascii="Arial" w:cs="Arial" w:eastAsia="Arial" w:hAnsi="Arial"/>
                <w:sz w:val="16"/>
                <w:szCs w:val="16"/>
                <w:color w:val="auto"/>
                <w:w w:val="99"/>
              </w:rPr>
              <w:t>Launched residential conversion</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100" w:type="dxa"/>
            <w:vAlign w:val="bottom"/>
          </w:tcPr>
          <w:p>
            <w:pPr>
              <w:spacing w:after="0"/>
              <w:rPr>
                <w:sz w:val="10"/>
                <w:szCs w:val="10"/>
                <w:color w:val="auto"/>
              </w:rPr>
            </w:pPr>
          </w:p>
        </w:tc>
        <w:tc>
          <w:tcPr>
            <w:tcW w:w="2580" w:type="dxa"/>
            <w:vAlign w:val="bottom"/>
            <w:vMerge w:val="continue"/>
          </w:tcPr>
          <w:p>
            <w:pPr>
              <w:spacing w:after="0"/>
              <w:rPr>
                <w:sz w:val="10"/>
                <w:szCs w:val="10"/>
                <w:color w:val="auto"/>
              </w:rPr>
            </w:pPr>
          </w:p>
        </w:tc>
        <w:tc>
          <w:tcPr>
            <w:tcW w:w="220" w:type="dxa"/>
            <w:vAlign w:val="bottom"/>
            <w:tcBorders>
              <w:right w:val="single" w:sz="8" w:color="83AD40"/>
            </w:tcBorders>
          </w:tcPr>
          <w:p>
            <w:pPr>
              <w:spacing w:after="0"/>
              <w:rPr>
                <w:sz w:val="10"/>
                <w:szCs w:val="10"/>
                <w:color w:val="auto"/>
              </w:rPr>
            </w:pPr>
          </w:p>
        </w:tc>
        <w:tc>
          <w:tcPr>
            <w:tcW w:w="26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right w:val="single" w:sz="8" w:color="83AD40"/>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23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2580" w:type="dxa"/>
            <w:vAlign w:val="bottom"/>
          </w:tcPr>
          <w:p>
            <w:pPr>
              <w:ind w:left="260"/>
              <w:spacing w:after="0"/>
              <w:rPr>
                <w:sz w:val="20"/>
                <w:szCs w:val="20"/>
                <w:color w:val="auto"/>
              </w:rPr>
            </w:pPr>
            <w:r>
              <w:rPr>
                <w:rFonts w:ascii="Arial" w:cs="Arial" w:eastAsia="Arial" w:hAnsi="Arial"/>
                <w:sz w:val="16"/>
                <w:szCs w:val="16"/>
                <w:color w:val="auto"/>
              </w:rPr>
              <w:t>absolute basis (over 5x our</w:t>
            </w:r>
          </w:p>
        </w:tc>
        <w:tc>
          <w:tcPr>
            <w:tcW w:w="220" w:type="dxa"/>
            <w:vAlign w:val="bottom"/>
            <w:tcBorders>
              <w:right w:val="single" w:sz="8" w:color="83AD40"/>
            </w:tcBorders>
          </w:tcPr>
          <w:p>
            <w:pPr>
              <w:spacing w:after="0"/>
              <w:rPr>
                <w:sz w:val="17"/>
                <w:szCs w:val="17"/>
                <w:color w:val="auto"/>
              </w:rPr>
            </w:pPr>
          </w:p>
        </w:tc>
        <w:tc>
          <w:tcPr>
            <w:tcW w:w="260" w:type="dxa"/>
            <w:vAlign w:val="bottom"/>
          </w:tcPr>
          <w:p>
            <w:pPr>
              <w:spacing w:after="0"/>
              <w:rPr>
                <w:sz w:val="17"/>
                <w:szCs w:val="17"/>
                <w:color w:val="auto"/>
              </w:rPr>
            </w:pPr>
          </w:p>
        </w:tc>
        <w:tc>
          <w:tcPr>
            <w:tcW w:w="2600" w:type="dxa"/>
            <w:vAlign w:val="bottom"/>
          </w:tcPr>
          <w:p>
            <w:pPr>
              <w:ind w:left="22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Over 3.5M square feet of</w:t>
            </w:r>
          </w:p>
        </w:tc>
        <w:tc>
          <w:tcPr>
            <w:tcW w:w="100" w:type="dxa"/>
            <w:vAlign w:val="bottom"/>
          </w:tcPr>
          <w:p>
            <w:pPr>
              <w:spacing w:after="0"/>
              <w:rPr>
                <w:sz w:val="17"/>
                <w:szCs w:val="17"/>
                <w:color w:val="auto"/>
              </w:rPr>
            </w:pPr>
          </w:p>
        </w:tc>
        <w:tc>
          <w:tcPr>
            <w:tcW w:w="220" w:type="dxa"/>
            <w:vAlign w:val="bottom"/>
            <w:tcBorders>
              <w:right w:val="single" w:sz="8" w:color="83AD40"/>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60" w:type="dxa"/>
            <w:vAlign w:val="bottom"/>
          </w:tcPr>
          <w:p>
            <w:pPr>
              <w:ind w:left="60"/>
              <w:spacing w:after="0"/>
              <w:rPr>
                <w:sz w:val="20"/>
                <w:szCs w:val="20"/>
                <w:color w:val="auto"/>
              </w:rPr>
            </w:pPr>
            <w:r>
              <w:rPr>
                <w:rFonts w:ascii="Arial" w:cs="Arial" w:eastAsia="Arial" w:hAnsi="Arial"/>
                <w:sz w:val="16"/>
                <w:szCs w:val="16"/>
                <w:color w:val="auto"/>
              </w:rPr>
              <w:t>at 750 Third</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2580" w:type="dxa"/>
            <w:vAlign w:val="bottom"/>
          </w:tcPr>
          <w:p>
            <w:pPr>
              <w:ind w:left="260"/>
              <w:spacing w:after="0"/>
              <w:rPr>
                <w:sz w:val="20"/>
                <w:szCs w:val="20"/>
                <w:color w:val="auto"/>
              </w:rPr>
            </w:pPr>
            <w:r>
              <w:rPr>
                <w:rFonts w:ascii="Arial" w:cs="Arial" w:eastAsia="Arial" w:hAnsi="Arial"/>
                <w:sz w:val="16"/>
                <w:szCs w:val="16"/>
                <w:color w:val="auto"/>
              </w:rPr>
              <w:t>stated goal)</w:t>
            </w:r>
          </w:p>
        </w:tc>
        <w:tc>
          <w:tcPr>
            <w:tcW w:w="220" w:type="dxa"/>
            <w:vAlign w:val="bottom"/>
            <w:tcBorders>
              <w:right w:val="single" w:sz="8" w:color="83AD40"/>
            </w:tcBorders>
          </w:tcPr>
          <w:p>
            <w:pPr>
              <w:spacing w:after="0"/>
              <w:rPr>
                <w:sz w:val="17"/>
                <w:szCs w:val="17"/>
                <w:color w:val="auto"/>
              </w:rPr>
            </w:pPr>
          </w:p>
        </w:tc>
        <w:tc>
          <w:tcPr>
            <w:tcW w:w="260" w:type="dxa"/>
            <w:vAlign w:val="bottom"/>
          </w:tcPr>
          <w:p>
            <w:pPr>
              <w:spacing w:after="0"/>
              <w:rPr>
                <w:sz w:val="17"/>
                <w:szCs w:val="17"/>
                <w:color w:val="auto"/>
              </w:rPr>
            </w:pPr>
          </w:p>
        </w:tc>
        <w:tc>
          <w:tcPr>
            <w:tcW w:w="2600" w:type="dxa"/>
            <w:vAlign w:val="bottom"/>
          </w:tcPr>
          <w:p>
            <w:pPr>
              <w:ind w:left="380"/>
              <w:spacing w:after="0"/>
              <w:rPr>
                <w:sz w:val="20"/>
                <w:szCs w:val="20"/>
                <w:color w:val="auto"/>
              </w:rPr>
            </w:pPr>
            <w:r>
              <w:rPr>
                <w:rFonts w:ascii="Arial" w:cs="Arial" w:eastAsia="Arial" w:hAnsi="Arial"/>
                <w:sz w:val="16"/>
                <w:szCs w:val="16"/>
                <w:b w:val="1"/>
                <w:bCs w:val="1"/>
                <w:color w:val="auto"/>
              </w:rPr>
              <w:t xml:space="preserve">signed </w:t>
            </w:r>
            <w:r>
              <w:rPr>
                <w:rFonts w:ascii="Arial" w:cs="Arial" w:eastAsia="Arial" w:hAnsi="Arial"/>
                <w:sz w:val="16"/>
                <w:szCs w:val="16"/>
                <w:color w:val="auto"/>
              </w:rPr>
              <w:t>leases (nearly double</w:t>
            </w:r>
          </w:p>
        </w:tc>
        <w:tc>
          <w:tcPr>
            <w:tcW w:w="100" w:type="dxa"/>
            <w:vAlign w:val="bottom"/>
          </w:tcPr>
          <w:p>
            <w:pPr>
              <w:spacing w:after="0"/>
              <w:rPr>
                <w:sz w:val="17"/>
                <w:szCs w:val="17"/>
                <w:color w:val="auto"/>
              </w:rPr>
            </w:pPr>
          </w:p>
        </w:tc>
        <w:tc>
          <w:tcPr>
            <w:tcW w:w="220" w:type="dxa"/>
            <w:vAlign w:val="bottom"/>
            <w:tcBorders>
              <w:right w:val="single" w:sz="8" w:color="83AD40"/>
            </w:tcBorders>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gridSpan w:val="2"/>
            <w:vMerge w:val="restart"/>
          </w:tcPr>
          <w:p>
            <w:pPr>
              <w:ind w:left="220"/>
              <w:spacing w:after="0"/>
              <w:rPr>
                <w:sz w:val="20"/>
                <w:szCs w:val="20"/>
                <w:color w:val="auto"/>
              </w:rPr>
            </w:pPr>
            <w:r>
              <w:rPr>
                <w:rFonts w:ascii="Arial" w:cs="Arial" w:eastAsia="Arial" w:hAnsi="Arial"/>
                <w:sz w:val="16"/>
                <w:szCs w:val="16"/>
                <w:color w:val="auto"/>
              </w:rPr>
              <w:t>• Sold all Georgio Armani</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220" w:type="dxa"/>
            <w:vAlign w:val="bottom"/>
            <w:tcBorders>
              <w:right w:val="single" w:sz="8" w:color="83AD40"/>
            </w:tcBorders>
          </w:tcPr>
          <w:p>
            <w:pPr>
              <w:spacing w:after="0"/>
              <w:rPr>
                <w:sz w:val="11"/>
                <w:szCs w:val="11"/>
                <w:color w:val="auto"/>
              </w:rPr>
            </w:pPr>
          </w:p>
        </w:tc>
        <w:tc>
          <w:tcPr>
            <w:tcW w:w="260" w:type="dxa"/>
            <w:vAlign w:val="bottom"/>
          </w:tcPr>
          <w:p>
            <w:pPr>
              <w:spacing w:after="0"/>
              <w:rPr>
                <w:sz w:val="11"/>
                <w:szCs w:val="11"/>
                <w:color w:val="auto"/>
              </w:rPr>
            </w:pPr>
          </w:p>
        </w:tc>
        <w:tc>
          <w:tcPr>
            <w:tcW w:w="2600" w:type="dxa"/>
            <w:vAlign w:val="bottom"/>
            <w:vMerge w:val="restart"/>
          </w:tcPr>
          <w:p>
            <w:pPr>
              <w:ind w:left="380"/>
              <w:spacing w:after="0"/>
              <w:rPr>
                <w:sz w:val="20"/>
                <w:szCs w:val="20"/>
                <w:color w:val="auto"/>
              </w:rPr>
            </w:pPr>
            <w:r>
              <w:rPr>
                <w:rFonts w:ascii="Arial" w:cs="Arial" w:eastAsia="Arial" w:hAnsi="Arial"/>
                <w:sz w:val="16"/>
                <w:szCs w:val="16"/>
                <w:color w:val="auto"/>
              </w:rPr>
              <w:t>our stated goal of 2.0M square</w:t>
            </w:r>
          </w:p>
        </w:tc>
        <w:tc>
          <w:tcPr>
            <w:tcW w:w="100" w:type="dxa"/>
            <w:vAlign w:val="bottom"/>
          </w:tcPr>
          <w:p>
            <w:pPr>
              <w:spacing w:after="0"/>
              <w:rPr>
                <w:sz w:val="11"/>
                <w:szCs w:val="11"/>
                <w:color w:val="auto"/>
              </w:rPr>
            </w:pPr>
          </w:p>
        </w:tc>
        <w:tc>
          <w:tcPr>
            <w:tcW w:w="220" w:type="dxa"/>
            <w:vAlign w:val="bottom"/>
            <w:tcBorders>
              <w:right w:val="single" w:sz="8" w:color="83AD40"/>
            </w:tcBorders>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00" w:type="dxa"/>
            <w:vAlign w:val="bottom"/>
          </w:tcPr>
          <w:p>
            <w:pPr>
              <w:spacing w:after="0"/>
              <w:rPr>
                <w:sz w:val="4"/>
                <w:szCs w:val="4"/>
                <w:color w:val="auto"/>
              </w:rPr>
            </w:pPr>
          </w:p>
        </w:tc>
        <w:tc>
          <w:tcPr>
            <w:tcW w:w="2580" w:type="dxa"/>
            <w:vAlign w:val="bottom"/>
            <w:vMerge w:val="restart"/>
          </w:tcPr>
          <w:p>
            <w:pPr>
              <w:ind w:left="100"/>
              <w:spacing w:after="0"/>
              <w:rPr>
                <w:sz w:val="20"/>
                <w:szCs w:val="20"/>
                <w:color w:val="auto"/>
              </w:rPr>
            </w:pPr>
            <w:r>
              <w:rPr>
                <w:rFonts w:ascii="Arial" w:cs="Arial" w:eastAsia="Arial" w:hAnsi="Arial"/>
                <w:sz w:val="16"/>
                <w:szCs w:val="16"/>
                <w:color w:val="auto"/>
              </w:rPr>
              <w:t xml:space="preserve">• Relative return of </w:t>
            </w:r>
            <w:r>
              <w:rPr>
                <w:rFonts w:ascii="Arial" w:cs="Arial" w:eastAsia="Arial" w:hAnsi="Arial"/>
                <w:sz w:val="16"/>
                <w:szCs w:val="16"/>
                <w:b w:val="1"/>
                <w:bCs w:val="1"/>
                <w:color w:val="auto"/>
              </w:rPr>
              <w:t>nearly 5,400</w:t>
            </w:r>
          </w:p>
        </w:tc>
        <w:tc>
          <w:tcPr>
            <w:tcW w:w="220" w:type="dxa"/>
            <w:vAlign w:val="bottom"/>
            <w:tcBorders>
              <w:right w:val="single" w:sz="8" w:color="83AD40"/>
            </w:tcBorders>
          </w:tcPr>
          <w:p>
            <w:pPr>
              <w:spacing w:after="0"/>
              <w:rPr>
                <w:sz w:val="4"/>
                <w:szCs w:val="4"/>
                <w:color w:val="auto"/>
              </w:rPr>
            </w:pPr>
          </w:p>
        </w:tc>
        <w:tc>
          <w:tcPr>
            <w:tcW w:w="260" w:type="dxa"/>
            <w:vAlign w:val="bottom"/>
          </w:tcPr>
          <w:p>
            <w:pPr>
              <w:spacing w:after="0"/>
              <w:rPr>
                <w:sz w:val="4"/>
                <w:szCs w:val="4"/>
                <w:color w:val="auto"/>
              </w:rPr>
            </w:pPr>
          </w:p>
        </w:tc>
        <w:tc>
          <w:tcPr>
            <w:tcW w:w="26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right w:val="single" w:sz="8" w:color="83AD40"/>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360" w:type="dxa"/>
            <w:vAlign w:val="bottom"/>
            <w:vMerge w:val="restart"/>
          </w:tcPr>
          <w:p>
            <w:pPr>
              <w:ind w:left="60"/>
              <w:spacing w:after="0"/>
              <w:rPr>
                <w:sz w:val="20"/>
                <w:szCs w:val="20"/>
                <w:color w:val="auto"/>
              </w:rPr>
            </w:pPr>
            <w:r>
              <w:rPr>
                <w:rFonts w:ascii="Arial" w:cs="Arial" w:eastAsia="Arial" w:hAnsi="Arial"/>
                <w:sz w:val="16"/>
                <w:szCs w:val="16"/>
                <w:color w:val="auto"/>
              </w:rPr>
              <w:t>Residences at 760 Madison</w:t>
            </w: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2580" w:type="dxa"/>
            <w:vAlign w:val="bottom"/>
            <w:vMerge w:val="continue"/>
          </w:tcPr>
          <w:p>
            <w:pPr>
              <w:spacing w:after="0"/>
              <w:rPr>
                <w:sz w:val="14"/>
                <w:szCs w:val="14"/>
                <w:color w:val="auto"/>
              </w:rPr>
            </w:pPr>
          </w:p>
        </w:tc>
        <w:tc>
          <w:tcPr>
            <w:tcW w:w="220" w:type="dxa"/>
            <w:vAlign w:val="bottom"/>
            <w:tcBorders>
              <w:right w:val="single" w:sz="8" w:color="83AD40"/>
            </w:tcBorders>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tcPr>
          <w:p>
            <w:pPr>
              <w:ind w:left="380"/>
              <w:spacing w:after="0" w:line="163" w:lineRule="exact"/>
              <w:rPr>
                <w:sz w:val="20"/>
                <w:szCs w:val="20"/>
                <w:color w:val="auto"/>
              </w:rPr>
            </w:pPr>
            <w:r>
              <w:rPr>
                <w:rFonts w:ascii="Arial" w:cs="Arial" w:eastAsia="Arial" w:hAnsi="Arial"/>
                <w:sz w:val="16"/>
                <w:szCs w:val="16"/>
                <w:color w:val="auto"/>
              </w:rPr>
              <w:t>feet)</w:t>
            </w:r>
          </w:p>
        </w:tc>
        <w:tc>
          <w:tcPr>
            <w:tcW w:w="100" w:type="dxa"/>
            <w:vAlign w:val="bottom"/>
          </w:tcPr>
          <w:p>
            <w:pPr>
              <w:spacing w:after="0"/>
              <w:rPr>
                <w:sz w:val="14"/>
                <w:szCs w:val="14"/>
                <w:color w:val="auto"/>
              </w:rPr>
            </w:pPr>
          </w:p>
        </w:tc>
        <w:tc>
          <w:tcPr>
            <w:tcW w:w="220" w:type="dxa"/>
            <w:vAlign w:val="bottom"/>
            <w:tcBorders>
              <w:right w:val="single" w:sz="8" w:color="83AD40"/>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2580" w:type="dxa"/>
            <w:vAlign w:val="bottom"/>
          </w:tcPr>
          <w:p>
            <w:pPr>
              <w:ind w:left="260"/>
              <w:spacing w:after="0" w:line="175" w:lineRule="exact"/>
              <w:rPr>
                <w:sz w:val="20"/>
                <w:szCs w:val="20"/>
                <w:color w:val="auto"/>
              </w:rPr>
            </w:pPr>
            <w:r>
              <w:rPr>
                <w:rFonts w:ascii="Arial" w:cs="Arial" w:eastAsia="Arial" w:hAnsi="Arial"/>
                <w:sz w:val="16"/>
                <w:szCs w:val="16"/>
                <w:b w:val="1"/>
                <w:bCs w:val="1"/>
                <w:color w:val="auto"/>
              </w:rPr>
              <w:t xml:space="preserve">basis points </w:t>
            </w:r>
            <w:r>
              <w:rPr>
                <w:rFonts w:ascii="Arial" w:cs="Arial" w:eastAsia="Arial" w:hAnsi="Arial"/>
                <w:sz w:val="16"/>
                <w:szCs w:val="16"/>
                <w:color w:val="auto"/>
              </w:rPr>
              <w:t>in excess of the</w:t>
            </w:r>
          </w:p>
        </w:tc>
        <w:tc>
          <w:tcPr>
            <w:tcW w:w="220" w:type="dxa"/>
            <w:vAlign w:val="bottom"/>
            <w:tcBorders>
              <w:right w:val="single" w:sz="8" w:color="83AD40"/>
            </w:tcBorders>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right w:val="single" w:sz="8" w:color="83AD40"/>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60" w:type="dxa"/>
            <w:vAlign w:val="bottom"/>
          </w:tcPr>
          <w:p>
            <w:pPr>
              <w:ind w:left="60"/>
              <w:spacing w:after="0" w:line="175" w:lineRule="exact"/>
              <w:rPr>
                <w:sz w:val="20"/>
                <w:szCs w:val="20"/>
                <w:color w:val="auto"/>
              </w:rPr>
            </w:pPr>
            <w:r>
              <w:rPr>
                <w:rFonts w:ascii="Arial" w:cs="Arial" w:eastAsia="Arial" w:hAnsi="Arial"/>
                <w:sz w:val="16"/>
                <w:szCs w:val="16"/>
                <w:color w:val="auto"/>
              </w:rPr>
              <w:t>Avenue</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2580" w:type="dxa"/>
            <w:vAlign w:val="bottom"/>
          </w:tcPr>
          <w:p>
            <w:pPr>
              <w:ind w:left="260"/>
              <w:spacing w:after="0"/>
              <w:rPr>
                <w:sz w:val="20"/>
                <w:szCs w:val="20"/>
                <w:color w:val="auto"/>
              </w:rPr>
            </w:pPr>
            <w:r>
              <w:rPr>
                <w:rFonts w:ascii="Arial" w:cs="Arial" w:eastAsia="Arial" w:hAnsi="Arial"/>
                <w:sz w:val="16"/>
                <w:szCs w:val="16"/>
                <w:color w:val="auto"/>
              </w:rPr>
              <w:t>Dow Jones U.S. Real Estate</w:t>
            </w:r>
          </w:p>
        </w:tc>
        <w:tc>
          <w:tcPr>
            <w:tcW w:w="220" w:type="dxa"/>
            <w:vAlign w:val="bottom"/>
            <w:tcBorders>
              <w:right w:val="single" w:sz="8" w:color="83AD40"/>
            </w:tcBorders>
          </w:tcPr>
          <w:p>
            <w:pPr>
              <w:spacing w:after="0"/>
              <w:rPr>
                <w:sz w:val="17"/>
                <w:szCs w:val="17"/>
                <w:color w:val="auto"/>
              </w:rPr>
            </w:pPr>
          </w:p>
        </w:tc>
        <w:tc>
          <w:tcPr>
            <w:tcW w:w="260" w:type="dxa"/>
            <w:vAlign w:val="bottom"/>
          </w:tcPr>
          <w:p>
            <w:pPr>
              <w:spacing w:after="0"/>
              <w:rPr>
                <w:sz w:val="17"/>
                <w:szCs w:val="17"/>
                <w:color w:val="auto"/>
              </w:rPr>
            </w:pPr>
          </w:p>
        </w:tc>
        <w:tc>
          <w:tcPr>
            <w:tcW w:w="2600" w:type="dxa"/>
            <w:vAlign w:val="bottom"/>
          </w:tcPr>
          <w:p>
            <w:pPr>
              <w:ind w:left="22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8.5% mark-to-market</w:t>
            </w:r>
            <w:r>
              <w:rPr>
                <w:rFonts w:ascii="Arial" w:cs="Arial" w:eastAsia="Arial" w:hAnsi="Arial"/>
                <w:sz w:val="16"/>
                <w:szCs w:val="16"/>
                <w:color w:val="auto"/>
              </w:rPr>
              <w:t xml:space="preserve"> (more</w:t>
            </w:r>
          </w:p>
        </w:tc>
        <w:tc>
          <w:tcPr>
            <w:tcW w:w="100" w:type="dxa"/>
            <w:vAlign w:val="bottom"/>
          </w:tcPr>
          <w:p>
            <w:pPr>
              <w:spacing w:after="0"/>
              <w:rPr>
                <w:sz w:val="17"/>
                <w:szCs w:val="17"/>
                <w:color w:val="auto"/>
              </w:rPr>
            </w:pPr>
          </w:p>
        </w:tc>
        <w:tc>
          <w:tcPr>
            <w:tcW w:w="220" w:type="dxa"/>
            <w:vAlign w:val="bottom"/>
            <w:tcBorders>
              <w:right w:val="single" w:sz="8" w:color="83AD40"/>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vMerge w:val="restart"/>
          </w:tcPr>
          <w:p>
            <w:pPr>
              <w:ind w:left="220"/>
              <w:spacing w:after="0"/>
              <w:rPr>
                <w:sz w:val="20"/>
                <w:szCs w:val="20"/>
                <w:color w:val="auto"/>
              </w:rPr>
            </w:pPr>
            <w:r>
              <w:rPr>
                <w:rFonts w:ascii="Arial" w:cs="Arial" w:eastAsia="Arial" w:hAnsi="Arial"/>
                <w:sz w:val="16"/>
                <w:szCs w:val="16"/>
                <w:color w:val="auto"/>
              </w:rPr>
              <w:t>•</w:t>
            </w:r>
          </w:p>
        </w:tc>
        <w:tc>
          <w:tcPr>
            <w:tcW w:w="2360" w:type="dxa"/>
            <w:vAlign w:val="bottom"/>
            <w:vMerge w:val="restart"/>
          </w:tcPr>
          <w:p>
            <w:pPr>
              <w:ind w:left="60"/>
              <w:spacing w:after="0"/>
              <w:rPr>
                <w:sz w:val="20"/>
                <w:szCs w:val="20"/>
                <w:color w:val="auto"/>
              </w:rPr>
            </w:pPr>
            <w:r>
              <w:rPr>
                <w:rFonts w:ascii="Arial" w:cs="Arial" w:eastAsia="Arial" w:hAnsi="Arial"/>
                <w:sz w:val="16"/>
                <w:szCs w:val="16"/>
                <w:color w:val="auto"/>
              </w:rPr>
              <w:t>Advanced strategic initiatives,</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00" w:type="dxa"/>
            <w:vAlign w:val="bottom"/>
          </w:tcPr>
          <w:p>
            <w:pPr>
              <w:spacing w:after="0"/>
              <w:rPr>
                <w:sz w:val="13"/>
                <w:szCs w:val="13"/>
                <w:color w:val="auto"/>
              </w:rPr>
            </w:pPr>
          </w:p>
        </w:tc>
        <w:tc>
          <w:tcPr>
            <w:tcW w:w="2580" w:type="dxa"/>
            <w:vAlign w:val="bottom"/>
            <w:vMerge w:val="restart"/>
          </w:tcPr>
          <w:p>
            <w:pPr>
              <w:ind w:left="260"/>
              <w:spacing w:after="0"/>
              <w:rPr>
                <w:sz w:val="20"/>
                <w:szCs w:val="20"/>
                <w:color w:val="auto"/>
              </w:rPr>
            </w:pPr>
            <w:r>
              <w:rPr>
                <w:rFonts w:ascii="Arial" w:cs="Arial" w:eastAsia="Arial" w:hAnsi="Arial"/>
                <w:sz w:val="16"/>
                <w:szCs w:val="16"/>
                <w:color w:val="auto"/>
              </w:rPr>
              <w:t>Office Index (versus stated</w:t>
            </w:r>
          </w:p>
        </w:tc>
        <w:tc>
          <w:tcPr>
            <w:tcW w:w="220" w:type="dxa"/>
            <w:vAlign w:val="bottom"/>
            <w:tcBorders>
              <w:right w:val="single" w:sz="8" w:color="83AD40"/>
            </w:tcBorders>
          </w:tcPr>
          <w:p>
            <w:pPr>
              <w:spacing w:after="0"/>
              <w:rPr>
                <w:sz w:val="13"/>
                <w:szCs w:val="13"/>
                <w:color w:val="auto"/>
              </w:rPr>
            </w:pPr>
          </w:p>
        </w:tc>
        <w:tc>
          <w:tcPr>
            <w:tcW w:w="260" w:type="dxa"/>
            <w:vAlign w:val="bottom"/>
          </w:tcPr>
          <w:p>
            <w:pPr>
              <w:spacing w:after="0"/>
              <w:rPr>
                <w:sz w:val="13"/>
                <w:szCs w:val="13"/>
                <w:color w:val="auto"/>
              </w:rPr>
            </w:pPr>
          </w:p>
        </w:tc>
        <w:tc>
          <w:tcPr>
            <w:tcW w:w="2600" w:type="dxa"/>
            <w:vAlign w:val="bottom"/>
            <w:vMerge w:val="restart"/>
          </w:tcPr>
          <w:p>
            <w:pPr>
              <w:ind w:left="380"/>
              <w:spacing w:after="0"/>
              <w:rPr>
                <w:sz w:val="20"/>
                <w:szCs w:val="20"/>
                <w:color w:val="auto"/>
              </w:rPr>
            </w:pPr>
            <w:r>
              <w:rPr>
                <w:rFonts w:ascii="Arial" w:cs="Arial" w:eastAsia="Arial" w:hAnsi="Arial"/>
                <w:sz w:val="16"/>
                <w:szCs w:val="16"/>
                <w:color w:val="auto"/>
              </w:rPr>
              <w:t>than double the midpoint for</w:t>
            </w:r>
          </w:p>
        </w:tc>
        <w:tc>
          <w:tcPr>
            <w:tcW w:w="100" w:type="dxa"/>
            <w:vAlign w:val="bottom"/>
          </w:tcPr>
          <w:p>
            <w:pPr>
              <w:spacing w:after="0"/>
              <w:rPr>
                <w:sz w:val="13"/>
                <w:szCs w:val="13"/>
                <w:color w:val="auto"/>
              </w:rPr>
            </w:pPr>
          </w:p>
        </w:tc>
        <w:tc>
          <w:tcPr>
            <w:tcW w:w="220" w:type="dxa"/>
            <w:vAlign w:val="bottom"/>
            <w:tcBorders>
              <w:right w:val="single" w:sz="8" w:color="83AD40"/>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23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100" w:type="dxa"/>
            <w:vAlign w:val="bottom"/>
          </w:tcPr>
          <w:p>
            <w:pPr>
              <w:spacing w:after="0"/>
              <w:rPr>
                <w:sz w:val="3"/>
                <w:szCs w:val="3"/>
                <w:color w:val="auto"/>
              </w:rPr>
            </w:pPr>
          </w:p>
        </w:tc>
        <w:tc>
          <w:tcPr>
            <w:tcW w:w="2580" w:type="dxa"/>
            <w:vAlign w:val="bottom"/>
            <w:vMerge w:val="continue"/>
          </w:tcPr>
          <w:p>
            <w:pPr>
              <w:spacing w:after="0"/>
              <w:rPr>
                <w:sz w:val="3"/>
                <w:szCs w:val="3"/>
                <w:color w:val="auto"/>
              </w:rPr>
            </w:pPr>
          </w:p>
        </w:tc>
        <w:tc>
          <w:tcPr>
            <w:tcW w:w="220" w:type="dxa"/>
            <w:vAlign w:val="bottom"/>
            <w:tcBorders>
              <w:right w:val="single" w:sz="8" w:color="83AD40"/>
            </w:tcBorders>
          </w:tcPr>
          <w:p>
            <w:pPr>
              <w:spacing w:after="0"/>
              <w:rPr>
                <w:sz w:val="3"/>
                <w:szCs w:val="3"/>
                <w:color w:val="auto"/>
              </w:rPr>
            </w:pPr>
          </w:p>
        </w:tc>
        <w:tc>
          <w:tcPr>
            <w:tcW w:w="260" w:type="dxa"/>
            <w:vAlign w:val="bottom"/>
          </w:tcPr>
          <w:p>
            <w:pPr>
              <w:spacing w:after="0"/>
              <w:rPr>
                <w:sz w:val="3"/>
                <w:szCs w:val="3"/>
                <w:color w:val="auto"/>
              </w:rPr>
            </w:pPr>
          </w:p>
        </w:tc>
        <w:tc>
          <w:tcPr>
            <w:tcW w:w="26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right w:val="single" w:sz="8" w:color="83AD40"/>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360" w:type="dxa"/>
            <w:vAlign w:val="bottom"/>
            <w:vMerge w:val="restart"/>
          </w:tcPr>
          <w:p>
            <w:pPr>
              <w:ind w:left="60"/>
              <w:spacing w:after="0"/>
              <w:rPr>
                <w:sz w:val="20"/>
                <w:szCs w:val="20"/>
                <w:color w:val="auto"/>
              </w:rPr>
            </w:pPr>
            <w:r>
              <w:rPr>
                <w:rFonts w:ascii="Arial" w:cs="Arial" w:eastAsia="Arial" w:hAnsi="Arial"/>
                <w:sz w:val="16"/>
                <w:szCs w:val="16"/>
                <w:color w:val="auto"/>
              </w:rPr>
              <w:t xml:space="preserve">including: the </w:t>
            </w:r>
            <w:r>
              <w:rPr>
                <w:rFonts w:ascii="Arial" w:cs="Arial" w:eastAsia="Arial" w:hAnsi="Arial"/>
                <w:sz w:val="16"/>
                <w:szCs w:val="16"/>
                <w:b w:val="1"/>
                <w:bCs w:val="1"/>
                <w:color w:val="auto"/>
              </w:rPr>
              <w:t>lease-up of One</w:t>
            </w: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2580" w:type="dxa"/>
            <w:vAlign w:val="bottom"/>
          </w:tcPr>
          <w:p>
            <w:pPr>
              <w:ind w:left="260"/>
              <w:spacing w:after="0" w:line="163" w:lineRule="exact"/>
              <w:rPr>
                <w:sz w:val="20"/>
                <w:szCs w:val="20"/>
                <w:color w:val="auto"/>
              </w:rPr>
            </w:pPr>
            <w:r>
              <w:rPr>
                <w:rFonts w:ascii="Arial" w:cs="Arial" w:eastAsia="Arial" w:hAnsi="Arial"/>
                <w:sz w:val="16"/>
                <w:szCs w:val="16"/>
                <w:color w:val="auto"/>
              </w:rPr>
              <w:t>goal of 250 basis points)</w:t>
            </w:r>
          </w:p>
        </w:tc>
        <w:tc>
          <w:tcPr>
            <w:tcW w:w="220" w:type="dxa"/>
            <w:vAlign w:val="bottom"/>
            <w:tcBorders>
              <w:right w:val="single" w:sz="8" w:color="83AD40"/>
            </w:tcBorders>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tcPr>
          <w:p>
            <w:pPr>
              <w:ind w:left="380"/>
              <w:spacing w:after="0" w:line="163" w:lineRule="exact"/>
              <w:rPr>
                <w:sz w:val="20"/>
                <w:szCs w:val="20"/>
                <w:color w:val="auto"/>
              </w:rPr>
            </w:pPr>
            <w:r>
              <w:rPr>
                <w:rFonts w:ascii="Arial" w:cs="Arial" w:eastAsia="Arial" w:hAnsi="Arial"/>
                <w:sz w:val="16"/>
                <w:szCs w:val="16"/>
                <w:color w:val="auto"/>
              </w:rPr>
              <w:t>our goal of 2.5%—5.0%)</w:t>
            </w:r>
          </w:p>
        </w:tc>
        <w:tc>
          <w:tcPr>
            <w:tcW w:w="100" w:type="dxa"/>
            <w:vAlign w:val="bottom"/>
          </w:tcPr>
          <w:p>
            <w:pPr>
              <w:spacing w:after="0"/>
              <w:rPr>
                <w:sz w:val="14"/>
                <w:szCs w:val="14"/>
                <w:color w:val="auto"/>
              </w:rPr>
            </w:pPr>
          </w:p>
        </w:tc>
        <w:tc>
          <w:tcPr>
            <w:tcW w:w="220" w:type="dxa"/>
            <w:vAlign w:val="bottom"/>
            <w:tcBorders>
              <w:right w:val="single" w:sz="8" w:color="83AD40"/>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20" w:type="dxa"/>
            <w:vAlign w:val="bottom"/>
            <w:tcBorders>
              <w:right w:val="single" w:sz="8" w:color="83AD40"/>
            </w:tcBorders>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right w:val="single" w:sz="8" w:color="83AD40"/>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60" w:type="dxa"/>
            <w:vAlign w:val="bottom"/>
          </w:tcPr>
          <w:p>
            <w:pPr>
              <w:ind w:left="60"/>
              <w:spacing w:after="0" w:line="175" w:lineRule="exact"/>
              <w:rPr>
                <w:sz w:val="20"/>
                <w:szCs w:val="20"/>
                <w:color w:val="auto"/>
              </w:rPr>
            </w:pPr>
            <w:r>
              <w:rPr>
                <w:rFonts w:ascii="Arial" w:cs="Arial" w:eastAsia="Arial" w:hAnsi="Arial"/>
                <w:sz w:val="16"/>
                <w:szCs w:val="16"/>
                <w:b w:val="1"/>
                <w:bCs w:val="1"/>
                <w:color w:val="auto"/>
              </w:rPr>
              <w:t>Madison Avenue</w:t>
            </w: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20" w:type="dxa"/>
            <w:vAlign w:val="bottom"/>
            <w:tcBorders>
              <w:right w:val="single" w:sz="8" w:color="83AD40"/>
            </w:tcBorders>
          </w:tcPr>
          <w:p>
            <w:pPr>
              <w:spacing w:after="0"/>
              <w:rPr>
                <w:sz w:val="17"/>
                <w:szCs w:val="17"/>
                <w:color w:val="auto"/>
              </w:rPr>
            </w:pPr>
          </w:p>
        </w:tc>
        <w:tc>
          <w:tcPr>
            <w:tcW w:w="260" w:type="dxa"/>
            <w:vAlign w:val="bottom"/>
          </w:tcPr>
          <w:p>
            <w:pPr>
              <w:spacing w:after="0"/>
              <w:rPr>
                <w:sz w:val="17"/>
                <w:szCs w:val="17"/>
                <w:color w:val="auto"/>
              </w:rPr>
            </w:pPr>
          </w:p>
        </w:tc>
        <w:tc>
          <w:tcPr>
            <w:tcW w:w="2600" w:type="dxa"/>
            <w:vAlign w:val="bottom"/>
          </w:tcPr>
          <w:p>
            <w:pPr>
              <w:ind w:left="22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92.5% occupancy at year end</w:t>
            </w:r>
          </w:p>
        </w:tc>
        <w:tc>
          <w:tcPr>
            <w:tcW w:w="100" w:type="dxa"/>
            <w:vAlign w:val="bottom"/>
          </w:tcPr>
          <w:p>
            <w:pPr>
              <w:spacing w:after="0"/>
              <w:rPr>
                <w:sz w:val="17"/>
                <w:szCs w:val="17"/>
                <w:color w:val="auto"/>
              </w:rPr>
            </w:pPr>
          </w:p>
        </w:tc>
        <w:tc>
          <w:tcPr>
            <w:tcW w:w="220" w:type="dxa"/>
            <w:vAlign w:val="bottom"/>
            <w:tcBorders>
              <w:right w:val="single" w:sz="8" w:color="83AD40"/>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60" w:type="dxa"/>
            <w:vAlign w:val="bottom"/>
          </w:tcPr>
          <w:p>
            <w:pPr>
              <w:ind w:left="60"/>
              <w:spacing w:after="0"/>
              <w:rPr>
                <w:sz w:val="20"/>
                <w:szCs w:val="20"/>
                <w:color w:val="auto"/>
              </w:rPr>
            </w:pPr>
            <w:r>
              <w:rPr>
                <w:rFonts w:ascii="Arial" w:cs="Arial" w:eastAsia="Arial" w:hAnsi="Arial"/>
                <w:sz w:val="16"/>
                <w:szCs w:val="16"/>
                <w:color w:val="auto"/>
              </w:rPr>
              <w:t xml:space="preserve">announcement of an </w:t>
            </w:r>
            <w:r>
              <w:rPr>
                <w:rFonts w:ascii="Arial" w:cs="Arial" w:eastAsia="Arial" w:hAnsi="Arial"/>
                <w:sz w:val="16"/>
                <w:szCs w:val="16"/>
                <w:b w:val="1"/>
                <w:bCs w:val="1"/>
                <w:color w:val="auto"/>
              </w:rPr>
              <w:t>additional</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20" w:type="dxa"/>
            <w:vAlign w:val="bottom"/>
            <w:tcBorders>
              <w:right w:val="single" w:sz="8" w:color="83AD40"/>
            </w:tcBorders>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tcPr>
          <w:p>
            <w:pPr>
              <w:ind w:left="380"/>
              <w:spacing w:after="0"/>
              <w:rPr>
                <w:sz w:val="20"/>
                <w:szCs w:val="20"/>
                <w:color w:val="auto"/>
              </w:rPr>
            </w:pPr>
            <w:r>
              <w:rPr>
                <w:rFonts w:ascii="Arial" w:cs="Arial" w:eastAsia="Arial" w:hAnsi="Arial"/>
                <w:sz w:val="16"/>
                <w:szCs w:val="16"/>
                <w:color w:val="auto"/>
                <w:w w:val="98"/>
              </w:rPr>
              <w:t>(beating our goal of 91.6% by a</w:t>
            </w:r>
          </w:p>
        </w:tc>
        <w:tc>
          <w:tcPr>
            <w:tcW w:w="100" w:type="dxa"/>
            <w:vAlign w:val="bottom"/>
          </w:tcPr>
          <w:p>
            <w:pPr>
              <w:spacing w:after="0"/>
              <w:rPr>
                <w:sz w:val="16"/>
                <w:szCs w:val="16"/>
                <w:color w:val="auto"/>
              </w:rPr>
            </w:pPr>
          </w:p>
        </w:tc>
        <w:tc>
          <w:tcPr>
            <w:tcW w:w="220" w:type="dxa"/>
            <w:vAlign w:val="bottom"/>
            <w:tcBorders>
              <w:right w:val="single" w:sz="8" w:color="83AD40"/>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2"/>
          </w:tcPr>
          <w:p>
            <w:pPr>
              <w:ind w:left="60"/>
              <w:spacing w:after="0"/>
              <w:rPr>
                <w:sz w:val="20"/>
                <w:szCs w:val="20"/>
                <w:color w:val="auto"/>
              </w:rPr>
            </w:pPr>
            <w:r>
              <w:rPr>
                <w:rFonts w:ascii="Arial" w:cs="Arial" w:eastAsia="Arial" w:hAnsi="Arial"/>
                <w:sz w:val="16"/>
                <w:szCs w:val="16"/>
                <w:b w:val="1"/>
                <w:bCs w:val="1"/>
                <w:color w:val="auto"/>
              </w:rPr>
              <w:t>SUMMIT location</w:t>
            </w:r>
            <w:r>
              <w:rPr>
                <w:rFonts w:ascii="Arial" w:cs="Arial" w:eastAsia="Arial" w:hAnsi="Arial"/>
                <w:sz w:val="16"/>
                <w:szCs w:val="16"/>
                <w:color w:val="auto"/>
              </w:rPr>
              <w:t>, and seeking a</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20" w:type="dxa"/>
            <w:vAlign w:val="bottom"/>
            <w:tcBorders>
              <w:right w:val="single" w:sz="8" w:color="83AD40"/>
            </w:tcBorders>
          </w:tcPr>
          <w:p>
            <w:pPr>
              <w:spacing w:after="0"/>
              <w:rPr>
                <w:sz w:val="19"/>
                <w:szCs w:val="19"/>
                <w:color w:val="auto"/>
              </w:rPr>
            </w:pPr>
          </w:p>
        </w:tc>
        <w:tc>
          <w:tcPr>
            <w:tcW w:w="260" w:type="dxa"/>
            <w:vAlign w:val="bottom"/>
          </w:tcPr>
          <w:p>
            <w:pPr>
              <w:spacing w:after="0"/>
              <w:rPr>
                <w:sz w:val="19"/>
                <w:szCs w:val="19"/>
                <w:color w:val="auto"/>
              </w:rPr>
            </w:pPr>
          </w:p>
        </w:tc>
        <w:tc>
          <w:tcPr>
            <w:tcW w:w="2600" w:type="dxa"/>
            <w:vAlign w:val="bottom"/>
          </w:tcPr>
          <w:p>
            <w:pPr>
              <w:ind w:left="380"/>
              <w:spacing w:after="0"/>
              <w:rPr>
                <w:sz w:val="20"/>
                <w:szCs w:val="20"/>
                <w:color w:val="auto"/>
              </w:rPr>
            </w:pPr>
            <w:r>
              <w:rPr>
                <w:rFonts w:ascii="Arial" w:cs="Arial" w:eastAsia="Arial" w:hAnsi="Arial"/>
                <w:sz w:val="16"/>
                <w:szCs w:val="16"/>
                <w:color w:val="auto"/>
              </w:rPr>
              <w:t>significant margin)</w:t>
            </w:r>
          </w:p>
        </w:tc>
        <w:tc>
          <w:tcPr>
            <w:tcW w:w="100" w:type="dxa"/>
            <w:vAlign w:val="bottom"/>
          </w:tcPr>
          <w:p>
            <w:pPr>
              <w:spacing w:after="0"/>
              <w:rPr>
                <w:sz w:val="19"/>
                <w:szCs w:val="19"/>
                <w:color w:val="auto"/>
              </w:rPr>
            </w:pPr>
          </w:p>
        </w:tc>
        <w:tc>
          <w:tcPr>
            <w:tcW w:w="220" w:type="dxa"/>
            <w:vAlign w:val="bottom"/>
            <w:tcBorders>
              <w:right w:val="single" w:sz="8" w:color="83AD40"/>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60" w:type="dxa"/>
            <w:vAlign w:val="bottom"/>
          </w:tcPr>
          <w:p>
            <w:pPr>
              <w:ind w:left="60"/>
              <w:spacing w:after="0"/>
              <w:rPr>
                <w:sz w:val="20"/>
                <w:szCs w:val="20"/>
                <w:color w:val="auto"/>
              </w:rPr>
            </w:pPr>
            <w:r>
              <w:rPr>
                <w:rFonts w:ascii="Arial" w:cs="Arial" w:eastAsia="Arial" w:hAnsi="Arial"/>
                <w:sz w:val="16"/>
                <w:szCs w:val="16"/>
                <w:b w:val="1"/>
                <w:bCs w:val="1"/>
                <w:color w:val="auto"/>
              </w:rPr>
              <w:t>Times Square casino license</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83AD40"/>
            </w:tcBorders>
          </w:tcPr>
          <w:p>
            <w:pPr>
              <w:spacing w:after="0"/>
              <w:rPr>
                <w:sz w:val="4"/>
                <w:szCs w:val="4"/>
                <w:color w:val="auto"/>
              </w:rPr>
            </w:pPr>
          </w:p>
        </w:tc>
        <w:tc>
          <w:tcPr>
            <w:tcW w:w="2800" w:type="dxa"/>
            <w:vAlign w:val="bottom"/>
            <w:tcBorders>
              <w:bottom w:val="single" w:sz="8" w:color="83AD40"/>
              <w:right w:val="single" w:sz="8" w:color="83AD40"/>
            </w:tcBorders>
            <w:gridSpan w:val="2"/>
          </w:tcPr>
          <w:p>
            <w:pPr>
              <w:spacing w:after="0"/>
              <w:rPr>
                <w:sz w:val="4"/>
                <w:szCs w:val="4"/>
                <w:color w:val="auto"/>
              </w:rPr>
            </w:pPr>
          </w:p>
        </w:tc>
        <w:tc>
          <w:tcPr>
            <w:tcW w:w="3180" w:type="dxa"/>
            <w:vAlign w:val="bottom"/>
            <w:tcBorders>
              <w:bottom w:val="single" w:sz="8" w:color="83AD40"/>
              <w:right w:val="single" w:sz="8" w:color="83AD40"/>
            </w:tcBorders>
            <w:gridSpan w:val="4"/>
          </w:tcPr>
          <w:p>
            <w:pPr>
              <w:spacing w:after="0"/>
              <w:rPr>
                <w:sz w:val="4"/>
                <w:szCs w:val="4"/>
                <w:color w:val="auto"/>
              </w:rPr>
            </w:pPr>
          </w:p>
        </w:tc>
        <w:tc>
          <w:tcPr>
            <w:tcW w:w="2780" w:type="dxa"/>
            <w:vAlign w:val="bottom"/>
            <w:tcBorders>
              <w:bottom w:val="single" w:sz="8" w:color="83AD40"/>
            </w:tcBorders>
            <w:gridSpan w:val="3"/>
          </w:tcPr>
          <w:p>
            <w:pPr>
              <w:spacing w:after="0"/>
              <w:rPr>
                <w:sz w:val="4"/>
                <w:szCs w:val="4"/>
                <w:color w:val="auto"/>
              </w:rPr>
            </w:pPr>
          </w:p>
        </w:tc>
        <w:tc>
          <w:tcPr>
            <w:tcW w:w="200" w:type="dxa"/>
            <w:vAlign w:val="bottom"/>
            <w:tcBorders>
              <w:bottom w:val="single" w:sz="8" w:color="83AD40"/>
            </w:tcBorders>
          </w:tcPr>
          <w:p>
            <w:pPr>
              <w:spacing w:after="0"/>
              <w:rPr>
                <w:sz w:val="4"/>
                <w:szCs w:val="4"/>
                <w:color w:val="auto"/>
              </w:rPr>
            </w:pPr>
          </w:p>
        </w:tc>
        <w:tc>
          <w:tcPr>
            <w:tcW w:w="0" w:type="dxa"/>
            <w:vAlign w:val="bottom"/>
          </w:tcPr>
          <w:p>
            <w:pPr>
              <w:spacing w:after="0"/>
              <w:rPr>
                <w:sz w:val="1"/>
                <w:szCs w:val="1"/>
                <w:color w:val="auto"/>
              </w:rPr>
            </w:pPr>
          </w:p>
        </w:tc>
      </w:tr>
      <w:tr>
        <w:trPr>
          <w:trHeight w:val="492"/>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8760" w:type="dxa"/>
            <w:vAlign w:val="bottom"/>
            <w:gridSpan w:val="9"/>
          </w:tcPr>
          <w:p>
            <w:pPr>
              <w:ind w:left="60"/>
              <w:spacing w:after="0"/>
              <w:rPr>
                <w:sz w:val="20"/>
                <w:szCs w:val="20"/>
                <w:color w:val="auto"/>
              </w:rPr>
            </w:pPr>
            <w:r>
              <w:rPr>
                <w:rFonts w:ascii="Arial" w:cs="Arial" w:eastAsia="Arial" w:hAnsi="Arial"/>
                <w:sz w:val="16"/>
                <w:szCs w:val="16"/>
                <w:color w:val="auto"/>
              </w:rPr>
              <w:t>The Committee recognized the significant contributions of our CFO and General Counsel to the organizational successes</w:t>
            </w: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8760" w:type="dxa"/>
            <w:vAlign w:val="bottom"/>
            <w:gridSpan w:val="9"/>
          </w:tcPr>
          <w:p>
            <w:pPr>
              <w:ind w:left="60"/>
              <w:spacing w:after="0" w:line="175" w:lineRule="exact"/>
              <w:rPr>
                <w:sz w:val="20"/>
                <w:szCs w:val="20"/>
                <w:color w:val="auto"/>
              </w:rPr>
            </w:pPr>
            <w:r>
              <w:rPr>
                <w:rFonts w:ascii="Arial" w:cs="Arial" w:eastAsia="Arial" w:hAnsi="Arial"/>
                <w:sz w:val="16"/>
                <w:szCs w:val="16"/>
                <w:color w:val="auto"/>
              </w:rPr>
              <w:t>that we achieved during the year, and, in particular, the sustained outperformance of the Company despite the continuing</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8760" w:type="dxa"/>
            <w:vAlign w:val="bottom"/>
            <w:gridSpan w:val="9"/>
          </w:tcPr>
          <w:p>
            <w:pPr>
              <w:ind w:left="60"/>
              <w:spacing w:after="0"/>
              <w:rPr>
                <w:sz w:val="20"/>
                <w:szCs w:val="20"/>
                <w:color w:val="auto"/>
              </w:rPr>
            </w:pPr>
            <w:r>
              <w:rPr>
                <w:rFonts w:ascii="Arial" w:cs="Arial" w:eastAsia="Arial" w:hAnsi="Arial"/>
                <w:sz w:val="16"/>
                <w:szCs w:val="16"/>
                <w:color w:val="auto"/>
              </w:rPr>
              <w:t>impact of elevated inflation and interest rates on our balance sheet and operating environment. As a result, the Committee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-420370</wp:posOffset>
            </wp:positionV>
            <wp:extent cx="5760720" cy="7283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760720" cy="728345"/>
                    </a:xfrm>
                    <a:prstGeom prst="rect">
                      <a:avLst/>
                    </a:prstGeom>
                    <a:noFill/>
                  </pic:spPr>
                </pic:pic>
              </a:graphicData>
            </a:graphic>
          </wp:anchor>
        </w:drawing>
      </w:r>
    </w:p>
    <w:p>
      <w:pPr>
        <w:ind w:left="980" w:right="600"/>
        <w:spacing w:after="0" w:line="258" w:lineRule="auto"/>
        <w:rPr>
          <w:sz w:val="20"/>
          <w:szCs w:val="20"/>
          <w:color w:val="auto"/>
        </w:rPr>
      </w:pPr>
      <w:r>
        <w:rPr>
          <w:rFonts w:ascii="Arial" w:cs="Arial" w:eastAsia="Arial" w:hAnsi="Arial"/>
          <w:sz w:val="16"/>
          <w:szCs w:val="16"/>
          <w:color w:val="auto"/>
        </w:rPr>
        <w:t xml:space="preserve">awarded a discretionary bonus to our CFO of </w:t>
      </w:r>
      <w:r>
        <w:rPr>
          <w:rFonts w:ascii="Arial" w:cs="Arial" w:eastAsia="Arial" w:hAnsi="Arial"/>
          <w:sz w:val="16"/>
          <w:szCs w:val="16"/>
          <w:b w:val="1"/>
          <w:bCs w:val="1"/>
          <w:color w:val="auto"/>
        </w:rPr>
        <w:t>100%</w:t>
      </w:r>
      <w:r>
        <w:rPr>
          <w:rFonts w:ascii="Arial" w:cs="Arial" w:eastAsia="Arial" w:hAnsi="Arial"/>
          <w:sz w:val="16"/>
          <w:szCs w:val="16"/>
          <w:color w:val="auto"/>
        </w:rPr>
        <w:t xml:space="preserve"> of his total non-formulaic maximum opportunity, and to our General Counsel that was approximately </w:t>
      </w:r>
      <w:r>
        <w:rPr>
          <w:rFonts w:ascii="Arial" w:cs="Arial" w:eastAsia="Arial" w:hAnsi="Arial"/>
          <w:sz w:val="16"/>
          <w:szCs w:val="16"/>
          <w:b w:val="1"/>
          <w:bCs w:val="1"/>
          <w:color w:val="auto"/>
        </w:rPr>
        <w:t>14%</w:t>
      </w:r>
      <w:r>
        <w:rPr>
          <w:rFonts w:ascii="Arial" w:cs="Arial" w:eastAsia="Arial" w:hAnsi="Arial"/>
          <w:sz w:val="16"/>
          <w:szCs w:val="16"/>
          <w:color w:val="auto"/>
        </w:rPr>
        <w:t xml:space="preserve"> higher than the bonus he received for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129540</wp:posOffset>
            </wp:positionV>
            <wp:extent cx="6831965"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p>
      <w:pPr>
        <w:ind w:left="820"/>
        <w:spacing w:after="0"/>
        <w:tabs>
          <w:tab w:leader="none" w:pos="1440" w:val="left"/>
          <w:tab w:leader="none" w:pos="9860" w:val="left"/>
        </w:tabs>
        <w:rPr>
          <w:sz w:val="20"/>
          <w:szCs w:val="20"/>
          <w:color w:val="auto"/>
        </w:rPr>
      </w:pPr>
      <w:r>
        <w:rPr>
          <w:rFonts w:ascii="Arial" w:cs="Arial" w:eastAsia="Arial" w:hAnsi="Arial"/>
          <w:sz w:val="22"/>
          <w:szCs w:val="22"/>
          <w:b w:val="1"/>
          <w:bCs w:val="1"/>
          <w:color w:val="1F2668"/>
        </w:rPr>
        <w:t>​50</w:t>
      </w:r>
      <w:r>
        <w:rPr>
          <w:sz w:val="20"/>
          <w:szCs w:val="20"/>
          <w:color w:val="auto"/>
        </w:rPr>
        <w:tab/>
      </w:r>
      <w:r>
        <w:rPr>
          <w:rFonts w:ascii="Arial" w:cs="Arial" w:eastAsia="Arial" w:hAnsi="Arial"/>
          <w:sz w:val="22"/>
          <w:szCs w:val="22"/>
          <w:b w:val="1"/>
          <w:bCs w:val="1"/>
          <w:color w:val="1F2668"/>
        </w:rPr>
        <w:t xml:space="preserve">​ ​ </w:t>
      </w:r>
      <w:r>
        <w:rPr>
          <w:rFonts w:ascii="Arial" w:cs="Arial" w:eastAsia="Arial" w:hAnsi="Arial"/>
          <w:sz w:val="14"/>
          <w:szCs w:val="14"/>
          <w:b w:val="1"/>
          <w:bCs w:val="1"/>
          <w:color w:val="1F2668"/>
        </w:rPr>
        <w:t>SL GREEN REALTY CORP. 2025 PROXY STATEMENT</w:t>
      </w:r>
      <w:r>
        <w:rPr>
          <w:sz w:val="20"/>
          <w:szCs w:val="20"/>
          <w:color w:val="auto"/>
        </w:rPr>
        <w:tab/>
      </w:r>
      <w:r>
        <w:rPr>
          <w:rFonts w:ascii="Arial" w:cs="Arial" w:eastAsia="Arial" w:hAnsi="Arial"/>
          <w:sz w:val="22"/>
          <w:szCs w:val="22"/>
          <w:b w:val="1"/>
          <w:bCs w:val="1"/>
          <w:color w:val="1F2668"/>
        </w:rPr>
        <w:t>​</w:t>
      </w:r>
    </w:p>
    <w:p>
      <w:pPr>
        <w:spacing w:after="0" w:line="200" w:lineRule="exact"/>
        <w:rPr>
          <w:sz w:val="20"/>
          <w:szCs w:val="20"/>
          <w:color w:val="auto"/>
        </w:rPr>
      </w:pPr>
    </w:p>
    <w:p>
      <w:pPr>
        <w:spacing w:after="0" w:line="281"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83AD40"/>
        </w:rPr>
        <w:t>Aggregate Annual Bonus Amounts</w:t>
      </w:r>
    </w:p>
    <w:p>
      <w:pPr>
        <w:spacing w:after="0" w:line="144" w:lineRule="exact"/>
        <w:rPr>
          <w:sz w:val="20"/>
          <w:szCs w:val="20"/>
          <w:color w:val="auto"/>
        </w:rPr>
      </w:pPr>
    </w:p>
    <w:p>
      <w:pPr>
        <w:ind w:left="820" w:right="320"/>
        <w:spacing w:after="0" w:line="312" w:lineRule="auto"/>
        <w:rPr>
          <w:sz w:val="20"/>
          <w:szCs w:val="20"/>
          <w:color w:val="auto"/>
        </w:rPr>
      </w:pPr>
      <w:r>
        <w:rPr>
          <w:rFonts w:ascii="Arial" w:cs="Arial" w:eastAsia="Arial" w:hAnsi="Arial"/>
          <w:sz w:val="15"/>
          <w:szCs w:val="15"/>
          <w:color w:val="auto"/>
        </w:rPr>
        <w:t>The table below summarizes the aggregate bonus amounts received by our named executive officers for 2024 on a formulaic, discretionary and aggregate basis. Mr. Holliday elected to receive 100% of his bonus in the form of LTIP units and Messrs. DiLiberto and Levine received 100% of their bonuses in the form of LTIP units based upon the discretion of the Committee.</w:t>
      </w:r>
    </w:p>
    <w:p>
      <w:pPr>
        <w:spacing w:after="0" w:line="1" w:lineRule="exact"/>
        <w:rPr>
          <w:sz w:val="20"/>
          <w:szCs w:val="20"/>
          <w:color w:val="auto"/>
        </w:rPr>
      </w:pPr>
    </w:p>
    <w:tbl>
      <w:tblPr>
        <w:tblLayout w:type="fixed"/>
        <w:tblInd w:w="820" w:type="dxa"/>
        <w:tblCellMar>
          <w:top w:w="0" w:type="dxa"/>
          <w:left w:w="0" w:type="dxa"/>
          <w:bottom w:w="0" w:type="dxa"/>
          <w:right w:w="0" w:type="dxa"/>
        </w:tblCellMar>
      </w:tblPr>
      <w:tr>
        <w:trPr>
          <w:trHeight w:val="367"/>
        </w:trPr>
        <w:tc>
          <w:tcPr>
            <w:tcW w:w="5180" w:type="dxa"/>
            <w:vAlign w:val="bottom"/>
          </w:tcPr>
          <w:p>
            <w:pPr>
              <w:spacing w:after="0"/>
              <w:rPr>
                <w:sz w:val="20"/>
                <w:szCs w:val="20"/>
                <w:color w:val="auto"/>
              </w:rPr>
            </w:pPr>
            <w:r>
              <w:rPr>
                <w:rFonts w:ascii="Arial" w:cs="Arial" w:eastAsia="Arial" w:hAnsi="Arial"/>
                <w:sz w:val="14"/>
                <w:szCs w:val="14"/>
                <w:color w:val="1F2668"/>
              </w:rPr>
              <w:t>Executive</w:t>
            </w:r>
          </w:p>
        </w:tc>
        <w:tc>
          <w:tcPr>
            <w:tcW w:w="940" w:type="dxa"/>
            <w:vAlign w:val="bottom"/>
            <w:gridSpan w:val="3"/>
          </w:tcPr>
          <w:p>
            <w:pPr>
              <w:ind w:left="20"/>
              <w:spacing w:after="0"/>
              <w:rPr>
                <w:sz w:val="20"/>
                <w:szCs w:val="20"/>
                <w:color w:val="auto"/>
              </w:rPr>
            </w:pPr>
            <w:r>
              <w:rPr>
                <w:rFonts w:ascii="Arial" w:cs="Arial" w:eastAsia="Arial" w:hAnsi="Arial"/>
                <w:sz w:val="28"/>
                <w:szCs w:val="28"/>
                <w:color w:val="1F2668"/>
                <w:vertAlign w:val="subscript"/>
              </w:rPr>
              <w:t>​​</w:t>
            </w:r>
            <w:r>
              <w:rPr>
                <w:rFonts w:ascii="Arial" w:cs="Arial" w:eastAsia="Arial" w:hAnsi="Arial"/>
                <w:sz w:val="14"/>
                <w:szCs w:val="14"/>
                <w:color w:val="1F2668"/>
              </w:rPr>
              <w:t xml:space="preserve"> Formulaic</w:t>
            </w:r>
          </w:p>
        </w:tc>
        <w:tc>
          <w:tcPr>
            <w:tcW w:w="3000" w:type="dxa"/>
            <w:vAlign w:val="bottom"/>
            <w:gridSpan w:val="12"/>
          </w:tcPr>
          <w:p>
            <w:pPr>
              <w:jc w:val="right"/>
              <w:spacing w:after="0"/>
              <w:rPr>
                <w:sz w:val="20"/>
                <w:szCs w:val="20"/>
                <w:color w:val="auto"/>
              </w:rPr>
            </w:pPr>
            <w:r>
              <w:rPr>
                <w:rFonts w:ascii="Arial" w:cs="Arial" w:eastAsia="Arial" w:hAnsi="Arial"/>
                <w:sz w:val="28"/>
                <w:szCs w:val="28"/>
                <w:color w:val="1F2668"/>
                <w:vertAlign w:val="subscript"/>
              </w:rPr>
              <w:t>​​</w:t>
            </w:r>
            <w:r>
              <w:rPr>
                <w:rFonts w:ascii="Arial" w:cs="Arial" w:eastAsia="Arial" w:hAnsi="Arial"/>
                <w:sz w:val="14"/>
                <w:szCs w:val="14"/>
                <w:color w:val="1F2668"/>
              </w:rPr>
              <w:t xml:space="preserve">Discretionary </w:t>
            </w:r>
            <w:r>
              <w:rPr>
                <w:rFonts w:ascii="Arial" w:cs="Arial" w:eastAsia="Arial" w:hAnsi="Arial"/>
                <w:sz w:val="28"/>
                <w:szCs w:val="28"/>
                <w:color w:val="1F2668"/>
                <w:vertAlign w:val="subscript"/>
              </w:rPr>
              <w:t>​​</w:t>
            </w:r>
            <w:r>
              <w:rPr>
                <w:rFonts w:ascii="Arial" w:cs="Arial" w:eastAsia="Arial" w:hAnsi="Arial"/>
                <w:sz w:val="14"/>
                <w:szCs w:val="14"/>
                <w:color w:val="1F2668"/>
              </w:rPr>
              <w:t xml:space="preserve"> Adjustment</w:t>
            </w:r>
            <w:r>
              <w:rPr>
                <w:rFonts w:ascii="Arial" w:cs="Arial" w:eastAsia="Arial" w:hAnsi="Arial"/>
                <w:sz w:val="17"/>
                <w:szCs w:val="17"/>
                <w:b w:val="1"/>
                <w:bCs w:val="1"/>
                <w:color w:val="1F2668"/>
                <w:vertAlign w:val="superscript"/>
              </w:rPr>
              <w:t>(1)</w:t>
            </w:r>
            <w:r>
              <w:rPr>
                <w:rFonts w:ascii="Arial" w:cs="Arial" w:eastAsia="Arial" w:hAnsi="Arial"/>
                <w:sz w:val="14"/>
                <w:szCs w:val="14"/>
                <w:color w:val="1F2668"/>
              </w:rPr>
              <w:t xml:space="preserve">  </w:t>
            </w:r>
            <w:r>
              <w:rPr>
                <w:rFonts w:ascii="Arial" w:cs="Arial" w:eastAsia="Arial" w:hAnsi="Arial"/>
                <w:sz w:val="28"/>
                <w:szCs w:val="28"/>
                <w:color w:val="1F2668"/>
                <w:vertAlign w:val="subscript"/>
              </w:rPr>
              <w:t>​​</w:t>
            </w:r>
            <w:r>
              <w:rPr>
                <w:rFonts w:ascii="Arial" w:cs="Arial" w:eastAsia="Arial" w:hAnsi="Arial"/>
                <w:sz w:val="14"/>
                <w:szCs w:val="14"/>
                <w:color w:val="1F2668"/>
              </w:rPr>
              <w:t xml:space="preserve"> Total Bonus </w:t>
            </w:r>
            <w:r>
              <w:rPr>
                <w:rFonts w:ascii="Arial" w:cs="Arial" w:eastAsia="Arial" w:hAnsi="Arial"/>
                <w:sz w:val="28"/>
                <w:szCs w:val="28"/>
                <w:color w:val="1F2668"/>
                <w:vertAlign w:val="subscript"/>
              </w:rPr>
              <w:t>​</w:t>
            </w:r>
          </w:p>
        </w:tc>
        <w:tc>
          <w:tcPr>
            <w:tcW w:w="0" w:type="dxa"/>
            <w:vAlign w:val="bottom"/>
          </w:tcPr>
          <w:p>
            <w:pPr>
              <w:spacing w:after="0"/>
              <w:rPr>
                <w:sz w:val="1"/>
                <w:szCs w:val="1"/>
                <w:color w:val="auto"/>
              </w:rPr>
            </w:pPr>
          </w:p>
        </w:tc>
      </w:tr>
      <w:tr>
        <w:trPr>
          <w:trHeight w:val="20"/>
        </w:trPr>
        <w:tc>
          <w:tcPr>
            <w:tcW w:w="518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shd w:val="clear" w:color="auto" w:fill="1F266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1F2668"/>
          </w:tcPr>
          <w:p>
            <w:pPr>
              <w:spacing w:after="0" w:line="20" w:lineRule="exact"/>
              <w:rPr>
                <w:sz w:val="1"/>
                <w:szCs w:val="1"/>
                <w:color w:val="auto"/>
              </w:rPr>
            </w:pPr>
          </w:p>
        </w:tc>
        <w:tc>
          <w:tcPr>
            <w:tcW w:w="100" w:type="dxa"/>
            <w:vAlign w:val="bottom"/>
            <w:shd w:val="clear" w:color="auto" w:fill="1F2668"/>
          </w:tcPr>
          <w:p>
            <w:pPr>
              <w:spacing w:after="0" w:line="20" w:lineRule="exact"/>
              <w:rPr>
                <w:sz w:val="1"/>
                <w:szCs w:val="1"/>
                <w:color w:val="auto"/>
              </w:rPr>
            </w:pPr>
          </w:p>
        </w:tc>
        <w:tc>
          <w:tcPr>
            <w:tcW w:w="64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1F2668"/>
          </w:tcPr>
          <w:p>
            <w:pPr>
              <w:spacing w:after="0" w:line="20" w:lineRule="exact"/>
              <w:rPr>
                <w:sz w:val="1"/>
                <w:szCs w:val="1"/>
                <w:color w:val="auto"/>
              </w:rPr>
            </w:pPr>
          </w:p>
        </w:tc>
        <w:tc>
          <w:tcPr>
            <w:tcW w:w="760" w:type="dxa"/>
            <w:vAlign w:val="bottom"/>
            <w:gridSpan w:val="2"/>
            <w:shd w:val="clear" w:color="auto" w:fill="1F266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1F2668"/>
          </w:tcPr>
          <w:p>
            <w:pPr>
              <w:spacing w:after="0" w:line="20" w:lineRule="exact"/>
              <w:rPr>
                <w:sz w:val="1"/>
                <w:szCs w:val="1"/>
                <w:color w:val="auto"/>
              </w:rPr>
            </w:pPr>
          </w:p>
        </w:tc>
        <w:tc>
          <w:tcPr>
            <w:tcW w:w="720" w:type="dxa"/>
            <w:vAlign w:val="bottom"/>
            <w:shd w:val="clear" w:color="auto" w:fill="1F266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tcPr>
          <w:p>
            <w:pPr>
              <w:spacing w:after="0"/>
              <w:rPr>
                <w:sz w:val="20"/>
                <w:szCs w:val="20"/>
                <w:color w:val="auto"/>
              </w:rPr>
            </w:pPr>
            <w:r>
              <w:rPr>
                <w:rFonts w:ascii="Arial" w:cs="Arial" w:eastAsia="Arial" w:hAnsi="Arial"/>
                <w:sz w:val="16"/>
                <w:szCs w:val="16"/>
                <w:b w:val="1"/>
                <w:bCs w:val="1"/>
                <w:color w:val="auto"/>
              </w:rPr>
              <w:t>Marc Holliday</w:t>
            </w:r>
          </w:p>
        </w:tc>
        <w:tc>
          <w:tcPr>
            <w:tcW w:w="1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$3,200,000</w:t>
            </w:r>
          </w:p>
        </w:tc>
        <w:tc>
          <w:tcPr>
            <w:tcW w:w="24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gridSpan w:val="4"/>
          </w:tcPr>
          <w:p>
            <w:pPr>
              <w:jc w:val="right"/>
              <w:ind w:right="20"/>
              <w:spacing w:after="0"/>
              <w:rPr>
                <w:sz w:val="20"/>
                <w:szCs w:val="20"/>
                <w:color w:val="auto"/>
              </w:rPr>
            </w:pPr>
            <w:r>
              <w:rPr>
                <w:rFonts w:ascii="Arial" w:cs="Arial" w:eastAsia="Arial" w:hAnsi="Arial"/>
                <w:sz w:val="16"/>
                <w:szCs w:val="16"/>
                <w:color w:val="auto"/>
              </w:rPr>
              <w:t>$(31,667) $</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3,168,333</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5180" w:type="dxa"/>
            <w:vAlign w:val="bottom"/>
          </w:tcPr>
          <w:p>
            <w:pPr>
              <w:spacing w:after="0"/>
              <w:rPr>
                <w:sz w:val="7"/>
                <w:szCs w:val="7"/>
                <w:color w:val="auto"/>
              </w:rPr>
            </w:pPr>
          </w:p>
        </w:tc>
        <w:tc>
          <w:tcPr>
            <w:tcW w:w="520" w:type="dxa"/>
            <w:vAlign w:val="bottom"/>
            <w:gridSpan w:val="2"/>
          </w:tcPr>
          <w:p>
            <w:pPr>
              <w:ind w:left="20"/>
              <w:spacing w:after="0" w:line="81" w:lineRule="exact"/>
              <w:rPr>
                <w:sz w:val="20"/>
                <w:szCs w:val="20"/>
                <w:color w:val="auto"/>
              </w:rPr>
            </w:pPr>
            <w:r>
              <w:rPr>
                <w:rFonts w:ascii="Arial" w:cs="Arial" w:eastAsia="Arial" w:hAnsi="Arial"/>
                <w:sz w:val="9"/>
                <w:szCs w:val="9"/>
                <w:color w:val="auto"/>
              </w:rPr>
              <w:t>​​​</w:t>
            </w:r>
          </w:p>
        </w:tc>
        <w:tc>
          <w:tcPr>
            <w:tcW w:w="420" w:type="dxa"/>
            <w:vAlign w:val="bottom"/>
          </w:tcPr>
          <w:p>
            <w:pPr>
              <w:spacing w:after="0"/>
              <w:rPr>
                <w:sz w:val="7"/>
                <w:szCs w:val="7"/>
                <w:color w:val="auto"/>
              </w:rPr>
            </w:pPr>
          </w:p>
        </w:tc>
        <w:tc>
          <w:tcPr>
            <w:tcW w:w="2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gridSpan w:val="2"/>
            <w:vMerge w:val="continue"/>
          </w:tcPr>
          <w:p>
            <w:pPr>
              <w:spacing w:after="0"/>
              <w:rPr>
                <w:sz w:val="7"/>
                <w:szCs w:val="7"/>
                <w:color w:val="auto"/>
              </w:rPr>
            </w:pPr>
          </w:p>
        </w:tc>
        <w:tc>
          <w:tcPr>
            <w:tcW w:w="440" w:type="dxa"/>
            <w:vAlign w:val="bottom"/>
          </w:tcPr>
          <w:p>
            <w:pPr>
              <w:ind w:left="120"/>
              <w:spacing w:after="0" w:line="81" w:lineRule="exact"/>
              <w:rPr>
                <w:sz w:val="20"/>
                <w:szCs w:val="20"/>
                <w:color w:val="auto"/>
              </w:rPr>
            </w:pPr>
            <w:r>
              <w:rPr>
                <w:rFonts w:ascii="Arial" w:cs="Arial" w:eastAsia="Arial" w:hAnsi="Arial"/>
                <w:sz w:val="9"/>
                <w:szCs w:val="9"/>
                <w:color w:val="auto"/>
              </w:rPr>
              <w:t>​</w:t>
            </w:r>
          </w:p>
        </w:tc>
        <w:tc>
          <w:tcPr>
            <w:tcW w:w="320" w:type="dxa"/>
            <w:vAlign w:val="bottom"/>
          </w:tcPr>
          <w:p>
            <w:pPr>
              <w:spacing w:after="0"/>
              <w:rPr>
                <w:sz w:val="7"/>
                <w:szCs w:val="7"/>
                <w:color w:val="auto"/>
              </w:rPr>
            </w:pPr>
          </w:p>
        </w:tc>
        <w:tc>
          <w:tcPr>
            <w:tcW w:w="240" w:type="dxa"/>
            <w:vAlign w:val="bottom"/>
            <w:gridSpan w:val="2"/>
          </w:tcPr>
          <w:p>
            <w:pPr>
              <w:jc w:val="right"/>
              <w:ind w:right="80"/>
              <w:spacing w:after="0" w:line="81" w:lineRule="exact"/>
              <w:rPr>
                <w:sz w:val="20"/>
                <w:szCs w:val="20"/>
                <w:color w:val="auto"/>
              </w:rPr>
            </w:pPr>
            <w:r>
              <w:rPr>
                <w:rFonts w:ascii="Arial" w:cs="Arial" w:eastAsia="Arial" w:hAnsi="Arial"/>
                <w:sz w:val="9"/>
                <w:szCs w:val="9"/>
                <w:color w:val="auto"/>
              </w:rPr>
              <w:t>​​​​</w:t>
            </w:r>
          </w:p>
        </w:tc>
        <w:tc>
          <w:tcPr>
            <w:tcW w:w="72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18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4B5088"/>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6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760" w:type="dxa"/>
            <w:vAlign w:val="bottom"/>
            <w:gridSpan w:val="2"/>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4B5088"/>
          </w:tcPr>
          <w:p>
            <w:pPr>
              <w:spacing w:after="0" w:line="20" w:lineRule="exact"/>
              <w:rPr>
                <w:sz w:val="1"/>
                <w:szCs w:val="1"/>
                <w:color w:val="auto"/>
              </w:rPr>
            </w:pPr>
          </w:p>
        </w:tc>
        <w:tc>
          <w:tcPr>
            <w:tcW w:w="720" w:type="dxa"/>
            <w:vAlign w:val="bottom"/>
            <w:shd w:val="clear" w:color="auto" w:fill="4B50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tcPr>
          <w:p>
            <w:pPr>
              <w:spacing w:after="0"/>
              <w:rPr>
                <w:sz w:val="20"/>
                <w:szCs w:val="20"/>
                <w:color w:val="auto"/>
              </w:rPr>
            </w:pPr>
            <w:r>
              <w:rPr>
                <w:rFonts w:ascii="Arial" w:cs="Arial" w:eastAsia="Arial" w:hAnsi="Arial"/>
                <w:sz w:val="16"/>
                <w:szCs w:val="16"/>
                <w:b w:val="1"/>
                <w:bCs w:val="1"/>
                <w:color w:val="auto"/>
              </w:rPr>
              <w:t>Matthew J. DiLiberto</w:t>
            </w:r>
          </w:p>
        </w:tc>
        <w:tc>
          <w:tcPr>
            <w:tcW w:w="1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$1,342,500</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895,000</w:t>
            </w:r>
          </w:p>
        </w:tc>
        <w:tc>
          <w:tcPr>
            <w:tcW w:w="2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gridSpan w:val="4"/>
          </w:tcPr>
          <w:p>
            <w:pPr>
              <w:jc w:val="right"/>
              <w:ind w:right="20"/>
              <w:spacing w:after="0"/>
              <w:rPr>
                <w:sz w:val="20"/>
                <w:szCs w:val="20"/>
                <w:color w:val="auto"/>
              </w:rPr>
            </w:pPr>
            <w:r>
              <w:rPr>
                <w:rFonts w:ascii="Arial" w:cs="Arial" w:eastAsia="Arial" w:hAnsi="Arial"/>
                <w:sz w:val="16"/>
                <w:szCs w:val="16"/>
                <w:color w:val="auto"/>
              </w:rPr>
              <w:t>$(11,400) $</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2,226,100</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5180" w:type="dxa"/>
            <w:vAlign w:val="bottom"/>
          </w:tcPr>
          <w:p>
            <w:pPr>
              <w:spacing w:after="0"/>
              <w:rPr>
                <w:sz w:val="7"/>
                <w:szCs w:val="7"/>
                <w:color w:val="auto"/>
              </w:rPr>
            </w:pPr>
          </w:p>
        </w:tc>
        <w:tc>
          <w:tcPr>
            <w:tcW w:w="520" w:type="dxa"/>
            <w:vAlign w:val="bottom"/>
            <w:gridSpan w:val="2"/>
          </w:tcPr>
          <w:p>
            <w:pPr>
              <w:ind w:left="20"/>
              <w:spacing w:after="0" w:line="81" w:lineRule="exact"/>
              <w:rPr>
                <w:sz w:val="20"/>
                <w:szCs w:val="20"/>
                <w:color w:val="auto"/>
              </w:rPr>
            </w:pPr>
            <w:r>
              <w:rPr>
                <w:rFonts w:ascii="Arial" w:cs="Arial" w:eastAsia="Arial" w:hAnsi="Arial"/>
                <w:sz w:val="9"/>
                <w:szCs w:val="9"/>
                <w:color w:val="auto"/>
              </w:rPr>
              <w:t>​​​</w:t>
            </w:r>
          </w:p>
        </w:tc>
        <w:tc>
          <w:tcPr>
            <w:tcW w:w="420" w:type="dxa"/>
            <w:vAlign w:val="bottom"/>
          </w:tcPr>
          <w:p>
            <w:pPr>
              <w:spacing w:after="0"/>
              <w:rPr>
                <w:sz w:val="7"/>
                <w:szCs w:val="7"/>
                <w:color w:val="auto"/>
              </w:rPr>
            </w:pPr>
          </w:p>
        </w:tc>
        <w:tc>
          <w:tcPr>
            <w:tcW w:w="240" w:type="dxa"/>
            <w:vAlign w:val="bottom"/>
            <w:gridSpan w:val="2"/>
          </w:tcPr>
          <w:p>
            <w:pPr>
              <w:spacing w:after="0" w:line="8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gridSpan w:val="2"/>
            <w:vMerge w:val="continue"/>
          </w:tcPr>
          <w:p>
            <w:pPr>
              <w:spacing w:after="0"/>
              <w:rPr>
                <w:sz w:val="7"/>
                <w:szCs w:val="7"/>
                <w:color w:val="auto"/>
              </w:rPr>
            </w:pPr>
          </w:p>
        </w:tc>
        <w:tc>
          <w:tcPr>
            <w:tcW w:w="440" w:type="dxa"/>
            <w:vAlign w:val="bottom"/>
          </w:tcPr>
          <w:p>
            <w:pPr>
              <w:ind w:left="120"/>
              <w:spacing w:after="0" w:line="81" w:lineRule="exact"/>
              <w:rPr>
                <w:sz w:val="20"/>
                <w:szCs w:val="20"/>
                <w:color w:val="auto"/>
              </w:rPr>
            </w:pPr>
            <w:r>
              <w:rPr>
                <w:rFonts w:ascii="Arial" w:cs="Arial" w:eastAsia="Arial" w:hAnsi="Arial"/>
                <w:sz w:val="9"/>
                <w:szCs w:val="9"/>
                <w:color w:val="auto"/>
              </w:rPr>
              <w:t>​</w:t>
            </w:r>
          </w:p>
        </w:tc>
        <w:tc>
          <w:tcPr>
            <w:tcW w:w="320" w:type="dxa"/>
            <w:vAlign w:val="bottom"/>
          </w:tcPr>
          <w:p>
            <w:pPr>
              <w:spacing w:after="0"/>
              <w:rPr>
                <w:sz w:val="7"/>
                <w:szCs w:val="7"/>
                <w:color w:val="auto"/>
              </w:rPr>
            </w:pPr>
          </w:p>
        </w:tc>
        <w:tc>
          <w:tcPr>
            <w:tcW w:w="240" w:type="dxa"/>
            <w:vAlign w:val="bottom"/>
            <w:gridSpan w:val="2"/>
          </w:tcPr>
          <w:p>
            <w:pPr>
              <w:jc w:val="right"/>
              <w:ind w:right="80"/>
              <w:spacing w:after="0" w:line="81" w:lineRule="exact"/>
              <w:rPr>
                <w:sz w:val="20"/>
                <w:szCs w:val="20"/>
                <w:color w:val="auto"/>
              </w:rPr>
            </w:pPr>
            <w:r>
              <w:rPr>
                <w:rFonts w:ascii="Arial" w:cs="Arial" w:eastAsia="Arial" w:hAnsi="Arial"/>
                <w:sz w:val="9"/>
                <w:szCs w:val="9"/>
                <w:color w:val="auto"/>
              </w:rPr>
              <w:t>​​​​</w:t>
            </w:r>
          </w:p>
        </w:tc>
        <w:tc>
          <w:tcPr>
            <w:tcW w:w="72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18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4B5088"/>
          </w:tcPr>
          <w:p>
            <w:pPr>
              <w:spacing w:after="0" w:line="20" w:lineRule="exact"/>
              <w:rPr>
                <w:sz w:val="1"/>
                <w:szCs w:val="1"/>
                <w:color w:val="auto"/>
              </w:rPr>
            </w:pPr>
          </w:p>
        </w:tc>
        <w:tc>
          <w:tcPr>
            <w:tcW w:w="42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3"/>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440" w:type="dxa"/>
            <w:vAlign w:val="bottom"/>
            <w:shd w:val="clear" w:color="auto" w:fill="4B5088"/>
          </w:tcPr>
          <w:p>
            <w:pPr>
              <w:spacing w:after="0" w:line="20" w:lineRule="exact"/>
              <w:rPr>
                <w:sz w:val="1"/>
                <w:szCs w:val="1"/>
                <w:color w:val="auto"/>
              </w:rPr>
            </w:pPr>
          </w:p>
        </w:tc>
        <w:tc>
          <w:tcPr>
            <w:tcW w:w="32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4B5088"/>
          </w:tcPr>
          <w:p>
            <w:pPr>
              <w:spacing w:after="0" w:line="20" w:lineRule="exact"/>
              <w:rPr>
                <w:sz w:val="1"/>
                <w:szCs w:val="1"/>
                <w:color w:val="auto"/>
              </w:rPr>
            </w:pPr>
          </w:p>
        </w:tc>
        <w:tc>
          <w:tcPr>
            <w:tcW w:w="720" w:type="dxa"/>
            <w:vAlign w:val="bottom"/>
            <w:shd w:val="clear" w:color="auto" w:fill="4B50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180" w:type="dxa"/>
            <w:vAlign w:val="bottom"/>
          </w:tcPr>
          <w:p>
            <w:pPr>
              <w:spacing w:after="0"/>
              <w:rPr>
                <w:sz w:val="20"/>
                <w:szCs w:val="20"/>
                <w:color w:val="auto"/>
              </w:rPr>
            </w:pPr>
            <w:r>
              <w:rPr>
                <w:rFonts w:ascii="Arial" w:cs="Arial" w:eastAsia="Arial" w:hAnsi="Arial"/>
                <w:sz w:val="16"/>
                <w:szCs w:val="16"/>
                <w:b w:val="1"/>
                <w:bCs w:val="1"/>
                <w:color w:val="auto"/>
              </w:rPr>
              <w:t>Andrew S. Levine</w:t>
            </w:r>
          </w:p>
        </w:tc>
        <w:tc>
          <w:tcPr>
            <w:tcW w:w="520" w:type="dxa"/>
            <w:vAlign w:val="bottom"/>
            <w:gridSpan w:val="2"/>
          </w:tcPr>
          <w:p>
            <w:pPr>
              <w:ind w:left="20"/>
              <w:spacing w:after="0" w:line="276" w:lineRule="exact"/>
              <w:rPr>
                <w:sz w:val="20"/>
                <w:szCs w:val="20"/>
                <w:color w:val="auto"/>
              </w:rPr>
            </w:pPr>
            <w:r>
              <w:rPr>
                <w:rFonts w:ascii="Arial" w:cs="Arial" w:eastAsia="Arial" w:hAnsi="Arial"/>
                <w:sz w:val="16"/>
                <w:szCs w:val="16"/>
                <w:color w:val="auto"/>
              </w:rPr>
              <w:t xml:space="preserve">​​​ </w:t>
            </w:r>
            <w:r>
              <w:rPr>
                <w:rFonts w:ascii="Arial" w:cs="Arial" w:eastAsia="Arial" w:hAnsi="Arial"/>
                <w:sz w:val="32"/>
                <w:szCs w:val="32"/>
                <w:color w:val="auto"/>
                <w:vertAlign w:val="superscript"/>
              </w:rPr>
              <w:t>​</w:t>
            </w:r>
          </w:p>
        </w:tc>
        <w:tc>
          <w:tcPr>
            <w:tcW w:w="1640" w:type="dxa"/>
            <w:vAlign w:val="bottom"/>
            <w:gridSpan w:val="7"/>
          </w:tcPr>
          <w:p>
            <w:pPr>
              <w:jc w:val="right"/>
              <w:ind w:right="120"/>
              <w:spacing w:after="0" w:line="276"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w:t>
            </w:r>
            <w:r>
              <w:rPr>
                <w:rFonts w:ascii="Arial" w:cs="Arial" w:eastAsia="Arial" w:hAnsi="Arial"/>
                <w:sz w:val="16"/>
                <w:szCs w:val="16"/>
                <w:color w:val="auto"/>
              </w:rPr>
              <w:t>$1,025,000</w:t>
            </w:r>
            <w:r>
              <w:rPr>
                <w:rFonts w:ascii="Arial" w:cs="Arial" w:eastAsia="Arial" w:hAnsi="Arial"/>
                <w:sz w:val="32"/>
                <w:szCs w:val="32"/>
                <w:color w:val="auto"/>
                <w:vertAlign w:val="subscript"/>
              </w:rPr>
              <w:t>​​​</w:t>
            </w:r>
          </w:p>
        </w:tc>
        <w:tc>
          <w:tcPr>
            <w:tcW w:w="440" w:type="dxa"/>
            <w:vAlign w:val="bottom"/>
          </w:tcPr>
          <w:p>
            <w:pPr>
              <w:ind w:left="120"/>
              <w:spacing w:after="0" w:line="276" w:lineRule="exact"/>
              <w:rPr>
                <w:sz w:val="20"/>
                <w:szCs w:val="20"/>
                <w:color w:val="auto"/>
              </w:rPr>
            </w:pPr>
            <w:r>
              <w:rPr>
                <w:rFonts w:ascii="Arial" w:cs="Arial" w:eastAsia="Arial" w:hAnsi="Arial"/>
                <w:sz w:val="16"/>
                <w:szCs w:val="16"/>
                <w:color w:val="auto"/>
              </w:rPr>
              <w:t xml:space="preserve">​ </w:t>
            </w:r>
            <w:r>
              <w:rPr>
                <w:rFonts w:ascii="Arial" w:cs="Arial" w:eastAsia="Arial" w:hAnsi="Arial"/>
                <w:sz w:val="32"/>
                <w:szCs w:val="32"/>
                <w:color w:val="auto"/>
                <w:vertAlign w:val="superscript"/>
              </w:rPr>
              <w:t>​</w:t>
            </w:r>
          </w:p>
        </w:tc>
        <w:tc>
          <w:tcPr>
            <w:tcW w:w="560" w:type="dxa"/>
            <w:vAlign w:val="bottom"/>
            <w:gridSpan w:val="3"/>
          </w:tcPr>
          <w:p>
            <w:pPr>
              <w:jc w:val="right"/>
              <w:ind w:right="20"/>
              <w:spacing w:after="0" w:line="276"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780" w:type="dxa"/>
            <w:vAlign w:val="bottom"/>
            <w:gridSpan w:val="2"/>
          </w:tcPr>
          <w:p>
            <w:pPr>
              <w:jc w:val="right"/>
              <w:spacing w:after="0" w:line="276" w:lineRule="exact"/>
              <w:rPr>
                <w:sz w:val="20"/>
                <w:szCs w:val="20"/>
                <w:color w:val="auto"/>
              </w:rPr>
            </w:pPr>
            <w:r>
              <w:rPr>
                <w:rFonts w:ascii="Arial" w:cs="Arial" w:eastAsia="Arial" w:hAnsi="Arial"/>
                <w:sz w:val="16"/>
                <w:szCs w:val="16"/>
                <w:color w:val="auto"/>
              </w:rPr>
              <w:t>1,025,000</w:t>
            </w:r>
            <w:r>
              <w:rPr>
                <w:rFonts w:ascii="Arial" w:cs="Arial" w:eastAsia="Arial" w:hAnsi="Arial"/>
                <w:sz w:val="32"/>
                <w:szCs w:val="32"/>
                <w:color w:val="auto"/>
                <w:vertAlign w:val="subscript"/>
              </w:rPr>
              <w:t>​</w:t>
            </w:r>
          </w:p>
        </w:tc>
        <w:tc>
          <w:tcPr>
            <w:tcW w:w="0" w:type="dxa"/>
            <w:vAlign w:val="bottom"/>
          </w:tcPr>
          <w:p>
            <w:pPr>
              <w:spacing w:after="0"/>
              <w:rPr>
                <w:sz w:val="1"/>
                <w:szCs w:val="1"/>
                <w:color w:val="auto"/>
              </w:rPr>
            </w:pPr>
          </w:p>
        </w:tc>
      </w:tr>
      <w:tr>
        <w:trPr>
          <w:trHeight w:val="20"/>
        </w:trPr>
        <w:tc>
          <w:tcPr>
            <w:tcW w:w="518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1F2668"/>
          </w:tcPr>
          <w:p>
            <w:pPr>
              <w:spacing w:after="0" w:line="20" w:lineRule="exact"/>
              <w:rPr>
                <w:sz w:val="1"/>
                <w:szCs w:val="1"/>
                <w:color w:val="auto"/>
              </w:rPr>
            </w:pPr>
          </w:p>
        </w:tc>
        <w:tc>
          <w:tcPr>
            <w:tcW w:w="420" w:type="dxa"/>
            <w:vAlign w:val="bottom"/>
            <w:shd w:val="clear" w:color="auto" w:fill="1F266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1F2668"/>
          </w:tcPr>
          <w:p>
            <w:pPr>
              <w:spacing w:after="0" w:line="20" w:lineRule="exact"/>
              <w:rPr>
                <w:sz w:val="1"/>
                <w:szCs w:val="1"/>
                <w:color w:val="auto"/>
              </w:rPr>
            </w:pPr>
          </w:p>
        </w:tc>
        <w:tc>
          <w:tcPr>
            <w:tcW w:w="100" w:type="dxa"/>
            <w:vAlign w:val="bottom"/>
            <w:shd w:val="clear" w:color="auto" w:fill="1F2668"/>
          </w:tcPr>
          <w:p>
            <w:pPr>
              <w:spacing w:after="0" w:line="20" w:lineRule="exact"/>
              <w:rPr>
                <w:sz w:val="1"/>
                <w:szCs w:val="1"/>
                <w:color w:val="auto"/>
              </w:rPr>
            </w:pPr>
          </w:p>
        </w:tc>
        <w:tc>
          <w:tcPr>
            <w:tcW w:w="64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1F2668"/>
          </w:tcPr>
          <w:p>
            <w:pPr>
              <w:spacing w:after="0" w:line="20" w:lineRule="exact"/>
              <w:rPr>
                <w:sz w:val="1"/>
                <w:szCs w:val="1"/>
                <w:color w:val="auto"/>
              </w:rPr>
            </w:pPr>
          </w:p>
        </w:tc>
        <w:tc>
          <w:tcPr>
            <w:tcW w:w="440" w:type="dxa"/>
            <w:vAlign w:val="bottom"/>
            <w:shd w:val="clear" w:color="auto" w:fill="1F2668"/>
          </w:tcPr>
          <w:p>
            <w:pPr>
              <w:spacing w:after="0" w:line="20" w:lineRule="exact"/>
              <w:rPr>
                <w:sz w:val="1"/>
                <w:szCs w:val="1"/>
                <w:color w:val="auto"/>
              </w:rPr>
            </w:pPr>
          </w:p>
        </w:tc>
        <w:tc>
          <w:tcPr>
            <w:tcW w:w="320" w:type="dxa"/>
            <w:vAlign w:val="bottom"/>
            <w:shd w:val="clear" w:color="auto" w:fill="1F266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1F2668"/>
          </w:tcPr>
          <w:p>
            <w:pPr>
              <w:spacing w:after="0" w:line="20" w:lineRule="exact"/>
              <w:rPr>
                <w:sz w:val="1"/>
                <w:szCs w:val="1"/>
                <w:color w:val="auto"/>
              </w:rPr>
            </w:pPr>
          </w:p>
        </w:tc>
        <w:tc>
          <w:tcPr>
            <w:tcW w:w="720" w:type="dxa"/>
            <w:vAlign w:val="bottom"/>
            <w:shd w:val="clear" w:color="auto" w:fill="1F2668"/>
          </w:tcPr>
          <w:p>
            <w:pPr>
              <w:spacing w:after="0" w:line="20" w:lineRule="exact"/>
              <w:rPr>
                <w:sz w:val="1"/>
                <w:szCs w:val="1"/>
                <w:color w:val="auto"/>
              </w:rPr>
            </w:pPr>
          </w:p>
        </w:tc>
        <w:tc>
          <w:tcPr>
            <w:tcW w:w="60" w:type="dxa"/>
            <w:vAlign w:val="bottom"/>
            <w:tcBorders>
              <w:left w:val="single" w:sz="8" w:color="1F266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left="1180" w:right="60" w:hanging="364"/>
        <w:spacing w:after="0" w:line="293" w:lineRule="auto"/>
        <w:tabs>
          <w:tab w:leader="none" w:pos="11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Represents an adjustment to 2024 cash bonus amounts earned based on actual 2023 performance. Each year, we determine the formulaic component of annual cash bonuses in December based on projected results, which may result in adjustments if actual results differ from our projections.</w:t>
      </w:r>
    </w:p>
    <w:p>
      <w:pPr>
        <w:spacing w:after="0" w:line="161"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1F2668"/>
        </w:rPr>
        <w:t>ANNUAL EQUITY AWARDS</w:t>
      </w:r>
    </w:p>
    <w:p>
      <w:pPr>
        <w:spacing w:after="0" w:line="181" w:lineRule="exact"/>
        <w:rPr>
          <w:sz w:val="20"/>
          <w:szCs w:val="20"/>
          <w:color w:val="auto"/>
        </w:rPr>
      </w:pPr>
    </w:p>
    <w:p>
      <w:pPr>
        <w:ind w:left="820" w:right="80"/>
        <w:spacing w:after="0" w:line="314" w:lineRule="auto"/>
        <w:rPr>
          <w:sz w:val="20"/>
          <w:szCs w:val="20"/>
          <w:color w:val="auto"/>
        </w:rPr>
      </w:pPr>
      <w:r>
        <w:rPr>
          <w:rFonts w:ascii="Arial" w:cs="Arial" w:eastAsia="Arial" w:hAnsi="Arial"/>
          <w:sz w:val="15"/>
          <w:szCs w:val="15"/>
          <w:color w:val="auto"/>
        </w:rPr>
        <w:t xml:space="preserve">We grant our named executive officers performance-based LTIP units and time-based LTIP units annually in connection with their employment agreements and, in some cases, at the discretion of the Committee. For 2024, our annual long-term incentive equity award program consisted of grants of performance-based equity awards with multi-year performance criteria and time-based equity awards that vest based on continued service. We grant performance-based awards </w:t>
      </w:r>
      <w:r>
        <w:rPr>
          <w:rFonts w:ascii="Arial" w:cs="Arial" w:eastAsia="Arial" w:hAnsi="Arial"/>
          <w:sz w:val="15"/>
          <w:szCs w:val="15"/>
          <w:b w:val="1"/>
          <w:bCs w:val="1"/>
          <w:color w:val="auto"/>
        </w:rPr>
        <w:t>prospectively</w:t>
      </w:r>
      <w:r>
        <w:rPr>
          <w:rFonts w:ascii="Arial" w:cs="Arial" w:eastAsia="Arial" w:hAnsi="Arial"/>
          <w:sz w:val="15"/>
          <w:szCs w:val="15"/>
          <w:color w:val="auto"/>
        </w:rPr>
        <w:t xml:space="preserve"> for each compensation year when we establish performance goals to incentivize our executives to deliver accretive value to stockholders. We grant time-based awards </w:t>
      </w:r>
      <w:r>
        <w:rPr>
          <w:rFonts w:ascii="Arial" w:cs="Arial" w:eastAsia="Arial" w:hAnsi="Arial"/>
          <w:sz w:val="15"/>
          <w:szCs w:val="15"/>
          <w:b w:val="1"/>
          <w:bCs w:val="1"/>
          <w:color w:val="auto"/>
        </w:rPr>
        <w:t>retrospectively</w:t>
      </w:r>
      <w:r>
        <w:rPr>
          <w:rFonts w:ascii="Arial" w:cs="Arial" w:eastAsia="Arial" w:hAnsi="Arial"/>
          <w:sz w:val="15"/>
          <w:szCs w:val="15"/>
          <w:color w:val="auto"/>
        </w:rPr>
        <w:t xml:space="preserve"> based on each executive’s contributions to our achievements during the prior year.</w:t>
      </w:r>
    </w:p>
    <w:p>
      <w:pPr>
        <w:spacing w:after="0" w:line="77" w:lineRule="exact"/>
        <w:rPr>
          <w:sz w:val="20"/>
          <w:szCs w:val="20"/>
          <w:color w:val="auto"/>
        </w:rPr>
      </w:pPr>
    </w:p>
    <w:p>
      <w:pPr>
        <w:ind w:left="820" w:right="140"/>
        <w:spacing w:after="0" w:line="307" w:lineRule="auto"/>
        <w:rPr>
          <w:sz w:val="20"/>
          <w:szCs w:val="20"/>
          <w:color w:val="auto"/>
        </w:rPr>
      </w:pPr>
      <w:r>
        <w:rPr>
          <w:rFonts w:ascii="Arial" w:cs="Arial" w:eastAsia="Arial" w:hAnsi="Arial"/>
          <w:sz w:val="16"/>
          <w:szCs w:val="16"/>
          <w:color w:val="auto"/>
        </w:rPr>
        <w:t>The target amounts of performance-based equity awards and time-based equity awards for our named executive officers are set forth in their respective employment agreements. The amounts approved by the Committee for 2024 are set forth below:</w:t>
      </w:r>
    </w:p>
    <w:tbl>
      <w:tblPr>
        <w:tblLayout w:type="fixed"/>
        <w:tblInd w:w="820" w:type="dxa"/>
        <w:tblCellMar>
          <w:top w:w="0" w:type="dxa"/>
          <w:left w:w="0" w:type="dxa"/>
          <w:bottom w:w="0" w:type="dxa"/>
          <w:right w:w="0" w:type="dxa"/>
        </w:tblCellMar>
      </w:tblPr>
      <w:tr>
        <w:trPr>
          <w:trHeight w:val="367"/>
        </w:trPr>
        <w:tc>
          <w:tcPr>
            <w:tcW w:w="5680" w:type="dxa"/>
            <w:vAlign w:val="bottom"/>
          </w:tcPr>
          <w:p>
            <w:pPr>
              <w:spacing w:after="0"/>
              <w:rPr>
                <w:sz w:val="20"/>
                <w:szCs w:val="20"/>
                <w:color w:val="auto"/>
              </w:rPr>
            </w:pPr>
            <w:r>
              <w:rPr>
                <w:rFonts w:ascii="Arial" w:cs="Arial" w:eastAsia="Arial" w:hAnsi="Arial"/>
                <w:sz w:val="14"/>
                <w:szCs w:val="14"/>
                <w:color w:val="1F2668"/>
              </w:rPr>
              <w:t>Executive</w:t>
            </w:r>
          </w:p>
        </w:tc>
        <w:tc>
          <w:tcPr>
            <w:tcW w:w="2600" w:type="dxa"/>
            <w:vAlign w:val="bottom"/>
            <w:gridSpan w:val="9"/>
          </w:tcPr>
          <w:p>
            <w:pPr>
              <w:ind w:left="20"/>
              <w:spacing w:after="0"/>
              <w:rPr>
                <w:sz w:val="20"/>
                <w:szCs w:val="20"/>
                <w:color w:val="auto"/>
              </w:rPr>
            </w:pPr>
            <w:r>
              <w:rPr>
                <w:rFonts w:ascii="Arial" w:cs="Arial" w:eastAsia="Arial" w:hAnsi="Arial"/>
                <w:sz w:val="28"/>
                <w:szCs w:val="28"/>
                <w:color w:val="1F2668"/>
                <w:vertAlign w:val="subscript"/>
              </w:rPr>
              <w:t>​​</w:t>
            </w:r>
            <w:r>
              <w:rPr>
                <w:rFonts w:ascii="Arial" w:cs="Arial" w:eastAsia="Arial" w:hAnsi="Arial"/>
                <w:sz w:val="14"/>
                <w:szCs w:val="14"/>
                <w:color w:val="1F2668"/>
              </w:rPr>
              <w:t xml:space="preserve">Performance-Based </w:t>
            </w:r>
            <w:r>
              <w:rPr>
                <w:rFonts w:ascii="Arial" w:cs="Arial" w:eastAsia="Arial" w:hAnsi="Arial"/>
                <w:sz w:val="28"/>
                <w:szCs w:val="28"/>
                <w:color w:val="1F2668"/>
                <w:vertAlign w:val="subscript"/>
              </w:rPr>
              <w:t>​​</w:t>
            </w:r>
            <w:r>
              <w:rPr>
                <w:rFonts w:ascii="Arial" w:cs="Arial" w:eastAsia="Arial" w:hAnsi="Arial"/>
                <w:sz w:val="14"/>
                <w:szCs w:val="14"/>
                <w:color w:val="1F2668"/>
              </w:rPr>
              <w:t xml:space="preserve"> Time-Based </w:t>
            </w:r>
            <w:r>
              <w:rPr>
                <w:rFonts w:ascii="Arial" w:cs="Arial" w:eastAsia="Arial" w:hAnsi="Arial"/>
                <w:sz w:val="28"/>
                <w:szCs w:val="28"/>
                <w:color w:val="1F2668"/>
                <w:vertAlign w:val="subscript"/>
              </w:rPr>
              <w:t>​​</w:t>
            </w:r>
          </w:p>
        </w:tc>
        <w:tc>
          <w:tcPr>
            <w:tcW w:w="780" w:type="dxa"/>
            <w:vAlign w:val="bottom"/>
          </w:tcPr>
          <w:p>
            <w:pPr>
              <w:ind w:left="160"/>
              <w:spacing w:after="0"/>
              <w:rPr>
                <w:sz w:val="20"/>
                <w:szCs w:val="20"/>
                <w:color w:val="auto"/>
              </w:rPr>
            </w:pPr>
            <w:r>
              <w:rPr>
                <w:rFonts w:ascii="Arial" w:cs="Arial" w:eastAsia="Arial" w:hAnsi="Arial"/>
                <w:sz w:val="14"/>
                <w:szCs w:val="14"/>
                <w:color w:val="1F2668"/>
              </w:rPr>
              <w:t>Total</w:t>
            </w:r>
          </w:p>
        </w:tc>
        <w:tc>
          <w:tcPr>
            <w:tcW w:w="60" w:type="dxa"/>
            <w:vAlign w:val="bottom"/>
          </w:tcPr>
          <w:p>
            <w:pPr>
              <w:jc w:val="right"/>
              <w:spacing w:after="0"/>
              <w:rPr>
                <w:sz w:val="20"/>
                <w:szCs w:val="20"/>
                <w:color w:val="auto"/>
              </w:rPr>
            </w:pPr>
            <w:r>
              <w:rPr>
                <w:rFonts w:ascii="Arial" w:cs="Arial" w:eastAsia="Arial" w:hAnsi="Arial"/>
                <w:sz w:val="14"/>
                <w:szCs w:val="14"/>
                <w:color w:val="1F2668"/>
              </w:rPr>
              <w:t>​</w:t>
            </w:r>
          </w:p>
        </w:tc>
      </w:tr>
      <w:tr>
        <w:trPr>
          <w:trHeight w:val="20"/>
        </w:trPr>
        <w:tc>
          <w:tcPr>
            <w:tcW w:w="568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1F2668"/>
          </w:tcPr>
          <w:p>
            <w:pPr>
              <w:spacing w:after="0" w:line="20" w:lineRule="exact"/>
              <w:rPr>
                <w:sz w:val="1"/>
                <w:szCs w:val="1"/>
                <w:color w:val="auto"/>
              </w:rPr>
            </w:pPr>
          </w:p>
        </w:tc>
        <w:tc>
          <w:tcPr>
            <w:tcW w:w="1040" w:type="dxa"/>
            <w:vAlign w:val="bottom"/>
            <w:gridSpan w:val="2"/>
            <w:shd w:val="clear" w:color="auto" w:fill="1F266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1F2668"/>
          </w:tcPr>
          <w:p>
            <w:pPr>
              <w:spacing w:after="0" w:line="20" w:lineRule="exact"/>
              <w:rPr>
                <w:sz w:val="1"/>
                <w:szCs w:val="1"/>
                <w:color w:val="auto"/>
              </w:rPr>
            </w:pPr>
          </w:p>
        </w:tc>
        <w:tc>
          <w:tcPr>
            <w:tcW w:w="720" w:type="dxa"/>
            <w:vAlign w:val="bottom"/>
            <w:shd w:val="clear" w:color="auto" w:fill="1F266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shd w:val="clear" w:color="auto" w:fill="1F266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5680" w:type="dxa"/>
            <w:vAlign w:val="bottom"/>
          </w:tcPr>
          <w:p>
            <w:pPr>
              <w:spacing w:after="0"/>
              <w:rPr>
                <w:sz w:val="20"/>
                <w:szCs w:val="20"/>
                <w:color w:val="auto"/>
              </w:rPr>
            </w:pPr>
            <w:r>
              <w:rPr>
                <w:rFonts w:ascii="Arial" w:cs="Arial" w:eastAsia="Arial" w:hAnsi="Arial"/>
                <w:sz w:val="16"/>
                <w:szCs w:val="16"/>
                <w:b w:val="1"/>
                <w:bCs w:val="1"/>
                <w:color w:val="auto"/>
              </w:rPr>
              <w:t>Marc Holliday</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280" w:type="dxa"/>
            <w:vAlign w:val="bottom"/>
            <w:gridSpan w:val="4"/>
          </w:tcPr>
          <w:p>
            <w:pPr>
              <w:jc w:val="right"/>
              <w:ind w:right="2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$7,500,000</w:t>
            </w:r>
            <w:r>
              <w:rPr>
                <w:rFonts w:ascii="Arial" w:cs="Arial" w:eastAsia="Arial" w:hAnsi="Arial"/>
                <w:sz w:val="32"/>
                <w:szCs w:val="32"/>
                <w:color w:val="auto"/>
                <w:vertAlign w:val="subscript"/>
              </w:rPr>
              <w:t>​​​​</w:t>
            </w:r>
            <w:r>
              <w:rPr>
                <w:rFonts w:ascii="Arial" w:cs="Arial" w:eastAsia="Arial" w:hAnsi="Arial"/>
                <w:sz w:val="16"/>
                <w:szCs w:val="16"/>
                <w:color w:val="auto"/>
              </w:rPr>
              <w:t>$</w:t>
            </w:r>
          </w:p>
        </w:tc>
        <w:tc>
          <w:tcPr>
            <w:tcW w:w="1820" w:type="dxa"/>
            <w:vAlign w:val="bottom"/>
            <w:gridSpan w:val="5"/>
          </w:tcPr>
          <w:p>
            <w:pPr>
              <w:jc w:val="right"/>
              <w:spacing w:after="0" w:line="276" w:lineRule="exact"/>
              <w:rPr>
                <w:sz w:val="20"/>
                <w:szCs w:val="20"/>
                <w:color w:val="auto"/>
              </w:rPr>
            </w:pPr>
            <w:r>
              <w:rPr>
                <w:rFonts w:ascii="Arial" w:cs="Arial" w:eastAsia="Arial" w:hAnsi="Arial"/>
                <w:sz w:val="16"/>
                <w:szCs w:val="16"/>
                <w:color w:val="auto"/>
              </w:rPr>
              <w:t>7,875,000</w:t>
            </w:r>
            <w:r>
              <w:rPr>
                <w:rFonts w:ascii="Arial" w:cs="Arial" w:eastAsia="Arial" w:hAnsi="Arial"/>
                <w:sz w:val="32"/>
                <w:szCs w:val="32"/>
                <w:color w:val="auto"/>
                <w:vertAlign w:val="subscript"/>
              </w:rPr>
              <w:t>​​​​</w:t>
            </w:r>
            <w:r>
              <w:rPr>
                <w:rFonts w:ascii="Arial" w:cs="Arial" w:eastAsia="Arial" w:hAnsi="Arial"/>
                <w:sz w:val="16"/>
                <w:szCs w:val="16"/>
                <w:color w:val="auto"/>
              </w:rPr>
              <w:t>$ 15,375,000</w:t>
            </w:r>
            <w:r>
              <w:rPr>
                <w:rFonts w:ascii="Arial" w:cs="Arial" w:eastAsia="Arial" w:hAnsi="Arial"/>
                <w:sz w:val="32"/>
                <w:szCs w:val="32"/>
                <w:color w:val="auto"/>
                <w:vertAlign w:val="subscript"/>
              </w:rPr>
              <w:t>​</w:t>
            </w:r>
          </w:p>
        </w:tc>
      </w:tr>
      <w:tr>
        <w:trPr>
          <w:trHeight w:val="20"/>
        </w:trPr>
        <w:tc>
          <w:tcPr>
            <w:tcW w:w="568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4B5088"/>
          </w:tcPr>
          <w:p>
            <w:pPr>
              <w:spacing w:after="0" w:line="20" w:lineRule="exact"/>
              <w:rPr>
                <w:sz w:val="1"/>
                <w:szCs w:val="1"/>
                <w:color w:val="auto"/>
              </w:rPr>
            </w:pPr>
          </w:p>
        </w:tc>
        <w:tc>
          <w:tcPr>
            <w:tcW w:w="400" w:type="dxa"/>
            <w:vAlign w:val="bottom"/>
            <w:shd w:val="clear" w:color="auto" w:fill="4B5088"/>
          </w:tcPr>
          <w:p>
            <w:pPr>
              <w:spacing w:after="0" w:line="20" w:lineRule="exact"/>
              <w:rPr>
                <w:sz w:val="1"/>
                <w:szCs w:val="1"/>
                <w:color w:val="auto"/>
              </w:rPr>
            </w:pPr>
          </w:p>
        </w:tc>
        <w:tc>
          <w:tcPr>
            <w:tcW w:w="64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4B5088"/>
          </w:tcPr>
          <w:p>
            <w:pPr>
              <w:spacing w:after="0" w:line="20" w:lineRule="exact"/>
              <w:rPr>
                <w:sz w:val="1"/>
                <w:szCs w:val="1"/>
                <w:color w:val="auto"/>
              </w:rPr>
            </w:pPr>
          </w:p>
        </w:tc>
        <w:tc>
          <w:tcPr>
            <w:tcW w:w="720" w:type="dxa"/>
            <w:vAlign w:val="bottom"/>
            <w:shd w:val="clear" w:color="auto" w:fill="4B5088"/>
          </w:tcPr>
          <w:p>
            <w:pPr>
              <w:spacing w:after="0" w:line="20" w:lineRule="exact"/>
              <w:rPr>
                <w:sz w:val="1"/>
                <w:szCs w:val="1"/>
                <w:color w:val="auto"/>
              </w:rPr>
            </w:pPr>
          </w:p>
        </w:tc>
        <w:tc>
          <w:tcPr>
            <w:tcW w:w="120" w:type="dxa"/>
            <w:vAlign w:val="bottom"/>
            <w:tcBorders>
              <w:right w:val="single" w:sz="8" w:color="4B5088"/>
            </w:tcBorders>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780" w:type="dxa"/>
            <w:vAlign w:val="bottom"/>
            <w:shd w:val="clear" w:color="auto" w:fill="4B5088"/>
          </w:tcPr>
          <w:p>
            <w:pPr>
              <w:spacing w:after="0" w:line="20" w:lineRule="exact"/>
              <w:rPr>
                <w:sz w:val="1"/>
                <w:szCs w:val="1"/>
                <w:color w:val="auto"/>
              </w:rPr>
            </w:pPr>
          </w:p>
        </w:tc>
        <w:tc>
          <w:tcPr>
            <w:tcW w:w="60" w:type="dxa"/>
            <w:vAlign w:val="bottom"/>
            <w:tcBorders>
              <w:left w:val="single" w:sz="8" w:color="4B5088"/>
            </w:tcBorders>
          </w:tcPr>
          <w:p>
            <w:pPr>
              <w:spacing w:after="0" w:line="20" w:lineRule="exact"/>
              <w:rPr>
                <w:sz w:val="1"/>
                <w:szCs w:val="1"/>
                <w:color w:val="auto"/>
              </w:rPr>
            </w:pPr>
          </w:p>
        </w:tc>
      </w:tr>
      <w:tr>
        <w:trPr>
          <w:trHeight w:val="277"/>
        </w:trPr>
        <w:tc>
          <w:tcPr>
            <w:tcW w:w="5680" w:type="dxa"/>
            <w:vAlign w:val="bottom"/>
          </w:tcPr>
          <w:p>
            <w:pPr>
              <w:spacing w:after="0"/>
              <w:rPr>
                <w:sz w:val="20"/>
                <w:szCs w:val="20"/>
                <w:color w:val="auto"/>
              </w:rPr>
            </w:pPr>
            <w:r>
              <w:rPr>
                <w:rFonts w:ascii="Arial" w:cs="Arial" w:eastAsia="Arial" w:hAnsi="Arial"/>
                <w:sz w:val="16"/>
                <w:szCs w:val="16"/>
                <w:b w:val="1"/>
                <w:bCs w:val="1"/>
                <w:color w:val="auto"/>
              </w:rPr>
              <w:t>Matthew J. DiLiberto</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400" w:type="dxa"/>
            <w:vAlign w:val="bottom"/>
          </w:tcPr>
          <w:p>
            <w:pPr>
              <w:ind w:left="22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w:t>
            </w:r>
          </w:p>
        </w:tc>
        <w:tc>
          <w:tcPr>
            <w:tcW w:w="880" w:type="dxa"/>
            <w:vAlign w:val="bottom"/>
            <w:gridSpan w:val="3"/>
          </w:tcPr>
          <w:p>
            <w:pPr>
              <w:jc w:val="right"/>
              <w:ind w:right="20"/>
              <w:spacing w:after="0" w:line="276" w:lineRule="exact"/>
              <w:rPr>
                <w:sz w:val="20"/>
                <w:szCs w:val="20"/>
                <w:color w:val="auto"/>
              </w:rPr>
            </w:pPr>
            <w:r>
              <w:rPr>
                <w:rFonts w:ascii="Arial" w:cs="Arial" w:eastAsia="Arial" w:hAnsi="Arial"/>
                <w:sz w:val="16"/>
                <w:szCs w:val="16"/>
                <w:color w:val="auto"/>
              </w:rPr>
              <w:t>555,556</w:t>
            </w:r>
            <w:r>
              <w:rPr>
                <w:rFonts w:ascii="Arial" w:cs="Arial" w:eastAsia="Arial" w:hAnsi="Arial"/>
                <w:sz w:val="32"/>
                <w:szCs w:val="32"/>
                <w:color w:val="auto"/>
                <w:vertAlign w:val="subscript"/>
              </w:rPr>
              <w:t>​​​​</w:t>
            </w:r>
            <w:r>
              <w:rPr>
                <w:rFonts w:ascii="Arial" w:cs="Arial" w:eastAsia="Arial" w:hAnsi="Arial"/>
                <w:sz w:val="16"/>
                <w:szCs w:val="16"/>
                <w:color w:val="auto"/>
              </w:rPr>
              <w:t>$</w:t>
            </w:r>
          </w:p>
        </w:tc>
        <w:tc>
          <w:tcPr>
            <w:tcW w:w="980" w:type="dxa"/>
            <w:vAlign w:val="bottom"/>
            <w:gridSpan w:val="3"/>
          </w:tcPr>
          <w:p>
            <w:pPr>
              <w:spacing w:after="0" w:line="276" w:lineRule="exact"/>
              <w:rPr>
                <w:sz w:val="20"/>
                <w:szCs w:val="20"/>
                <w:color w:val="auto"/>
              </w:rPr>
            </w:pPr>
            <w:r>
              <w:rPr>
                <w:rFonts w:ascii="Arial" w:cs="Arial" w:eastAsia="Arial" w:hAnsi="Arial"/>
                <w:sz w:val="16"/>
                <w:szCs w:val="16"/>
                <w:color w:val="auto"/>
              </w:rPr>
              <w:t>2,100,000</w:t>
            </w:r>
            <w:r>
              <w:rPr>
                <w:rFonts w:ascii="Arial" w:cs="Arial" w:eastAsia="Arial" w:hAnsi="Arial"/>
                <w:sz w:val="32"/>
                <w:szCs w:val="32"/>
                <w:color w:val="auto"/>
                <w:vertAlign w:val="subscript"/>
              </w:rPr>
              <w:t>​​​​</w:t>
            </w:r>
            <w:r>
              <w:rPr>
                <w:rFonts w:ascii="Arial" w:cs="Arial" w:eastAsia="Arial" w:hAnsi="Arial"/>
                <w:sz w:val="16"/>
                <w:szCs w:val="16"/>
                <w:color w:val="auto"/>
              </w:rPr>
              <w:t>$</w:t>
            </w:r>
          </w:p>
        </w:tc>
        <w:tc>
          <w:tcPr>
            <w:tcW w:w="840" w:type="dxa"/>
            <w:vAlign w:val="bottom"/>
            <w:gridSpan w:val="2"/>
          </w:tcPr>
          <w:p>
            <w:pPr>
              <w:jc w:val="right"/>
              <w:spacing w:after="0" w:line="276" w:lineRule="exact"/>
              <w:rPr>
                <w:sz w:val="20"/>
                <w:szCs w:val="20"/>
                <w:color w:val="auto"/>
              </w:rPr>
            </w:pPr>
            <w:r>
              <w:rPr>
                <w:rFonts w:ascii="Arial" w:cs="Arial" w:eastAsia="Arial" w:hAnsi="Arial"/>
                <w:sz w:val="16"/>
                <w:szCs w:val="16"/>
                <w:color w:val="auto"/>
              </w:rPr>
              <w:t>2,655,556</w:t>
            </w:r>
            <w:r>
              <w:rPr>
                <w:rFonts w:ascii="Arial" w:cs="Arial" w:eastAsia="Arial" w:hAnsi="Arial"/>
                <w:sz w:val="32"/>
                <w:szCs w:val="32"/>
                <w:color w:val="auto"/>
                <w:vertAlign w:val="subscript"/>
              </w:rPr>
              <w:t>​</w:t>
            </w:r>
          </w:p>
        </w:tc>
      </w:tr>
      <w:tr>
        <w:trPr>
          <w:trHeight w:val="20"/>
        </w:trPr>
        <w:tc>
          <w:tcPr>
            <w:tcW w:w="568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4B5088"/>
          </w:tcPr>
          <w:p>
            <w:pPr>
              <w:spacing w:after="0" w:line="20" w:lineRule="exact"/>
              <w:rPr>
                <w:sz w:val="1"/>
                <w:szCs w:val="1"/>
                <w:color w:val="auto"/>
              </w:rPr>
            </w:pPr>
          </w:p>
        </w:tc>
        <w:tc>
          <w:tcPr>
            <w:tcW w:w="400" w:type="dxa"/>
            <w:vAlign w:val="bottom"/>
            <w:shd w:val="clear" w:color="auto" w:fill="4B5088"/>
          </w:tcPr>
          <w:p>
            <w:pPr>
              <w:spacing w:after="0" w:line="20" w:lineRule="exact"/>
              <w:rPr>
                <w:sz w:val="1"/>
                <w:szCs w:val="1"/>
                <w:color w:val="auto"/>
              </w:rPr>
            </w:pPr>
          </w:p>
        </w:tc>
        <w:tc>
          <w:tcPr>
            <w:tcW w:w="64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4B5088"/>
          </w:tcPr>
          <w:p>
            <w:pPr>
              <w:spacing w:after="0" w:line="20" w:lineRule="exact"/>
              <w:rPr>
                <w:sz w:val="1"/>
                <w:szCs w:val="1"/>
                <w:color w:val="auto"/>
              </w:rPr>
            </w:pPr>
          </w:p>
        </w:tc>
        <w:tc>
          <w:tcPr>
            <w:tcW w:w="720" w:type="dxa"/>
            <w:vAlign w:val="bottom"/>
            <w:shd w:val="clear" w:color="auto" w:fill="4B5088"/>
          </w:tcPr>
          <w:p>
            <w:pPr>
              <w:spacing w:after="0" w:line="20" w:lineRule="exact"/>
              <w:rPr>
                <w:sz w:val="1"/>
                <w:szCs w:val="1"/>
                <w:color w:val="auto"/>
              </w:rPr>
            </w:pPr>
          </w:p>
        </w:tc>
        <w:tc>
          <w:tcPr>
            <w:tcW w:w="120" w:type="dxa"/>
            <w:vAlign w:val="bottom"/>
            <w:tcBorders>
              <w:right w:val="single" w:sz="8" w:color="4B5088"/>
            </w:tcBorders>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780" w:type="dxa"/>
            <w:vAlign w:val="bottom"/>
            <w:shd w:val="clear" w:color="auto" w:fill="4B5088"/>
          </w:tcPr>
          <w:p>
            <w:pPr>
              <w:spacing w:after="0" w:line="20" w:lineRule="exact"/>
              <w:rPr>
                <w:sz w:val="1"/>
                <w:szCs w:val="1"/>
                <w:color w:val="auto"/>
              </w:rPr>
            </w:pPr>
          </w:p>
        </w:tc>
        <w:tc>
          <w:tcPr>
            <w:tcW w:w="60" w:type="dxa"/>
            <w:vAlign w:val="bottom"/>
            <w:tcBorders>
              <w:left w:val="single" w:sz="8" w:color="4B5088"/>
            </w:tcBorders>
          </w:tcPr>
          <w:p>
            <w:pPr>
              <w:spacing w:after="0" w:line="20" w:lineRule="exact"/>
              <w:rPr>
                <w:sz w:val="1"/>
                <w:szCs w:val="1"/>
                <w:color w:val="auto"/>
              </w:rPr>
            </w:pPr>
          </w:p>
        </w:tc>
      </w:tr>
      <w:tr>
        <w:trPr>
          <w:trHeight w:val="277"/>
        </w:trPr>
        <w:tc>
          <w:tcPr>
            <w:tcW w:w="5680" w:type="dxa"/>
            <w:vAlign w:val="bottom"/>
          </w:tcPr>
          <w:p>
            <w:pPr>
              <w:spacing w:after="0"/>
              <w:rPr>
                <w:sz w:val="20"/>
                <w:szCs w:val="20"/>
                <w:color w:val="auto"/>
              </w:rPr>
            </w:pPr>
            <w:r>
              <w:rPr>
                <w:rFonts w:ascii="Arial" w:cs="Arial" w:eastAsia="Arial" w:hAnsi="Arial"/>
                <w:sz w:val="16"/>
                <w:szCs w:val="16"/>
                <w:b w:val="1"/>
                <w:bCs w:val="1"/>
                <w:color w:val="auto"/>
              </w:rPr>
              <w:t>Andrew S. Levine</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400" w:type="dxa"/>
            <w:vAlign w:val="bottom"/>
          </w:tcPr>
          <w:p>
            <w:pPr>
              <w:ind w:left="220"/>
              <w:spacing w:after="0" w:line="276"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880" w:type="dxa"/>
            <w:vAlign w:val="bottom"/>
            <w:gridSpan w:val="3"/>
          </w:tcPr>
          <w:p>
            <w:pPr>
              <w:jc w:val="right"/>
              <w:ind w:right="20"/>
              <w:spacing w:after="0" w:line="276" w:lineRule="exact"/>
              <w:rPr>
                <w:sz w:val="20"/>
                <w:szCs w:val="20"/>
                <w:color w:val="auto"/>
              </w:rPr>
            </w:pPr>
            <w:r>
              <w:rPr>
                <w:rFonts w:ascii="Arial" w:cs="Arial" w:eastAsia="Arial" w:hAnsi="Arial"/>
                <w:sz w:val="16"/>
                <w:szCs w:val="16"/>
                <w:color w:val="auto"/>
              </w:rPr>
              <w:t>555,556</w:t>
            </w:r>
            <w:r>
              <w:rPr>
                <w:rFonts w:ascii="Arial" w:cs="Arial" w:eastAsia="Arial" w:hAnsi="Arial"/>
                <w:sz w:val="32"/>
                <w:szCs w:val="32"/>
                <w:color w:val="auto"/>
                <w:vertAlign w:val="subscript"/>
              </w:rPr>
              <w:t>​​​​</w:t>
            </w:r>
            <w:r>
              <w:rPr>
                <w:rFonts w:ascii="Arial" w:cs="Arial" w:eastAsia="Arial" w:hAnsi="Arial"/>
                <w:sz w:val="16"/>
                <w:szCs w:val="16"/>
                <w:color w:val="auto"/>
              </w:rPr>
              <w:t>$</w:t>
            </w:r>
          </w:p>
        </w:tc>
        <w:tc>
          <w:tcPr>
            <w:tcW w:w="980" w:type="dxa"/>
            <w:vAlign w:val="bottom"/>
            <w:gridSpan w:val="3"/>
          </w:tcPr>
          <w:p>
            <w:pPr>
              <w:spacing w:after="0" w:line="276" w:lineRule="exact"/>
              <w:rPr>
                <w:sz w:val="20"/>
                <w:szCs w:val="20"/>
                <w:color w:val="auto"/>
              </w:rPr>
            </w:pPr>
            <w:r>
              <w:rPr>
                <w:rFonts w:ascii="Arial" w:cs="Arial" w:eastAsia="Arial" w:hAnsi="Arial"/>
                <w:sz w:val="16"/>
                <w:szCs w:val="16"/>
                <w:color w:val="auto"/>
              </w:rPr>
              <w:t>1,812,500</w:t>
            </w:r>
            <w:r>
              <w:rPr>
                <w:rFonts w:ascii="Arial" w:cs="Arial" w:eastAsia="Arial" w:hAnsi="Arial"/>
                <w:sz w:val="32"/>
                <w:szCs w:val="32"/>
                <w:color w:val="auto"/>
                <w:vertAlign w:val="subscript"/>
              </w:rPr>
              <w:t>​​​​</w:t>
            </w:r>
            <w:r>
              <w:rPr>
                <w:rFonts w:ascii="Arial" w:cs="Arial" w:eastAsia="Arial" w:hAnsi="Arial"/>
                <w:sz w:val="16"/>
                <w:szCs w:val="16"/>
                <w:color w:val="auto"/>
              </w:rPr>
              <w:t>$</w:t>
            </w:r>
          </w:p>
        </w:tc>
        <w:tc>
          <w:tcPr>
            <w:tcW w:w="840" w:type="dxa"/>
            <w:vAlign w:val="bottom"/>
            <w:gridSpan w:val="2"/>
          </w:tcPr>
          <w:p>
            <w:pPr>
              <w:jc w:val="right"/>
              <w:spacing w:after="0" w:line="276" w:lineRule="exact"/>
              <w:rPr>
                <w:sz w:val="20"/>
                <w:szCs w:val="20"/>
                <w:color w:val="auto"/>
              </w:rPr>
            </w:pPr>
            <w:r>
              <w:rPr>
                <w:rFonts w:ascii="Arial" w:cs="Arial" w:eastAsia="Arial" w:hAnsi="Arial"/>
                <w:sz w:val="16"/>
                <w:szCs w:val="16"/>
                <w:color w:val="auto"/>
              </w:rPr>
              <w:t>2,368,056</w:t>
            </w:r>
            <w:r>
              <w:rPr>
                <w:rFonts w:ascii="Arial" w:cs="Arial" w:eastAsia="Arial" w:hAnsi="Arial"/>
                <w:sz w:val="32"/>
                <w:szCs w:val="32"/>
                <w:color w:val="auto"/>
                <w:vertAlign w:val="subscript"/>
              </w:rPr>
              <w:t>​</w:t>
            </w:r>
          </w:p>
        </w:tc>
      </w:tr>
      <w:tr>
        <w:trPr>
          <w:trHeight w:val="20"/>
        </w:trPr>
        <w:tc>
          <w:tcPr>
            <w:tcW w:w="568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1F2668"/>
          </w:tcPr>
          <w:p>
            <w:pPr>
              <w:spacing w:after="0" w:line="20" w:lineRule="exact"/>
              <w:rPr>
                <w:sz w:val="1"/>
                <w:szCs w:val="1"/>
                <w:color w:val="auto"/>
              </w:rPr>
            </w:pPr>
          </w:p>
        </w:tc>
        <w:tc>
          <w:tcPr>
            <w:tcW w:w="400" w:type="dxa"/>
            <w:vAlign w:val="bottom"/>
            <w:shd w:val="clear" w:color="auto" w:fill="1F2668"/>
          </w:tcPr>
          <w:p>
            <w:pPr>
              <w:spacing w:after="0" w:line="20" w:lineRule="exact"/>
              <w:rPr>
                <w:sz w:val="1"/>
                <w:szCs w:val="1"/>
                <w:color w:val="auto"/>
              </w:rPr>
            </w:pPr>
          </w:p>
        </w:tc>
        <w:tc>
          <w:tcPr>
            <w:tcW w:w="640" w:type="dxa"/>
            <w:vAlign w:val="bottom"/>
            <w:shd w:val="clear" w:color="auto" w:fill="1F266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1F2668"/>
          </w:tcPr>
          <w:p>
            <w:pPr>
              <w:spacing w:after="0" w:line="20" w:lineRule="exact"/>
              <w:rPr>
                <w:sz w:val="1"/>
                <w:szCs w:val="1"/>
                <w:color w:val="auto"/>
              </w:rPr>
            </w:pPr>
          </w:p>
        </w:tc>
        <w:tc>
          <w:tcPr>
            <w:tcW w:w="720" w:type="dxa"/>
            <w:vAlign w:val="bottom"/>
            <w:shd w:val="clear" w:color="auto" w:fill="1F2668"/>
          </w:tcPr>
          <w:p>
            <w:pPr>
              <w:spacing w:after="0" w:line="20" w:lineRule="exact"/>
              <w:rPr>
                <w:sz w:val="1"/>
                <w:szCs w:val="1"/>
                <w:color w:val="auto"/>
              </w:rPr>
            </w:pPr>
          </w:p>
        </w:tc>
        <w:tc>
          <w:tcPr>
            <w:tcW w:w="120" w:type="dxa"/>
            <w:vAlign w:val="bottom"/>
            <w:tcBorders>
              <w:right w:val="single" w:sz="8" w:color="1F2668"/>
            </w:tcBorders>
          </w:tcPr>
          <w:p>
            <w:pPr>
              <w:spacing w:after="0" w:line="20" w:lineRule="exact"/>
              <w:rPr>
                <w:sz w:val="1"/>
                <w:szCs w:val="1"/>
                <w:color w:val="auto"/>
              </w:rPr>
            </w:pPr>
          </w:p>
        </w:tc>
        <w:tc>
          <w:tcPr>
            <w:tcW w:w="140" w:type="dxa"/>
            <w:vAlign w:val="bottom"/>
            <w:shd w:val="clear" w:color="auto" w:fill="1F2668"/>
          </w:tcPr>
          <w:p>
            <w:pPr>
              <w:spacing w:after="0" w:line="20" w:lineRule="exact"/>
              <w:rPr>
                <w:sz w:val="1"/>
                <w:szCs w:val="1"/>
                <w:color w:val="auto"/>
              </w:rPr>
            </w:pPr>
          </w:p>
        </w:tc>
        <w:tc>
          <w:tcPr>
            <w:tcW w:w="780" w:type="dxa"/>
            <w:vAlign w:val="bottom"/>
            <w:shd w:val="clear" w:color="auto" w:fill="1F2668"/>
          </w:tcPr>
          <w:p>
            <w:pPr>
              <w:spacing w:after="0" w:line="20" w:lineRule="exact"/>
              <w:rPr>
                <w:sz w:val="1"/>
                <w:szCs w:val="1"/>
                <w:color w:val="auto"/>
              </w:rPr>
            </w:pPr>
          </w:p>
        </w:tc>
        <w:tc>
          <w:tcPr>
            <w:tcW w:w="60" w:type="dxa"/>
            <w:vAlign w:val="bottom"/>
            <w:tcBorders>
              <w:left w:val="single" w:sz="8" w:color="1F2668"/>
            </w:tcBorders>
          </w:tcPr>
          <w:p>
            <w:pPr>
              <w:spacing w:after="0" w:line="20" w:lineRule="exact"/>
              <w:rPr>
                <w:sz w:val="1"/>
                <w:szCs w:val="1"/>
                <w:color w:val="auto"/>
              </w:rPr>
            </w:pPr>
          </w:p>
        </w:tc>
      </w:tr>
    </w:tbl>
    <w:p>
      <w:pPr>
        <w:spacing w:after="0" w:line="269" w:lineRule="exact"/>
        <w:rPr>
          <w:sz w:val="20"/>
          <w:szCs w:val="20"/>
          <w:color w:val="auto"/>
        </w:rPr>
      </w:pPr>
    </w:p>
    <w:p>
      <w:pPr>
        <w:ind w:left="820" w:right="120"/>
        <w:spacing w:after="0" w:line="259" w:lineRule="auto"/>
        <w:rPr>
          <w:sz w:val="20"/>
          <w:szCs w:val="20"/>
          <w:color w:val="auto"/>
        </w:rPr>
      </w:pPr>
      <w:r>
        <w:rPr>
          <w:rFonts w:ascii="Arial" w:cs="Arial" w:eastAsia="Arial" w:hAnsi="Arial"/>
          <w:sz w:val="16"/>
          <w:szCs w:val="16"/>
          <w:color w:val="auto"/>
        </w:rPr>
        <w:t>The annual performance-based award that we granted to Mr. Holliday was equal to the target amount set forth in his prior employment agreement. Earned performance-based LTIP units will vest 100% for Mr. Holliday on December 31, 2026. The time-based LTIP units granted to Messrs. Holliday and Levine vest ratably over three years on January 1</w:t>
      </w:r>
      <w:r>
        <w:rPr>
          <w:rFonts w:ascii="Arial" w:cs="Arial" w:eastAsia="Arial" w:hAnsi="Arial"/>
          <w:sz w:val="25"/>
          <w:szCs w:val="25"/>
          <w:color w:val="auto"/>
          <w:vertAlign w:val="superscript"/>
        </w:rPr>
        <w:t>st</w:t>
      </w:r>
      <w:r>
        <w:rPr>
          <w:rFonts w:ascii="Arial" w:cs="Arial" w:eastAsia="Arial" w:hAnsi="Arial"/>
          <w:sz w:val="16"/>
          <w:szCs w:val="16"/>
          <w:color w:val="auto"/>
        </w:rPr>
        <w:t xml:space="preserve"> of each year following the grant date and on January 1, 2026, for Mr. DiLiberto, subject in each case to continued employment. The shorter vesting periods for the time-based LTIP units granted to Mr. DiLiberto aligns with the expiration of his employment agreement.</w:t>
      </w:r>
    </w:p>
    <w:p>
      <w:pPr>
        <w:spacing w:after="0" w:line="84" w:lineRule="exact"/>
        <w:rPr>
          <w:sz w:val="20"/>
          <w:szCs w:val="20"/>
          <w:color w:val="auto"/>
        </w:rPr>
      </w:pPr>
    </w:p>
    <w:p>
      <w:pPr>
        <w:ind w:left="980" w:right="160" w:hanging="159"/>
        <w:spacing w:after="0" w:line="251" w:lineRule="auto"/>
        <w:tabs>
          <w:tab w:leader="none" w:pos="960" w:val="left"/>
        </w:tabs>
        <w:rPr>
          <w:sz w:val="20"/>
          <w:szCs w:val="20"/>
          <w:color w:val="auto"/>
        </w:rPr>
      </w:pPr>
      <w:r>
        <w:rPr>
          <w:rFonts w:ascii="Arial" w:cs="Arial" w:eastAsia="Arial" w:hAnsi="Arial"/>
          <w:sz w:val="29"/>
          <w:szCs w:val="29"/>
          <w:b w:val="1"/>
          <w:bCs w:val="1"/>
          <w:color w:val="auto"/>
          <w:vertAlign w:val="superscript"/>
        </w:rPr>
        <w:t>​</w:t>
      </w:r>
      <w:r>
        <w:rPr>
          <w:sz w:val="20"/>
          <w:szCs w:val="20"/>
          <w:color w:val="auto"/>
        </w:rPr>
        <w:tab/>
      </w:r>
      <w:r>
        <w:rPr>
          <w:rFonts w:ascii="Arial" w:cs="Arial" w:eastAsia="Arial" w:hAnsi="Arial"/>
          <w:sz w:val="15"/>
          <w:szCs w:val="15"/>
          <w:b w:val="1"/>
          <w:bCs w:val="1"/>
          <w:color w:val="auto"/>
        </w:rPr>
        <w:t xml:space="preserve">The Committee granted annual time-based equity awards to our executives above the target amounts set forth in </w:t>
      </w:r>
      <w:r>
        <w:rPr>
          <w:rFonts w:ascii="Arial" w:cs="Arial" w:eastAsia="Arial" w:hAnsi="Arial"/>
          <w:sz w:val="29"/>
          <w:szCs w:val="29"/>
          <w:b w:val="1"/>
          <w:bCs w:val="1"/>
          <w:color w:val="auto"/>
          <w:vertAlign w:val="superscript"/>
        </w:rPr>
        <w:t>​</w:t>
      </w:r>
      <w:r>
        <w:rPr>
          <w:rFonts w:ascii="Arial" w:cs="Arial" w:eastAsia="Arial" w:hAnsi="Arial"/>
          <w:sz w:val="15"/>
          <w:szCs w:val="15"/>
          <w:b w:val="1"/>
          <w:bCs w:val="1"/>
          <w:color w:val="auto"/>
        </w:rPr>
        <w:t xml:space="preserve"> their respective employment agreements due to our extraordinary, sector-leading TSR in both 2024 and 2023, which resulted in TSR performance of approximately 135% over that period. In the case of Mr. Holliday, the Committee also considered his expanded role as Interim President during 2024 when awarding an above-target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-555625</wp:posOffset>
            </wp:positionV>
            <wp:extent cx="5760720" cy="61722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760720" cy="617220"/>
                    </a:xfrm>
                    <a:prstGeom prst="rect">
                      <a:avLst/>
                    </a:prstGeom>
                    <a:noFill/>
                  </pic:spPr>
                </pic:pic>
              </a:graphicData>
            </a:graphic>
          </wp:anchor>
        </w:drawing>
      </w:r>
    </w:p>
    <w:p>
      <w:pPr>
        <w:spacing w:after="0" w:line="292" w:lineRule="exact"/>
        <w:rPr>
          <w:sz w:val="20"/>
          <w:szCs w:val="20"/>
          <w:color w:val="auto"/>
        </w:rPr>
      </w:pPr>
    </w:p>
    <w:p>
      <w:pPr>
        <w:ind w:left="820" w:right="160"/>
        <w:spacing w:after="0" w:line="295" w:lineRule="auto"/>
        <w:rPr>
          <w:sz w:val="20"/>
          <w:szCs w:val="20"/>
          <w:color w:val="auto"/>
        </w:rPr>
      </w:pPr>
      <w:r>
        <w:rPr>
          <w:rFonts w:ascii="Arial" w:cs="Arial" w:eastAsia="Arial" w:hAnsi="Arial"/>
          <w:sz w:val="16"/>
          <w:szCs w:val="16"/>
          <w:color w:val="auto"/>
        </w:rPr>
        <w:t>Our employment agreements with Messrs. DiLiberto and Levine in effect for 2024 did not provide for target annual performance-based equity grants, but both participate, at the Committee’s discretion, in our annual long-term performance-based equity program. Earned performance-based LTIP units granted for 2024 will vest 50% on each of December 31, 2026 and December 31, 2027, for Messrs. DiLiberto and Levine.</w:t>
      </w:r>
    </w:p>
    <w:p>
      <w:pPr>
        <w:spacing w:after="0" w:line="162"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1F2668"/>
        </w:rPr>
        <w:t>NEW BUSINESS INCENTIVES</w:t>
      </w:r>
    </w:p>
    <w:p>
      <w:pPr>
        <w:spacing w:after="0" w:line="167" w:lineRule="exact"/>
        <w:rPr>
          <w:sz w:val="20"/>
          <w:szCs w:val="20"/>
          <w:color w:val="auto"/>
        </w:rPr>
      </w:pPr>
    </w:p>
    <w:p>
      <w:pPr>
        <w:ind w:left="820" w:right="60"/>
        <w:spacing w:after="0" w:line="298" w:lineRule="auto"/>
        <w:rPr>
          <w:sz w:val="20"/>
          <w:szCs w:val="20"/>
          <w:color w:val="auto"/>
        </w:rPr>
      </w:pPr>
      <w:r>
        <w:rPr>
          <w:rFonts w:ascii="Arial" w:cs="Arial" w:eastAsia="Arial" w:hAnsi="Arial"/>
          <w:sz w:val="16"/>
          <w:szCs w:val="16"/>
          <w:color w:val="auto"/>
        </w:rPr>
        <w:t xml:space="preserve">In connection with entering into his new employment agreement, Mr. Holliday received two incentives linked directly to the profit targets of new lines of business. </w:t>
      </w:r>
      <w:r>
        <w:rPr>
          <w:rFonts w:ascii="Arial" w:cs="Arial" w:eastAsia="Arial" w:hAnsi="Arial"/>
          <w:sz w:val="16"/>
          <w:szCs w:val="16"/>
          <w:b w:val="1"/>
          <w:bCs w:val="1"/>
          <w:color w:val="auto"/>
        </w:rPr>
        <w:t>The purpose of these incentives is to motivate and reward the CEO to maximize growth in</w:t>
      </w:r>
      <w:r>
        <w:rPr>
          <w:rFonts w:ascii="Arial" w:cs="Arial" w:eastAsia="Arial" w:hAnsi="Arial"/>
          <w:sz w:val="16"/>
          <w:szCs w:val="16"/>
          <w:color w:val="auto"/>
        </w:rPr>
        <w:t xml:space="preserve"> </w:t>
      </w:r>
      <w:r>
        <w:rPr>
          <w:rFonts w:ascii="Arial" w:cs="Arial" w:eastAsia="Arial" w:hAnsi="Arial"/>
          <w:sz w:val="16"/>
          <w:szCs w:val="16"/>
          <w:b w:val="1"/>
          <w:bCs w:val="1"/>
          <w:color w:val="auto"/>
        </w:rPr>
        <w:t>strategic new business through a transparent structure based on pre-set financial goals aligned with long-term stockholder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41910</wp:posOffset>
            </wp:positionV>
            <wp:extent cx="6831965"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5100" w:type="dxa"/>
            <w:vAlign w:val="bottom"/>
          </w:tcPr>
          <w:p>
            <w:pPr>
              <w:spacing w:after="0"/>
              <w:rPr>
                <w:sz w:val="20"/>
                <w:szCs w:val="20"/>
                <w:color w:val="auto"/>
              </w:rPr>
            </w:pPr>
            <w:r>
              <w:rPr>
                <w:rFonts w:ascii="Arial" w:cs="Arial" w:eastAsia="Arial" w:hAnsi="Arial"/>
                <w:sz w:val="14"/>
                <w:szCs w:val="14"/>
                <w:b w:val="1"/>
                <w:bCs w:val="1"/>
                <w:color w:val="auto"/>
              </w:rPr>
              <w:t>​</w:t>
            </w:r>
          </w:p>
        </w:tc>
        <w:tc>
          <w:tcPr>
            <w:tcW w:w="3480" w:type="dxa"/>
            <w:vAlign w:val="bottom"/>
          </w:tcPr>
          <w:p>
            <w:pPr>
              <w:ind w:left="3100"/>
              <w:spacing w:after="0"/>
              <w:rPr>
                <w:sz w:val="20"/>
                <w:szCs w:val="20"/>
                <w:color w:val="auto"/>
              </w:rPr>
            </w:pPr>
            <w:r>
              <w:rPr>
                <w:rFonts w:ascii="Arial" w:cs="Arial" w:eastAsia="Arial" w:hAnsi="Arial"/>
                <w:sz w:val="14"/>
                <w:szCs w:val="14"/>
                <w:b w:val="1"/>
                <w:bCs w:val="1"/>
                <w:color w:val="auto"/>
              </w:rPr>
              <w:t>​ ​</w:t>
            </w:r>
          </w:p>
        </w:tc>
        <w:tc>
          <w:tcPr>
            <w:tcW w:w="480" w:type="dxa"/>
            <w:vAlign w:val="bottom"/>
            <w:vMerge w:val="restart"/>
          </w:tcPr>
          <w:p>
            <w:pPr>
              <w:jc w:val="right"/>
              <w:spacing w:after="0"/>
              <w:rPr>
                <w:sz w:val="20"/>
                <w:szCs w:val="20"/>
                <w:color w:val="auto"/>
              </w:rPr>
            </w:pPr>
            <w:r>
              <w:rPr>
                <w:rFonts w:ascii="Arial" w:cs="Arial" w:eastAsia="Arial" w:hAnsi="Arial"/>
                <w:sz w:val="22"/>
                <w:szCs w:val="22"/>
                <w:b w:val="1"/>
                <w:bCs w:val="1"/>
                <w:color w:val="1F2668"/>
              </w:rPr>
              <w:t>51</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5100" w:type="dxa"/>
            <w:vAlign w:val="bottom"/>
          </w:tcPr>
          <w:p>
            <w:pPr>
              <w:spacing w:after="0"/>
              <w:rPr>
                <w:sz w:val="20"/>
                <w:szCs w:val="20"/>
                <w:color w:val="auto"/>
              </w:rPr>
            </w:pPr>
            <w:r>
              <w:rPr>
                <w:rFonts w:ascii="Arial" w:cs="Arial" w:eastAsia="Arial" w:hAnsi="Arial"/>
                <w:sz w:val="14"/>
                <w:szCs w:val="14"/>
                <w:b w:val="1"/>
                <w:bCs w:val="1"/>
                <w:color w:val="auto"/>
              </w:rPr>
              <w:t>EXECUTIVE COMPENSATION</w:t>
            </w:r>
          </w:p>
        </w:tc>
        <w:tc>
          <w:tcPr>
            <w:tcW w:w="348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57" w:lineRule="exact"/>
        <w:rPr>
          <w:sz w:val="20"/>
          <w:szCs w:val="20"/>
          <w:color w:val="auto"/>
        </w:rPr>
      </w:pPr>
    </w:p>
    <w:p>
      <w:pPr>
        <w:ind w:left="820" w:right="240"/>
        <w:spacing w:after="0" w:line="319" w:lineRule="auto"/>
        <w:rPr>
          <w:sz w:val="20"/>
          <w:szCs w:val="20"/>
          <w:color w:val="auto"/>
        </w:rPr>
      </w:pPr>
      <w:r>
        <w:rPr>
          <w:rFonts w:ascii="Arial" w:cs="Arial" w:eastAsia="Arial" w:hAnsi="Arial"/>
          <w:sz w:val="16"/>
          <w:szCs w:val="16"/>
          <w:i w:val="1"/>
          <w:iCs w:val="1"/>
          <w:color w:val="auto"/>
        </w:rPr>
        <w:t>Casino Incentive</w:t>
      </w:r>
      <w:r>
        <w:rPr>
          <w:rFonts w:ascii="Arial" w:cs="Arial" w:eastAsia="Arial" w:hAnsi="Arial"/>
          <w:sz w:val="16"/>
          <w:szCs w:val="16"/>
          <w:color w:val="auto"/>
        </w:rPr>
        <w:t>: Mr. Holliday is eligible to receive a cash incentive of $10.0 million</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ONLY IF</w:t>
      </w:r>
      <w:r>
        <w:rPr>
          <w:rFonts w:ascii="Arial" w:cs="Arial" w:eastAsia="Arial" w:hAnsi="Arial"/>
          <w:sz w:val="16"/>
          <w:szCs w:val="16"/>
          <w:i w:val="1"/>
          <w:iCs w:val="1"/>
          <w:color w:val="auto"/>
        </w:rPr>
        <w:t xml:space="preserve"> </w:t>
      </w:r>
      <w:r>
        <w:rPr>
          <w:rFonts w:ascii="Arial" w:cs="Arial" w:eastAsia="Arial" w:hAnsi="Arial"/>
          <w:sz w:val="16"/>
          <w:szCs w:val="16"/>
          <w:color w:val="auto"/>
        </w:rPr>
        <w:t>(i) the building at 1515 Broadway,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New York, New York is redeveloped into a hotel/casino, </w:t>
      </w:r>
      <w:r>
        <w:rPr>
          <w:rFonts w:ascii="Arial" w:cs="Arial" w:eastAsia="Arial" w:hAnsi="Arial"/>
          <w:sz w:val="16"/>
          <w:szCs w:val="16"/>
          <w:b w:val="1"/>
          <w:bCs w:val="1"/>
          <w:color w:val="auto"/>
        </w:rPr>
        <w:t>AND</w:t>
      </w:r>
      <w:r>
        <w:rPr>
          <w:rFonts w:ascii="Arial" w:cs="Arial" w:eastAsia="Arial" w:hAnsi="Arial"/>
          <w:sz w:val="16"/>
          <w:szCs w:val="16"/>
          <w:color w:val="auto"/>
        </w:rPr>
        <w:t xml:space="preserve"> (ii) the completed project commences operating revenue and achieves a specific projected EBITDA milestone.</w:t>
      </w:r>
    </w:p>
    <w:p>
      <w:pPr>
        <w:spacing w:after="0" w:line="90" w:lineRule="exact"/>
        <w:rPr>
          <w:sz w:val="20"/>
          <w:szCs w:val="20"/>
          <w:color w:val="auto"/>
        </w:rPr>
      </w:pPr>
    </w:p>
    <w:p>
      <w:pPr>
        <w:jc w:val="both"/>
        <w:ind w:left="820" w:right="40"/>
        <w:spacing w:after="0" w:line="310" w:lineRule="auto"/>
        <w:rPr>
          <w:sz w:val="20"/>
          <w:szCs w:val="20"/>
          <w:color w:val="auto"/>
        </w:rPr>
      </w:pPr>
      <w:r>
        <w:rPr>
          <w:rFonts w:ascii="Arial" w:cs="Arial" w:eastAsia="Arial" w:hAnsi="Arial"/>
          <w:sz w:val="16"/>
          <w:szCs w:val="16"/>
          <w:i w:val="1"/>
          <w:iCs w:val="1"/>
          <w:color w:val="auto"/>
        </w:rPr>
        <w:t>Debt Fund Carried Interest</w:t>
      </w:r>
      <w:r>
        <w:rPr>
          <w:rFonts w:ascii="Arial" w:cs="Arial" w:eastAsia="Arial" w:hAnsi="Arial"/>
          <w:sz w:val="16"/>
          <w:szCs w:val="16"/>
          <w:color w:val="auto"/>
        </w:rPr>
        <w:t>: Mr. Holliday is eligible to receive a payout contingent on the profitability of our opportunistic debt fund</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 xml:space="preserve">ONLY IF </w:t>
      </w:r>
      <w:r>
        <w:rPr>
          <w:rFonts w:ascii="Arial" w:cs="Arial" w:eastAsia="Arial" w:hAnsi="Arial"/>
          <w:sz w:val="16"/>
          <w:szCs w:val="16"/>
          <w:color w:val="auto"/>
        </w:rPr>
        <w:t>earnings first accrue to the Company. Per the incentive structure, Mr. Holliday would receive 12% of the carried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distribution, if any, received by the general partner of our opportunistic debt fund.</w:t>
      </w:r>
    </w:p>
    <w:p>
      <w:pPr>
        <w:spacing w:after="0" w:line="57" w:lineRule="exact"/>
        <w:rPr>
          <w:sz w:val="20"/>
          <w:szCs w:val="20"/>
          <w:color w:val="auto"/>
        </w:rPr>
      </w:pPr>
    </w:p>
    <w:p>
      <w:pPr>
        <w:ind w:left="980" w:right="140" w:hanging="159"/>
        <w:spacing w:after="0" w:line="192" w:lineRule="auto"/>
        <w:tabs>
          <w:tab w:leader="none" w:pos="960" w:val="left"/>
        </w:tabs>
        <w:rPr>
          <w:sz w:val="20"/>
          <w:szCs w:val="20"/>
          <w:color w:val="auto"/>
        </w:rPr>
      </w:pPr>
      <w:r>
        <w:rPr>
          <w:rFonts w:ascii="Arial" w:cs="Arial" w:eastAsia="Arial" w:hAnsi="Arial"/>
          <w:sz w:val="32"/>
          <w:szCs w:val="32"/>
          <w:color w:val="auto"/>
          <w:vertAlign w:val="superscript"/>
        </w:rPr>
        <w:t>​</w:t>
      </w:r>
      <w:r>
        <w:rPr>
          <w:sz w:val="20"/>
          <w:szCs w:val="20"/>
          <w:color w:val="auto"/>
        </w:rPr>
        <w:tab/>
      </w:r>
      <w:r>
        <w:rPr>
          <w:rFonts w:ascii="Arial" w:cs="Arial" w:eastAsia="Arial" w:hAnsi="Arial"/>
          <w:sz w:val="16"/>
          <w:szCs w:val="16"/>
          <w:color w:val="auto"/>
        </w:rPr>
        <w:t xml:space="preserve">The Committee designed these new business incentives following a thoughtful review of alternative compensation structures </w:t>
      </w:r>
      <w:r>
        <w:rPr>
          <w:rFonts w:ascii="Arial" w:cs="Arial" w:eastAsia="Arial" w:hAnsi="Arial"/>
          <w:sz w:val="32"/>
          <w:szCs w:val="32"/>
          <w:color w:val="auto"/>
          <w:vertAlign w:val="superscript"/>
        </w:rPr>
        <w:t>​</w:t>
      </w:r>
      <w:r>
        <w:rPr>
          <w:rFonts w:ascii="Arial" w:cs="Arial" w:eastAsia="Arial" w:hAnsi="Arial"/>
          <w:sz w:val="16"/>
          <w:szCs w:val="16"/>
          <w:color w:val="auto"/>
        </w:rPr>
        <w:t xml:space="preserve"> used by companies outside of the REIT industry and following discussions with stockholders during the Company’s most recent off-season engagement. </w:t>
      </w:r>
      <w:r>
        <w:rPr>
          <w:rFonts w:ascii="Arial" w:cs="Arial" w:eastAsia="Arial" w:hAnsi="Arial"/>
          <w:sz w:val="16"/>
          <w:szCs w:val="16"/>
          <w:b w:val="1"/>
          <w:bCs w:val="1"/>
          <w:color w:val="auto"/>
        </w:rPr>
        <w:t>These incentives will be paid ONLY IF the applicable performance conditions are</w:t>
      </w:r>
      <w:r>
        <w:rPr>
          <w:rFonts w:ascii="Arial" w:cs="Arial" w:eastAsia="Arial" w:hAnsi="Arial"/>
          <w:sz w:val="16"/>
          <w:szCs w:val="16"/>
          <w:color w:val="auto"/>
        </w:rPr>
        <w:t xml:space="preserve"> </w:t>
      </w:r>
      <w:r>
        <w:rPr>
          <w:rFonts w:ascii="Arial" w:cs="Arial" w:eastAsia="Arial" w:hAnsi="Arial"/>
          <w:sz w:val="16"/>
          <w:szCs w:val="16"/>
          <w:b w:val="1"/>
          <w:bCs w:val="1"/>
          <w:color w:val="auto"/>
        </w:rPr>
        <w:t>satisfied</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-551180</wp:posOffset>
            </wp:positionV>
            <wp:extent cx="5760720" cy="61722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760720" cy="617220"/>
                    </a:xfrm>
                    <a:prstGeom prst="rect">
                      <a:avLst/>
                    </a:prstGeom>
                    <a:noFill/>
                  </pic:spPr>
                </pic:pic>
              </a:graphicData>
            </a:graphic>
          </wp:anchor>
        </w:drawing>
      </w:r>
    </w:p>
    <w:p>
      <w:pPr>
        <w:spacing w:after="0" w:line="29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1F2668"/>
        </w:rPr>
        <w:t>RETENTION PERFORMANCE INCENTIVE (CEO)</w:t>
      </w:r>
    </w:p>
    <w:p>
      <w:pPr>
        <w:spacing w:after="0" w:line="167" w:lineRule="exact"/>
        <w:rPr>
          <w:sz w:val="20"/>
          <w:szCs w:val="20"/>
          <w:color w:val="auto"/>
        </w:rPr>
      </w:pPr>
    </w:p>
    <w:p>
      <w:pPr>
        <w:ind w:left="820" w:right="40"/>
        <w:spacing w:after="0" w:line="300" w:lineRule="auto"/>
        <w:rPr>
          <w:sz w:val="20"/>
          <w:szCs w:val="20"/>
          <w:color w:val="auto"/>
        </w:rPr>
      </w:pPr>
      <w:r>
        <w:rPr>
          <w:rFonts w:ascii="Arial" w:cs="Arial" w:eastAsia="Arial" w:hAnsi="Arial"/>
          <w:sz w:val="16"/>
          <w:szCs w:val="16"/>
          <w:color w:val="auto"/>
        </w:rPr>
        <w:t xml:space="preserve">In connection with entering into his new employment agreement, Mr. Holliday received a retention performance incentive grant of Class O LTIP units in December 2024 with a notional value of $4.5 million. The award is subject to both time-based vesting conditions and performance-based vesting conditions, with the performance-based vesting conditions satisfied if the average per share price of our common stock </w:t>
      </w:r>
      <w:r>
        <w:rPr>
          <w:rFonts w:ascii="Arial" w:cs="Arial" w:eastAsia="Arial" w:hAnsi="Arial"/>
          <w:sz w:val="16"/>
          <w:szCs w:val="16"/>
          <w:b w:val="1"/>
          <w:bCs w:val="1"/>
          <w:color w:val="auto"/>
        </w:rPr>
        <w:t>equals or exceeds $100.00—an increase of nearly 50% over the grant date conversion</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price of $68.07—for any trailing twenty trading day period </w:t>
      </w:r>
      <w:r>
        <w:rPr>
          <w:rFonts w:ascii="Arial" w:cs="Arial" w:eastAsia="Arial" w:hAnsi="Arial"/>
          <w:sz w:val="16"/>
          <w:szCs w:val="16"/>
          <w:color w:val="auto"/>
        </w:rPr>
        <w:t>between the grant date and the fifth anniversary thereafter.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to achievement of the foregoing performance hurdle and continued employment, the award vests ratably on December 31, 2025, December 31, 2026, and December 31, 2027.</w:t>
      </w:r>
    </w:p>
    <w:p>
      <w:pPr>
        <w:spacing w:after="0" w:line="105" w:lineRule="exact"/>
        <w:rPr>
          <w:sz w:val="20"/>
          <w:szCs w:val="20"/>
          <w:color w:val="auto"/>
        </w:rPr>
      </w:pPr>
    </w:p>
    <w:p>
      <w:pPr>
        <w:ind w:left="820" w:right="80"/>
        <w:spacing w:after="0" w:line="309" w:lineRule="auto"/>
        <w:rPr>
          <w:sz w:val="20"/>
          <w:szCs w:val="20"/>
          <w:color w:val="auto"/>
        </w:rPr>
      </w:pPr>
      <w:r>
        <w:rPr>
          <w:rFonts w:ascii="Arial" w:cs="Arial" w:eastAsia="Arial" w:hAnsi="Arial"/>
          <w:sz w:val="15"/>
          <w:szCs w:val="15"/>
          <w:color w:val="auto"/>
        </w:rPr>
        <w:t>In structuring and negotiating the terms of the retention performance incentive, the Committee considered similar awards granted in 2023 by our peers at Paramount Group, Inc. and Vornado Realty Trust, which also incorporated a 20-day trailing trading day</w:t>
      </w:r>
    </w:p>
    <w:p>
      <w:pPr>
        <w:sectPr>
          <w:pgSz w:w="11900" w:h="16838" w:orient="portrait"/>
          <w:cols w:equalWidth="0" w:num="1">
            <w:col w:w="9920"/>
          </w:cols>
          <w:pgMar w:left="580" w:top="97" w:right="1399" w:bottom="1440" w:gutter="0" w:footer="0" w:header="0"/>
        </w:sectPr>
      </w:pPr>
    </w:p>
    <w:p>
      <w:pPr>
        <w:spacing w:after="0" w:line="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average stock price requirement to satisfy the performance-based vesting condition.</w:t>
      </w:r>
    </w:p>
    <w:p>
      <w:pPr>
        <w:spacing w:after="0" w:line="262" w:lineRule="exact"/>
        <w:rPr>
          <w:sz w:val="20"/>
          <w:szCs w:val="20"/>
          <w:color w:val="auto"/>
        </w:rPr>
      </w:pPr>
    </w:p>
    <w:p>
      <w:pPr>
        <w:ind w:left="980" w:right="120" w:hanging="164"/>
        <w:spacing w:after="0" w:line="188" w:lineRule="auto"/>
        <w:tabs>
          <w:tab w:leader="none" w:pos="980" w:val="left"/>
        </w:tabs>
        <w:numPr>
          <w:ilvl w:val="0"/>
          <w:numId w:val="62"/>
        </w:numPr>
        <w:rPr>
          <w:rFonts w:ascii="Arial" w:cs="Arial" w:eastAsia="Arial" w:hAnsi="Arial"/>
          <w:sz w:val="32"/>
          <w:szCs w:val="32"/>
          <w:color w:val="auto"/>
          <w:vertAlign w:val="superscript"/>
        </w:rPr>
      </w:pPr>
      <w:r>
        <w:rPr>
          <w:rFonts w:ascii="Arial" w:cs="Arial" w:eastAsia="Arial" w:hAnsi="Arial"/>
          <w:sz w:val="16"/>
          <w:szCs w:val="16"/>
          <w:color w:val="auto"/>
        </w:rPr>
        <w:t xml:space="preserve">The Committee granted this performance incentive as part of </w:t>
      </w:r>
      <w:r>
        <w:rPr>
          <w:rFonts w:ascii="Arial" w:cs="Arial" w:eastAsia="Arial" w:hAnsi="Arial"/>
          <w:sz w:val="16"/>
          <w:szCs w:val="16"/>
          <w:b w:val="1"/>
          <w:bCs w:val="1"/>
          <w:color w:val="auto"/>
        </w:rPr>
        <w:t>its succession plan to ensure Mr. Holliday’s continued</w:t>
      </w:r>
      <w:r>
        <w:rPr>
          <w:rFonts w:ascii="Arial" w:cs="Arial" w:eastAsia="Arial" w:hAnsi="Arial"/>
          <w:sz w:val="16"/>
          <w:szCs w:val="16"/>
          <w:color w:val="auto"/>
        </w:rPr>
        <w:t xml:space="preserve"> </w:t>
      </w:r>
      <w:r>
        <w:rPr>
          <w:rFonts w:ascii="Arial" w:cs="Arial" w:eastAsia="Arial" w:hAnsi="Arial"/>
          <w:sz w:val="16"/>
          <w:szCs w:val="16"/>
          <w:b w:val="1"/>
          <w:bCs w:val="1"/>
          <w:color w:val="auto"/>
        </w:rPr>
        <w:t>service and pivotal role in developing SLG’s next generation of leaders</w:t>
      </w:r>
      <w:r>
        <w:rPr>
          <w:rFonts w:ascii="Arial" w:cs="Arial" w:eastAsia="Arial" w:hAnsi="Arial"/>
          <w:sz w:val="16"/>
          <w:szCs w:val="16"/>
          <w:color w:val="auto"/>
        </w:rPr>
        <w:t>. In particular, we are focused on identifying an</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to assume the role of President, in which role Mr. Holliday has served on an interim basis since January 2024.</w:t>
      </w:r>
    </w:p>
    <w:p>
      <w:pPr>
        <w:spacing w:after="0" w:line="44" w:lineRule="exact"/>
        <w:rPr>
          <w:rFonts w:ascii="Arial" w:cs="Arial" w:eastAsia="Arial" w:hAnsi="Arial"/>
          <w:sz w:val="32"/>
          <w:szCs w:val="32"/>
          <w:color w:val="auto"/>
          <w:vertAlign w:val="superscript"/>
        </w:rPr>
      </w:pPr>
    </w:p>
    <w:p>
      <w:pPr>
        <w:ind w:left="980" w:hanging="164"/>
        <w:spacing w:after="0" w:line="188" w:lineRule="auto"/>
        <w:tabs>
          <w:tab w:leader="none" w:pos="980" w:val="left"/>
        </w:tabs>
        <w:numPr>
          <w:ilvl w:val="0"/>
          <w:numId w:val="62"/>
        </w:numPr>
        <w:rPr>
          <w:rFonts w:ascii="Arial" w:cs="Arial" w:eastAsia="Arial" w:hAnsi="Arial"/>
          <w:sz w:val="32"/>
          <w:szCs w:val="32"/>
          <w:color w:val="auto"/>
          <w:vertAlign w:val="superscript"/>
        </w:rPr>
      </w:pPr>
      <w:r>
        <w:rPr>
          <w:rFonts w:ascii="Arial" w:cs="Arial" w:eastAsia="Arial" w:hAnsi="Arial"/>
          <w:sz w:val="16"/>
          <w:szCs w:val="16"/>
          <w:b w:val="1"/>
          <w:bCs w:val="1"/>
          <w:color w:val="auto"/>
        </w:rPr>
        <w:t>As designed, the incentive only provides realized value if our stock price increases nearly 50% from the date of grant</w:t>
      </w:r>
      <w:r>
        <w:rPr>
          <w:rFonts w:ascii="Arial" w:cs="Arial" w:eastAsia="Arial" w:hAnsi="Arial"/>
          <w:sz w:val="16"/>
          <w:szCs w:val="16"/>
          <w:color w:val="auto"/>
        </w:rPr>
        <w:t>, which represents significant stockholder value creation, especially following two-year TSR sector outperformance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TSR of approximately 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-828040</wp:posOffset>
            </wp:positionV>
            <wp:extent cx="5760720" cy="8915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760720" cy="8915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633" w:lineRule="exact"/>
        <w:rPr>
          <w:sz w:val="20"/>
          <w:szCs w:val="20"/>
          <w:color w:val="auto"/>
        </w:rPr>
      </w:pPr>
    </w:p>
    <w:p>
      <w:pPr>
        <w:sectPr>
          <w:pgSz w:w="11900" w:h="16838" w:orient="portrait"/>
          <w:cols w:equalWidth="0" w:num="2">
            <w:col w:w="9700" w:space="20"/>
            <w:col w:w="200"/>
          </w:cols>
          <w:pgMar w:left="580" w:top="97" w:right="1399" w:bottom="1440" w:gutter="0" w:footer="0" w:header="0"/>
          <w:type w:val="continuous"/>
        </w:sectPr>
      </w:pPr>
    </w:p>
    <w:p>
      <w:pPr>
        <w:spacing w:after="0" w:line="128" w:lineRule="exact"/>
        <w:rPr>
          <w:sz w:val="20"/>
          <w:szCs w:val="20"/>
          <w:color w:val="auto"/>
        </w:rPr>
      </w:pPr>
    </w:p>
    <w:p>
      <w:pPr>
        <w:ind w:left="820"/>
        <w:spacing w:after="0"/>
        <w:rPr>
          <w:sz w:val="20"/>
          <w:szCs w:val="20"/>
          <w:color w:val="auto"/>
        </w:rPr>
      </w:pPr>
      <w:r>
        <w:rPr>
          <w:rFonts w:ascii="Arial" w:cs="Arial" w:eastAsia="Arial" w:hAnsi="Arial"/>
          <w:sz w:val="15"/>
          <w:szCs w:val="15"/>
          <w:b w:val="1"/>
          <w:bCs w:val="1"/>
          <w:color w:val="auto"/>
        </w:rPr>
        <w:t>For detailed 2024 pay outcomes for each of our named executive officers see the NEO scorecards below.</w:t>
      </w:r>
    </w:p>
    <w:p>
      <w:pPr>
        <w:sectPr>
          <w:pgSz w:w="11900" w:h="16838" w:orient="portrait"/>
          <w:cols w:equalWidth="0" w:num="1">
            <w:col w:w="9920"/>
          </w:cols>
          <w:pgMar w:left="580" w:top="97" w:right="1399" w:bottom="1440" w:gutter="0" w:footer="0" w:header="0"/>
          <w:type w:val="continuous"/>
        </w:sectPr>
      </w:pPr>
    </w:p>
    <w:p>
      <w:pPr>
        <w:spacing w:after="0" w:line="237"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83AD40"/>
        </w:rPr>
        <w:t>How We Establish Performance Goals—Formulaic Annual Bonus and Equity Awards</w:t>
      </w:r>
    </w:p>
    <w:p>
      <w:pPr>
        <w:spacing w:after="0" w:line="76" w:lineRule="exact"/>
        <w:rPr>
          <w:sz w:val="20"/>
          <w:szCs w:val="20"/>
          <w:color w:val="auto"/>
        </w:rPr>
      </w:pPr>
    </w:p>
    <w:p>
      <w:pPr>
        <w:ind w:left="820"/>
        <w:spacing w:after="0"/>
        <w:tabs>
          <w:tab w:leader="none" w:pos="3140" w:val="left"/>
        </w:tabs>
        <w:rPr>
          <w:sz w:val="20"/>
          <w:szCs w:val="20"/>
          <w:color w:val="auto"/>
        </w:rPr>
      </w:pPr>
      <w:r>
        <w:rPr>
          <w:rFonts w:ascii="Arial" w:cs="Arial" w:eastAsia="Arial" w:hAnsi="Arial"/>
          <w:sz w:val="32"/>
          <w:szCs w:val="32"/>
          <w:color w:val="1F2668"/>
          <w:vertAlign w:val="superscript"/>
        </w:rPr>
        <w:t>​</w:t>
      </w:r>
      <w:r>
        <w:rPr>
          <w:rFonts w:ascii="Arial" w:cs="Arial" w:eastAsia="Arial" w:hAnsi="Arial"/>
          <w:sz w:val="16"/>
          <w:szCs w:val="16"/>
          <w:b w:val="1"/>
          <w:bCs w:val="1"/>
          <w:color w:val="1F2668"/>
        </w:rPr>
        <w:t xml:space="preserve"> Emphasis on At-Risk Pay</w:t>
      </w:r>
      <w:r>
        <w:rPr>
          <w:sz w:val="20"/>
          <w:szCs w:val="20"/>
          <w:color w:val="auto"/>
        </w:rPr>
        <w:tab/>
      </w:r>
      <w:r>
        <w:rPr>
          <w:rFonts w:ascii="Arial" w:cs="Arial" w:eastAsia="Arial" w:hAnsi="Arial"/>
          <w:sz w:val="16"/>
          <w:szCs w:val="16"/>
          <w:color w:val="1F2668"/>
          <w:vertAlign w:val="superscript"/>
        </w:rPr>
        <w:t xml:space="preserve">​​ </w:t>
      </w:r>
      <w:r>
        <w:rPr>
          <w:rFonts w:ascii="Arial" w:cs="Arial" w:eastAsia="Arial" w:hAnsi="Arial"/>
          <w:sz w:val="16"/>
          <w:szCs w:val="16"/>
          <w:color w:val="000000"/>
        </w:rPr>
        <w:t>In line with stockholder feedback, we have continued our commitment to rigorous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-172085</wp:posOffset>
            </wp:positionV>
            <wp:extent cx="576072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ind w:left="920"/>
        <w:spacing w:after="0"/>
        <w:tabs>
          <w:tab w:leader="none" w:pos="3280" w:val="left"/>
        </w:tabs>
        <w:rPr>
          <w:sz w:val="20"/>
          <w:szCs w:val="20"/>
          <w:color w:val="auto"/>
        </w:rPr>
      </w:pPr>
      <w:r>
        <w:rPr>
          <w:rFonts w:ascii="Arial" w:cs="Arial" w:eastAsia="Arial" w:hAnsi="Arial"/>
          <w:sz w:val="16"/>
          <w:szCs w:val="16"/>
          <w:b w:val="1"/>
          <w:bCs w:val="1"/>
          <w:color w:val="1F2668"/>
        </w:rPr>
        <w:t>Elements</w:t>
      </w:r>
      <w:r>
        <w:rPr>
          <w:sz w:val="20"/>
          <w:szCs w:val="20"/>
          <w:color w:val="auto"/>
        </w:rPr>
        <w:tab/>
      </w:r>
      <w:r>
        <w:rPr>
          <w:rFonts w:ascii="Arial" w:cs="Arial" w:eastAsia="Arial" w:hAnsi="Arial"/>
          <w:sz w:val="16"/>
          <w:szCs w:val="16"/>
          <w:color w:val="auto"/>
        </w:rPr>
        <w:t>performance-based incentives. For 2024:</w:t>
      </w:r>
    </w:p>
    <w:p>
      <w:pPr>
        <w:spacing w:after="0" w:line="210" w:lineRule="exact"/>
        <w:rPr>
          <w:sz w:val="20"/>
          <w:szCs w:val="20"/>
          <w:color w:val="auto"/>
        </w:rPr>
      </w:pPr>
    </w:p>
    <w:p>
      <w:pPr>
        <w:ind w:left="3300"/>
        <w:spacing w:after="0" w:line="184" w:lineRule="exact"/>
        <w:rPr>
          <w:sz w:val="20"/>
          <w:szCs w:val="20"/>
          <w:color w:val="auto"/>
        </w:rPr>
      </w:pPr>
      <w:r>
        <w:rPr>
          <w:rFonts w:ascii="MS PGothic" w:cs="MS PGothic" w:eastAsia="MS PGothic" w:hAnsi="MS PGothic"/>
          <w:sz w:val="16"/>
          <w:szCs w:val="16"/>
          <w:color w:val="83AD40"/>
        </w:rPr>
        <w:t>✓</w:t>
      </w:r>
      <w:r>
        <w:rPr>
          <w:rFonts w:ascii="Arial" w:cs="Arial" w:eastAsia="Arial" w:hAnsi="Arial"/>
          <w:sz w:val="16"/>
          <w:szCs w:val="16"/>
          <w:b w:val="1"/>
          <w:bCs w:val="1"/>
          <w:color w:val="1F2668"/>
        </w:rPr>
        <w:t xml:space="preserve"> 93.7% of CEO compensation was performance-based and at-risk</w:t>
      </w:r>
    </w:p>
    <w:p>
      <w:pPr>
        <w:spacing w:after="0" w:line="88" w:lineRule="exact"/>
        <w:rPr>
          <w:sz w:val="20"/>
          <w:szCs w:val="20"/>
          <w:color w:val="auto"/>
        </w:rPr>
      </w:pPr>
    </w:p>
    <w:p>
      <w:pPr>
        <w:ind w:left="3280"/>
        <w:spacing w:after="0" w:line="184" w:lineRule="exact"/>
        <w:rPr>
          <w:sz w:val="20"/>
          <w:szCs w:val="20"/>
          <w:color w:val="auto"/>
        </w:rPr>
      </w:pPr>
      <w:r>
        <w:rPr>
          <w:rFonts w:ascii="MS PGothic" w:cs="MS PGothic" w:eastAsia="MS PGothic" w:hAnsi="MS PGothic"/>
          <w:sz w:val="16"/>
          <w:szCs w:val="16"/>
          <w:color w:val="83AD40"/>
        </w:rPr>
        <w:t>✓</w:t>
      </w:r>
      <w:r>
        <w:rPr>
          <w:rFonts w:ascii="Arial" w:cs="Arial" w:eastAsia="Arial" w:hAnsi="Arial"/>
          <w:sz w:val="16"/>
          <w:szCs w:val="16"/>
          <w:b w:val="1"/>
          <w:bCs w:val="1"/>
          <w:color w:val="1F2668"/>
        </w:rPr>
        <w:t xml:space="preserve"> 87.5% of other NEO compensation was performance-based and at-risk</w:t>
      </w:r>
    </w:p>
    <w:p>
      <w:pPr>
        <w:spacing w:after="0" w:line="254" w:lineRule="exact"/>
        <w:rPr>
          <w:sz w:val="20"/>
          <w:szCs w:val="20"/>
          <w:color w:val="auto"/>
        </w:rPr>
      </w:pPr>
    </w:p>
    <w:p>
      <w:pPr>
        <w:ind w:left="3300" w:right="240"/>
        <w:spacing w:after="0" w:line="304" w:lineRule="auto"/>
        <w:rPr>
          <w:sz w:val="20"/>
          <w:szCs w:val="20"/>
          <w:color w:val="auto"/>
        </w:rPr>
      </w:pPr>
      <w:r>
        <w:rPr>
          <w:rFonts w:ascii="Arial" w:cs="Arial" w:eastAsia="Arial" w:hAnsi="Arial"/>
          <w:sz w:val="16"/>
          <w:szCs w:val="16"/>
          <w:color w:val="auto"/>
        </w:rPr>
        <w:t>Rewards superior performance, while aligning interests with those of our stockholders by using long-term equity.</w:t>
      </w:r>
    </w:p>
    <w:p>
      <w:pPr>
        <w:spacing w:after="0" w:line="3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1F2668"/>
        </w:rPr>
        <w:t>Performance Metrics Reflect</w:t>
      </w:r>
      <w:r>
        <w:rPr>
          <w:rFonts w:ascii="Arial" w:cs="Arial" w:eastAsia="Arial" w:hAnsi="Arial"/>
          <w:sz w:val="16"/>
          <w:szCs w:val="16"/>
          <w:color w:val="auto"/>
        </w:rPr>
        <w:t xml:space="preserve"> ​​ Performance criteria across a range of financial and corporate goals as well as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-115570</wp:posOffset>
            </wp:positionV>
            <wp:extent cx="574357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743575" cy="8255"/>
                    </a:xfrm>
                    <a:prstGeom prst="rect">
                      <a:avLst/>
                    </a:prstGeom>
                    <a:noFill/>
                  </pic:spPr>
                </pic:pic>
              </a:graphicData>
            </a:graphic>
          </wp:anchor>
        </w:drawing>
      </w:r>
    </w:p>
    <w:p>
      <w:pPr>
        <w:spacing w:after="0" w:line="1" w:lineRule="exact"/>
        <w:rPr>
          <w:sz w:val="20"/>
          <w:szCs w:val="20"/>
          <w:color w:val="auto"/>
        </w:rPr>
      </w:pPr>
    </w:p>
    <w:p>
      <w:pPr>
        <w:ind w:left="920"/>
        <w:spacing w:after="0"/>
        <w:tabs>
          <w:tab w:leader="none" w:pos="3280" w:val="left"/>
        </w:tabs>
        <w:rPr>
          <w:sz w:val="20"/>
          <w:szCs w:val="20"/>
          <w:color w:val="auto"/>
        </w:rPr>
      </w:pPr>
      <w:r>
        <w:rPr>
          <w:rFonts w:ascii="Arial" w:cs="Arial" w:eastAsia="Arial" w:hAnsi="Arial"/>
          <w:sz w:val="16"/>
          <w:szCs w:val="16"/>
          <w:b w:val="1"/>
          <w:bCs w:val="1"/>
          <w:color w:val="1F2668"/>
        </w:rPr>
        <w:t>Complexities of Our</w:t>
      </w:r>
      <w:r>
        <w:rPr>
          <w:sz w:val="20"/>
          <w:szCs w:val="20"/>
          <w:color w:val="auto"/>
        </w:rPr>
        <w:tab/>
      </w:r>
      <w:r>
        <w:rPr>
          <w:rFonts w:ascii="Arial" w:cs="Arial" w:eastAsia="Arial" w:hAnsi="Arial"/>
          <w:sz w:val="15"/>
          <w:szCs w:val="15"/>
          <w:color w:val="auto"/>
        </w:rPr>
        <w:t>periods. These criteria account for the short- and long-term complexities of operating our</w:t>
      </w:r>
    </w:p>
    <w:p>
      <w:pPr>
        <w:spacing w:after="0" w:line="19" w:lineRule="exact"/>
        <w:rPr>
          <w:sz w:val="20"/>
          <w:szCs w:val="20"/>
          <w:color w:val="auto"/>
        </w:rPr>
      </w:pPr>
    </w:p>
    <w:p>
      <w:pPr>
        <w:ind w:left="920"/>
        <w:spacing w:after="0"/>
        <w:tabs>
          <w:tab w:leader="none" w:pos="3280" w:val="left"/>
        </w:tabs>
        <w:rPr>
          <w:sz w:val="20"/>
          <w:szCs w:val="20"/>
          <w:color w:val="auto"/>
        </w:rPr>
      </w:pPr>
      <w:r>
        <w:rPr>
          <w:rFonts w:ascii="Arial" w:cs="Arial" w:eastAsia="Arial" w:hAnsi="Arial"/>
          <w:sz w:val="16"/>
          <w:szCs w:val="16"/>
          <w:b w:val="1"/>
          <w:bCs w:val="1"/>
          <w:color w:val="1F2668"/>
        </w:rPr>
        <w:t>Business</w:t>
      </w:r>
      <w:r>
        <w:rPr>
          <w:sz w:val="20"/>
          <w:szCs w:val="20"/>
          <w:color w:val="auto"/>
        </w:rPr>
        <w:tab/>
      </w:r>
      <w:r>
        <w:rPr>
          <w:rFonts w:ascii="Arial" w:cs="Arial" w:eastAsia="Arial" w:hAnsi="Arial"/>
          <w:sz w:val="16"/>
          <w:szCs w:val="16"/>
          <w:color w:val="auto"/>
        </w:rPr>
        <w:t>business.</w:t>
      </w:r>
    </w:p>
    <w:p>
      <w:pPr>
        <w:spacing w:after="0" w:line="219" w:lineRule="exact"/>
        <w:rPr>
          <w:sz w:val="20"/>
          <w:szCs w:val="20"/>
          <w:color w:val="auto"/>
        </w:rPr>
      </w:pPr>
    </w:p>
    <w:p>
      <w:pPr>
        <w:ind w:left="3300"/>
        <w:spacing w:after="0"/>
        <w:rPr>
          <w:sz w:val="20"/>
          <w:szCs w:val="20"/>
          <w:color w:val="auto"/>
        </w:rPr>
      </w:pPr>
      <w:r>
        <w:rPr>
          <w:rFonts w:ascii="Arial" w:cs="Arial" w:eastAsia="Arial" w:hAnsi="Arial"/>
          <w:sz w:val="15"/>
          <w:szCs w:val="15"/>
          <w:color w:val="auto"/>
        </w:rPr>
        <w:t>A blend of performance periods maintains our overall long-term focus while also accounting</w:t>
      </w:r>
    </w:p>
    <w:p>
      <w:pPr>
        <w:spacing w:after="0" w:line="33" w:lineRule="exact"/>
        <w:rPr>
          <w:sz w:val="20"/>
          <w:szCs w:val="20"/>
          <w:color w:val="auto"/>
        </w:rPr>
      </w:pPr>
    </w:p>
    <w:p>
      <w:pPr>
        <w:ind w:left="3300"/>
        <w:spacing w:after="0"/>
        <w:rPr>
          <w:sz w:val="20"/>
          <w:szCs w:val="20"/>
          <w:color w:val="auto"/>
        </w:rPr>
      </w:pPr>
      <w:r>
        <w:rPr>
          <w:rFonts w:ascii="Arial" w:cs="Arial" w:eastAsia="Arial" w:hAnsi="Arial"/>
          <w:sz w:val="15"/>
          <w:szCs w:val="15"/>
          <w:color w:val="auto"/>
        </w:rPr>
        <w:t>for the challenges we may face in forecasting for periods greater than 12 months that result</w:t>
      </w:r>
    </w:p>
    <w:p>
      <w:pPr>
        <w:spacing w:after="0" w:line="26" w:lineRule="exact"/>
        <w:rPr>
          <w:sz w:val="20"/>
          <w:szCs w:val="20"/>
          <w:color w:val="auto"/>
        </w:rPr>
      </w:pPr>
    </w:p>
    <w:p>
      <w:pPr>
        <w:ind w:left="3300"/>
        <w:spacing w:after="0"/>
        <w:rPr>
          <w:sz w:val="20"/>
          <w:szCs w:val="20"/>
          <w:color w:val="auto"/>
        </w:rPr>
      </w:pPr>
      <w:r>
        <w:rPr>
          <w:rFonts w:ascii="Arial" w:cs="Arial" w:eastAsia="Arial" w:hAnsi="Arial"/>
          <w:sz w:val="16"/>
          <w:szCs w:val="16"/>
          <w:color w:val="auto"/>
        </w:rPr>
        <w:t>from our aggressive recycling of capital and our focus on transformational initiatives.</w:t>
      </w:r>
    </w:p>
    <w:p>
      <w:pPr>
        <w:spacing w:after="0" w:line="10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1F2668"/>
        </w:rPr>
        <w:t>No One-Size-Fits-All Solution</w:t>
      </w:r>
      <w:r>
        <w:rPr>
          <w:rFonts w:ascii="Arial" w:cs="Arial" w:eastAsia="Arial" w:hAnsi="Arial"/>
          <w:sz w:val="16"/>
          <w:szCs w:val="16"/>
          <w:color w:val="auto"/>
        </w:rPr>
        <w:t xml:space="preserve"> ​​ Designed goals that incentivize our executive officers no matter the time horizon.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-115570</wp:posOffset>
            </wp:positionV>
            <wp:extent cx="574357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743575" cy="8255"/>
                    </a:xfrm>
                    <a:prstGeom prst="rect">
                      <a:avLst/>
                    </a:prstGeom>
                    <a:noFill/>
                  </pic:spPr>
                </pic:pic>
              </a:graphicData>
            </a:graphic>
          </wp:anchor>
        </w:drawing>
      </w:r>
    </w:p>
    <w:p>
      <w:pPr>
        <w:spacing w:after="0" w:line="201" w:lineRule="exact"/>
        <w:rPr>
          <w:sz w:val="20"/>
          <w:szCs w:val="20"/>
          <w:color w:val="auto"/>
        </w:rPr>
      </w:pPr>
    </w:p>
    <w:p>
      <w:pPr>
        <w:ind w:left="3300" w:right="180"/>
        <w:spacing w:after="0" w:line="304" w:lineRule="auto"/>
        <w:rPr>
          <w:sz w:val="20"/>
          <w:szCs w:val="20"/>
          <w:color w:val="auto"/>
        </w:rPr>
      </w:pPr>
      <w:r>
        <w:rPr>
          <w:rFonts w:ascii="Arial" w:cs="Arial" w:eastAsia="Arial" w:hAnsi="Arial"/>
          <w:sz w:val="16"/>
          <w:szCs w:val="16"/>
          <w:color w:val="auto"/>
        </w:rPr>
        <w:t>Compensation structure that links executive officers’ focus on our business to the way our stockholders think about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21590</wp:posOffset>
            </wp:positionV>
            <wp:extent cx="576072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103505</wp:posOffset>
            </wp:positionV>
            <wp:extent cx="6831965"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1F2668"/>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ectPr>
          <w:pgSz w:w="11900" w:h="16838" w:orient="portrait"/>
          <w:cols w:equalWidth="0" w:num="2">
            <w:col w:w="9740" w:space="140"/>
            <w:col w:w="40"/>
          </w:cols>
          <w:pgMar w:left="580" w:top="97" w:right="1399"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297"/>
        </w:trPr>
        <w:tc>
          <w:tcPr>
            <w:tcW w:w="620" w:type="dxa"/>
            <w:vAlign w:val="bottom"/>
          </w:tcPr>
          <w:p>
            <w:pPr>
              <w:spacing w:after="0"/>
              <w:rPr>
                <w:sz w:val="20"/>
                <w:szCs w:val="20"/>
                <w:color w:val="auto"/>
              </w:rPr>
            </w:pPr>
            <w:r>
              <w:rPr>
                <w:rFonts w:ascii="Arial" w:cs="Arial" w:eastAsia="Arial" w:hAnsi="Arial"/>
                <w:sz w:val="22"/>
                <w:szCs w:val="22"/>
                <w:b w:val="1"/>
                <w:bCs w:val="1"/>
                <w:color w:val="1F2668"/>
              </w:rPr>
              <w:t>52​</w:t>
            </w:r>
          </w:p>
        </w:tc>
        <w:tc>
          <w:tcPr>
            <w:tcW w:w="5600" w:type="dxa"/>
            <w:vAlign w:val="bottom"/>
            <w:gridSpan w:val="2"/>
          </w:tcPr>
          <w:p>
            <w:pPr>
              <w:ind w:left="20"/>
              <w:spacing w:after="0"/>
              <w:rPr>
                <w:sz w:val="20"/>
                <w:szCs w:val="20"/>
                <w:color w:val="auto"/>
              </w:rPr>
            </w:pPr>
            <w:r>
              <w:rPr>
                <w:rFonts w:ascii="Arial" w:cs="Arial" w:eastAsia="Arial" w:hAnsi="Arial"/>
                <w:sz w:val="22"/>
                <w:szCs w:val="22"/>
                <w:b w:val="1"/>
                <w:bCs w:val="1"/>
                <w:color w:val="1F2668"/>
              </w:rPr>
              <w:t xml:space="preserve">​ ​ </w:t>
            </w:r>
            <w:r>
              <w:rPr>
                <w:rFonts w:ascii="Arial" w:cs="Arial" w:eastAsia="Arial" w:hAnsi="Arial"/>
                <w:sz w:val="14"/>
                <w:szCs w:val="14"/>
                <w:b w:val="1"/>
                <w:bCs w:val="1"/>
                <w:color w:val="1F2668"/>
              </w:rPr>
              <w:t>SL GREEN REALTY CORP. 2025 PROXY STATEMENT</w:t>
            </w:r>
          </w:p>
        </w:tc>
        <w:tc>
          <w:tcPr>
            <w:tcW w:w="2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22"/>
                <w:szCs w:val="22"/>
                <w:b w:val="1"/>
                <w:bCs w:val="1"/>
                <w:color w:val="1F2668"/>
              </w:rPr>
              <w:t>​</w:t>
            </w:r>
          </w:p>
        </w:tc>
      </w:tr>
      <w:tr>
        <w:trPr>
          <w:trHeight w:val="613"/>
        </w:trPr>
        <w:tc>
          <w:tcPr>
            <w:tcW w:w="6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340" w:type="dxa"/>
            <w:vAlign w:val="bottom"/>
          </w:tcPr>
          <w:p>
            <w:pPr>
              <w:ind w:left="900"/>
              <w:spacing w:after="0"/>
              <w:rPr>
                <w:sz w:val="20"/>
                <w:szCs w:val="20"/>
                <w:color w:val="auto"/>
              </w:rPr>
            </w:pPr>
            <w:r>
              <w:rPr>
                <w:rFonts w:ascii="Arial" w:cs="Arial" w:eastAsia="Arial" w:hAnsi="Arial"/>
                <w:sz w:val="14"/>
                <w:szCs w:val="14"/>
                <w:b w:val="1"/>
                <w:bCs w:val="1"/>
                <w:color w:val="1F2668"/>
              </w:rPr>
              <w:t>Annual Equity Awards</w:t>
            </w:r>
          </w:p>
        </w:tc>
        <w:tc>
          <w:tcPr>
            <w:tcW w:w="2240" w:type="dxa"/>
            <w:vAlign w:val="bottom"/>
          </w:tcPr>
          <w:p>
            <w:pPr>
              <w:ind w:left="220"/>
              <w:spacing w:after="0"/>
              <w:rPr>
                <w:sz w:val="20"/>
                <w:szCs w:val="20"/>
                <w:color w:val="auto"/>
              </w:rPr>
            </w:pPr>
            <w:r>
              <w:rPr>
                <w:rFonts w:ascii="Arial" w:cs="Arial" w:eastAsia="Arial" w:hAnsi="Arial"/>
                <w:sz w:val="14"/>
                <w:szCs w:val="14"/>
                <w:b w:val="1"/>
                <w:bCs w:val="1"/>
                <w:color w:val="1F2668"/>
              </w:rPr>
              <w:t>Annual Equity Awards</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8"/>
        </w:trPr>
        <w:tc>
          <w:tcPr>
            <w:tcW w:w="620" w:type="dxa"/>
            <w:vAlign w:val="bottom"/>
          </w:tcPr>
          <w:p>
            <w:pPr>
              <w:spacing w:after="0" w:line="199" w:lineRule="exact"/>
              <w:rPr>
                <w:sz w:val="20"/>
                <w:szCs w:val="20"/>
                <w:color w:val="auto"/>
              </w:rPr>
            </w:pPr>
            <w:r>
              <w:rPr>
                <w:rFonts w:ascii="Arial" w:cs="Arial" w:eastAsia="Arial" w:hAnsi="Arial"/>
                <w:sz w:val="12"/>
                <w:szCs w:val="12"/>
                <w:b w:val="1"/>
                <w:bCs w:val="1"/>
                <w:color w:val="1F2668"/>
              </w:rPr>
              <w:t xml:space="preserve">​ </w:t>
            </w:r>
            <w:r>
              <w:rPr>
                <w:rFonts w:ascii="Arial" w:cs="Arial" w:eastAsia="Arial" w:hAnsi="Arial"/>
                <w:sz w:val="22"/>
                <w:szCs w:val="22"/>
                <w:b w:val="1"/>
                <w:bCs w:val="1"/>
                <w:color w:val="1F2668"/>
                <w:vertAlign w:val="superscript"/>
              </w:rPr>
              <w:t>​</w:t>
            </w:r>
          </w:p>
        </w:tc>
        <w:tc>
          <w:tcPr>
            <w:tcW w:w="2260" w:type="dxa"/>
            <w:vAlign w:val="bottom"/>
          </w:tcPr>
          <w:p>
            <w:pPr>
              <w:ind w:left="380"/>
              <w:spacing w:after="0" w:line="199" w:lineRule="exact"/>
              <w:rPr>
                <w:sz w:val="20"/>
                <w:szCs w:val="20"/>
                <w:color w:val="auto"/>
              </w:rPr>
            </w:pPr>
            <w:r>
              <w:rPr>
                <w:rFonts w:ascii="Arial" w:cs="Arial" w:eastAsia="Arial" w:hAnsi="Arial"/>
                <w:sz w:val="22"/>
                <w:szCs w:val="22"/>
                <w:b w:val="1"/>
                <w:bCs w:val="1"/>
                <w:color w:val="1F2668"/>
                <w:vertAlign w:val="subscript"/>
              </w:rPr>
              <w:t>​​</w:t>
            </w:r>
            <w:r>
              <w:rPr>
                <w:rFonts w:ascii="Arial" w:cs="Arial" w:eastAsia="Arial" w:hAnsi="Arial"/>
                <w:sz w:val="12"/>
                <w:szCs w:val="12"/>
                <w:b w:val="1"/>
                <w:bCs w:val="1"/>
                <w:color w:val="1F2668"/>
              </w:rPr>
              <w:t>Annual Bonus</w:t>
            </w:r>
          </w:p>
        </w:tc>
        <w:tc>
          <w:tcPr>
            <w:tcW w:w="3340" w:type="dxa"/>
            <w:vAlign w:val="bottom"/>
          </w:tcPr>
          <w:p>
            <w:pPr>
              <w:ind w:left="780"/>
              <w:spacing w:after="0" w:line="199" w:lineRule="exact"/>
              <w:rPr>
                <w:sz w:val="20"/>
                <w:szCs w:val="20"/>
                <w:color w:val="auto"/>
              </w:rPr>
            </w:pPr>
            <w:r>
              <w:rPr>
                <w:rFonts w:ascii="Arial" w:cs="Arial" w:eastAsia="Arial" w:hAnsi="Arial"/>
                <w:sz w:val="22"/>
                <w:szCs w:val="22"/>
                <w:b w:val="1"/>
                <w:bCs w:val="1"/>
                <w:color w:val="1F2668"/>
                <w:vertAlign w:val="subscript"/>
              </w:rPr>
              <w:t>​​</w:t>
            </w:r>
            <w:r>
              <w:rPr>
                <w:rFonts w:ascii="Arial" w:cs="Arial" w:eastAsia="Arial" w:hAnsi="Arial"/>
                <w:sz w:val="12"/>
                <w:szCs w:val="12"/>
                <w:b w:val="1"/>
                <w:bCs w:val="1"/>
                <w:color w:val="1F2668"/>
              </w:rPr>
              <w:t>(Operational Component)</w:t>
            </w:r>
          </w:p>
        </w:tc>
        <w:tc>
          <w:tcPr>
            <w:tcW w:w="2240" w:type="dxa"/>
            <w:vAlign w:val="bottom"/>
          </w:tcPr>
          <w:p>
            <w:pPr>
              <w:ind w:left="100"/>
              <w:spacing w:after="0" w:line="199" w:lineRule="exact"/>
              <w:rPr>
                <w:sz w:val="20"/>
                <w:szCs w:val="20"/>
                <w:color w:val="auto"/>
              </w:rPr>
            </w:pPr>
            <w:r>
              <w:rPr>
                <w:rFonts w:ascii="Arial" w:cs="Arial" w:eastAsia="Arial" w:hAnsi="Arial"/>
                <w:sz w:val="22"/>
                <w:szCs w:val="22"/>
                <w:b w:val="1"/>
                <w:bCs w:val="1"/>
                <w:color w:val="1F2668"/>
                <w:vertAlign w:val="subscript"/>
              </w:rPr>
              <w:t>​​</w:t>
            </w:r>
            <w:r>
              <w:rPr>
                <w:rFonts w:ascii="Arial" w:cs="Arial" w:eastAsia="Arial" w:hAnsi="Arial"/>
                <w:sz w:val="12"/>
                <w:szCs w:val="12"/>
                <w:b w:val="1"/>
                <w:bCs w:val="1"/>
                <w:color w:val="1F2668"/>
              </w:rPr>
              <w:t>(Relative Component)</w:t>
            </w:r>
          </w:p>
        </w:tc>
        <w:tc>
          <w:tcPr>
            <w:tcW w:w="660" w:type="dxa"/>
            <w:vAlign w:val="bottom"/>
            <w:gridSpan w:val="2"/>
          </w:tcPr>
          <w:p>
            <w:pPr>
              <w:ind w:left="520"/>
              <w:spacing w:after="0"/>
              <w:rPr>
                <w:sz w:val="20"/>
                <w:szCs w:val="20"/>
                <w:color w:val="auto"/>
              </w:rPr>
            </w:pPr>
            <w:r>
              <w:rPr>
                <w:rFonts w:ascii="Arial" w:cs="Arial" w:eastAsia="Arial" w:hAnsi="Arial"/>
                <w:sz w:val="14"/>
                <w:szCs w:val="14"/>
                <w:b w:val="1"/>
                <w:bCs w:val="1"/>
                <w:color w:val="1F2668"/>
              </w:rPr>
              <w:t>​</w:t>
            </w:r>
          </w:p>
        </w:tc>
      </w:tr>
      <w:tr>
        <w:trPr>
          <w:trHeight w:val="250"/>
        </w:trPr>
        <w:tc>
          <w:tcPr>
            <w:tcW w:w="620" w:type="dxa"/>
            <w:vAlign w:val="bottom"/>
            <w:tcBorders>
              <w:top w:val="single" w:sz="8" w:color="1F2668"/>
              <w:bottom w:val="single" w:sz="8" w:color="4B5088"/>
            </w:tcBorders>
          </w:tcPr>
          <w:p>
            <w:pPr>
              <w:spacing w:after="0" w:line="250" w:lineRule="exact"/>
              <w:rPr>
                <w:sz w:val="20"/>
                <w:szCs w:val="20"/>
                <w:color w:val="auto"/>
              </w:rPr>
            </w:pPr>
            <w:r>
              <w:rPr>
                <w:rFonts w:ascii="Arial" w:cs="Arial" w:eastAsia="Arial" w:hAnsi="Arial"/>
                <w:sz w:val="28"/>
                <w:szCs w:val="28"/>
                <w:color w:val="000000"/>
                <w:vertAlign w:val="superscript"/>
              </w:rPr>
              <w:t>​</w:t>
            </w:r>
            <w:r>
              <w:rPr>
                <w:rFonts w:ascii="Arial" w:cs="Arial" w:eastAsia="Arial" w:hAnsi="Arial"/>
                <w:sz w:val="15"/>
                <w:szCs w:val="15"/>
                <w:b w:val="1"/>
                <w:bCs w:val="1"/>
                <w:color w:val="1F2668"/>
              </w:rPr>
              <w:t xml:space="preserve"> Period</w:t>
            </w:r>
          </w:p>
        </w:tc>
        <w:tc>
          <w:tcPr>
            <w:tcW w:w="2260" w:type="dxa"/>
            <w:vAlign w:val="bottom"/>
            <w:tcBorders>
              <w:top w:val="single" w:sz="8" w:color="1F2668"/>
              <w:bottom w:val="single" w:sz="8" w:color="4B5088"/>
            </w:tcBorders>
          </w:tcPr>
          <w:p>
            <w:pPr>
              <w:ind w:left="38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One year</w:t>
            </w:r>
          </w:p>
        </w:tc>
        <w:tc>
          <w:tcPr>
            <w:tcW w:w="3340" w:type="dxa"/>
            <w:vAlign w:val="bottom"/>
            <w:tcBorders>
              <w:top w:val="single" w:sz="8" w:color="1F2668"/>
              <w:bottom w:val="single" w:sz="8" w:color="4B5088"/>
            </w:tcBorders>
          </w:tcPr>
          <w:p>
            <w:pPr>
              <w:ind w:left="78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One year with three-year modifier</w:t>
            </w:r>
          </w:p>
        </w:tc>
        <w:tc>
          <w:tcPr>
            <w:tcW w:w="2240" w:type="dxa"/>
            <w:vAlign w:val="bottom"/>
            <w:tcBorders>
              <w:top w:val="single" w:sz="8" w:color="1F2668"/>
              <w:bottom w:val="single" w:sz="8" w:color="4B5088"/>
            </w:tcBorders>
          </w:tcPr>
          <w:p>
            <w:pPr>
              <w:ind w:left="10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Three years</w:t>
            </w:r>
          </w:p>
        </w:tc>
        <w:tc>
          <w:tcPr>
            <w:tcW w:w="600" w:type="dxa"/>
            <w:vAlign w:val="bottom"/>
            <w:tcBorders>
              <w:top w:val="single" w:sz="8" w:color="1F2668"/>
              <w:bottom w:val="single" w:sz="8" w:color="4B5088"/>
            </w:tcBorders>
          </w:tcPr>
          <w:p>
            <w:pPr>
              <w:ind w:left="5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r>
      <w:tr>
        <w:trPr>
          <w:trHeight w:val="184"/>
        </w:trPr>
        <w:tc>
          <w:tcPr>
            <w:tcW w:w="620" w:type="dxa"/>
            <w:vAlign w:val="bottom"/>
          </w:tcPr>
          <w:p>
            <w:pPr>
              <w:spacing w:after="0"/>
              <w:rPr>
                <w:sz w:val="20"/>
                <w:szCs w:val="20"/>
                <w:color w:val="auto"/>
              </w:rPr>
            </w:pPr>
            <w:r>
              <w:rPr>
                <w:rFonts w:ascii="Arial" w:cs="Arial" w:eastAsia="Arial" w:hAnsi="Arial"/>
                <w:sz w:val="16"/>
                <w:szCs w:val="16"/>
                <w:color w:val="auto"/>
              </w:rPr>
              <w:t>​</w:t>
            </w:r>
          </w:p>
        </w:tc>
        <w:tc>
          <w:tcPr>
            <w:tcW w:w="2260" w:type="dxa"/>
            <w:vAlign w:val="bottom"/>
          </w:tcPr>
          <w:p>
            <w:pPr>
              <w:ind w:left="380"/>
              <w:spacing w:after="0"/>
              <w:rPr>
                <w:sz w:val="20"/>
                <w:szCs w:val="20"/>
                <w:color w:val="auto"/>
              </w:rPr>
            </w:pPr>
            <w:r>
              <w:rPr>
                <w:rFonts w:ascii="Arial" w:cs="Arial" w:eastAsia="Arial" w:hAnsi="Arial"/>
                <w:sz w:val="16"/>
                <w:szCs w:val="16"/>
                <w:color w:val="auto"/>
              </w:rPr>
              <w:t>​​</w:t>
            </w:r>
          </w:p>
        </w:tc>
        <w:tc>
          <w:tcPr>
            <w:tcW w:w="3340" w:type="dxa"/>
            <w:vAlign w:val="bottom"/>
          </w:tcPr>
          <w:p>
            <w:pPr>
              <w:ind w:left="780"/>
              <w:spacing w:after="0"/>
              <w:rPr>
                <w:sz w:val="20"/>
                <w:szCs w:val="20"/>
                <w:color w:val="auto"/>
              </w:rPr>
            </w:pPr>
            <w:r>
              <w:rPr>
                <w:rFonts w:ascii="Arial" w:cs="Arial" w:eastAsia="Arial" w:hAnsi="Arial"/>
                <w:sz w:val="16"/>
                <w:szCs w:val="16"/>
                <w:color w:val="auto"/>
              </w:rPr>
              <w:t>​​</w:t>
            </w:r>
          </w:p>
        </w:tc>
        <w:tc>
          <w:tcPr>
            <w:tcW w:w="2240" w:type="dxa"/>
            <w:vAlign w:val="bottom"/>
          </w:tcPr>
          <w:p>
            <w:pPr>
              <w:ind w:left="100"/>
              <w:spacing w:after="0"/>
              <w:rPr>
                <w:sz w:val="20"/>
                <w:szCs w:val="20"/>
                <w:color w:val="auto"/>
              </w:rPr>
            </w:pPr>
            <w:r>
              <w:rPr>
                <w:rFonts w:ascii="Arial" w:cs="Arial" w:eastAsia="Arial" w:hAnsi="Arial"/>
                <w:sz w:val="16"/>
                <w:szCs w:val="16"/>
                <w:color w:val="auto"/>
              </w:rPr>
              <w:t>​​</w:t>
            </w:r>
          </w:p>
        </w:tc>
        <w:tc>
          <w:tcPr>
            <w:tcW w:w="600" w:type="dxa"/>
            <w:vAlign w:val="bottom"/>
          </w:tcPr>
          <w:p>
            <w:pPr>
              <w:ind w:left="5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r>
    </w:tbl>
    <w:p>
      <w:pPr>
        <w:spacing w:after="0" w:line="1" w:lineRule="exact"/>
        <w:rPr>
          <w:sz w:val="20"/>
          <w:szCs w:val="20"/>
          <w:color w:val="auto"/>
        </w:rPr>
      </w:pPr>
    </w:p>
    <w:tbl>
      <w:tblPr>
        <w:tblLayout w:type="fixed"/>
        <w:tblInd w:w="820" w:type="dxa"/>
        <w:tblCellMar>
          <w:top w:w="0" w:type="dxa"/>
          <w:left w:w="0" w:type="dxa"/>
          <w:bottom w:w="0" w:type="dxa"/>
          <w:right w:w="0" w:type="dxa"/>
        </w:tblCellMar>
      </w:tblPr>
      <w:tr>
        <w:trPr>
          <w:trHeight w:val="200"/>
        </w:trPr>
        <w:tc>
          <w:tcPr>
            <w:tcW w:w="60" w:type="dxa"/>
            <w:vAlign w:val="bottom"/>
          </w:tcPr>
          <w:p>
            <w:pPr>
              <w:spacing w:after="0"/>
              <w:rPr>
                <w:sz w:val="17"/>
                <w:szCs w:val="17"/>
                <w:color w:val="auto"/>
              </w:rPr>
            </w:pPr>
          </w:p>
        </w:tc>
        <w:tc>
          <w:tcPr>
            <w:tcW w:w="920" w:type="dxa"/>
            <w:vAlign w:val="bottom"/>
          </w:tcPr>
          <w:p>
            <w:pPr>
              <w:ind w:left="40"/>
              <w:spacing w:after="0"/>
              <w:rPr>
                <w:sz w:val="20"/>
                <w:szCs w:val="20"/>
                <w:color w:val="auto"/>
              </w:rPr>
            </w:pPr>
            <w:r>
              <w:rPr>
                <w:rFonts w:ascii="Arial" w:cs="Arial" w:eastAsia="Arial" w:hAnsi="Arial"/>
                <w:sz w:val="16"/>
                <w:szCs w:val="16"/>
                <w:b w:val="1"/>
                <w:bCs w:val="1"/>
                <w:color w:val="1F2668"/>
              </w:rPr>
              <w:t>Objectives</w:t>
            </w:r>
          </w:p>
        </w:tc>
        <w:tc>
          <w:tcPr>
            <w:tcW w:w="240" w:type="dxa"/>
            <w:vAlign w:val="bottom"/>
          </w:tcPr>
          <w:p>
            <w:pPr>
              <w:ind w:left="140"/>
              <w:spacing w:after="0"/>
              <w:rPr>
                <w:sz w:val="20"/>
                <w:szCs w:val="20"/>
                <w:color w:val="auto"/>
              </w:rPr>
            </w:pPr>
            <w:r>
              <w:rPr>
                <w:rFonts w:ascii="Arial" w:cs="Arial" w:eastAsia="Arial" w:hAnsi="Arial"/>
                <w:sz w:val="16"/>
                <w:szCs w:val="16"/>
                <w:color w:val="auto"/>
              </w:rPr>
              <w:t>•</w:t>
            </w:r>
          </w:p>
        </w:tc>
        <w:tc>
          <w:tcPr>
            <w:tcW w:w="2440" w:type="dxa"/>
            <w:vAlign w:val="bottom"/>
          </w:tcPr>
          <w:p>
            <w:pPr>
              <w:ind w:left="60"/>
              <w:spacing w:after="0"/>
              <w:rPr>
                <w:sz w:val="20"/>
                <w:szCs w:val="20"/>
                <w:color w:val="auto"/>
              </w:rPr>
            </w:pPr>
            <w:r>
              <w:rPr>
                <w:rFonts w:ascii="Arial" w:cs="Arial" w:eastAsia="Arial" w:hAnsi="Arial"/>
                <w:sz w:val="16"/>
                <w:szCs w:val="16"/>
                <w:color w:val="auto"/>
              </w:rPr>
              <w:t>Normalized FFO per share</w:t>
            </w:r>
          </w:p>
        </w:tc>
        <w:tc>
          <w:tcPr>
            <w:tcW w:w="220" w:type="dxa"/>
            <w:vAlign w:val="bottom"/>
          </w:tcPr>
          <w:p>
            <w:pPr>
              <w:ind w:left="120"/>
              <w:spacing w:after="0"/>
              <w:rPr>
                <w:sz w:val="20"/>
                <w:szCs w:val="20"/>
                <w:color w:val="auto"/>
              </w:rPr>
            </w:pPr>
            <w:r>
              <w:rPr>
                <w:rFonts w:ascii="Arial" w:cs="Arial" w:eastAsia="Arial" w:hAnsi="Arial"/>
                <w:sz w:val="16"/>
                <w:szCs w:val="16"/>
                <w:color w:val="auto"/>
              </w:rPr>
              <w:t>•</w:t>
            </w:r>
          </w:p>
        </w:tc>
        <w:tc>
          <w:tcPr>
            <w:tcW w:w="2440" w:type="dxa"/>
            <w:vAlign w:val="bottom"/>
          </w:tcPr>
          <w:p>
            <w:pPr>
              <w:ind w:left="60"/>
              <w:spacing w:after="0"/>
              <w:rPr>
                <w:sz w:val="20"/>
                <w:szCs w:val="20"/>
                <w:color w:val="auto"/>
              </w:rPr>
            </w:pPr>
            <w:r>
              <w:rPr>
                <w:rFonts w:ascii="Arial" w:cs="Arial" w:eastAsia="Arial" w:hAnsi="Arial"/>
                <w:sz w:val="16"/>
                <w:szCs w:val="16"/>
                <w:color w:val="auto"/>
              </w:rPr>
              <w:t>Normalized funds available for</w:t>
            </w:r>
          </w:p>
        </w:tc>
        <w:tc>
          <w:tcPr>
            <w:tcW w:w="2800" w:type="dxa"/>
            <w:vAlign w:val="bottom"/>
            <w:gridSpan w:val="3"/>
          </w:tcPr>
          <w:p>
            <w:pPr>
              <w:ind w:left="120"/>
              <w:spacing w:after="0"/>
              <w:rPr>
                <w:sz w:val="20"/>
                <w:szCs w:val="20"/>
                <w:color w:val="auto"/>
              </w:rPr>
            </w:pPr>
            <w:r>
              <w:rPr>
                <w:rFonts w:ascii="Arial" w:cs="Arial" w:eastAsia="Arial" w:hAnsi="Arial"/>
                <w:sz w:val="16"/>
                <w:szCs w:val="16"/>
                <w:color w:val="auto"/>
              </w:rPr>
              <w:t>• TSR relative to the constituents of</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ind w:left="140"/>
              <w:spacing w:after="0"/>
              <w:rPr>
                <w:sz w:val="20"/>
                <w:szCs w:val="20"/>
                <w:color w:val="auto"/>
              </w:rPr>
            </w:pPr>
            <w:r>
              <w:rPr>
                <w:rFonts w:ascii="Arial" w:cs="Arial" w:eastAsia="Arial" w:hAnsi="Arial"/>
                <w:sz w:val="16"/>
                <w:szCs w:val="16"/>
                <w:color w:val="auto"/>
              </w:rPr>
              <w:t>•</w:t>
            </w:r>
          </w:p>
        </w:tc>
        <w:tc>
          <w:tcPr>
            <w:tcW w:w="2440" w:type="dxa"/>
            <w:vAlign w:val="bottom"/>
          </w:tcPr>
          <w:p>
            <w:pPr>
              <w:ind w:left="60"/>
              <w:spacing w:after="0"/>
              <w:rPr>
                <w:sz w:val="20"/>
                <w:szCs w:val="20"/>
                <w:color w:val="auto"/>
              </w:rPr>
            </w:pPr>
            <w:r>
              <w:rPr>
                <w:rFonts w:ascii="Arial" w:cs="Arial" w:eastAsia="Arial" w:hAnsi="Arial"/>
                <w:sz w:val="16"/>
                <w:szCs w:val="16"/>
                <w:color w:val="auto"/>
              </w:rPr>
              <w:t>Discounted debt extinguishment</w:t>
            </w:r>
          </w:p>
        </w:tc>
        <w:tc>
          <w:tcPr>
            <w:tcW w:w="220" w:type="dxa"/>
            <w:vAlign w:val="bottom"/>
          </w:tcPr>
          <w:p>
            <w:pPr>
              <w:spacing w:after="0"/>
              <w:rPr>
                <w:sz w:val="22"/>
                <w:szCs w:val="22"/>
                <w:color w:val="auto"/>
              </w:rPr>
            </w:pPr>
          </w:p>
        </w:tc>
        <w:tc>
          <w:tcPr>
            <w:tcW w:w="2440" w:type="dxa"/>
            <w:vAlign w:val="bottom"/>
          </w:tcPr>
          <w:p>
            <w:pPr>
              <w:ind w:left="60"/>
              <w:spacing w:after="0"/>
              <w:rPr>
                <w:sz w:val="20"/>
                <w:szCs w:val="20"/>
                <w:color w:val="auto"/>
              </w:rPr>
            </w:pPr>
            <w:r>
              <w:rPr>
                <w:rFonts w:ascii="Arial" w:cs="Arial" w:eastAsia="Arial" w:hAnsi="Arial"/>
                <w:sz w:val="16"/>
                <w:szCs w:val="16"/>
                <w:color w:val="auto"/>
              </w:rPr>
              <w:t>distribution</w:t>
            </w:r>
          </w:p>
        </w:tc>
        <w:tc>
          <w:tcPr>
            <w:tcW w:w="2560" w:type="dxa"/>
            <w:vAlign w:val="bottom"/>
          </w:tcPr>
          <w:p>
            <w:pPr>
              <w:ind w:left="280"/>
              <w:spacing w:after="0"/>
              <w:rPr>
                <w:sz w:val="20"/>
                <w:szCs w:val="20"/>
                <w:color w:val="auto"/>
              </w:rPr>
            </w:pPr>
            <w:r>
              <w:rPr>
                <w:rFonts w:ascii="Arial" w:cs="Arial" w:eastAsia="Arial" w:hAnsi="Arial"/>
                <w:sz w:val="16"/>
                <w:szCs w:val="16"/>
                <w:color w:val="auto"/>
              </w:rPr>
              <w:t>an office REIT index</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40" w:type="dxa"/>
            <w:vAlign w:val="bottom"/>
          </w:tcPr>
          <w:p>
            <w:pPr>
              <w:ind w:left="60"/>
              <w:spacing w:after="0"/>
              <w:rPr>
                <w:sz w:val="20"/>
                <w:szCs w:val="20"/>
                <w:color w:val="auto"/>
              </w:rPr>
            </w:pPr>
            <w:r>
              <w:rPr>
                <w:rFonts w:ascii="Arial" w:cs="Arial" w:eastAsia="Arial" w:hAnsi="Arial"/>
                <w:sz w:val="16"/>
                <w:szCs w:val="16"/>
                <w:color w:val="auto"/>
              </w:rPr>
              <w:t>gains</w:t>
            </w:r>
          </w:p>
        </w:tc>
        <w:tc>
          <w:tcPr>
            <w:tcW w:w="220" w:type="dxa"/>
            <w:vAlign w:val="bottom"/>
          </w:tcPr>
          <w:p>
            <w:pPr>
              <w:ind w:left="120"/>
              <w:spacing w:after="0"/>
              <w:rPr>
                <w:sz w:val="20"/>
                <w:szCs w:val="20"/>
                <w:color w:val="auto"/>
              </w:rPr>
            </w:pPr>
            <w:r>
              <w:rPr>
                <w:rFonts w:ascii="Arial" w:cs="Arial" w:eastAsia="Arial" w:hAnsi="Arial"/>
                <w:sz w:val="16"/>
                <w:szCs w:val="16"/>
                <w:color w:val="auto"/>
              </w:rPr>
              <w:t>•</w:t>
            </w:r>
          </w:p>
        </w:tc>
        <w:tc>
          <w:tcPr>
            <w:tcW w:w="2440" w:type="dxa"/>
            <w:vAlign w:val="bottom"/>
          </w:tcPr>
          <w:p>
            <w:pPr>
              <w:ind w:left="60"/>
              <w:spacing w:after="0"/>
              <w:rPr>
                <w:sz w:val="20"/>
                <w:szCs w:val="20"/>
                <w:color w:val="auto"/>
              </w:rPr>
            </w:pPr>
            <w:r>
              <w:rPr>
                <w:rFonts w:ascii="Arial" w:cs="Arial" w:eastAsia="Arial" w:hAnsi="Arial"/>
                <w:sz w:val="16"/>
                <w:szCs w:val="16"/>
                <w:color w:val="auto"/>
              </w:rPr>
              <w:t>Combined net debt reduction</w:t>
            </w:r>
          </w:p>
        </w:tc>
        <w:tc>
          <w:tcPr>
            <w:tcW w:w="2560" w:type="dxa"/>
            <w:vAlign w:val="bottom"/>
          </w:tcPr>
          <w:p>
            <w:pPr>
              <w:ind w:left="120"/>
              <w:spacing w:after="0"/>
              <w:rPr>
                <w:sz w:val="20"/>
                <w:szCs w:val="20"/>
                <w:color w:val="auto"/>
              </w:rPr>
            </w:pPr>
            <w:r>
              <w:rPr>
                <w:rFonts w:ascii="Arial" w:cs="Arial" w:eastAsia="Arial" w:hAnsi="Arial"/>
                <w:sz w:val="16"/>
                <w:szCs w:val="16"/>
                <w:color w:val="auto"/>
              </w:rPr>
              <w:t>• TSR relative to a group of NYC</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680" w:type="dxa"/>
            <w:vAlign w:val="bottom"/>
            <w:gridSpan w:val="2"/>
          </w:tcPr>
          <w:p>
            <w:pPr>
              <w:ind w:left="140"/>
              <w:spacing w:after="0"/>
              <w:rPr>
                <w:sz w:val="20"/>
                <w:szCs w:val="20"/>
                <w:color w:val="auto"/>
              </w:rPr>
            </w:pPr>
            <w:r>
              <w:rPr>
                <w:rFonts w:ascii="Arial" w:cs="Arial" w:eastAsia="Arial" w:hAnsi="Arial"/>
                <w:sz w:val="16"/>
                <w:szCs w:val="16"/>
                <w:color w:val="auto"/>
              </w:rPr>
              <w:t>• Debt refinancings / extensions /</w:t>
            </w:r>
          </w:p>
        </w:tc>
        <w:tc>
          <w:tcPr>
            <w:tcW w:w="220" w:type="dxa"/>
            <w:vAlign w:val="bottom"/>
          </w:tcPr>
          <w:p>
            <w:pPr>
              <w:ind w:left="120"/>
              <w:spacing w:after="0"/>
              <w:rPr>
                <w:sz w:val="20"/>
                <w:szCs w:val="20"/>
                <w:color w:val="auto"/>
              </w:rPr>
            </w:pPr>
            <w:r>
              <w:rPr>
                <w:rFonts w:ascii="Arial" w:cs="Arial" w:eastAsia="Arial" w:hAnsi="Arial"/>
                <w:sz w:val="16"/>
                <w:szCs w:val="16"/>
                <w:color w:val="auto"/>
              </w:rPr>
              <w:t>•</w:t>
            </w:r>
          </w:p>
        </w:tc>
        <w:tc>
          <w:tcPr>
            <w:tcW w:w="2440" w:type="dxa"/>
            <w:vAlign w:val="bottom"/>
          </w:tcPr>
          <w:p>
            <w:pPr>
              <w:ind w:left="60"/>
              <w:spacing w:after="0"/>
              <w:rPr>
                <w:sz w:val="20"/>
                <w:szCs w:val="20"/>
                <w:color w:val="auto"/>
              </w:rPr>
            </w:pPr>
            <w:r>
              <w:rPr>
                <w:rFonts w:ascii="Arial" w:cs="Arial" w:eastAsia="Arial" w:hAnsi="Arial"/>
                <w:sz w:val="16"/>
                <w:szCs w:val="16"/>
                <w:color w:val="auto"/>
              </w:rPr>
              <w:t>Manhattan same store office</w:t>
            </w:r>
          </w:p>
        </w:tc>
        <w:tc>
          <w:tcPr>
            <w:tcW w:w="2560" w:type="dxa"/>
            <w:vAlign w:val="bottom"/>
          </w:tcPr>
          <w:p>
            <w:pPr>
              <w:ind w:left="280"/>
              <w:spacing w:after="0"/>
              <w:rPr>
                <w:sz w:val="20"/>
                <w:szCs w:val="20"/>
                <w:color w:val="auto"/>
              </w:rPr>
            </w:pPr>
            <w:r>
              <w:rPr>
                <w:rFonts w:ascii="Arial" w:cs="Arial" w:eastAsia="Arial" w:hAnsi="Arial"/>
                <w:sz w:val="16"/>
                <w:szCs w:val="16"/>
                <w:color w:val="auto"/>
              </w:rPr>
              <w:t>peers</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40" w:type="dxa"/>
            <w:vAlign w:val="bottom"/>
          </w:tcPr>
          <w:p>
            <w:pPr>
              <w:ind w:left="60"/>
              <w:spacing w:after="0"/>
              <w:rPr>
                <w:sz w:val="20"/>
                <w:szCs w:val="20"/>
                <w:color w:val="auto"/>
              </w:rPr>
            </w:pPr>
            <w:r>
              <w:rPr>
                <w:rFonts w:ascii="Arial" w:cs="Arial" w:eastAsia="Arial" w:hAnsi="Arial"/>
                <w:sz w:val="16"/>
                <w:szCs w:val="16"/>
                <w:color w:val="auto"/>
              </w:rPr>
              <w:t>modifications</w:t>
            </w:r>
          </w:p>
        </w:tc>
        <w:tc>
          <w:tcPr>
            <w:tcW w:w="220" w:type="dxa"/>
            <w:vAlign w:val="bottom"/>
          </w:tcPr>
          <w:p>
            <w:pPr>
              <w:spacing w:after="0"/>
              <w:rPr>
                <w:sz w:val="19"/>
                <w:szCs w:val="19"/>
                <w:color w:val="auto"/>
              </w:rPr>
            </w:pPr>
          </w:p>
        </w:tc>
        <w:tc>
          <w:tcPr>
            <w:tcW w:w="2440" w:type="dxa"/>
            <w:vAlign w:val="bottom"/>
          </w:tcPr>
          <w:p>
            <w:pPr>
              <w:ind w:left="60"/>
              <w:spacing w:after="0"/>
              <w:rPr>
                <w:sz w:val="20"/>
                <w:szCs w:val="20"/>
                <w:color w:val="auto"/>
              </w:rPr>
            </w:pPr>
            <w:r>
              <w:rPr>
                <w:rFonts w:ascii="Arial" w:cs="Arial" w:eastAsia="Arial" w:hAnsi="Arial"/>
                <w:sz w:val="16"/>
                <w:szCs w:val="16"/>
                <w:color w:val="auto"/>
              </w:rPr>
              <w:t>leased occupancy</w:t>
            </w:r>
          </w:p>
        </w:tc>
        <w:tc>
          <w:tcPr>
            <w:tcW w:w="2560" w:type="dxa"/>
            <w:vAlign w:val="bottom"/>
          </w:tcPr>
          <w:p>
            <w:pPr>
              <w:ind w:left="120"/>
              <w:spacing w:after="0"/>
              <w:rPr>
                <w:sz w:val="20"/>
                <w:szCs w:val="20"/>
                <w:color w:val="auto"/>
              </w:rPr>
            </w:pPr>
            <w:r>
              <w:rPr>
                <w:rFonts w:ascii="Arial" w:cs="Arial" w:eastAsia="Arial" w:hAnsi="Arial"/>
                <w:sz w:val="16"/>
                <w:szCs w:val="16"/>
                <w:color w:val="auto"/>
              </w:rPr>
              <w:t>• Subject, in each case, to a</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80" w:type="dxa"/>
            <w:vAlign w:val="bottom"/>
            <w:gridSpan w:val="2"/>
          </w:tcPr>
          <w:p>
            <w:pPr>
              <w:ind w:left="140"/>
              <w:spacing w:after="0"/>
              <w:rPr>
                <w:sz w:val="20"/>
                <w:szCs w:val="20"/>
                <w:color w:val="auto"/>
              </w:rPr>
            </w:pPr>
            <w:r>
              <w:rPr>
                <w:rFonts w:ascii="Arial" w:cs="Arial" w:eastAsia="Arial" w:hAnsi="Arial"/>
                <w:sz w:val="16"/>
                <w:szCs w:val="16"/>
                <w:color w:val="auto"/>
              </w:rPr>
              <w:t>• NYC Opportunity Fund size</w:t>
            </w:r>
          </w:p>
        </w:tc>
        <w:tc>
          <w:tcPr>
            <w:tcW w:w="220" w:type="dxa"/>
            <w:vAlign w:val="bottom"/>
          </w:tcPr>
          <w:p>
            <w:pPr>
              <w:ind w:left="120"/>
              <w:spacing w:after="0"/>
              <w:rPr>
                <w:sz w:val="20"/>
                <w:szCs w:val="20"/>
                <w:color w:val="auto"/>
              </w:rPr>
            </w:pPr>
            <w:r>
              <w:rPr>
                <w:rFonts w:ascii="Arial" w:cs="Arial" w:eastAsia="Arial" w:hAnsi="Arial"/>
                <w:sz w:val="16"/>
                <w:szCs w:val="16"/>
                <w:color w:val="auto"/>
              </w:rPr>
              <w:t>•</w:t>
            </w:r>
          </w:p>
        </w:tc>
        <w:tc>
          <w:tcPr>
            <w:tcW w:w="2440" w:type="dxa"/>
            <w:vAlign w:val="bottom"/>
          </w:tcPr>
          <w:p>
            <w:pPr>
              <w:ind w:left="60"/>
              <w:spacing w:after="0"/>
              <w:rPr>
                <w:sz w:val="20"/>
                <w:szCs w:val="20"/>
                <w:color w:val="auto"/>
              </w:rPr>
            </w:pPr>
            <w:r>
              <w:rPr>
                <w:rFonts w:ascii="Arial" w:cs="Arial" w:eastAsia="Arial" w:hAnsi="Arial"/>
                <w:sz w:val="16"/>
                <w:szCs w:val="16"/>
                <w:color w:val="auto"/>
              </w:rPr>
              <w:t>Manhattan office leasing volume</w:t>
            </w:r>
          </w:p>
        </w:tc>
        <w:tc>
          <w:tcPr>
            <w:tcW w:w="2560" w:type="dxa"/>
            <w:vAlign w:val="bottom"/>
          </w:tcPr>
          <w:p>
            <w:pPr>
              <w:ind w:left="280"/>
              <w:spacing w:after="0"/>
              <w:rPr>
                <w:sz w:val="20"/>
                <w:szCs w:val="20"/>
                <w:color w:val="auto"/>
              </w:rPr>
            </w:pPr>
            <w:r>
              <w:rPr>
                <w:rFonts w:ascii="Arial" w:cs="Arial" w:eastAsia="Arial" w:hAnsi="Arial"/>
                <w:sz w:val="16"/>
                <w:szCs w:val="16"/>
                <w:color w:val="auto"/>
              </w:rPr>
              <w:t>vesting cap at target if absolute</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vMerge w:val="restart"/>
          </w:tcPr>
          <w:p>
            <w:pPr>
              <w:ind w:left="140"/>
              <w:spacing w:after="0"/>
              <w:rPr>
                <w:sz w:val="20"/>
                <w:szCs w:val="20"/>
                <w:color w:val="auto"/>
              </w:rPr>
            </w:pPr>
            <w:r>
              <w:rPr>
                <w:rFonts w:ascii="Arial" w:cs="Arial" w:eastAsia="Arial" w:hAnsi="Arial"/>
                <w:sz w:val="16"/>
                <w:szCs w:val="16"/>
                <w:color w:val="auto"/>
              </w:rPr>
              <w:t>•</w:t>
            </w:r>
          </w:p>
        </w:tc>
        <w:tc>
          <w:tcPr>
            <w:tcW w:w="2440" w:type="dxa"/>
            <w:vAlign w:val="bottom"/>
            <w:vMerge w:val="restart"/>
          </w:tcPr>
          <w:p>
            <w:pPr>
              <w:ind w:left="60"/>
              <w:spacing w:after="0"/>
              <w:rPr>
                <w:sz w:val="20"/>
                <w:szCs w:val="20"/>
                <w:color w:val="auto"/>
              </w:rPr>
            </w:pPr>
            <w:r>
              <w:rPr>
                <w:rFonts w:ascii="Arial" w:cs="Arial" w:eastAsia="Arial" w:hAnsi="Arial"/>
                <w:sz w:val="16"/>
                <w:szCs w:val="16"/>
                <w:color w:val="auto"/>
              </w:rPr>
              <w:t>G&amp;A expense</w:t>
            </w:r>
          </w:p>
        </w:tc>
        <w:tc>
          <w:tcPr>
            <w:tcW w:w="22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2440" w:type="dxa"/>
            <w:vAlign w:val="bottom"/>
            <w:vMerge w:val="restart"/>
          </w:tcPr>
          <w:p>
            <w:pPr>
              <w:ind w:left="60"/>
              <w:spacing w:after="0"/>
              <w:rPr>
                <w:sz w:val="20"/>
                <w:szCs w:val="20"/>
                <w:color w:val="auto"/>
              </w:rPr>
            </w:pPr>
            <w:r>
              <w:rPr>
                <w:rFonts w:ascii="Arial" w:cs="Arial" w:eastAsia="Arial" w:hAnsi="Arial"/>
                <w:sz w:val="16"/>
                <w:szCs w:val="16"/>
                <w:color w:val="auto"/>
              </w:rPr>
              <w:t>Liquidity</w:t>
            </w:r>
          </w:p>
        </w:tc>
        <w:tc>
          <w:tcPr>
            <w:tcW w:w="2560" w:type="dxa"/>
            <w:vAlign w:val="bottom"/>
          </w:tcPr>
          <w:p>
            <w:pPr>
              <w:ind w:left="280"/>
              <w:spacing w:after="0"/>
              <w:rPr>
                <w:sz w:val="20"/>
                <w:szCs w:val="20"/>
                <w:color w:val="auto"/>
              </w:rPr>
            </w:pPr>
            <w:r>
              <w:rPr>
                <w:rFonts w:ascii="Arial" w:cs="Arial" w:eastAsia="Arial" w:hAnsi="Arial"/>
                <w:sz w:val="16"/>
                <w:szCs w:val="16"/>
                <w:color w:val="auto"/>
              </w:rPr>
              <w:t>TSR is negative over three-year</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2560" w:type="dxa"/>
            <w:vAlign w:val="bottom"/>
            <w:vMerge w:val="restart"/>
          </w:tcPr>
          <w:p>
            <w:pPr>
              <w:ind w:left="280"/>
              <w:spacing w:after="0"/>
              <w:rPr>
                <w:sz w:val="20"/>
                <w:szCs w:val="20"/>
                <w:color w:val="auto"/>
              </w:rPr>
            </w:pPr>
            <w:r>
              <w:rPr>
                <w:rFonts w:ascii="Arial" w:cs="Arial" w:eastAsia="Arial" w:hAnsi="Arial"/>
                <w:sz w:val="16"/>
                <w:szCs w:val="16"/>
                <w:color w:val="auto"/>
              </w:rPr>
              <w:t>period even if relative TSR</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40" w:type="dxa"/>
            <w:vAlign w:val="bottom"/>
          </w:tcPr>
          <w:p>
            <w:pPr>
              <w:spacing w:after="0"/>
              <w:rPr>
                <w:sz w:val="7"/>
                <w:szCs w:val="7"/>
                <w:color w:val="auto"/>
              </w:rPr>
            </w:pPr>
          </w:p>
        </w:tc>
        <w:tc>
          <w:tcPr>
            <w:tcW w:w="220" w:type="dxa"/>
            <w:vAlign w:val="bottom"/>
            <w:vMerge w:val="restart"/>
          </w:tcPr>
          <w:p>
            <w:pPr>
              <w:ind w:left="120"/>
              <w:spacing w:after="0"/>
              <w:rPr>
                <w:sz w:val="20"/>
                <w:szCs w:val="20"/>
                <w:color w:val="auto"/>
              </w:rPr>
            </w:pPr>
            <w:r>
              <w:rPr>
                <w:rFonts w:ascii="Arial" w:cs="Arial" w:eastAsia="Arial" w:hAnsi="Arial"/>
                <w:sz w:val="16"/>
                <w:szCs w:val="16"/>
                <w:color w:val="auto"/>
              </w:rPr>
              <w:t>•</w:t>
            </w:r>
          </w:p>
        </w:tc>
        <w:tc>
          <w:tcPr>
            <w:tcW w:w="2440" w:type="dxa"/>
            <w:vAlign w:val="bottom"/>
            <w:vMerge w:val="restart"/>
          </w:tcPr>
          <w:p>
            <w:pPr>
              <w:ind w:left="60"/>
              <w:spacing w:after="0"/>
              <w:rPr>
                <w:sz w:val="20"/>
                <w:szCs w:val="20"/>
                <w:color w:val="auto"/>
              </w:rPr>
            </w:pPr>
            <w:r>
              <w:rPr>
                <w:rFonts w:ascii="Arial" w:cs="Arial" w:eastAsia="Arial" w:hAnsi="Arial"/>
                <w:sz w:val="16"/>
                <w:szCs w:val="16"/>
                <w:color w:val="auto"/>
              </w:rPr>
              <w:t>Absolute TSR (three-year</w:t>
            </w:r>
          </w:p>
        </w:tc>
        <w:tc>
          <w:tcPr>
            <w:tcW w:w="25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2440" w:type="dxa"/>
            <w:vAlign w:val="bottom"/>
            <w:vMerge w:val="continue"/>
          </w:tcPr>
          <w:p>
            <w:pPr>
              <w:spacing w:after="0"/>
              <w:rPr>
                <w:sz w:val="14"/>
                <w:szCs w:val="14"/>
                <w:color w:val="auto"/>
              </w:rPr>
            </w:pPr>
          </w:p>
        </w:tc>
        <w:tc>
          <w:tcPr>
            <w:tcW w:w="2560" w:type="dxa"/>
            <w:vAlign w:val="bottom"/>
          </w:tcPr>
          <w:p>
            <w:pPr>
              <w:ind w:left="280"/>
              <w:spacing w:after="0" w:line="163" w:lineRule="exact"/>
              <w:rPr>
                <w:sz w:val="20"/>
                <w:szCs w:val="20"/>
                <w:color w:val="auto"/>
              </w:rPr>
            </w:pPr>
            <w:r>
              <w:rPr>
                <w:rFonts w:ascii="Arial" w:cs="Arial" w:eastAsia="Arial" w:hAnsi="Arial"/>
                <w:sz w:val="16"/>
                <w:szCs w:val="16"/>
                <w:color w:val="auto"/>
              </w:rPr>
              <w:t>outperforms peers</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tcPr>
          <w:p>
            <w:pPr>
              <w:ind w:left="60"/>
              <w:spacing w:after="0"/>
              <w:rPr>
                <w:sz w:val="20"/>
                <w:szCs w:val="20"/>
                <w:color w:val="auto"/>
              </w:rPr>
            </w:pPr>
            <w:r>
              <w:rPr>
                <w:rFonts w:ascii="Arial" w:cs="Arial" w:eastAsia="Arial" w:hAnsi="Arial"/>
                <w:sz w:val="16"/>
                <w:szCs w:val="16"/>
                <w:color w:val="auto"/>
              </w:rPr>
              <w:t>modifier)</w:t>
            </w:r>
          </w:p>
        </w:tc>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0" w:type="dxa"/>
            <w:vAlign w:val="bottom"/>
            <w:tcBorders>
              <w:bottom w:val="single" w:sz="8" w:color="4B5088"/>
            </w:tcBorders>
          </w:tcPr>
          <w:p>
            <w:pPr>
              <w:spacing w:after="0"/>
              <w:rPr>
                <w:sz w:val="2"/>
                <w:szCs w:val="2"/>
                <w:color w:val="auto"/>
              </w:rPr>
            </w:pPr>
          </w:p>
        </w:tc>
        <w:tc>
          <w:tcPr>
            <w:tcW w:w="920" w:type="dxa"/>
            <w:vAlign w:val="bottom"/>
            <w:tcBorders>
              <w:bottom w:val="single" w:sz="8" w:color="4B5088"/>
            </w:tcBorders>
          </w:tcPr>
          <w:p>
            <w:pPr>
              <w:spacing w:after="0"/>
              <w:rPr>
                <w:sz w:val="2"/>
                <w:szCs w:val="2"/>
                <w:color w:val="auto"/>
              </w:rPr>
            </w:pPr>
          </w:p>
        </w:tc>
        <w:tc>
          <w:tcPr>
            <w:tcW w:w="2680" w:type="dxa"/>
            <w:vAlign w:val="bottom"/>
            <w:tcBorders>
              <w:bottom w:val="single" w:sz="8" w:color="4B5088"/>
            </w:tcBorders>
            <w:gridSpan w:val="2"/>
          </w:tcPr>
          <w:p>
            <w:pPr>
              <w:spacing w:after="0"/>
              <w:rPr>
                <w:sz w:val="2"/>
                <w:szCs w:val="2"/>
                <w:color w:val="auto"/>
              </w:rPr>
            </w:pPr>
          </w:p>
        </w:tc>
        <w:tc>
          <w:tcPr>
            <w:tcW w:w="220" w:type="dxa"/>
            <w:vAlign w:val="bottom"/>
            <w:tcBorders>
              <w:bottom w:val="single" w:sz="8" w:color="4B5088"/>
            </w:tcBorders>
          </w:tcPr>
          <w:p>
            <w:pPr>
              <w:spacing w:after="0"/>
              <w:rPr>
                <w:sz w:val="2"/>
                <w:szCs w:val="2"/>
                <w:color w:val="auto"/>
              </w:rPr>
            </w:pPr>
          </w:p>
        </w:tc>
        <w:tc>
          <w:tcPr>
            <w:tcW w:w="5000" w:type="dxa"/>
            <w:vAlign w:val="bottom"/>
            <w:tcBorders>
              <w:bottom w:val="single" w:sz="8" w:color="4B5088"/>
            </w:tcBorders>
            <w:gridSpan w:val="2"/>
          </w:tcPr>
          <w:p>
            <w:pPr>
              <w:spacing w:after="0"/>
              <w:rPr>
                <w:sz w:val="2"/>
                <w:szCs w:val="2"/>
                <w:color w:val="auto"/>
              </w:rPr>
            </w:pPr>
          </w:p>
        </w:tc>
        <w:tc>
          <w:tcPr>
            <w:tcW w:w="180" w:type="dxa"/>
            <w:vAlign w:val="bottom"/>
            <w:tcBorders>
              <w:bottom w:val="single" w:sz="8" w:color="4B5088"/>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60"/>
        </w:trPr>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80" w:type="dxa"/>
            <w:vAlign w:val="bottom"/>
            <w:gridSpan w:val="2"/>
          </w:tcPr>
          <w:p>
            <w:pPr>
              <w:ind w:left="100"/>
              <w:spacing w:after="0"/>
              <w:rPr>
                <w:sz w:val="20"/>
                <w:szCs w:val="20"/>
                <w:color w:val="auto"/>
              </w:rPr>
            </w:pPr>
            <w:r>
              <w:rPr>
                <w:rFonts w:ascii="Arial" w:cs="Arial" w:eastAsia="Arial" w:hAnsi="Arial"/>
                <w:sz w:val="16"/>
                <w:szCs w:val="16"/>
                <w:b w:val="1"/>
                <w:bCs w:val="1"/>
                <w:color w:val="1F2668"/>
              </w:rPr>
              <w:t>Shorter Performance Period</w:t>
            </w:r>
          </w:p>
        </w:tc>
        <w:tc>
          <w:tcPr>
            <w:tcW w:w="220" w:type="dxa"/>
            <w:vAlign w:val="bottom"/>
          </w:tcPr>
          <w:p>
            <w:pPr>
              <w:spacing w:after="0"/>
              <w:rPr>
                <w:sz w:val="24"/>
                <w:szCs w:val="24"/>
                <w:color w:val="auto"/>
              </w:rPr>
            </w:pPr>
          </w:p>
        </w:tc>
        <w:tc>
          <w:tcPr>
            <w:tcW w:w="5000" w:type="dxa"/>
            <w:vAlign w:val="bottom"/>
            <w:gridSpan w:val="2"/>
          </w:tcPr>
          <w:p>
            <w:pPr>
              <w:ind w:left="1820"/>
              <w:spacing w:after="0"/>
              <w:rPr>
                <w:sz w:val="20"/>
                <w:szCs w:val="20"/>
                <w:color w:val="auto"/>
              </w:rPr>
            </w:pPr>
            <w:r>
              <w:rPr>
                <w:rFonts w:ascii="Arial" w:cs="Arial" w:eastAsia="Arial" w:hAnsi="Arial"/>
                <w:sz w:val="16"/>
                <w:szCs w:val="16"/>
                <w:b w:val="1"/>
                <w:bCs w:val="1"/>
                <w:color w:val="1F2668"/>
              </w:rPr>
              <w:t>Longer Performance Period</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20"/>
                <w:szCs w:val="20"/>
                <w:color w:val="auto"/>
              </w:rPr>
            </w:pPr>
            <w:r>
              <w:rPr>
                <w:rFonts w:ascii="Arial" w:cs="Arial" w:eastAsia="Arial" w:hAnsi="Arial"/>
                <w:sz w:val="16"/>
                <w:szCs w:val="16"/>
                <w:b w:val="1"/>
                <w:bCs w:val="1"/>
                <w:color w:val="1F2668"/>
              </w:rPr>
              <w:t>​</w:t>
            </w:r>
          </w:p>
        </w:tc>
        <w:tc>
          <w:tcPr>
            <w:tcW w:w="920" w:type="dxa"/>
            <w:vAlign w:val="bottom"/>
          </w:tcPr>
          <w:p>
            <w:pPr>
              <w:ind w:left="380"/>
              <w:spacing w:after="0"/>
              <w:rPr>
                <w:sz w:val="20"/>
                <w:szCs w:val="20"/>
                <w:color w:val="auto"/>
              </w:rPr>
            </w:pPr>
            <w:r>
              <w:rPr>
                <w:rFonts w:ascii="Arial" w:cs="Arial" w:eastAsia="Arial" w:hAnsi="Arial"/>
                <w:sz w:val="16"/>
                <w:szCs w:val="16"/>
                <w:b w:val="1"/>
                <w:bCs w:val="1"/>
                <w:color w:val="1F2668"/>
              </w:rPr>
              <w:t>​​</w:t>
            </w:r>
          </w:p>
        </w:tc>
        <w:tc>
          <w:tcPr>
            <w:tcW w:w="7900" w:type="dxa"/>
            <w:vAlign w:val="bottom"/>
            <w:gridSpan w:val="5"/>
          </w:tcPr>
          <w:p>
            <w:pPr>
              <w:ind w:left="80"/>
              <w:spacing w:after="0"/>
              <w:rPr>
                <w:sz w:val="20"/>
                <w:szCs w:val="20"/>
                <w:color w:val="auto"/>
              </w:rPr>
            </w:pPr>
            <w:r>
              <w:rPr>
                <w:rFonts w:ascii="Arial" w:cs="Arial" w:eastAsia="Arial" w:hAnsi="Arial"/>
                <w:sz w:val="16"/>
                <w:szCs w:val="16"/>
                <w:b w:val="1"/>
                <w:bCs w:val="1"/>
                <w:color w:val="1F2668"/>
              </w:rPr>
              <w:t>(performance metrics within ​​​ ​(performance metrics that align with ​ ​</w:t>
            </w:r>
          </w:p>
        </w:tc>
        <w:tc>
          <w:tcPr>
            <w:tcW w:w="180" w:type="dxa"/>
            <w:vAlign w:val="bottom"/>
          </w:tcPr>
          <w:p>
            <w:pPr>
              <w:spacing w:after="0"/>
              <w:rPr>
                <w:sz w:val="17"/>
                <w:szCs w:val="17"/>
                <w:color w:val="auto"/>
              </w:rPr>
            </w:pPr>
          </w:p>
        </w:tc>
        <w:tc>
          <w:tcPr>
            <w:tcW w:w="60" w:type="dxa"/>
            <w:vAlign w:val="bottom"/>
          </w:tcPr>
          <w:p>
            <w:pPr>
              <w:spacing w:after="0"/>
              <w:rPr>
                <w:sz w:val="20"/>
                <w:szCs w:val="20"/>
                <w:color w:val="auto"/>
              </w:rPr>
            </w:pPr>
            <w:r>
              <w:rPr>
                <w:rFonts w:ascii="Arial" w:cs="Arial" w:eastAsia="Arial" w:hAnsi="Arial"/>
                <w:sz w:val="16"/>
                <w:szCs w:val="16"/>
                <w:b w:val="1"/>
                <w:bCs w:val="1"/>
                <w:color w:val="1F2668"/>
              </w:rPr>
              <w:t>​</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600" w:type="dxa"/>
            <w:vAlign w:val="bottom"/>
            <w:gridSpan w:val="3"/>
          </w:tcPr>
          <w:p>
            <w:pPr>
              <w:ind w:left="500"/>
              <w:spacing w:after="0"/>
              <w:rPr>
                <w:sz w:val="20"/>
                <w:szCs w:val="20"/>
                <w:color w:val="auto"/>
              </w:rPr>
            </w:pPr>
            <w:r>
              <w:rPr>
                <w:rFonts w:ascii="Arial" w:cs="Arial" w:eastAsia="Arial" w:hAnsi="Arial"/>
                <w:sz w:val="16"/>
                <w:szCs w:val="16"/>
                <w:b w:val="1"/>
                <w:bCs w:val="1"/>
                <w:color w:val="1F2668"/>
              </w:rPr>
              <w:t>management’s scope and visibility)</w:t>
            </w:r>
          </w:p>
        </w:tc>
        <w:tc>
          <w:tcPr>
            <w:tcW w:w="220" w:type="dxa"/>
            <w:vAlign w:val="bottom"/>
          </w:tcPr>
          <w:p>
            <w:pPr>
              <w:spacing w:after="0"/>
              <w:rPr>
                <w:sz w:val="19"/>
                <w:szCs w:val="19"/>
                <w:color w:val="auto"/>
              </w:rPr>
            </w:pPr>
          </w:p>
        </w:tc>
        <w:tc>
          <w:tcPr>
            <w:tcW w:w="5000" w:type="dxa"/>
            <w:vAlign w:val="bottom"/>
            <w:gridSpan w:val="2"/>
          </w:tcPr>
          <w:p>
            <w:pPr>
              <w:ind w:left="1820"/>
              <w:spacing w:after="0"/>
              <w:rPr>
                <w:sz w:val="20"/>
                <w:szCs w:val="20"/>
                <w:color w:val="auto"/>
              </w:rPr>
            </w:pPr>
            <w:r>
              <w:rPr>
                <w:rFonts w:ascii="Arial" w:cs="Arial" w:eastAsia="Arial" w:hAnsi="Arial"/>
                <w:sz w:val="16"/>
                <w:szCs w:val="16"/>
                <w:b w:val="1"/>
                <w:bCs w:val="1"/>
                <w:color w:val="1F2668"/>
              </w:rPr>
              <w:t>the creation of stockholder value)</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60" w:type="dxa"/>
            <w:vAlign w:val="bottom"/>
          </w:tcPr>
          <w:p>
            <w:pPr>
              <w:spacing w:after="0"/>
              <w:rPr>
                <w:sz w:val="24"/>
                <w:szCs w:val="24"/>
                <w:color w:val="auto"/>
              </w:rPr>
            </w:pPr>
          </w:p>
        </w:tc>
        <w:tc>
          <w:tcPr>
            <w:tcW w:w="8820" w:type="dxa"/>
            <w:vAlign w:val="bottom"/>
            <w:gridSpan w:val="6"/>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0" w:type="dxa"/>
            <w:vAlign w:val="bottom"/>
            <w:shd w:val="clear" w:color="auto" w:fill="E9F9D8"/>
          </w:tcPr>
          <w:p>
            <w:pPr>
              <w:spacing w:after="0"/>
              <w:rPr>
                <w:sz w:val="20"/>
                <w:szCs w:val="20"/>
                <w:color w:val="auto"/>
              </w:rPr>
            </w:pPr>
            <w:r>
              <w:rPr>
                <w:rFonts w:ascii="Arial" w:cs="Arial" w:eastAsia="Arial" w:hAnsi="Arial"/>
                <w:sz w:val="16"/>
                <w:szCs w:val="16"/>
                <w:color w:val="auto"/>
              </w:rPr>
              <w:t>​</w:t>
            </w:r>
          </w:p>
        </w:tc>
        <w:tc>
          <w:tcPr>
            <w:tcW w:w="8820" w:type="dxa"/>
            <w:vAlign w:val="bottom"/>
            <w:gridSpan w:val="6"/>
            <w:shd w:val="clear" w:color="auto" w:fill="E9F9D8"/>
          </w:tcPr>
          <w:p>
            <w:pPr>
              <w:ind w:left="100"/>
              <w:spacing w:after="0"/>
              <w:rPr>
                <w:sz w:val="20"/>
                <w:szCs w:val="20"/>
                <w:color w:val="auto"/>
              </w:rPr>
            </w:pPr>
            <w:r>
              <w:rPr>
                <w:rFonts w:ascii="Arial" w:cs="Arial" w:eastAsia="Arial" w:hAnsi="Arial"/>
                <w:sz w:val="16"/>
                <w:szCs w:val="16"/>
                <w:color w:val="auto"/>
              </w:rPr>
              <w:t xml:space="preserve">In the aggregate, </w:t>
            </w:r>
            <w:r>
              <w:rPr>
                <w:rFonts w:ascii="Arial" w:cs="Arial" w:eastAsia="Arial" w:hAnsi="Arial"/>
                <w:sz w:val="16"/>
                <w:szCs w:val="16"/>
                <w:b w:val="1"/>
                <w:bCs w:val="1"/>
                <w:color w:val="auto"/>
              </w:rPr>
              <w:t>our compensation program is heavily weighted towards at-risk and performance-based</w:t>
            </w:r>
          </w:p>
        </w:tc>
        <w:tc>
          <w:tcPr>
            <w:tcW w:w="180" w:type="dxa"/>
            <w:vAlign w:val="bottom"/>
            <w:shd w:val="clear" w:color="auto" w:fill="E9F9D8"/>
          </w:tcPr>
          <w:p>
            <w:pPr>
              <w:ind w:left="20"/>
              <w:spacing w:after="0"/>
              <w:rPr>
                <w:sz w:val="20"/>
                <w:szCs w:val="20"/>
                <w:color w:val="auto"/>
              </w:rPr>
            </w:pPr>
            <w:r>
              <w:rPr>
                <w:rFonts w:ascii="Arial" w:cs="Arial" w:eastAsia="Arial" w:hAnsi="Arial"/>
                <w:sz w:val="16"/>
                <w:szCs w:val="16"/>
                <w:color w:val="auto"/>
              </w:rPr>
              <w:t>​</w:t>
            </w: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0" w:type="dxa"/>
            <w:vAlign w:val="bottom"/>
            <w:shd w:val="clear" w:color="auto" w:fill="E9F9D8"/>
          </w:tcPr>
          <w:p>
            <w:pPr>
              <w:spacing w:after="0"/>
              <w:rPr>
                <w:sz w:val="17"/>
                <w:szCs w:val="17"/>
                <w:color w:val="auto"/>
              </w:rPr>
            </w:pPr>
          </w:p>
        </w:tc>
        <w:tc>
          <w:tcPr>
            <w:tcW w:w="8820" w:type="dxa"/>
            <w:vAlign w:val="bottom"/>
            <w:gridSpan w:val="6"/>
            <w:shd w:val="clear" w:color="auto" w:fill="E9F9D8"/>
          </w:tcPr>
          <w:p>
            <w:pPr>
              <w:ind w:left="100"/>
              <w:spacing w:after="0"/>
              <w:rPr>
                <w:sz w:val="20"/>
                <w:szCs w:val="20"/>
                <w:color w:val="auto"/>
              </w:rPr>
            </w:pPr>
            <w:r>
              <w:rPr>
                <w:rFonts w:ascii="Arial" w:cs="Arial" w:eastAsia="Arial" w:hAnsi="Arial"/>
                <w:sz w:val="16"/>
                <w:szCs w:val="16"/>
                <w:b w:val="1"/>
                <w:bCs w:val="1"/>
                <w:color w:val="auto"/>
              </w:rPr>
              <w:t>compensation with rigorous performance targets</w:t>
            </w:r>
            <w:r>
              <w:rPr>
                <w:rFonts w:ascii="Arial" w:cs="Arial" w:eastAsia="Arial" w:hAnsi="Arial"/>
                <w:sz w:val="16"/>
                <w:szCs w:val="16"/>
                <w:color w:val="auto"/>
              </w:rPr>
              <w:t>, most of which is in the form of equity and subject to vesting over a</w:t>
            </w:r>
          </w:p>
        </w:tc>
        <w:tc>
          <w:tcPr>
            <w:tcW w:w="180" w:type="dxa"/>
            <w:vAlign w:val="bottom"/>
            <w:shd w:val="clear" w:color="auto" w:fill="E9F9D8"/>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0" w:type="dxa"/>
            <w:vAlign w:val="bottom"/>
            <w:shd w:val="clear" w:color="auto" w:fill="E9F9D8"/>
          </w:tcPr>
          <w:p>
            <w:pPr>
              <w:spacing w:after="0"/>
              <w:rPr>
                <w:sz w:val="18"/>
                <w:szCs w:val="18"/>
                <w:color w:val="auto"/>
              </w:rPr>
            </w:pPr>
          </w:p>
        </w:tc>
        <w:tc>
          <w:tcPr>
            <w:tcW w:w="3600" w:type="dxa"/>
            <w:vAlign w:val="bottom"/>
            <w:gridSpan w:val="3"/>
            <w:shd w:val="clear" w:color="auto" w:fill="E9F9D8"/>
          </w:tcPr>
          <w:p>
            <w:pPr>
              <w:ind w:left="100"/>
              <w:spacing w:after="0"/>
              <w:rPr>
                <w:sz w:val="20"/>
                <w:szCs w:val="20"/>
                <w:color w:val="auto"/>
              </w:rPr>
            </w:pPr>
            <w:r>
              <w:rPr>
                <w:rFonts w:ascii="Arial" w:cs="Arial" w:eastAsia="Arial" w:hAnsi="Arial"/>
                <w:sz w:val="16"/>
                <w:szCs w:val="16"/>
                <w:color w:val="auto"/>
              </w:rPr>
              <w:t>three-year period.</w:t>
            </w:r>
          </w:p>
        </w:tc>
        <w:tc>
          <w:tcPr>
            <w:tcW w:w="220" w:type="dxa"/>
            <w:vAlign w:val="bottom"/>
            <w:shd w:val="clear" w:color="auto" w:fill="E9F9D8"/>
          </w:tcPr>
          <w:p>
            <w:pPr>
              <w:spacing w:after="0"/>
              <w:rPr>
                <w:sz w:val="18"/>
                <w:szCs w:val="18"/>
                <w:color w:val="auto"/>
              </w:rPr>
            </w:pPr>
          </w:p>
        </w:tc>
        <w:tc>
          <w:tcPr>
            <w:tcW w:w="2440" w:type="dxa"/>
            <w:vAlign w:val="bottom"/>
            <w:shd w:val="clear" w:color="auto" w:fill="E9F9D8"/>
          </w:tcPr>
          <w:p>
            <w:pPr>
              <w:spacing w:after="0"/>
              <w:rPr>
                <w:sz w:val="18"/>
                <w:szCs w:val="18"/>
                <w:color w:val="auto"/>
              </w:rPr>
            </w:pPr>
          </w:p>
        </w:tc>
        <w:tc>
          <w:tcPr>
            <w:tcW w:w="2560" w:type="dxa"/>
            <w:vAlign w:val="bottom"/>
            <w:shd w:val="clear" w:color="auto" w:fill="E9F9D8"/>
          </w:tcPr>
          <w:p>
            <w:pPr>
              <w:spacing w:after="0"/>
              <w:rPr>
                <w:sz w:val="18"/>
                <w:szCs w:val="18"/>
                <w:color w:val="auto"/>
              </w:rPr>
            </w:pPr>
          </w:p>
        </w:tc>
        <w:tc>
          <w:tcPr>
            <w:tcW w:w="180" w:type="dxa"/>
            <w:vAlign w:val="bottom"/>
            <w:shd w:val="clear" w:color="auto" w:fill="E9F9D8"/>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60" w:type="dxa"/>
            <w:vAlign w:val="bottom"/>
            <w:shd w:val="clear" w:color="auto" w:fill="E9F9D8"/>
          </w:tcPr>
          <w:p>
            <w:pPr>
              <w:spacing w:after="0"/>
              <w:rPr>
                <w:sz w:val="8"/>
                <w:szCs w:val="8"/>
                <w:color w:val="auto"/>
              </w:rPr>
            </w:pPr>
          </w:p>
        </w:tc>
        <w:tc>
          <w:tcPr>
            <w:tcW w:w="8820" w:type="dxa"/>
            <w:vAlign w:val="bottom"/>
            <w:gridSpan w:val="6"/>
            <w:shd w:val="clear" w:color="auto" w:fill="E9F9D8"/>
          </w:tcPr>
          <w:p>
            <w:pPr>
              <w:spacing w:after="0"/>
              <w:rPr>
                <w:sz w:val="8"/>
                <w:szCs w:val="8"/>
                <w:color w:val="auto"/>
              </w:rPr>
            </w:pPr>
          </w:p>
        </w:tc>
        <w:tc>
          <w:tcPr>
            <w:tcW w:w="180" w:type="dxa"/>
            <w:vAlign w:val="bottom"/>
            <w:shd w:val="clear" w:color="auto" w:fill="E9F9D8"/>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820" w:type="dxa"/>
            <w:vAlign w:val="bottom"/>
            <w:gridSpan w:val="6"/>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60" w:type="dxa"/>
            <w:vAlign w:val="bottom"/>
            <w:shd w:val="clear" w:color="auto" w:fill="E9F9D8"/>
          </w:tcPr>
          <w:p>
            <w:pPr>
              <w:spacing w:after="0"/>
              <w:rPr>
                <w:sz w:val="20"/>
                <w:szCs w:val="20"/>
                <w:color w:val="auto"/>
              </w:rPr>
            </w:pPr>
            <w:r>
              <w:rPr>
                <w:rFonts w:ascii="Arial" w:cs="Arial" w:eastAsia="Arial" w:hAnsi="Arial"/>
                <w:sz w:val="16"/>
                <w:szCs w:val="16"/>
                <w:b w:val="1"/>
                <w:bCs w:val="1"/>
                <w:color w:val="auto"/>
              </w:rPr>
              <w:t>​</w:t>
            </w:r>
          </w:p>
        </w:tc>
        <w:tc>
          <w:tcPr>
            <w:tcW w:w="8820" w:type="dxa"/>
            <w:vAlign w:val="bottom"/>
            <w:gridSpan w:val="6"/>
            <w:shd w:val="clear" w:color="auto" w:fill="E9F9D8"/>
          </w:tcPr>
          <w:p>
            <w:pPr>
              <w:ind w:left="100"/>
              <w:spacing w:after="0"/>
              <w:rPr>
                <w:sz w:val="20"/>
                <w:szCs w:val="20"/>
                <w:color w:val="auto"/>
              </w:rPr>
            </w:pPr>
            <w:r>
              <w:rPr>
                <w:rFonts w:ascii="Arial" w:cs="Arial" w:eastAsia="Arial" w:hAnsi="Arial"/>
                <w:sz w:val="16"/>
                <w:szCs w:val="16"/>
                <w:b w:val="1"/>
                <w:bCs w:val="1"/>
                <w:color w:val="auto"/>
              </w:rPr>
              <w:t>In response to stockholder feedback, our CEO’s 2025 employment agreement provides that all performance-based</w:t>
            </w:r>
          </w:p>
        </w:tc>
        <w:tc>
          <w:tcPr>
            <w:tcW w:w="180" w:type="dxa"/>
            <w:vAlign w:val="bottom"/>
            <w:shd w:val="clear" w:color="auto" w:fill="E9F9D8"/>
          </w:tcPr>
          <w:p>
            <w:pPr>
              <w:ind w:left="20"/>
              <w:spacing w:after="0"/>
              <w:rPr>
                <w:sz w:val="20"/>
                <w:szCs w:val="20"/>
                <w:color w:val="auto"/>
              </w:rPr>
            </w:pPr>
            <w:r>
              <w:rPr>
                <w:rFonts w:ascii="Arial" w:cs="Arial" w:eastAsia="Arial" w:hAnsi="Arial"/>
                <w:sz w:val="16"/>
                <w:szCs w:val="16"/>
                <w:b w:val="1"/>
                <w:bCs w:val="1"/>
                <w:color w:val="auto"/>
              </w:rPr>
              <w:t>​</w:t>
            </w: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0" w:type="dxa"/>
            <w:vAlign w:val="bottom"/>
            <w:shd w:val="clear" w:color="auto" w:fill="E9F9D8"/>
          </w:tcPr>
          <w:p>
            <w:pPr>
              <w:spacing w:after="0"/>
              <w:rPr>
                <w:sz w:val="17"/>
                <w:szCs w:val="17"/>
                <w:color w:val="auto"/>
              </w:rPr>
            </w:pPr>
          </w:p>
        </w:tc>
        <w:tc>
          <w:tcPr>
            <w:tcW w:w="8820" w:type="dxa"/>
            <w:vAlign w:val="bottom"/>
            <w:gridSpan w:val="6"/>
            <w:shd w:val="clear" w:color="auto" w:fill="E9F9D8"/>
          </w:tcPr>
          <w:p>
            <w:pPr>
              <w:ind w:left="100"/>
              <w:spacing w:after="0"/>
              <w:rPr>
                <w:sz w:val="20"/>
                <w:szCs w:val="20"/>
                <w:color w:val="auto"/>
              </w:rPr>
            </w:pPr>
            <w:r>
              <w:rPr>
                <w:rFonts w:ascii="Arial" w:cs="Arial" w:eastAsia="Arial" w:hAnsi="Arial"/>
                <w:sz w:val="16"/>
                <w:szCs w:val="16"/>
                <w:b w:val="1"/>
                <w:bCs w:val="1"/>
                <w:color w:val="auto"/>
              </w:rPr>
              <w:t>equity awards will be subject to three-year performance goals, i.e., all annual performance goals that previously</w:t>
            </w:r>
          </w:p>
        </w:tc>
        <w:tc>
          <w:tcPr>
            <w:tcW w:w="180" w:type="dxa"/>
            <w:vAlign w:val="bottom"/>
            <w:shd w:val="clear" w:color="auto" w:fill="E9F9D8"/>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0" w:type="dxa"/>
            <w:vAlign w:val="bottom"/>
            <w:shd w:val="clear" w:color="auto" w:fill="E9F9D8"/>
          </w:tcPr>
          <w:p>
            <w:pPr>
              <w:spacing w:after="0"/>
              <w:rPr>
                <w:sz w:val="19"/>
                <w:szCs w:val="19"/>
                <w:color w:val="auto"/>
              </w:rPr>
            </w:pPr>
          </w:p>
        </w:tc>
        <w:tc>
          <w:tcPr>
            <w:tcW w:w="6260" w:type="dxa"/>
            <w:vAlign w:val="bottom"/>
            <w:gridSpan w:val="5"/>
            <w:shd w:val="clear" w:color="auto" w:fill="E9F9D8"/>
          </w:tcPr>
          <w:p>
            <w:pPr>
              <w:ind w:left="100"/>
              <w:spacing w:after="0"/>
              <w:rPr>
                <w:sz w:val="20"/>
                <w:szCs w:val="20"/>
                <w:color w:val="auto"/>
              </w:rPr>
            </w:pPr>
            <w:r>
              <w:rPr>
                <w:rFonts w:ascii="Arial" w:cs="Arial" w:eastAsia="Arial" w:hAnsi="Arial"/>
                <w:sz w:val="16"/>
                <w:szCs w:val="16"/>
                <w:b w:val="1"/>
                <w:bCs w:val="1"/>
                <w:color w:val="auto"/>
              </w:rPr>
              <w:t>underpinned prior years’ performance-based awards have been eliminated</w:t>
            </w:r>
            <w:r>
              <w:rPr>
                <w:rFonts w:ascii="Arial" w:cs="Arial" w:eastAsia="Arial" w:hAnsi="Arial"/>
                <w:sz w:val="16"/>
                <w:szCs w:val="16"/>
                <w:color w:val="auto"/>
              </w:rPr>
              <w:t>.</w:t>
            </w:r>
          </w:p>
        </w:tc>
        <w:tc>
          <w:tcPr>
            <w:tcW w:w="2560" w:type="dxa"/>
            <w:vAlign w:val="bottom"/>
            <w:shd w:val="clear" w:color="auto" w:fill="E9F9D8"/>
          </w:tcPr>
          <w:p>
            <w:pPr>
              <w:spacing w:after="0"/>
              <w:rPr>
                <w:sz w:val="19"/>
                <w:szCs w:val="19"/>
                <w:color w:val="auto"/>
              </w:rPr>
            </w:pPr>
          </w:p>
        </w:tc>
        <w:tc>
          <w:tcPr>
            <w:tcW w:w="180" w:type="dxa"/>
            <w:vAlign w:val="bottom"/>
            <w:shd w:val="clear" w:color="auto" w:fill="E9F9D8"/>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60" w:type="dxa"/>
            <w:vAlign w:val="bottom"/>
            <w:shd w:val="clear" w:color="auto" w:fill="E9F9D8"/>
          </w:tcPr>
          <w:p>
            <w:pPr>
              <w:spacing w:after="0"/>
              <w:rPr>
                <w:sz w:val="7"/>
                <w:szCs w:val="7"/>
                <w:color w:val="auto"/>
              </w:rPr>
            </w:pPr>
          </w:p>
        </w:tc>
        <w:tc>
          <w:tcPr>
            <w:tcW w:w="920" w:type="dxa"/>
            <w:vAlign w:val="bottom"/>
            <w:shd w:val="clear" w:color="auto" w:fill="E9F9D8"/>
          </w:tcPr>
          <w:p>
            <w:pPr>
              <w:spacing w:after="0"/>
              <w:rPr>
                <w:sz w:val="7"/>
                <w:szCs w:val="7"/>
                <w:color w:val="auto"/>
              </w:rPr>
            </w:pPr>
          </w:p>
        </w:tc>
        <w:tc>
          <w:tcPr>
            <w:tcW w:w="240" w:type="dxa"/>
            <w:vAlign w:val="bottom"/>
            <w:shd w:val="clear" w:color="auto" w:fill="E9F9D8"/>
          </w:tcPr>
          <w:p>
            <w:pPr>
              <w:spacing w:after="0"/>
              <w:rPr>
                <w:sz w:val="7"/>
                <w:szCs w:val="7"/>
                <w:color w:val="auto"/>
              </w:rPr>
            </w:pPr>
          </w:p>
        </w:tc>
        <w:tc>
          <w:tcPr>
            <w:tcW w:w="2440" w:type="dxa"/>
            <w:vAlign w:val="bottom"/>
            <w:shd w:val="clear" w:color="auto" w:fill="E9F9D8"/>
          </w:tcPr>
          <w:p>
            <w:pPr>
              <w:spacing w:after="0"/>
              <w:rPr>
                <w:sz w:val="7"/>
                <w:szCs w:val="7"/>
                <w:color w:val="auto"/>
              </w:rPr>
            </w:pPr>
          </w:p>
        </w:tc>
        <w:tc>
          <w:tcPr>
            <w:tcW w:w="220" w:type="dxa"/>
            <w:vAlign w:val="bottom"/>
            <w:shd w:val="clear" w:color="auto" w:fill="E9F9D8"/>
          </w:tcPr>
          <w:p>
            <w:pPr>
              <w:spacing w:after="0"/>
              <w:rPr>
                <w:sz w:val="7"/>
                <w:szCs w:val="7"/>
                <w:color w:val="auto"/>
              </w:rPr>
            </w:pPr>
          </w:p>
        </w:tc>
        <w:tc>
          <w:tcPr>
            <w:tcW w:w="2440" w:type="dxa"/>
            <w:vAlign w:val="bottom"/>
            <w:shd w:val="clear" w:color="auto" w:fill="E9F9D8"/>
          </w:tcPr>
          <w:p>
            <w:pPr>
              <w:spacing w:after="0"/>
              <w:rPr>
                <w:sz w:val="7"/>
                <w:szCs w:val="7"/>
                <w:color w:val="auto"/>
              </w:rPr>
            </w:pPr>
          </w:p>
        </w:tc>
        <w:tc>
          <w:tcPr>
            <w:tcW w:w="2560" w:type="dxa"/>
            <w:vAlign w:val="bottom"/>
            <w:shd w:val="clear" w:color="auto" w:fill="E9F9D8"/>
          </w:tcPr>
          <w:p>
            <w:pPr>
              <w:spacing w:after="0"/>
              <w:rPr>
                <w:sz w:val="7"/>
                <w:szCs w:val="7"/>
                <w:color w:val="auto"/>
              </w:rPr>
            </w:pPr>
          </w:p>
        </w:tc>
        <w:tc>
          <w:tcPr>
            <w:tcW w:w="180" w:type="dxa"/>
            <w:vAlign w:val="bottom"/>
            <w:shd w:val="clear" w:color="auto" w:fill="E9F9D8"/>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-1911350</wp:posOffset>
            </wp:positionV>
            <wp:extent cx="265430" cy="50609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65430" cy="506095"/>
                    </a:xfrm>
                    <a:prstGeom prst="rect">
                      <a:avLst/>
                    </a:prstGeom>
                    <a:noFill/>
                  </pic:spPr>
                </pic:pic>
              </a:graphicData>
            </a:graphic>
          </wp:anchor>
        </w:drawing>
        <w:drawing>
          <wp:anchor simplePos="0" relativeHeight="251657728" behindDoc="1" locked="0" layoutInCell="0" allowOverlap="1">
            <wp:simplePos x="0" y="0"/>
            <wp:positionH relativeFrom="column">
              <wp:posOffset>2677160</wp:posOffset>
            </wp:positionH>
            <wp:positionV relativeFrom="paragraph">
              <wp:posOffset>-1637030</wp:posOffset>
            </wp:positionV>
            <wp:extent cx="1337310" cy="342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337310" cy="34290"/>
                    </a:xfrm>
                    <a:prstGeom prst="rect">
                      <a:avLst/>
                    </a:prstGeom>
                    <a:noFill/>
                  </pic:spPr>
                </pic:pic>
              </a:graphicData>
            </a:graphic>
          </wp:anchor>
        </w:drawing>
        <w:drawing>
          <wp:anchor simplePos="0" relativeHeight="251657728" behindDoc="1" locked="0" layoutInCell="0" allowOverlap="1">
            <wp:simplePos x="0" y="0"/>
            <wp:positionH relativeFrom="column">
              <wp:posOffset>6012180</wp:posOffset>
            </wp:positionH>
            <wp:positionV relativeFrom="paragraph">
              <wp:posOffset>-1911350</wp:posOffset>
            </wp:positionV>
            <wp:extent cx="265430" cy="50609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65430" cy="506095"/>
                    </a:xfrm>
                    <a:prstGeom prst="rect">
                      <a:avLst/>
                    </a:prstGeom>
                    <a:noFill/>
                  </pic:spPr>
                </pic:pic>
              </a:graphicData>
            </a:graphic>
          </wp:anchor>
        </w:drawing>
      </w:r>
    </w:p>
    <w:p>
      <w:pPr>
        <w:spacing w:after="0" w:line="209"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1F2668"/>
        </w:rPr>
        <w:t>RIGOROUS METHODOLOGY FOR SETTING PERFORMANCE GOALS</w:t>
      </w:r>
    </w:p>
    <w:p>
      <w:pPr>
        <w:spacing w:after="0" w:line="167" w:lineRule="exact"/>
        <w:rPr>
          <w:sz w:val="20"/>
          <w:szCs w:val="20"/>
          <w:color w:val="auto"/>
        </w:rPr>
      </w:pPr>
    </w:p>
    <w:p>
      <w:pPr>
        <w:ind w:left="820" w:right="980"/>
        <w:spacing w:after="0" w:line="306" w:lineRule="auto"/>
        <w:rPr>
          <w:sz w:val="20"/>
          <w:szCs w:val="20"/>
          <w:color w:val="auto"/>
        </w:rPr>
      </w:pPr>
      <w:r>
        <w:rPr>
          <w:rFonts w:ascii="Arial" w:cs="Arial" w:eastAsia="Arial" w:hAnsi="Arial"/>
          <w:sz w:val="16"/>
          <w:szCs w:val="16"/>
          <w:color w:val="auto"/>
        </w:rPr>
        <w:t>The Committee, in consultation with management and other advisors, takes the same four step approach each year to establishing our performance goals and administering our performance-based equity programs. Through this process, we focus on building a culture of alignment and accountability, connecting internal budgeting, external guidance and compensation opportunities.</w:t>
      </w:r>
    </w:p>
    <w:p>
      <w:pPr>
        <w:spacing w:after="0" w:line="98" w:lineRule="exact"/>
        <w:rPr>
          <w:sz w:val="20"/>
          <w:szCs w:val="20"/>
          <w:color w:val="auto"/>
        </w:rPr>
      </w:pPr>
    </w:p>
    <w:tbl>
      <w:tblPr>
        <w:tblLayout w:type="fixed"/>
        <w:tblInd w:w="820" w:type="dxa"/>
        <w:tblCellMar>
          <w:top w:w="0" w:type="dxa"/>
          <w:left w:w="0" w:type="dxa"/>
          <w:bottom w:w="0" w:type="dxa"/>
          <w:right w:w="0" w:type="dxa"/>
        </w:tblCellMar>
      </w:tblPr>
      <w:tr>
        <w:trPr>
          <w:trHeight w:val="368"/>
        </w:trPr>
        <w:tc>
          <w:tcPr>
            <w:tcW w:w="8700" w:type="dxa"/>
            <w:vAlign w:val="bottom"/>
            <w:shd w:val="clear" w:color="auto" w:fill="E9F9D8"/>
          </w:tcPr>
          <w:p>
            <w:pPr>
              <w:spacing w:after="0"/>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The Committee does not look to comparisons of forward-looking performance goals versus prior year goals or</w:t>
            </w:r>
          </w:p>
        </w:tc>
        <w:tc>
          <w:tcPr>
            <w:tcW w:w="360" w:type="dxa"/>
            <w:vAlign w:val="bottom"/>
            <w:shd w:val="clear" w:color="auto" w:fill="E9F9D8"/>
          </w:tcPr>
          <w:p>
            <w:pPr>
              <w:ind w:left="200"/>
              <w:spacing w:after="0"/>
              <w:rPr>
                <w:sz w:val="20"/>
                <w:szCs w:val="20"/>
                <w:color w:val="auto"/>
              </w:rPr>
            </w:pPr>
            <w:r>
              <w:rPr>
                <w:rFonts w:ascii="Arial" w:cs="Arial" w:eastAsia="Arial" w:hAnsi="Arial"/>
                <w:sz w:val="16"/>
                <w:szCs w:val="16"/>
                <w:b w:val="1"/>
                <w:bCs w:val="1"/>
                <w:color w:val="auto"/>
              </w:rPr>
              <w:t>​</w:t>
            </w:r>
          </w:p>
        </w:tc>
      </w:tr>
      <w:tr>
        <w:trPr>
          <w:trHeight w:val="223"/>
        </w:trPr>
        <w:tc>
          <w:tcPr>
            <w:tcW w:w="8700" w:type="dxa"/>
            <w:vAlign w:val="bottom"/>
            <w:shd w:val="clear" w:color="auto" w:fill="E9F9D8"/>
          </w:tcPr>
          <w:p>
            <w:pPr>
              <w:ind w:left="160"/>
              <w:spacing w:after="0"/>
              <w:rPr>
                <w:sz w:val="20"/>
                <w:szCs w:val="20"/>
                <w:color w:val="auto"/>
              </w:rPr>
            </w:pPr>
            <w:r>
              <w:rPr>
                <w:rFonts w:ascii="Arial" w:cs="Arial" w:eastAsia="Arial" w:hAnsi="Arial"/>
                <w:sz w:val="16"/>
                <w:szCs w:val="16"/>
                <w:b w:val="1"/>
                <w:bCs w:val="1"/>
                <w:color w:val="auto"/>
              </w:rPr>
              <w:t>results as part of this process.</w:t>
            </w:r>
          </w:p>
        </w:tc>
        <w:tc>
          <w:tcPr>
            <w:tcW w:w="360" w:type="dxa"/>
            <w:vAlign w:val="bottom"/>
            <w:shd w:val="clear" w:color="auto" w:fill="E9F9D8"/>
          </w:tcPr>
          <w:p>
            <w:pPr>
              <w:spacing w:after="0"/>
              <w:rPr>
                <w:sz w:val="19"/>
                <w:szCs w:val="19"/>
                <w:color w:val="auto"/>
              </w:rPr>
            </w:pPr>
          </w:p>
        </w:tc>
      </w:tr>
      <w:tr>
        <w:trPr>
          <w:trHeight w:val="102"/>
        </w:trPr>
        <w:tc>
          <w:tcPr>
            <w:tcW w:w="8700" w:type="dxa"/>
            <w:vAlign w:val="bottom"/>
            <w:shd w:val="clear" w:color="auto" w:fill="E9F9D8"/>
          </w:tcPr>
          <w:p>
            <w:pPr>
              <w:spacing w:after="0"/>
              <w:rPr>
                <w:sz w:val="8"/>
                <w:szCs w:val="8"/>
                <w:color w:val="auto"/>
              </w:rPr>
            </w:pPr>
          </w:p>
        </w:tc>
        <w:tc>
          <w:tcPr>
            <w:tcW w:w="360" w:type="dxa"/>
            <w:vAlign w:val="bottom"/>
            <w:shd w:val="clear" w:color="auto" w:fill="E9F9D8"/>
          </w:tcPr>
          <w:p>
            <w:pPr>
              <w:spacing w:after="0"/>
              <w:rPr>
                <w:sz w:val="8"/>
                <w:szCs w:val="8"/>
                <w:color w:val="auto"/>
              </w:rPr>
            </w:pP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674"/>
        </w:trPr>
        <w:tc>
          <w:tcPr>
            <w:tcW w:w="820" w:type="dxa"/>
            <w:vAlign w:val="bottom"/>
          </w:tcPr>
          <w:p>
            <w:pPr>
              <w:spacing w:after="0"/>
              <w:rPr>
                <w:sz w:val="24"/>
                <w:szCs w:val="24"/>
                <w:color w:val="auto"/>
              </w:rPr>
            </w:pPr>
          </w:p>
        </w:tc>
        <w:tc>
          <w:tcPr>
            <w:tcW w:w="100" w:type="dxa"/>
            <w:vAlign w:val="bottom"/>
            <w:tcBorders>
              <w:top w:val="single" w:sz="8" w:color="83AD40"/>
            </w:tcBorders>
          </w:tcPr>
          <w:p>
            <w:pPr>
              <w:spacing w:after="0"/>
              <w:rPr>
                <w:sz w:val="20"/>
                <w:szCs w:val="20"/>
                <w:color w:val="auto"/>
              </w:rPr>
            </w:pPr>
            <w:r>
              <w:rPr>
                <w:rFonts w:ascii="Arial" w:cs="Arial" w:eastAsia="Arial" w:hAnsi="Arial"/>
                <w:sz w:val="20"/>
                <w:szCs w:val="20"/>
                <w:b w:val="1"/>
                <w:bCs w:val="1"/>
                <w:color w:val="83AD40"/>
              </w:rPr>
              <w:t>​</w:t>
            </w:r>
          </w:p>
        </w:tc>
        <w:tc>
          <w:tcPr>
            <w:tcW w:w="1920" w:type="dxa"/>
            <w:vAlign w:val="bottom"/>
            <w:tcBorders>
              <w:top w:val="single" w:sz="8" w:color="83AD40"/>
            </w:tcBorders>
          </w:tcPr>
          <w:p>
            <w:pPr>
              <w:ind w:left="240"/>
              <w:spacing w:after="0"/>
              <w:rPr>
                <w:sz w:val="20"/>
                <w:szCs w:val="20"/>
                <w:color w:val="auto"/>
              </w:rPr>
            </w:pPr>
            <w:r>
              <w:rPr>
                <w:rFonts w:ascii="Arial" w:cs="Arial" w:eastAsia="Arial" w:hAnsi="Arial"/>
                <w:sz w:val="20"/>
                <w:szCs w:val="20"/>
                <w:b w:val="1"/>
                <w:bCs w:val="1"/>
                <w:color w:val="83AD40"/>
              </w:rPr>
              <w:t>​​ASSESS</w:t>
            </w:r>
            <w:r>
              <w:rPr>
                <w:rFonts w:ascii="Arial" w:cs="Arial" w:eastAsia="Arial" w:hAnsi="Arial"/>
                <w:sz w:val="16"/>
                <w:szCs w:val="16"/>
                <w:color w:val="000000"/>
              </w:rPr>
              <w:t>​</w:t>
            </w:r>
          </w:p>
        </w:tc>
        <w:tc>
          <w:tcPr>
            <w:tcW w:w="160" w:type="dxa"/>
            <w:vAlign w:val="bottom"/>
            <w:tcBorders>
              <w:top w:val="single" w:sz="8" w:color="83AD40"/>
              <w:right w:val="single" w:sz="8" w:color="83AD40"/>
            </w:tcBorders>
          </w:tcPr>
          <w:p>
            <w:pPr>
              <w:ind w:left="80"/>
              <w:spacing w:after="0"/>
              <w:rPr>
                <w:sz w:val="20"/>
                <w:szCs w:val="20"/>
                <w:color w:val="auto"/>
              </w:rPr>
            </w:pPr>
            <w:r>
              <w:rPr>
                <w:rFonts w:ascii="Arial" w:cs="Arial" w:eastAsia="Arial" w:hAnsi="Arial"/>
                <w:sz w:val="20"/>
                <w:szCs w:val="20"/>
                <w:b w:val="1"/>
                <w:bCs w:val="1"/>
                <w:color w:val="83AD40"/>
              </w:rPr>
              <w:t>​</w:t>
            </w:r>
          </w:p>
        </w:tc>
        <w:tc>
          <w:tcPr>
            <w:tcW w:w="100" w:type="dxa"/>
            <w:vAlign w:val="bottom"/>
            <w:tcBorders>
              <w:top w:val="single" w:sz="8" w:color="83AD40"/>
            </w:tcBorders>
          </w:tcPr>
          <w:p>
            <w:pPr>
              <w:ind w:left="60"/>
              <w:spacing w:after="0"/>
              <w:rPr>
                <w:sz w:val="20"/>
                <w:szCs w:val="20"/>
                <w:color w:val="auto"/>
              </w:rPr>
            </w:pPr>
            <w:r>
              <w:rPr>
                <w:rFonts w:ascii="Arial" w:cs="Arial" w:eastAsia="Arial" w:hAnsi="Arial"/>
                <w:sz w:val="20"/>
                <w:szCs w:val="20"/>
                <w:b w:val="1"/>
                <w:bCs w:val="1"/>
                <w:color w:val="83AD40"/>
              </w:rPr>
              <w:t>​</w:t>
            </w:r>
          </w:p>
        </w:tc>
        <w:tc>
          <w:tcPr>
            <w:tcW w:w="120" w:type="dxa"/>
            <w:vAlign w:val="bottom"/>
            <w:tcBorders>
              <w:top w:val="single" w:sz="8" w:color="83AD40"/>
            </w:tcBorders>
          </w:tcPr>
          <w:p>
            <w:pPr>
              <w:spacing w:after="0"/>
              <w:rPr>
                <w:sz w:val="24"/>
                <w:szCs w:val="24"/>
                <w:color w:val="auto"/>
              </w:rPr>
            </w:pPr>
          </w:p>
        </w:tc>
        <w:tc>
          <w:tcPr>
            <w:tcW w:w="1900" w:type="dxa"/>
            <w:vAlign w:val="bottom"/>
            <w:tcBorders>
              <w:top w:val="single" w:sz="8" w:color="83AD40"/>
            </w:tcBorders>
          </w:tcPr>
          <w:p>
            <w:pPr>
              <w:ind w:left="220"/>
              <w:spacing w:after="0"/>
              <w:rPr>
                <w:sz w:val="20"/>
                <w:szCs w:val="20"/>
                <w:color w:val="auto"/>
              </w:rPr>
            </w:pPr>
            <w:r>
              <w:rPr>
                <w:rFonts w:ascii="Arial" w:cs="Arial" w:eastAsia="Arial" w:hAnsi="Arial"/>
                <w:sz w:val="20"/>
                <w:szCs w:val="20"/>
                <w:b w:val="1"/>
                <w:bCs w:val="1"/>
                <w:color w:val="83AD40"/>
              </w:rPr>
              <w:t>​​PROJECT</w:t>
            </w:r>
            <w:r>
              <w:rPr>
                <w:rFonts w:ascii="Arial" w:cs="Arial" w:eastAsia="Arial" w:hAnsi="Arial"/>
                <w:sz w:val="16"/>
                <w:szCs w:val="16"/>
                <w:color w:val="000000"/>
              </w:rPr>
              <w:t>​</w:t>
            </w:r>
          </w:p>
        </w:tc>
        <w:tc>
          <w:tcPr>
            <w:tcW w:w="160" w:type="dxa"/>
            <w:vAlign w:val="bottom"/>
            <w:tcBorders>
              <w:top w:val="single" w:sz="8" w:color="83AD40"/>
              <w:right w:val="single" w:sz="8" w:color="83AD40"/>
            </w:tcBorders>
          </w:tcPr>
          <w:p>
            <w:pPr>
              <w:ind w:left="100"/>
              <w:spacing w:after="0"/>
              <w:rPr>
                <w:sz w:val="20"/>
                <w:szCs w:val="20"/>
                <w:color w:val="auto"/>
              </w:rPr>
            </w:pPr>
            <w:r>
              <w:rPr>
                <w:rFonts w:ascii="Arial" w:cs="Arial" w:eastAsia="Arial" w:hAnsi="Arial"/>
                <w:sz w:val="20"/>
                <w:szCs w:val="20"/>
                <w:b w:val="1"/>
                <w:bCs w:val="1"/>
                <w:color w:val="83AD40"/>
              </w:rPr>
              <w:t>​</w:t>
            </w:r>
          </w:p>
        </w:tc>
        <w:tc>
          <w:tcPr>
            <w:tcW w:w="120" w:type="dxa"/>
            <w:vAlign w:val="bottom"/>
            <w:tcBorders>
              <w:top w:val="single" w:sz="8" w:color="83AD40"/>
            </w:tcBorders>
          </w:tcPr>
          <w:p>
            <w:pPr>
              <w:ind w:left="60"/>
              <w:spacing w:after="0"/>
              <w:rPr>
                <w:sz w:val="20"/>
                <w:szCs w:val="20"/>
                <w:color w:val="auto"/>
              </w:rPr>
            </w:pPr>
            <w:r>
              <w:rPr>
                <w:rFonts w:ascii="Arial" w:cs="Arial" w:eastAsia="Arial" w:hAnsi="Arial"/>
                <w:sz w:val="20"/>
                <w:szCs w:val="20"/>
                <w:b w:val="1"/>
                <w:bCs w:val="1"/>
                <w:color w:val="83AD40"/>
              </w:rPr>
              <w:t>​</w:t>
            </w:r>
          </w:p>
        </w:tc>
        <w:tc>
          <w:tcPr>
            <w:tcW w:w="120" w:type="dxa"/>
            <w:vAlign w:val="bottom"/>
            <w:tcBorders>
              <w:top w:val="single" w:sz="8" w:color="83AD40"/>
            </w:tcBorders>
          </w:tcPr>
          <w:p>
            <w:pPr>
              <w:spacing w:after="0"/>
              <w:rPr>
                <w:sz w:val="24"/>
                <w:szCs w:val="24"/>
                <w:color w:val="auto"/>
              </w:rPr>
            </w:pPr>
          </w:p>
        </w:tc>
        <w:tc>
          <w:tcPr>
            <w:tcW w:w="1920" w:type="dxa"/>
            <w:vAlign w:val="bottom"/>
            <w:tcBorders>
              <w:top w:val="single" w:sz="8" w:color="83AD40"/>
            </w:tcBorders>
          </w:tcPr>
          <w:p>
            <w:pPr>
              <w:ind w:left="220"/>
              <w:spacing w:after="0"/>
              <w:rPr>
                <w:sz w:val="20"/>
                <w:szCs w:val="20"/>
                <w:color w:val="auto"/>
              </w:rPr>
            </w:pPr>
            <w:r>
              <w:rPr>
                <w:rFonts w:ascii="Arial" w:cs="Arial" w:eastAsia="Arial" w:hAnsi="Arial"/>
                <w:sz w:val="20"/>
                <w:szCs w:val="20"/>
                <w:b w:val="1"/>
                <w:bCs w:val="1"/>
                <w:color w:val="83AD40"/>
              </w:rPr>
              <w:t>​​ESTABLISH</w:t>
            </w:r>
            <w:r>
              <w:rPr>
                <w:rFonts w:ascii="Arial" w:cs="Arial" w:eastAsia="Arial" w:hAnsi="Arial"/>
                <w:sz w:val="16"/>
                <w:szCs w:val="16"/>
                <w:color w:val="000000"/>
              </w:rPr>
              <w:t>​</w:t>
            </w:r>
          </w:p>
        </w:tc>
        <w:tc>
          <w:tcPr>
            <w:tcW w:w="140" w:type="dxa"/>
            <w:vAlign w:val="bottom"/>
            <w:tcBorders>
              <w:top w:val="single" w:sz="8" w:color="83AD40"/>
              <w:right w:val="single" w:sz="8" w:color="83AD40"/>
            </w:tcBorders>
          </w:tcPr>
          <w:p>
            <w:pPr>
              <w:ind w:left="60"/>
              <w:spacing w:after="0"/>
              <w:rPr>
                <w:sz w:val="20"/>
                <w:szCs w:val="20"/>
                <w:color w:val="auto"/>
              </w:rPr>
            </w:pPr>
            <w:r>
              <w:rPr>
                <w:rFonts w:ascii="Arial" w:cs="Arial" w:eastAsia="Arial" w:hAnsi="Arial"/>
                <w:sz w:val="20"/>
                <w:szCs w:val="20"/>
                <w:b w:val="1"/>
                <w:bCs w:val="1"/>
                <w:color w:val="83AD40"/>
              </w:rPr>
              <w:t>​</w:t>
            </w:r>
          </w:p>
        </w:tc>
        <w:tc>
          <w:tcPr>
            <w:tcW w:w="120" w:type="dxa"/>
            <w:vAlign w:val="bottom"/>
            <w:tcBorders>
              <w:top w:val="single" w:sz="8" w:color="83AD40"/>
            </w:tcBorders>
          </w:tcPr>
          <w:p>
            <w:pPr>
              <w:ind w:left="60"/>
              <w:spacing w:after="0"/>
              <w:rPr>
                <w:sz w:val="20"/>
                <w:szCs w:val="20"/>
                <w:color w:val="auto"/>
              </w:rPr>
            </w:pPr>
            <w:r>
              <w:rPr>
                <w:rFonts w:ascii="Arial" w:cs="Arial" w:eastAsia="Arial" w:hAnsi="Arial"/>
                <w:sz w:val="20"/>
                <w:szCs w:val="20"/>
                <w:b w:val="1"/>
                <w:bCs w:val="1"/>
                <w:color w:val="83AD40"/>
              </w:rPr>
              <w:t>​</w:t>
            </w:r>
          </w:p>
        </w:tc>
        <w:tc>
          <w:tcPr>
            <w:tcW w:w="120" w:type="dxa"/>
            <w:vAlign w:val="bottom"/>
            <w:tcBorders>
              <w:top w:val="single" w:sz="8" w:color="83AD40"/>
            </w:tcBorders>
          </w:tcPr>
          <w:p>
            <w:pPr>
              <w:spacing w:after="0"/>
              <w:rPr>
                <w:sz w:val="24"/>
                <w:szCs w:val="24"/>
                <w:color w:val="auto"/>
              </w:rPr>
            </w:pPr>
          </w:p>
        </w:tc>
        <w:tc>
          <w:tcPr>
            <w:tcW w:w="1940" w:type="dxa"/>
            <w:vAlign w:val="bottom"/>
            <w:tcBorders>
              <w:top w:val="single" w:sz="8" w:color="83AD40"/>
            </w:tcBorders>
          </w:tcPr>
          <w:p>
            <w:pPr>
              <w:ind w:left="220"/>
              <w:spacing w:after="0"/>
              <w:rPr>
                <w:sz w:val="20"/>
                <w:szCs w:val="20"/>
                <w:color w:val="auto"/>
              </w:rPr>
            </w:pPr>
            <w:r>
              <w:rPr>
                <w:rFonts w:ascii="Arial" w:cs="Arial" w:eastAsia="Arial" w:hAnsi="Arial"/>
                <w:sz w:val="20"/>
                <w:szCs w:val="20"/>
                <w:b w:val="1"/>
                <w:bCs w:val="1"/>
                <w:color w:val="83AD40"/>
              </w:rPr>
              <w:t>​​MEASURE</w:t>
            </w:r>
            <w:r>
              <w:rPr>
                <w:rFonts w:ascii="Arial" w:cs="Arial" w:eastAsia="Arial" w:hAnsi="Arial"/>
                <w:sz w:val="16"/>
                <w:szCs w:val="16"/>
                <w:color w:val="000000"/>
              </w:rPr>
              <w:t>​</w:t>
            </w:r>
          </w:p>
        </w:tc>
        <w:tc>
          <w:tcPr>
            <w:tcW w:w="120" w:type="dxa"/>
            <w:vAlign w:val="bottom"/>
            <w:tcBorders>
              <w:top w:val="single" w:sz="8" w:color="83AD40"/>
            </w:tcBorders>
          </w:tcPr>
          <w:p>
            <w:pPr>
              <w:ind w:left="60"/>
              <w:spacing w:after="0"/>
              <w:rPr>
                <w:sz w:val="20"/>
                <w:szCs w:val="20"/>
                <w:color w:val="auto"/>
              </w:rPr>
            </w:pPr>
            <w:r>
              <w:rPr>
                <w:rFonts w:ascii="Arial" w:cs="Arial" w:eastAsia="Arial" w:hAnsi="Arial"/>
                <w:sz w:val="20"/>
                <w:szCs w:val="20"/>
                <w:b w:val="1"/>
                <w:bCs w:val="1"/>
                <w:color w:val="83AD40"/>
              </w:rPr>
              <w:t>​</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820" w:type="dxa"/>
            <w:vAlign w:val="bottom"/>
          </w:tcPr>
          <w:p>
            <w:pPr>
              <w:spacing w:after="0"/>
              <w:rPr>
                <w:sz w:val="14"/>
                <w:szCs w:val="14"/>
                <w:color w:val="auto"/>
              </w:rPr>
            </w:pPr>
          </w:p>
        </w:tc>
        <w:tc>
          <w:tcPr>
            <w:tcW w:w="100" w:type="dxa"/>
            <w:vAlign w:val="bottom"/>
          </w:tcPr>
          <w:p>
            <w:pPr>
              <w:spacing w:after="0" w:line="163" w:lineRule="exact"/>
              <w:rPr>
                <w:sz w:val="20"/>
                <w:szCs w:val="20"/>
                <w:color w:val="auto"/>
              </w:rPr>
            </w:pPr>
            <w:r>
              <w:rPr>
                <w:rFonts w:ascii="Arial" w:cs="Arial" w:eastAsia="Arial" w:hAnsi="Arial"/>
                <w:sz w:val="16"/>
                <w:szCs w:val="16"/>
                <w:color w:val="auto"/>
              </w:rPr>
              <w:t>​</w:t>
            </w:r>
          </w:p>
        </w:tc>
        <w:tc>
          <w:tcPr>
            <w:tcW w:w="1920" w:type="dxa"/>
            <w:vAlign w:val="bottom"/>
            <w:vMerge w:val="restart"/>
          </w:tcPr>
          <w:p>
            <w:pPr>
              <w:ind w:left="60"/>
              <w:spacing w:after="0"/>
              <w:rPr>
                <w:sz w:val="20"/>
                <w:szCs w:val="20"/>
                <w:color w:val="auto"/>
              </w:rPr>
            </w:pPr>
            <w:r>
              <w:rPr>
                <w:rFonts w:ascii="Arial" w:cs="Arial" w:eastAsia="Arial" w:hAnsi="Arial"/>
                <w:sz w:val="16"/>
                <w:szCs w:val="16"/>
                <w:color w:val="auto"/>
              </w:rPr>
              <w:t>Current economic and</w:t>
            </w:r>
          </w:p>
        </w:tc>
        <w:tc>
          <w:tcPr>
            <w:tcW w:w="160" w:type="dxa"/>
            <w:vAlign w:val="bottom"/>
            <w:tcBorders>
              <w:right w:val="single" w:sz="8" w:color="83AD40"/>
            </w:tcBorders>
          </w:tcPr>
          <w:p>
            <w:pPr>
              <w:ind w:left="20"/>
              <w:spacing w:after="0" w:line="163" w:lineRule="exact"/>
              <w:rPr>
                <w:sz w:val="20"/>
                <w:szCs w:val="20"/>
                <w:color w:val="auto"/>
              </w:rPr>
            </w:pPr>
            <w:r>
              <w:rPr>
                <w:rFonts w:ascii="Arial" w:cs="Arial" w:eastAsia="Arial" w:hAnsi="Arial"/>
                <w:sz w:val="16"/>
                <w:szCs w:val="16"/>
                <w:color w:val="auto"/>
              </w:rPr>
              <w:t>​</w:t>
            </w:r>
          </w:p>
        </w:tc>
        <w:tc>
          <w:tcPr>
            <w:tcW w:w="100" w:type="dxa"/>
            <w:vAlign w:val="bottom"/>
          </w:tcPr>
          <w:p>
            <w:pPr>
              <w:spacing w:after="0" w:line="163" w:lineRule="exact"/>
              <w:rPr>
                <w:sz w:val="20"/>
                <w:szCs w:val="20"/>
                <w:color w:val="auto"/>
              </w:rPr>
            </w:pPr>
            <w:r>
              <w:rPr>
                <w:rFonts w:ascii="Arial" w:cs="Arial" w:eastAsia="Arial" w:hAnsi="Arial"/>
                <w:sz w:val="16"/>
                <w:szCs w:val="16"/>
                <w:color w:val="auto"/>
              </w:rPr>
              <w:t>​</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900" w:type="dxa"/>
            <w:vAlign w:val="bottom"/>
            <w:vMerge w:val="restart"/>
          </w:tcPr>
          <w:p>
            <w:pPr>
              <w:ind w:left="60"/>
              <w:spacing w:after="0"/>
              <w:rPr>
                <w:sz w:val="20"/>
                <w:szCs w:val="20"/>
                <w:color w:val="auto"/>
              </w:rPr>
            </w:pPr>
            <w:r>
              <w:rPr>
                <w:rFonts w:ascii="Arial" w:cs="Arial" w:eastAsia="Arial" w:hAnsi="Arial"/>
                <w:sz w:val="16"/>
                <w:szCs w:val="16"/>
                <w:color w:val="auto"/>
                <w:w w:val="99"/>
              </w:rPr>
              <w:t>Establish formal guidance</w:t>
            </w:r>
          </w:p>
        </w:tc>
        <w:tc>
          <w:tcPr>
            <w:tcW w:w="160" w:type="dxa"/>
            <w:vAlign w:val="bottom"/>
            <w:tcBorders>
              <w:right w:val="single" w:sz="8" w:color="83AD40"/>
            </w:tcBorders>
          </w:tcPr>
          <w:p>
            <w:pPr>
              <w:ind w:left="20"/>
              <w:spacing w:after="0" w:line="163" w:lineRule="exact"/>
              <w:rPr>
                <w:sz w:val="20"/>
                <w:szCs w:val="20"/>
                <w:color w:val="auto"/>
              </w:rPr>
            </w:pPr>
            <w:r>
              <w:rPr>
                <w:rFonts w:ascii="Arial" w:cs="Arial" w:eastAsia="Arial" w:hAnsi="Arial"/>
                <w:sz w:val="16"/>
                <w:szCs w:val="16"/>
                <w:color w:val="auto"/>
              </w:rPr>
              <w:t>​</w:t>
            </w:r>
          </w:p>
        </w:tc>
        <w:tc>
          <w:tcPr>
            <w:tcW w:w="120" w:type="dxa"/>
            <w:vAlign w:val="bottom"/>
          </w:tcPr>
          <w:p>
            <w:pPr>
              <w:spacing w:after="0" w:line="163" w:lineRule="exact"/>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1920" w:type="dxa"/>
            <w:vAlign w:val="bottom"/>
            <w:vMerge w:val="restart"/>
          </w:tcPr>
          <w:p>
            <w:pPr>
              <w:ind w:left="40"/>
              <w:spacing w:after="0"/>
              <w:rPr>
                <w:sz w:val="20"/>
                <w:szCs w:val="20"/>
                <w:color w:val="auto"/>
              </w:rPr>
            </w:pPr>
            <w:r>
              <w:rPr>
                <w:rFonts w:ascii="Arial" w:cs="Arial" w:eastAsia="Arial" w:hAnsi="Arial"/>
                <w:sz w:val="16"/>
                <w:szCs w:val="16"/>
                <w:color w:val="auto"/>
              </w:rPr>
              <w:t>Establish rigorous</w:t>
            </w:r>
          </w:p>
        </w:tc>
        <w:tc>
          <w:tcPr>
            <w:tcW w:w="140" w:type="dxa"/>
            <w:vAlign w:val="bottom"/>
            <w:tcBorders>
              <w:right w:val="single" w:sz="8" w:color="83AD40"/>
            </w:tcBorders>
          </w:tcPr>
          <w:p>
            <w:pPr>
              <w:spacing w:after="0" w:line="163" w:lineRule="exact"/>
              <w:rPr>
                <w:sz w:val="20"/>
                <w:szCs w:val="20"/>
                <w:color w:val="auto"/>
              </w:rPr>
            </w:pPr>
            <w:r>
              <w:rPr>
                <w:rFonts w:ascii="Arial" w:cs="Arial" w:eastAsia="Arial" w:hAnsi="Arial"/>
                <w:sz w:val="16"/>
                <w:szCs w:val="16"/>
                <w:color w:val="auto"/>
              </w:rPr>
              <w:t>​</w:t>
            </w:r>
          </w:p>
        </w:tc>
        <w:tc>
          <w:tcPr>
            <w:tcW w:w="120" w:type="dxa"/>
            <w:vAlign w:val="bottom"/>
          </w:tcPr>
          <w:p>
            <w:pPr>
              <w:spacing w:after="0" w:line="163" w:lineRule="exact"/>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1940" w:type="dxa"/>
            <w:vAlign w:val="bottom"/>
            <w:vMerge w:val="restart"/>
          </w:tcPr>
          <w:p>
            <w:pPr>
              <w:ind w:left="40"/>
              <w:spacing w:after="0"/>
              <w:rPr>
                <w:sz w:val="20"/>
                <w:szCs w:val="20"/>
                <w:color w:val="auto"/>
              </w:rPr>
            </w:pPr>
            <w:r>
              <w:rPr>
                <w:rFonts w:ascii="Arial" w:cs="Arial" w:eastAsia="Arial" w:hAnsi="Arial"/>
                <w:sz w:val="16"/>
                <w:szCs w:val="16"/>
                <w:color w:val="auto"/>
              </w:rPr>
              <w:t>Year-end measurement of</w:t>
            </w:r>
          </w:p>
        </w:tc>
        <w:tc>
          <w:tcPr>
            <w:tcW w:w="120" w:type="dxa"/>
            <w:vAlign w:val="bottom"/>
          </w:tcPr>
          <w:p>
            <w:pPr>
              <w:spacing w:after="0" w:line="163" w:lineRule="exact"/>
              <w:rPr>
                <w:sz w:val="20"/>
                <w:szCs w:val="20"/>
                <w:color w:val="auto"/>
              </w:rPr>
            </w:pPr>
            <w:r>
              <w:rPr>
                <w:rFonts w:ascii="Arial" w:cs="Arial" w:eastAsia="Arial" w:hAnsi="Arial"/>
                <w:sz w:val="16"/>
                <w:szCs w:val="16"/>
                <w:color w:val="auto"/>
              </w:rPr>
              <w:t>​</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820" w:type="dxa"/>
            <w:vAlign w:val="bottom"/>
          </w:tcPr>
          <w:p>
            <w:pPr>
              <w:spacing w:after="0"/>
              <w:rPr>
                <w:sz w:val="8"/>
                <w:szCs w:val="8"/>
                <w:color w:val="auto"/>
              </w:rPr>
            </w:pPr>
          </w:p>
        </w:tc>
        <w:tc>
          <w:tcPr>
            <w:tcW w:w="100" w:type="dxa"/>
            <w:vAlign w:val="bottom"/>
          </w:tcPr>
          <w:p>
            <w:pPr>
              <w:spacing w:after="0" w:line="94" w:lineRule="exact"/>
              <w:rPr>
                <w:sz w:val="20"/>
                <w:szCs w:val="20"/>
                <w:color w:val="auto"/>
              </w:rPr>
            </w:pPr>
            <w:r>
              <w:rPr>
                <w:rFonts w:ascii="Arial" w:cs="Arial" w:eastAsia="Arial" w:hAnsi="Arial"/>
                <w:sz w:val="10"/>
                <w:szCs w:val="10"/>
                <w:color w:val="auto"/>
              </w:rPr>
              <w:t>•</w:t>
            </w:r>
          </w:p>
        </w:tc>
        <w:tc>
          <w:tcPr>
            <w:tcW w:w="1920" w:type="dxa"/>
            <w:vAlign w:val="bottom"/>
            <w:vMerge w:val="continue"/>
          </w:tcPr>
          <w:p>
            <w:pPr>
              <w:spacing w:after="0"/>
              <w:rPr>
                <w:sz w:val="8"/>
                <w:szCs w:val="8"/>
                <w:color w:val="auto"/>
              </w:rPr>
            </w:pPr>
          </w:p>
        </w:tc>
        <w:tc>
          <w:tcPr>
            <w:tcW w:w="160" w:type="dxa"/>
            <w:vAlign w:val="bottom"/>
            <w:tcBorders>
              <w:right w:val="single" w:sz="8" w:color="83AD40"/>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160" w:type="dxa"/>
            <w:vAlign w:val="bottom"/>
            <w:tcBorders>
              <w:right w:val="single" w:sz="8" w:color="83AD4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1920" w:type="dxa"/>
            <w:vAlign w:val="bottom"/>
            <w:vMerge w:val="continue"/>
          </w:tcPr>
          <w:p>
            <w:pPr>
              <w:spacing w:after="0"/>
              <w:rPr>
                <w:sz w:val="8"/>
                <w:szCs w:val="8"/>
                <w:color w:val="auto"/>
              </w:rPr>
            </w:pPr>
          </w:p>
        </w:tc>
        <w:tc>
          <w:tcPr>
            <w:tcW w:w="140" w:type="dxa"/>
            <w:vAlign w:val="bottom"/>
            <w:tcBorders>
              <w:right w:val="single" w:sz="8" w:color="83AD4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19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ind w:left="60"/>
              <w:spacing w:after="0"/>
              <w:rPr>
                <w:sz w:val="20"/>
                <w:szCs w:val="20"/>
                <w:color w:val="auto"/>
              </w:rPr>
            </w:pPr>
            <w:r>
              <w:rPr>
                <w:rFonts w:ascii="Arial" w:cs="Arial" w:eastAsia="Arial" w:hAnsi="Arial"/>
                <w:sz w:val="16"/>
                <w:szCs w:val="16"/>
                <w:color w:val="auto"/>
              </w:rPr>
              <w:t>competitive landscape</w:t>
            </w:r>
          </w:p>
        </w:tc>
        <w:tc>
          <w:tcPr>
            <w:tcW w:w="160" w:type="dxa"/>
            <w:vAlign w:val="bottom"/>
            <w:tcBorders>
              <w:right w:val="single" w:sz="8" w:color="83AD40"/>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ind w:left="60"/>
              <w:spacing w:after="0"/>
              <w:rPr>
                <w:sz w:val="20"/>
                <w:szCs w:val="20"/>
                <w:color w:val="auto"/>
              </w:rPr>
            </w:pPr>
            <w:r>
              <w:rPr>
                <w:rFonts w:ascii="Arial" w:cs="Arial" w:eastAsia="Arial" w:hAnsi="Arial"/>
                <w:sz w:val="16"/>
                <w:szCs w:val="16"/>
                <w:color w:val="auto"/>
              </w:rPr>
              <w:t>and internal projections</w:t>
            </w:r>
          </w:p>
        </w:tc>
        <w:tc>
          <w:tcPr>
            <w:tcW w:w="160" w:type="dxa"/>
            <w:vAlign w:val="bottom"/>
            <w:tcBorders>
              <w:right w:val="single" w:sz="8" w:color="83AD40"/>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ind w:left="40"/>
              <w:spacing w:after="0"/>
              <w:rPr>
                <w:sz w:val="20"/>
                <w:szCs w:val="20"/>
                <w:color w:val="auto"/>
              </w:rPr>
            </w:pPr>
            <w:r>
              <w:rPr>
                <w:rFonts w:ascii="Arial" w:cs="Arial" w:eastAsia="Arial" w:hAnsi="Arial"/>
                <w:sz w:val="16"/>
                <w:szCs w:val="16"/>
                <w:color w:val="auto"/>
              </w:rPr>
              <w:t>performance goals based</w:t>
            </w:r>
          </w:p>
        </w:tc>
        <w:tc>
          <w:tcPr>
            <w:tcW w:w="140" w:type="dxa"/>
            <w:vAlign w:val="bottom"/>
            <w:tcBorders>
              <w:right w:val="single" w:sz="8" w:color="83AD40"/>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ind w:left="40"/>
              <w:spacing w:after="0"/>
              <w:rPr>
                <w:sz w:val="20"/>
                <w:szCs w:val="20"/>
                <w:color w:val="auto"/>
              </w:rPr>
            </w:pPr>
            <w:r>
              <w:rPr>
                <w:rFonts w:ascii="Arial" w:cs="Arial" w:eastAsia="Arial" w:hAnsi="Arial"/>
                <w:sz w:val="16"/>
                <w:szCs w:val="16"/>
                <w:color w:val="auto"/>
              </w:rPr>
              <w:t>performance for formulaic</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2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920" w:type="dxa"/>
            <w:vAlign w:val="bottom"/>
            <w:vMerge w:val="restart"/>
          </w:tcPr>
          <w:p>
            <w:pPr>
              <w:ind w:left="60"/>
              <w:spacing w:after="0"/>
              <w:rPr>
                <w:sz w:val="20"/>
                <w:szCs w:val="20"/>
                <w:color w:val="auto"/>
              </w:rPr>
            </w:pPr>
            <w:r>
              <w:rPr>
                <w:rFonts w:ascii="Arial" w:cs="Arial" w:eastAsia="Arial" w:hAnsi="Arial"/>
                <w:sz w:val="16"/>
                <w:szCs w:val="16"/>
                <w:color w:val="auto"/>
                <w:w w:val="98"/>
              </w:rPr>
              <w:t>Identify trends, challenges</w:t>
            </w:r>
          </w:p>
        </w:tc>
        <w:tc>
          <w:tcPr>
            <w:tcW w:w="160" w:type="dxa"/>
            <w:vAlign w:val="bottom"/>
            <w:tcBorders>
              <w:right w:val="single" w:sz="8" w:color="83AD40"/>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ind w:left="60"/>
              <w:spacing w:after="0"/>
              <w:rPr>
                <w:sz w:val="20"/>
                <w:szCs w:val="20"/>
                <w:color w:val="auto"/>
              </w:rPr>
            </w:pPr>
            <w:r>
              <w:rPr>
                <w:rFonts w:ascii="Arial" w:cs="Arial" w:eastAsia="Arial" w:hAnsi="Arial"/>
                <w:sz w:val="16"/>
                <w:szCs w:val="16"/>
                <w:color w:val="auto"/>
              </w:rPr>
              <w:t>based on current</w:t>
            </w:r>
          </w:p>
        </w:tc>
        <w:tc>
          <w:tcPr>
            <w:tcW w:w="160" w:type="dxa"/>
            <w:vAlign w:val="bottom"/>
            <w:tcBorders>
              <w:right w:val="single" w:sz="8" w:color="83AD40"/>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ind w:left="40"/>
              <w:spacing w:after="0"/>
              <w:rPr>
                <w:sz w:val="20"/>
                <w:szCs w:val="20"/>
                <w:color w:val="auto"/>
              </w:rPr>
            </w:pPr>
            <w:r>
              <w:rPr>
                <w:rFonts w:ascii="Arial" w:cs="Arial" w:eastAsia="Arial" w:hAnsi="Arial"/>
                <w:sz w:val="16"/>
                <w:szCs w:val="16"/>
                <w:color w:val="auto"/>
              </w:rPr>
              <w:t>on management’s</w:t>
            </w:r>
          </w:p>
        </w:tc>
        <w:tc>
          <w:tcPr>
            <w:tcW w:w="140" w:type="dxa"/>
            <w:vAlign w:val="bottom"/>
            <w:tcBorders>
              <w:right w:val="single" w:sz="8" w:color="83AD40"/>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Pr>
          <w:p>
            <w:pPr>
              <w:ind w:left="40"/>
              <w:spacing w:after="0"/>
              <w:rPr>
                <w:sz w:val="20"/>
                <w:szCs w:val="20"/>
                <w:color w:val="auto"/>
              </w:rPr>
            </w:pPr>
            <w:r>
              <w:rPr>
                <w:rFonts w:ascii="Arial" w:cs="Arial" w:eastAsia="Arial" w:hAnsi="Arial"/>
                <w:sz w:val="16"/>
                <w:szCs w:val="16"/>
                <w:color w:val="auto"/>
              </w:rPr>
              <w:t>bonuses and</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2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1920" w:type="dxa"/>
            <w:vAlign w:val="bottom"/>
            <w:vMerge w:val="continue"/>
          </w:tcPr>
          <w:p>
            <w:pPr>
              <w:spacing w:after="0"/>
              <w:rPr>
                <w:sz w:val="13"/>
                <w:szCs w:val="13"/>
                <w:color w:val="auto"/>
              </w:rPr>
            </w:pPr>
          </w:p>
        </w:tc>
        <w:tc>
          <w:tcPr>
            <w:tcW w:w="160" w:type="dxa"/>
            <w:vAlign w:val="bottom"/>
            <w:tcBorders>
              <w:right w:val="single" w:sz="8" w:color="83AD40"/>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vMerge w:val="restart"/>
          </w:tcPr>
          <w:p>
            <w:pPr>
              <w:ind w:left="60"/>
              <w:spacing w:after="0"/>
              <w:rPr>
                <w:sz w:val="20"/>
                <w:szCs w:val="20"/>
                <w:color w:val="auto"/>
              </w:rPr>
            </w:pPr>
            <w:r>
              <w:rPr>
                <w:rFonts w:ascii="Arial" w:cs="Arial" w:eastAsia="Arial" w:hAnsi="Arial"/>
                <w:sz w:val="16"/>
                <w:szCs w:val="16"/>
                <w:color w:val="auto"/>
              </w:rPr>
              <w:t>conditions</w:t>
            </w:r>
          </w:p>
        </w:tc>
        <w:tc>
          <w:tcPr>
            <w:tcW w:w="160" w:type="dxa"/>
            <w:vAlign w:val="bottom"/>
            <w:tcBorders>
              <w:right w:val="single" w:sz="8" w:color="83AD40"/>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vMerge w:val="restart"/>
          </w:tcPr>
          <w:p>
            <w:pPr>
              <w:ind w:left="40"/>
              <w:spacing w:after="0"/>
              <w:rPr>
                <w:sz w:val="20"/>
                <w:szCs w:val="20"/>
                <w:color w:val="auto"/>
              </w:rPr>
            </w:pPr>
            <w:r>
              <w:rPr>
                <w:rFonts w:ascii="Arial" w:cs="Arial" w:eastAsia="Arial" w:hAnsi="Arial"/>
                <w:sz w:val="16"/>
                <w:szCs w:val="16"/>
                <w:color w:val="auto"/>
              </w:rPr>
              <w:t>guidance and internal</w:t>
            </w:r>
          </w:p>
        </w:tc>
        <w:tc>
          <w:tcPr>
            <w:tcW w:w="140" w:type="dxa"/>
            <w:vAlign w:val="bottom"/>
            <w:tcBorders>
              <w:right w:val="single" w:sz="8" w:color="83AD40"/>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vMerge w:val="restart"/>
          </w:tcPr>
          <w:p>
            <w:pPr>
              <w:ind w:left="40"/>
              <w:spacing w:after="0"/>
              <w:rPr>
                <w:sz w:val="20"/>
                <w:szCs w:val="20"/>
                <w:color w:val="auto"/>
              </w:rPr>
            </w:pPr>
            <w:r>
              <w:rPr>
                <w:rFonts w:ascii="Arial" w:cs="Arial" w:eastAsia="Arial" w:hAnsi="Arial"/>
                <w:sz w:val="16"/>
                <w:szCs w:val="16"/>
                <w:color w:val="auto"/>
              </w:rPr>
              <w:t>performance-based equity</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20" w:type="dxa"/>
            <w:vAlign w:val="bottom"/>
            <w:vMerge w:val="restart"/>
          </w:tcPr>
          <w:p>
            <w:pPr>
              <w:ind w:left="60"/>
              <w:spacing w:after="0"/>
              <w:rPr>
                <w:sz w:val="20"/>
                <w:szCs w:val="20"/>
                <w:color w:val="auto"/>
              </w:rPr>
            </w:pPr>
            <w:r>
              <w:rPr>
                <w:rFonts w:ascii="Arial" w:cs="Arial" w:eastAsia="Arial" w:hAnsi="Arial"/>
                <w:sz w:val="16"/>
                <w:szCs w:val="16"/>
                <w:color w:val="auto"/>
              </w:rPr>
              <w:t>and opportunities that will</w:t>
            </w:r>
          </w:p>
        </w:tc>
        <w:tc>
          <w:tcPr>
            <w:tcW w:w="160" w:type="dxa"/>
            <w:vAlign w:val="bottom"/>
            <w:tcBorders>
              <w:right w:val="single" w:sz="8" w:color="83AD40"/>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vMerge w:val="continue"/>
          </w:tcPr>
          <w:p>
            <w:pPr>
              <w:spacing w:after="0"/>
              <w:rPr>
                <w:sz w:val="3"/>
                <w:szCs w:val="3"/>
                <w:color w:val="auto"/>
              </w:rPr>
            </w:pPr>
          </w:p>
        </w:tc>
        <w:tc>
          <w:tcPr>
            <w:tcW w:w="160" w:type="dxa"/>
            <w:vAlign w:val="bottom"/>
            <w:tcBorders>
              <w:right w:val="single" w:sz="8" w:color="83AD40"/>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20" w:type="dxa"/>
            <w:vAlign w:val="bottom"/>
            <w:vMerge w:val="continue"/>
          </w:tcPr>
          <w:p>
            <w:pPr>
              <w:spacing w:after="0"/>
              <w:rPr>
                <w:sz w:val="3"/>
                <w:szCs w:val="3"/>
                <w:color w:val="auto"/>
              </w:rPr>
            </w:pPr>
          </w:p>
        </w:tc>
        <w:tc>
          <w:tcPr>
            <w:tcW w:w="140" w:type="dxa"/>
            <w:vAlign w:val="bottom"/>
            <w:tcBorders>
              <w:right w:val="single" w:sz="8" w:color="83AD40"/>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vMerge w:val="continue"/>
          </w:tcPr>
          <w:p>
            <w:pPr>
              <w:spacing w:after="0"/>
              <w:rPr>
                <w:sz w:val="14"/>
                <w:szCs w:val="14"/>
                <w:color w:val="auto"/>
              </w:rPr>
            </w:pPr>
          </w:p>
        </w:tc>
        <w:tc>
          <w:tcPr>
            <w:tcW w:w="160" w:type="dxa"/>
            <w:vAlign w:val="bottom"/>
            <w:tcBorders>
              <w:right w:val="single" w:sz="8" w:color="83AD40"/>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0" w:type="dxa"/>
            <w:vAlign w:val="bottom"/>
            <w:tcBorders>
              <w:right w:val="single" w:sz="8" w:color="83AD40"/>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vMerge w:val="restart"/>
          </w:tcPr>
          <w:p>
            <w:pPr>
              <w:ind w:left="40"/>
              <w:spacing w:after="0"/>
              <w:rPr>
                <w:sz w:val="20"/>
                <w:szCs w:val="20"/>
                <w:color w:val="auto"/>
              </w:rPr>
            </w:pPr>
            <w:r>
              <w:rPr>
                <w:rFonts w:ascii="Arial" w:cs="Arial" w:eastAsia="Arial" w:hAnsi="Arial"/>
                <w:sz w:val="16"/>
                <w:szCs w:val="16"/>
                <w:color w:val="auto"/>
              </w:rPr>
              <w:t>projections</w:t>
            </w:r>
          </w:p>
        </w:tc>
        <w:tc>
          <w:tcPr>
            <w:tcW w:w="140" w:type="dxa"/>
            <w:vAlign w:val="bottom"/>
            <w:tcBorders>
              <w:right w:val="single" w:sz="8" w:color="83AD40"/>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vMerge w:val="restart"/>
          </w:tcPr>
          <w:p>
            <w:pPr>
              <w:ind w:left="40"/>
              <w:spacing w:after="0"/>
              <w:rPr>
                <w:sz w:val="20"/>
                <w:szCs w:val="20"/>
                <w:color w:val="auto"/>
              </w:rPr>
            </w:pPr>
            <w:r>
              <w:rPr>
                <w:rFonts w:ascii="Arial" w:cs="Arial" w:eastAsia="Arial" w:hAnsi="Arial"/>
                <w:sz w:val="16"/>
                <w:szCs w:val="16"/>
                <w:color w:val="auto"/>
              </w:rPr>
              <w:t>awards</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20" w:type="dxa"/>
            <w:vAlign w:val="bottom"/>
            <w:vMerge w:val="restart"/>
          </w:tcPr>
          <w:p>
            <w:pPr>
              <w:ind w:left="60"/>
              <w:spacing w:after="0" w:line="175" w:lineRule="exact"/>
              <w:rPr>
                <w:sz w:val="20"/>
                <w:szCs w:val="20"/>
                <w:color w:val="auto"/>
              </w:rPr>
            </w:pPr>
            <w:r>
              <w:rPr>
                <w:rFonts w:ascii="Arial" w:cs="Arial" w:eastAsia="Arial" w:hAnsi="Arial"/>
                <w:sz w:val="16"/>
                <w:szCs w:val="16"/>
                <w:color w:val="auto"/>
              </w:rPr>
              <w:t>impact our performance</w:t>
            </w:r>
          </w:p>
        </w:tc>
        <w:tc>
          <w:tcPr>
            <w:tcW w:w="160" w:type="dxa"/>
            <w:vAlign w:val="bottom"/>
            <w:tcBorders>
              <w:right w:val="single" w:sz="8" w:color="83AD40"/>
            </w:tcBorders>
          </w:tcPr>
          <w:p>
            <w:pPr>
              <w:spacing w:after="0"/>
              <w:rPr>
                <w:sz w:val="4"/>
                <w:szCs w:val="4"/>
                <w:color w:val="auto"/>
              </w:rPr>
            </w:pPr>
          </w:p>
        </w:tc>
        <w:tc>
          <w:tcPr>
            <w:tcW w:w="100" w:type="dxa"/>
            <w:vAlign w:val="bottom"/>
          </w:tcPr>
          <w:p>
            <w:pPr>
              <w:spacing w:after="0"/>
              <w:rPr>
                <w:sz w:val="4"/>
                <w:szCs w:val="4"/>
                <w:color w:val="auto"/>
              </w:rPr>
            </w:pPr>
          </w:p>
        </w:tc>
        <w:tc>
          <w:tcPr>
            <w:tcW w:w="2020" w:type="dxa"/>
            <w:vAlign w:val="bottom"/>
            <w:gridSpan w:val="2"/>
            <w:vMerge w:val="restart"/>
          </w:tcPr>
          <w:p>
            <w:pPr>
              <w:ind w:left="20"/>
              <w:spacing w:after="0" w:line="175" w:lineRule="exact"/>
              <w:rPr>
                <w:sz w:val="20"/>
                <w:szCs w:val="20"/>
                <w:color w:val="auto"/>
              </w:rPr>
            </w:pPr>
            <w:r>
              <w:rPr>
                <w:rFonts w:ascii="Arial" w:cs="Arial" w:eastAsia="Arial" w:hAnsi="Arial"/>
                <w:sz w:val="16"/>
                <w:szCs w:val="16"/>
                <w:color w:val="auto"/>
              </w:rPr>
              <w:t>• No consideration of prior</w:t>
            </w:r>
          </w:p>
        </w:tc>
        <w:tc>
          <w:tcPr>
            <w:tcW w:w="160" w:type="dxa"/>
            <w:vAlign w:val="bottom"/>
            <w:tcBorders>
              <w:right w:val="single" w:sz="8" w:color="83AD40"/>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20" w:type="dxa"/>
            <w:vAlign w:val="bottom"/>
            <w:vMerge w:val="continue"/>
          </w:tcPr>
          <w:p>
            <w:pPr>
              <w:spacing w:after="0"/>
              <w:rPr>
                <w:sz w:val="4"/>
                <w:szCs w:val="4"/>
                <w:color w:val="auto"/>
              </w:rPr>
            </w:pPr>
          </w:p>
        </w:tc>
        <w:tc>
          <w:tcPr>
            <w:tcW w:w="140" w:type="dxa"/>
            <w:vAlign w:val="bottom"/>
            <w:tcBorders>
              <w:right w:val="single" w:sz="8" w:color="83AD40"/>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20" w:type="dxa"/>
            <w:vAlign w:val="bottom"/>
            <w:vMerge w:val="continue"/>
          </w:tcPr>
          <w:p>
            <w:pPr>
              <w:spacing w:after="0"/>
              <w:rPr>
                <w:sz w:val="10"/>
                <w:szCs w:val="10"/>
                <w:color w:val="auto"/>
              </w:rPr>
            </w:pPr>
          </w:p>
        </w:tc>
        <w:tc>
          <w:tcPr>
            <w:tcW w:w="160" w:type="dxa"/>
            <w:vAlign w:val="bottom"/>
            <w:tcBorders>
              <w:right w:val="single" w:sz="8" w:color="83AD40"/>
            </w:tcBorders>
          </w:tcPr>
          <w:p>
            <w:pPr>
              <w:spacing w:after="0"/>
              <w:rPr>
                <w:sz w:val="10"/>
                <w:szCs w:val="10"/>
                <w:color w:val="auto"/>
              </w:rPr>
            </w:pPr>
          </w:p>
        </w:tc>
        <w:tc>
          <w:tcPr>
            <w:tcW w:w="100" w:type="dxa"/>
            <w:vAlign w:val="bottom"/>
          </w:tcPr>
          <w:p>
            <w:pPr>
              <w:spacing w:after="0"/>
              <w:rPr>
                <w:sz w:val="10"/>
                <w:szCs w:val="10"/>
                <w:color w:val="auto"/>
              </w:rPr>
            </w:pPr>
          </w:p>
        </w:tc>
        <w:tc>
          <w:tcPr>
            <w:tcW w:w="2020" w:type="dxa"/>
            <w:vAlign w:val="bottom"/>
            <w:gridSpan w:val="2"/>
            <w:vMerge w:val="continue"/>
          </w:tcPr>
          <w:p>
            <w:pPr>
              <w:spacing w:after="0"/>
              <w:rPr>
                <w:sz w:val="10"/>
                <w:szCs w:val="10"/>
                <w:color w:val="auto"/>
              </w:rPr>
            </w:pPr>
          </w:p>
        </w:tc>
        <w:tc>
          <w:tcPr>
            <w:tcW w:w="160" w:type="dxa"/>
            <w:vAlign w:val="bottom"/>
            <w:tcBorders>
              <w:right w:val="single" w:sz="8" w:color="83AD4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40" w:type="dxa"/>
            <w:vAlign w:val="bottom"/>
            <w:tcBorders>
              <w:right w:val="single" w:sz="8" w:color="83AD4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0" w:type="dxa"/>
            <w:vAlign w:val="bottom"/>
            <w:tcBorders>
              <w:right w:val="single" w:sz="8" w:color="83AD40"/>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ind w:left="60"/>
              <w:spacing w:after="0"/>
              <w:rPr>
                <w:sz w:val="20"/>
                <w:szCs w:val="20"/>
                <w:color w:val="auto"/>
              </w:rPr>
            </w:pPr>
            <w:r>
              <w:rPr>
                <w:rFonts w:ascii="Arial" w:cs="Arial" w:eastAsia="Arial" w:hAnsi="Arial"/>
                <w:sz w:val="16"/>
                <w:szCs w:val="16"/>
                <w:color w:val="auto"/>
                <w:w w:val="98"/>
              </w:rPr>
              <w:t>year forecasts, which may</w:t>
            </w:r>
          </w:p>
        </w:tc>
        <w:tc>
          <w:tcPr>
            <w:tcW w:w="160" w:type="dxa"/>
            <w:vAlign w:val="bottom"/>
            <w:tcBorders>
              <w:right w:val="single" w:sz="8" w:color="83AD40"/>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920" w:type="dxa"/>
            <w:vAlign w:val="bottom"/>
          </w:tcPr>
          <w:p>
            <w:pPr>
              <w:ind w:left="40"/>
              <w:spacing w:after="0"/>
              <w:rPr>
                <w:sz w:val="20"/>
                <w:szCs w:val="20"/>
                <w:color w:val="auto"/>
              </w:rPr>
            </w:pPr>
            <w:r>
              <w:rPr>
                <w:rFonts w:ascii="Arial" w:cs="Arial" w:eastAsia="Arial" w:hAnsi="Arial"/>
                <w:sz w:val="16"/>
                <w:szCs w:val="16"/>
                <w:color w:val="auto"/>
              </w:rPr>
              <w:t>Consider both individual</w:t>
            </w:r>
          </w:p>
        </w:tc>
        <w:tc>
          <w:tcPr>
            <w:tcW w:w="140" w:type="dxa"/>
            <w:vAlign w:val="bottom"/>
            <w:tcBorders>
              <w:right w:val="single" w:sz="8" w:color="83AD40"/>
            </w:tcBorders>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gridSpan w:val="2"/>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We do not change our</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0" w:type="dxa"/>
            <w:vAlign w:val="bottom"/>
            <w:tcBorders>
              <w:right w:val="single" w:sz="8" w:color="83AD40"/>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ind w:left="60"/>
              <w:spacing w:after="0"/>
              <w:rPr>
                <w:sz w:val="20"/>
                <w:szCs w:val="20"/>
                <w:color w:val="auto"/>
              </w:rPr>
            </w:pPr>
            <w:r>
              <w:rPr>
                <w:rFonts w:ascii="Arial" w:cs="Arial" w:eastAsia="Arial" w:hAnsi="Arial"/>
                <w:sz w:val="16"/>
                <w:szCs w:val="16"/>
                <w:color w:val="auto"/>
                <w:w w:val="98"/>
              </w:rPr>
              <w:t>result in narrower or wider</w:t>
            </w:r>
          </w:p>
        </w:tc>
        <w:tc>
          <w:tcPr>
            <w:tcW w:w="160" w:type="dxa"/>
            <w:vAlign w:val="bottom"/>
            <w:tcBorders>
              <w:right w:val="single" w:sz="8" w:color="83AD40"/>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ind w:left="40"/>
              <w:spacing w:after="0"/>
              <w:rPr>
                <w:sz w:val="20"/>
                <w:szCs w:val="20"/>
                <w:color w:val="auto"/>
              </w:rPr>
            </w:pPr>
            <w:r>
              <w:rPr>
                <w:rFonts w:ascii="Arial" w:cs="Arial" w:eastAsia="Arial" w:hAnsi="Arial"/>
                <w:sz w:val="16"/>
                <w:szCs w:val="16"/>
                <w:color w:val="auto"/>
              </w:rPr>
              <w:t>metrics and relationship</w:t>
            </w:r>
          </w:p>
        </w:tc>
        <w:tc>
          <w:tcPr>
            <w:tcW w:w="140" w:type="dxa"/>
            <w:vAlign w:val="bottom"/>
            <w:tcBorders>
              <w:right w:val="single" w:sz="8" w:color="83AD40"/>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ind w:left="40"/>
              <w:spacing w:after="0"/>
              <w:rPr>
                <w:sz w:val="20"/>
                <w:szCs w:val="20"/>
                <w:color w:val="auto"/>
              </w:rPr>
            </w:pPr>
            <w:r>
              <w:rPr>
                <w:rFonts w:ascii="Arial" w:cs="Arial" w:eastAsia="Arial" w:hAnsi="Arial"/>
                <w:sz w:val="16"/>
                <w:szCs w:val="16"/>
                <w:b w:val="1"/>
                <w:bCs w:val="1"/>
                <w:color w:val="auto"/>
                <w:w w:val="98"/>
              </w:rPr>
              <w:t>objective goals mid-year,</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60" w:type="dxa"/>
            <w:vAlign w:val="bottom"/>
            <w:tcBorders>
              <w:right w:val="single" w:sz="8" w:color="83AD40"/>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ind w:left="60"/>
              <w:spacing w:after="0"/>
              <w:rPr>
                <w:sz w:val="20"/>
                <w:szCs w:val="20"/>
                <w:color w:val="auto"/>
              </w:rPr>
            </w:pPr>
            <w:r>
              <w:rPr>
                <w:rFonts w:ascii="Arial" w:cs="Arial" w:eastAsia="Arial" w:hAnsi="Arial"/>
                <w:sz w:val="16"/>
                <w:szCs w:val="16"/>
                <w:color w:val="auto"/>
              </w:rPr>
              <w:t>ranges depending on</w:t>
            </w:r>
          </w:p>
        </w:tc>
        <w:tc>
          <w:tcPr>
            <w:tcW w:w="160" w:type="dxa"/>
            <w:vAlign w:val="bottom"/>
            <w:tcBorders>
              <w:right w:val="single" w:sz="8" w:color="83AD40"/>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ind w:left="40"/>
              <w:spacing w:after="0"/>
              <w:rPr>
                <w:sz w:val="20"/>
                <w:szCs w:val="20"/>
                <w:color w:val="auto"/>
              </w:rPr>
            </w:pPr>
            <w:r>
              <w:rPr>
                <w:rFonts w:ascii="Arial" w:cs="Arial" w:eastAsia="Arial" w:hAnsi="Arial"/>
                <w:sz w:val="16"/>
                <w:szCs w:val="16"/>
                <w:color w:val="auto"/>
                <w:w w:val="99"/>
              </w:rPr>
              <w:t>between metrics to ensure</w:t>
            </w:r>
          </w:p>
        </w:tc>
        <w:tc>
          <w:tcPr>
            <w:tcW w:w="140" w:type="dxa"/>
            <w:vAlign w:val="bottom"/>
            <w:tcBorders>
              <w:right w:val="single" w:sz="8" w:color="83AD40"/>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Pr>
          <w:p>
            <w:pPr>
              <w:ind w:left="40"/>
              <w:spacing w:after="0"/>
              <w:rPr>
                <w:sz w:val="20"/>
                <w:szCs w:val="20"/>
                <w:color w:val="auto"/>
              </w:rPr>
            </w:pPr>
            <w:r>
              <w:rPr>
                <w:rFonts w:ascii="Arial" w:cs="Arial" w:eastAsia="Arial" w:hAnsi="Arial"/>
                <w:sz w:val="16"/>
                <w:szCs w:val="16"/>
                <w:b w:val="1"/>
                <w:bCs w:val="1"/>
                <w:color w:val="auto"/>
              </w:rPr>
              <w:t>even in extreme</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0" w:type="dxa"/>
            <w:vAlign w:val="bottom"/>
            <w:tcBorders>
              <w:right w:val="single" w:sz="8" w:color="83AD40"/>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ind w:left="60"/>
              <w:spacing w:after="0"/>
              <w:rPr>
                <w:sz w:val="20"/>
                <w:szCs w:val="20"/>
                <w:color w:val="auto"/>
              </w:rPr>
            </w:pPr>
            <w:r>
              <w:rPr>
                <w:rFonts w:ascii="Arial" w:cs="Arial" w:eastAsia="Arial" w:hAnsi="Arial"/>
                <w:sz w:val="16"/>
                <w:szCs w:val="16"/>
                <w:color w:val="auto"/>
              </w:rPr>
              <w:t>anticipated volatility</w:t>
            </w:r>
          </w:p>
        </w:tc>
        <w:tc>
          <w:tcPr>
            <w:tcW w:w="160" w:type="dxa"/>
            <w:vAlign w:val="bottom"/>
            <w:tcBorders>
              <w:right w:val="single" w:sz="8" w:color="83AD40"/>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ind w:left="40"/>
              <w:spacing w:after="0"/>
              <w:rPr>
                <w:sz w:val="20"/>
                <w:szCs w:val="20"/>
                <w:color w:val="auto"/>
              </w:rPr>
            </w:pPr>
            <w:r>
              <w:rPr>
                <w:rFonts w:ascii="Arial" w:cs="Arial" w:eastAsia="Arial" w:hAnsi="Arial"/>
                <w:sz w:val="16"/>
                <w:szCs w:val="16"/>
                <w:color w:val="auto"/>
              </w:rPr>
              <w:t>alignment</w:t>
            </w:r>
          </w:p>
        </w:tc>
        <w:tc>
          <w:tcPr>
            <w:tcW w:w="140" w:type="dxa"/>
            <w:vAlign w:val="bottom"/>
            <w:tcBorders>
              <w:right w:val="single" w:sz="8" w:color="83AD40"/>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ind w:left="40"/>
              <w:spacing w:after="0"/>
              <w:rPr>
                <w:sz w:val="20"/>
                <w:szCs w:val="20"/>
                <w:color w:val="auto"/>
              </w:rPr>
            </w:pPr>
            <w:r>
              <w:rPr>
                <w:rFonts w:ascii="Arial" w:cs="Arial" w:eastAsia="Arial" w:hAnsi="Arial"/>
                <w:sz w:val="16"/>
                <w:szCs w:val="16"/>
                <w:b w:val="1"/>
                <w:bCs w:val="1"/>
                <w:color w:val="auto"/>
              </w:rPr>
              <w:t>circumstances (such as</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60" w:type="dxa"/>
            <w:vAlign w:val="bottom"/>
            <w:tcBorders>
              <w:right w:val="single" w:sz="8" w:color="83AD40"/>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60" w:type="dxa"/>
            <w:vAlign w:val="bottom"/>
            <w:tcBorders>
              <w:right w:val="single" w:sz="8" w:color="83AD40"/>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40" w:type="dxa"/>
            <w:vAlign w:val="bottom"/>
            <w:tcBorders>
              <w:right w:val="single" w:sz="8" w:color="83AD40"/>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tcPr>
          <w:p>
            <w:pPr>
              <w:ind w:left="40"/>
              <w:spacing w:after="0"/>
              <w:rPr>
                <w:sz w:val="20"/>
                <w:szCs w:val="20"/>
                <w:color w:val="auto"/>
              </w:rPr>
            </w:pPr>
            <w:r>
              <w:rPr>
                <w:rFonts w:ascii="Arial" w:cs="Arial" w:eastAsia="Arial" w:hAnsi="Arial"/>
                <w:sz w:val="16"/>
                <w:szCs w:val="16"/>
                <w:b w:val="1"/>
                <w:bCs w:val="1"/>
                <w:color w:val="auto"/>
              </w:rPr>
              <w:t>COVID)</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820" w:type="dxa"/>
            <w:vAlign w:val="bottom"/>
          </w:tcPr>
          <w:p>
            <w:pPr>
              <w:spacing w:after="0"/>
              <w:rPr>
                <w:sz w:val="21"/>
                <w:szCs w:val="21"/>
                <w:color w:val="auto"/>
              </w:rPr>
            </w:pPr>
          </w:p>
        </w:tc>
        <w:tc>
          <w:tcPr>
            <w:tcW w:w="100" w:type="dxa"/>
            <w:vAlign w:val="bottom"/>
            <w:tcBorders>
              <w:bottom w:val="single" w:sz="8" w:color="83AD40"/>
            </w:tcBorders>
          </w:tcPr>
          <w:p>
            <w:pPr>
              <w:spacing w:after="0"/>
              <w:rPr>
                <w:sz w:val="21"/>
                <w:szCs w:val="21"/>
                <w:color w:val="auto"/>
              </w:rPr>
            </w:pPr>
          </w:p>
        </w:tc>
        <w:tc>
          <w:tcPr>
            <w:tcW w:w="1920" w:type="dxa"/>
            <w:vAlign w:val="bottom"/>
            <w:tcBorders>
              <w:bottom w:val="single" w:sz="8" w:color="83AD40"/>
            </w:tcBorders>
          </w:tcPr>
          <w:p>
            <w:pPr>
              <w:spacing w:after="0"/>
              <w:rPr>
                <w:sz w:val="21"/>
                <w:szCs w:val="21"/>
                <w:color w:val="auto"/>
              </w:rPr>
            </w:pPr>
          </w:p>
        </w:tc>
        <w:tc>
          <w:tcPr>
            <w:tcW w:w="160" w:type="dxa"/>
            <w:vAlign w:val="bottom"/>
            <w:tcBorders>
              <w:bottom w:val="single" w:sz="8" w:color="83AD40"/>
              <w:right w:val="single" w:sz="8" w:color="83AD40"/>
            </w:tcBorders>
          </w:tcPr>
          <w:p>
            <w:pPr>
              <w:spacing w:after="0"/>
              <w:rPr>
                <w:sz w:val="21"/>
                <w:szCs w:val="21"/>
                <w:color w:val="auto"/>
              </w:rPr>
            </w:pPr>
          </w:p>
        </w:tc>
        <w:tc>
          <w:tcPr>
            <w:tcW w:w="100" w:type="dxa"/>
            <w:vAlign w:val="bottom"/>
            <w:tcBorders>
              <w:bottom w:val="single" w:sz="8" w:color="83AD40"/>
            </w:tcBorders>
          </w:tcPr>
          <w:p>
            <w:pPr>
              <w:spacing w:after="0"/>
              <w:rPr>
                <w:sz w:val="21"/>
                <w:szCs w:val="21"/>
                <w:color w:val="auto"/>
              </w:rPr>
            </w:pPr>
          </w:p>
        </w:tc>
        <w:tc>
          <w:tcPr>
            <w:tcW w:w="120" w:type="dxa"/>
            <w:vAlign w:val="bottom"/>
            <w:tcBorders>
              <w:bottom w:val="single" w:sz="8" w:color="83AD40"/>
            </w:tcBorders>
          </w:tcPr>
          <w:p>
            <w:pPr>
              <w:spacing w:after="0"/>
              <w:rPr>
                <w:sz w:val="21"/>
                <w:szCs w:val="21"/>
                <w:color w:val="auto"/>
              </w:rPr>
            </w:pPr>
          </w:p>
        </w:tc>
        <w:tc>
          <w:tcPr>
            <w:tcW w:w="1900" w:type="dxa"/>
            <w:vAlign w:val="bottom"/>
            <w:tcBorders>
              <w:bottom w:val="single" w:sz="8" w:color="83AD40"/>
            </w:tcBorders>
          </w:tcPr>
          <w:p>
            <w:pPr>
              <w:spacing w:after="0"/>
              <w:rPr>
                <w:sz w:val="21"/>
                <w:szCs w:val="21"/>
                <w:color w:val="auto"/>
              </w:rPr>
            </w:pPr>
          </w:p>
        </w:tc>
        <w:tc>
          <w:tcPr>
            <w:tcW w:w="160" w:type="dxa"/>
            <w:vAlign w:val="bottom"/>
            <w:tcBorders>
              <w:bottom w:val="single" w:sz="8" w:color="83AD40"/>
              <w:right w:val="single" w:sz="8" w:color="83AD40"/>
            </w:tcBorders>
          </w:tcPr>
          <w:p>
            <w:pPr>
              <w:spacing w:after="0"/>
              <w:rPr>
                <w:sz w:val="21"/>
                <w:szCs w:val="21"/>
                <w:color w:val="auto"/>
              </w:rPr>
            </w:pPr>
          </w:p>
        </w:tc>
        <w:tc>
          <w:tcPr>
            <w:tcW w:w="120" w:type="dxa"/>
            <w:vAlign w:val="bottom"/>
            <w:tcBorders>
              <w:bottom w:val="single" w:sz="8" w:color="83AD40"/>
            </w:tcBorders>
          </w:tcPr>
          <w:p>
            <w:pPr>
              <w:spacing w:after="0"/>
              <w:rPr>
                <w:sz w:val="21"/>
                <w:szCs w:val="21"/>
                <w:color w:val="auto"/>
              </w:rPr>
            </w:pPr>
          </w:p>
        </w:tc>
        <w:tc>
          <w:tcPr>
            <w:tcW w:w="120" w:type="dxa"/>
            <w:vAlign w:val="bottom"/>
            <w:tcBorders>
              <w:bottom w:val="single" w:sz="8" w:color="83AD40"/>
            </w:tcBorders>
          </w:tcPr>
          <w:p>
            <w:pPr>
              <w:spacing w:after="0"/>
              <w:rPr>
                <w:sz w:val="21"/>
                <w:szCs w:val="21"/>
                <w:color w:val="auto"/>
              </w:rPr>
            </w:pPr>
          </w:p>
        </w:tc>
        <w:tc>
          <w:tcPr>
            <w:tcW w:w="1920" w:type="dxa"/>
            <w:vAlign w:val="bottom"/>
            <w:tcBorders>
              <w:bottom w:val="single" w:sz="8" w:color="83AD40"/>
            </w:tcBorders>
          </w:tcPr>
          <w:p>
            <w:pPr>
              <w:spacing w:after="0"/>
              <w:rPr>
                <w:sz w:val="21"/>
                <w:szCs w:val="21"/>
                <w:color w:val="auto"/>
              </w:rPr>
            </w:pPr>
          </w:p>
        </w:tc>
        <w:tc>
          <w:tcPr>
            <w:tcW w:w="140" w:type="dxa"/>
            <w:vAlign w:val="bottom"/>
            <w:tcBorders>
              <w:bottom w:val="single" w:sz="8" w:color="83AD40"/>
              <w:right w:val="single" w:sz="8" w:color="83AD40"/>
            </w:tcBorders>
          </w:tcPr>
          <w:p>
            <w:pPr>
              <w:spacing w:after="0"/>
              <w:rPr>
                <w:sz w:val="21"/>
                <w:szCs w:val="21"/>
                <w:color w:val="auto"/>
              </w:rPr>
            </w:pPr>
          </w:p>
        </w:tc>
        <w:tc>
          <w:tcPr>
            <w:tcW w:w="120" w:type="dxa"/>
            <w:vAlign w:val="bottom"/>
            <w:tcBorders>
              <w:bottom w:val="single" w:sz="8" w:color="83AD40"/>
            </w:tcBorders>
          </w:tcPr>
          <w:p>
            <w:pPr>
              <w:spacing w:after="0"/>
              <w:rPr>
                <w:sz w:val="21"/>
                <w:szCs w:val="21"/>
                <w:color w:val="auto"/>
              </w:rPr>
            </w:pPr>
          </w:p>
        </w:tc>
        <w:tc>
          <w:tcPr>
            <w:tcW w:w="120" w:type="dxa"/>
            <w:vAlign w:val="bottom"/>
            <w:tcBorders>
              <w:bottom w:val="single" w:sz="8" w:color="83AD40"/>
            </w:tcBorders>
          </w:tcPr>
          <w:p>
            <w:pPr>
              <w:spacing w:after="0"/>
              <w:rPr>
                <w:sz w:val="21"/>
                <w:szCs w:val="21"/>
                <w:color w:val="auto"/>
              </w:rPr>
            </w:pPr>
          </w:p>
        </w:tc>
        <w:tc>
          <w:tcPr>
            <w:tcW w:w="1940" w:type="dxa"/>
            <w:vAlign w:val="bottom"/>
            <w:tcBorders>
              <w:bottom w:val="single" w:sz="8" w:color="83AD40"/>
            </w:tcBorders>
          </w:tcPr>
          <w:p>
            <w:pPr>
              <w:spacing w:after="0"/>
              <w:rPr>
                <w:sz w:val="21"/>
                <w:szCs w:val="21"/>
                <w:color w:val="auto"/>
              </w:rPr>
            </w:pPr>
          </w:p>
        </w:tc>
        <w:tc>
          <w:tcPr>
            <w:tcW w:w="120" w:type="dxa"/>
            <w:vAlign w:val="bottom"/>
            <w:tcBorders>
              <w:bottom w:val="single" w:sz="8" w:color="83AD40"/>
            </w:tcBorders>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4"/>
        </w:trPr>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-2185670</wp:posOffset>
            </wp:positionV>
            <wp:extent cx="205740" cy="21463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05740" cy="214630"/>
                    </a:xfrm>
                    <a:prstGeom prst="rect">
                      <a:avLst/>
                    </a:prstGeom>
                    <a:noFill/>
                  </pic:spPr>
                </pic:pic>
              </a:graphicData>
            </a:graphic>
          </wp:anchor>
        </w:drawing>
        <w:drawing>
          <wp:anchor simplePos="0" relativeHeight="251657728" behindDoc="1" locked="0" layoutInCell="0" allowOverlap="1">
            <wp:simplePos x="0" y="0"/>
            <wp:positionH relativeFrom="column">
              <wp:posOffset>1974215</wp:posOffset>
            </wp:positionH>
            <wp:positionV relativeFrom="paragraph">
              <wp:posOffset>-2185670</wp:posOffset>
            </wp:positionV>
            <wp:extent cx="205740" cy="21463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05740" cy="214630"/>
                    </a:xfrm>
                    <a:prstGeom prst="rect">
                      <a:avLst/>
                    </a:prstGeom>
                    <a:noFill/>
                  </pic:spPr>
                </pic:pic>
              </a:graphicData>
            </a:graphic>
          </wp:anchor>
        </w:drawing>
        <w:drawing>
          <wp:anchor simplePos="0" relativeHeight="251657728" behindDoc="1" locked="0" layoutInCell="0" allowOverlap="1">
            <wp:simplePos x="0" y="0"/>
            <wp:positionH relativeFrom="column">
              <wp:posOffset>3431540</wp:posOffset>
            </wp:positionH>
            <wp:positionV relativeFrom="paragraph">
              <wp:posOffset>-2185670</wp:posOffset>
            </wp:positionV>
            <wp:extent cx="205740" cy="21463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05740" cy="214630"/>
                    </a:xfrm>
                    <a:prstGeom prst="rect">
                      <a:avLst/>
                    </a:prstGeom>
                    <a:noFill/>
                  </pic:spPr>
                </pic:pic>
              </a:graphicData>
            </a:graphic>
          </wp:anchor>
        </w:drawing>
        <w:drawing>
          <wp:anchor simplePos="0" relativeHeight="251657728" behindDoc="1" locked="0" layoutInCell="0" allowOverlap="1">
            <wp:simplePos x="0" y="0"/>
            <wp:positionH relativeFrom="column">
              <wp:posOffset>4888865</wp:posOffset>
            </wp:positionH>
            <wp:positionV relativeFrom="paragraph">
              <wp:posOffset>-2185670</wp:posOffset>
            </wp:positionV>
            <wp:extent cx="205740" cy="21463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05740" cy="214630"/>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5000" w:type="dxa"/>
            <w:vAlign w:val="bottom"/>
          </w:tcPr>
          <w:p>
            <w:pPr>
              <w:spacing w:after="0"/>
              <w:rPr>
                <w:sz w:val="17"/>
                <w:szCs w:val="17"/>
                <w:color w:val="auto"/>
              </w:rPr>
            </w:pPr>
          </w:p>
        </w:tc>
        <w:tc>
          <w:tcPr>
            <w:tcW w:w="3680" w:type="dxa"/>
            <w:vAlign w:val="bottom"/>
          </w:tcPr>
          <w:p>
            <w:pPr>
              <w:ind w:left="3100"/>
              <w:spacing w:after="0"/>
              <w:rPr>
                <w:sz w:val="20"/>
                <w:szCs w:val="20"/>
                <w:color w:val="auto"/>
              </w:rPr>
            </w:pPr>
            <w:r>
              <w:rPr>
                <w:rFonts w:ascii="Arial" w:cs="Arial" w:eastAsia="Arial" w:hAnsi="Arial"/>
                <w:sz w:val="14"/>
                <w:szCs w:val="14"/>
                <w:b w:val="1"/>
                <w:bCs w:val="1"/>
                <w:color w:val="auto"/>
              </w:rPr>
              <w:t>​ ​</w:t>
            </w:r>
          </w:p>
        </w:tc>
        <w:tc>
          <w:tcPr>
            <w:tcW w:w="280" w:type="dxa"/>
            <w:vAlign w:val="bottom"/>
            <w:vMerge w:val="restart"/>
          </w:tcPr>
          <w:p>
            <w:pPr>
              <w:jc w:val="right"/>
              <w:spacing w:after="0"/>
              <w:rPr>
                <w:sz w:val="20"/>
                <w:szCs w:val="20"/>
                <w:color w:val="auto"/>
              </w:rPr>
            </w:pPr>
            <w:r>
              <w:rPr>
                <w:rFonts w:ascii="Arial" w:cs="Arial" w:eastAsia="Arial" w:hAnsi="Arial"/>
                <w:sz w:val="22"/>
                <w:szCs w:val="22"/>
                <w:b w:val="1"/>
                <w:bCs w:val="1"/>
                <w:color w:val="1F2668"/>
              </w:rPr>
              <w:t>53</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5100" w:type="dxa"/>
            <w:vAlign w:val="bottom"/>
            <w:gridSpan w:val="2"/>
          </w:tcPr>
          <w:p>
            <w:pPr>
              <w:spacing w:after="0"/>
              <w:rPr>
                <w:sz w:val="20"/>
                <w:szCs w:val="20"/>
                <w:color w:val="auto"/>
              </w:rPr>
            </w:pPr>
            <w:r>
              <w:rPr>
                <w:rFonts w:ascii="Arial" w:cs="Arial" w:eastAsia="Arial" w:hAnsi="Arial"/>
                <w:sz w:val="14"/>
                <w:szCs w:val="14"/>
                <w:b w:val="1"/>
                <w:bCs w:val="1"/>
                <w:color w:val="auto"/>
              </w:rPr>
              <w:t>EXECUTIVE COMPENSATION</w:t>
            </w:r>
          </w:p>
        </w:tc>
        <w:tc>
          <w:tcPr>
            <w:tcW w:w="368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7"/>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8680" w:type="dxa"/>
            <w:vAlign w:val="bottom"/>
            <w:gridSpan w:val="2"/>
          </w:tcPr>
          <w:p>
            <w:pPr>
              <w:ind w:left="60"/>
              <w:spacing w:after="0"/>
              <w:rPr>
                <w:sz w:val="20"/>
                <w:szCs w:val="20"/>
                <w:color w:val="auto"/>
              </w:rPr>
            </w:pPr>
            <w:r>
              <w:rPr>
                <w:rFonts w:ascii="Arial" w:cs="Arial" w:eastAsia="Arial" w:hAnsi="Arial"/>
                <w:sz w:val="16"/>
                <w:szCs w:val="16"/>
                <w:color w:val="auto"/>
                <w:w w:val="99"/>
              </w:rPr>
              <w:t>Goals are established each year on a forward-looking basis as a snapshot of current economic and competitive conditions.</w:t>
            </w:r>
          </w:p>
        </w:tc>
        <w:tc>
          <w:tcPr>
            <w:tcW w:w="280" w:type="dxa"/>
            <w:vAlign w:val="bottom"/>
          </w:tcPr>
          <w:p>
            <w:pPr>
              <w:jc w:val="center"/>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8960" w:type="dxa"/>
            <w:vAlign w:val="bottom"/>
            <w:gridSpan w:val="3"/>
          </w:tcPr>
          <w:p>
            <w:pPr>
              <w:ind w:left="60"/>
              <w:spacing w:after="0"/>
              <w:rPr>
                <w:sz w:val="20"/>
                <w:szCs w:val="20"/>
                <w:color w:val="auto"/>
              </w:rPr>
            </w:pPr>
            <w:r>
              <w:rPr>
                <w:rFonts w:ascii="Arial" w:cs="Arial" w:eastAsia="Arial" w:hAnsi="Arial"/>
                <w:sz w:val="16"/>
                <w:szCs w:val="16"/>
                <w:color w:val="auto"/>
              </w:rPr>
              <w:t>Depending on anticipated economic volatility, our guidance may be narrower or wider at the time that goals are set, which, in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-332105</wp:posOffset>
            </wp:positionV>
            <wp:extent cx="5760720" cy="65151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760720" cy="651510"/>
                    </a:xfrm>
                    <a:prstGeom prst="rect">
                      <a:avLst/>
                    </a:prstGeom>
                    <a:noFill/>
                  </pic:spPr>
                </pic:pic>
              </a:graphicData>
            </a:graphic>
          </wp:anchor>
        </w:drawing>
      </w:r>
    </w:p>
    <w:p>
      <w:pPr>
        <w:ind w:left="980" w:right="380"/>
        <w:spacing w:after="0" w:line="270" w:lineRule="auto"/>
        <w:rPr>
          <w:sz w:val="20"/>
          <w:szCs w:val="20"/>
          <w:color w:val="auto"/>
        </w:rPr>
      </w:pPr>
      <w:r>
        <w:rPr>
          <w:rFonts w:ascii="Arial" w:cs="Arial" w:eastAsia="Arial" w:hAnsi="Arial"/>
          <w:sz w:val="16"/>
          <w:szCs w:val="16"/>
          <w:color w:val="auto"/>
        </w:rPr>
        <w:t>turn, may result in corresponding adjustments to that year’s threshold, target and maximum performance hurdles that must be achieved.</w:t>
      </w:r>
    </w:p>
    <w:p>
      <w:pPr>
        <w:spacing w:after="0" w:line="266"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83AD40"/>
        </w:rPr>
        <w:t>2024 Performance Summary</w:t>
      </w:r>
    </w:p>
    <w:p>
      <w:pPr>
        <w:spacing w:after="0" w:line="117" w:lineRule="exact"/>
        <w:rPr>
          <w:sz w:val="20"/>
          <w:szCs w:val="20"/>
          <w:color w:val="auto"/>
        </w:rPr>
      </w:pPr>
    </w:p>
    <w:p>
      <w:pPr>
        <w:ind w:left="820" w:right="120"/>
        <w:spacing w:after="0" w:line="282" w:lineRule="auto"/>
        <w:rPr>
          <w:sz w:val="20"/>
          <w:szCs w:val="20"/>
          <w:color w:val="auto"/>
        </w:rPr>
      </w:pPr>
      <w:r>
        <w:rPr>
          <w:rFonts w:ascii="Arial" w:cs="Arial" w:eastAsia="Arial" w:hAnsi="Arial"/>
          <w:sz w:val="16"/>
          <w:szCs w:val="16"/>
          <w:color w:val="auto"/>
        </w:rPr>
        <w:t>The performance goals established by the Committee motivate financial and operational outperformance in line with Company guidance and internal projections. The criteria used for performance-based equity continue to be key drivers of stockholder value creation, with the only change being to replace the Dow Jones U.S. Real Estate Office Index with the Bloomberg North American Office REIT Valuation Peers Index (which is more widely accessible). As such, the criteria remained substantially the same across 2022, 2023 and 2024.</w:t>
      </w:r>
    </w:p>
    <w:p>
      <w:pPr>
        <w:spacing w:after="0" w:line="107" w:lineRule="exact"/>
        <w:rPr>
          <w:sz w:val="20"/>
          <w:szCs w:val="20"/>
          <w:color w:val="auto"/>
        </w:rPr>
      </w:pPr>
    </w:p>
    <w:p>
      <w:pPr>
        <w:ind w:left="820" w:right="220"/>
        <w:spacing w:after="0" w:line="284" w:lineRule="auto"/>
        <w:rPr>
          <w:sz w:val="20"/>
          <w:szCs w:val="20"/>
          <w:color w:val="auto"/>
        </w:rPr>
      </w:pPr>
      <w:r>
        <w:rPr>
          <w:rFonts w:ascii="Arial" w:cs="Arial" w:eastAsia="Arial" w:hAnsi="Arial"/>
          <w:sz w:val="16"/>
          <w:szCs w:val="16"/>
          <w:color w:val="auto"/>
        </w:rPr>
        <w:t>For our 2024 formulaic annual cash bonus program, we replaced annual same-store cash NOI growth, dividend growth and the One Madison Avenue Temporary Certificate of Occupancy goals with goals relating to discounted debt extinguishment, debt refinancings and our NYC Opportunity Fund to better reflect our operating priorities for the year.</w:t>
      </w:r>
    </w:p>
    <w:p>
      <w:pPr>
        <w:spacing w:after="0" w:line="113" w:lineRule="exact"/>
        <w:rPr>
          <w:sz w:val="20"/>
          <w:szCs w:val="20"/>
          <w:color w:val="auto"/>
        </w:rPr>
      </w:pPr>
    </w:p>
    <w:tbl>
      <w:tblPr>
        <w:tblLayout w:type="fixed"/>
        <w:tblInd w:w="820" w:type="dxa"/>
        <w:tblCellMar>
          <w:top w:w="0" w:type="dxa"/>
          <w:left w:w="0" w:type="dxa"/>
          <w:bottom w:w="0" w:type="dxa"/>
          <w:right w:w="0" w:type="dxa"/>
        </w:tblCellMar>
      </w:tblPr>
      <w:tr>
        <w:trPr>
          <w:trHeight w:val="368"/>
        </w:trPr>
        <w:tc>
          <w:tcPr>
            <w:tcW w:w="8860" w:type="dxa"/>
            <w:vAlign w:val="bottom"/>
            <w:gridSpan w:val="6"/>
            <w:shd w:val="clear" w:color="auto" w:fill="E9F9D8"/>
          </w:tcPr>
          <w:p>
            <w:pPr>
              <w:spacing w:after="0"/>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Our rigorous and consistent pay-for-performance compensation philosophy informs the threshold, target and maximum</w:t>
            </w:r>
          </w:p>
        </w:tc>
        <w:tc>
          <w:tcPr>
            <w:tcW w:w="200" w:type="dxa"/>
            <w:vAlign w:val="bottom"/>
            <w:shd w:val="clear" w:color="auto" w:fill="E9F9D8"/>
          </w:tcPr>
          <w:p>
            <w:pPr>
              <w:ind w:lef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4"/>
                <w:szCs w:val="24"/>
                <w:color w:val="auto"/>
              </w:rPr>
            </w:pPr>
          </w:p>
        </w:tc>
      </w:tr>
      <w:tr>
        <w:trPr>
          <w:trHeight w:val="203"/>
        </w:trPr>
        <w:tc>
          <w:tcPr>
            <w:tcW w:w="8860" w:type="dxa"/>
            <w:vAlign w:val="bottom"/>
            <w:gridSpan w:val="6"/>
            <w:shd w:val="clear" w:color="auto" w:fill="E9F9D8"/>
          </w:tcPr>
          <w:p>
            <w:pPr>
              <w:ind w:left="160"/>
              <w:spacing w:after="0"/>
              <w:rPr>
                <w:sz w:val="20"/>
                <w:szCs w:val="20"/>
                <w:color w:val="auto"/>
              </w:rPr>
            </w:pPr>
            <w:r>
              <w:rPr>
                <w:rFonts w:ascii="Arial" w:cs="Arial" w:eastAsia="Arial" w:hAnsi="Arial"/>
                <w:sz w:val="16"/>
                <w:szCs w:val="16"/>
                <w:color w:val="auto"/>
              </w:rPr>
              <w:t xml:space="preserve">award levels. </w:t>
            </w:r>
            <w:r>
              <w:rPr>
                <w:rFonts w:ascii="Arial" w:cs="Arial" w:eastAsia="Arial" w:hAnsi="Arial"/>
                <w:sz w:val="16"/>
                <w:szCs w:val="16"/>
                <w:b w:val="1"/>
                <w:bCs w:val="1"/>
                <w:color w:val="auto"/>
              </w:rPr>
              <w:t>This relationship is best illustrated by setting goals based on internal budgets as well as “stretch” or</w:t>
            </w:r>
          </w:p>
        </w:tc>
        <w:tc>
          <w:tcPr>
            <w:tcW w:w="200" w:type="dxa"/>
            <w:vAlign w:val="bottom"/>
            <w:shd w:val="clear" w:color="auto" w:fill="E9F9D8"/>
          </w:tcPr>
          <w:p>
            <w:pPr>
              <w:spacing w:after="0"/>
              <w:rPr>
                <w:sz w:val="17"/>
                <w:szCs w:val="17"/>
                <w:color w:val="auto"/>
              </w:rPr>
            </w:pPr>
          </w:p>
        </w:tc>
        <w:tc>
          <w:tcPr>
            <w:tcW w:w="40" w:type="dxa"/>
            <w:vAlign w:val="bottom"/>
          </w:tcPr>
          <w:p>
            <w:pPr>
              <w:spacing w:after="0"/>
              <w:rPr>
                <w:sz w:val="17"/>
                <w:szCs w:val="17"/>
                <w:color w:val="auto"/>
              </w:rPr>
            </w:pPr>
          </w:p>
        </w:tc>
      </w:tr>
      <w:tr>
        <w:trPr>
          <w:trHeight w:val="189"/>
        </w:trPr>
        <w:tc>
          <w:tcPr>
            <w:tcW w:w="8860" w:type="dxa"/>
            <w:vAlign w:val="bottom"/>
            <w:gridSpan w:val="6"/>
            <w:shd w:val="clear" w:color="auto" w:fill="E9F9D8"/>
          </w:tcPr>
          <w:p>
            <w:pPr>
              <w:ind w:left="160"/>
              <w:spacing w:after="0"/>
              <w:rPr>
                <w:sz w:val="20"/>
                <w:szCs w:val="20"/>
                <w:color w:val="auto"/>
              </w:rPr>
            </w:pPr>
            <w:r>
              <w:rPr>
                <w:rFonts w:ascii="Arial" w:cs="Arial" w:eastAsia="Arial" w:hAnsi="Arial"/>
                <w:sz w:val="16"/>
                <w:szCs w:val="16"/>
                <w:b w:val="1"/>
                <w:bCs w:val="1"/>
                <w:color w:val="auto"/>
              </w:rPr>
              <w:t>aspirational targets, with the Committee considering not only each individual metric but also the relationship</w:t>
            </w:r>
          </w:p>
        </w:tc>
        <w:tc>
          <w:tcPr>
            <w:tcW w:w="200" w:type="dxa"/>
            <w:vAlign w:val="bottom"/>
            <w:shd w:val="clear" w:color="auto" w:fill="E9F9D8"/>
          </w:tcPr>
          <w:p>
            <w:pPr>
              <w:spacing w:after="0"/>
              <w:rPr>
                <w:sz w:val="16"/>
                <w:szCs w:val="16"/>
                <w:color w:val="auto"/>
              </w:rPr>
            </w:pPr>
          </w:p>
        </w:tc>
        <w:tc>
          <w:tcPr>
            <w:tcW w:w="40" w:type="dxa"/>
            <w:vAlign w:val="bottom"/>
          </w:tcPr>
          <w:p>
            <w:pPr>
              <w:spacing w:after="0"/>
              <w:rPr>
                <w:sz w:val="16"/>
                <w:szCs w:val="16"/>
                <w:color w:val="auto"/>
              </w:rPr>
            </w:pPr>
          </w:p>
        </w:tc>
      </w:tr>
      <w:tr>
        <w:trPr>
          <w:trHeight w:val="223"/>
        </w:trPr>
        <w:tc>
          <w:tcPr>
            <w:tcW w:w="8860" w:type="dxa"/>
            <w:vAlign w:val="bottom"/>
            <w:gridSpan w:val="6"/>
            <w:shd w:val="clear" w:color="auto" w:fill="E9F9D8"/>
          </w:tcPr>
          <w:p>
            <w:pPr>
              <w:ind w:left="160"/>
              <w:spacing w:after="0"/>
              <w:rPr>
                <w:sz w:val="20"/>
                <w:szCs w:val="20"/>
                <w:color w:val="auto"/>
              </w:rPr>
            </w:pPr>
            <w:r>
              <w:rPr>
                <w:rFonts w:ascii="Arial" w:cs="Arial" w:eastAsia="Arial" w:hAnsi="Arial"/>
                <w:sz w:val="16"/>
                <w:szCs w:val="16"/>
                <w:b w:val="1"/>
                <w:bCs w:val="1"/>
                <w:color w:val="auto"/>
              </w:rPr>
              <w:t xml:space="preserve">between metrics. </w:t>
            </w:r>
            <w:r>
              <w:rPr>
                <w:rFonts w:ascii="Arial" w:cs="Arial" w:eastAsia="Arial" w:hAnsi="Arial"/>
                <w:sz w:val="16"/>
                <w:szCs w:val="16"/>
                <w:color w:val="auto"/>
              </w:rPr>
              <w:t>As a result, our metrics incentivize management to drive stockholder value.</w:t>
            </w:r>
          </w:p>
        </w:tc>
        <w:tc>
          <w:tcPr>
            <w:tcW w:w="200" w:type="dxa"/>
            <w:vAlign w:val="bottom"/>
            <w:shd w:val="clear" w:color="auto" w:fill="E9F9D8"/>
          </w:tcPr>
          <w:p>
            <w:pPr>
              <w:spacing w:after="0"/>
              <w:rPr>
                <w:sz w:val="19"/>
                <w:szCs w:val="19"/>
                <w:color w:val="auto"/>
              </w:rPr>
            </w:pPr>
          </w:p>
        </w:tc>
        <w:tc>
          <w:tcPr>
            <w:tcW w:w="40" w:type="dxa"/>
            <w:vAlign w:val="bottom"/>
          </w:tcPr>
          <w:p>
            <w:pPr>
              <w:spacing w:after="0"/>
              <w:rPr>
                <w:sz w:val="19"/>
                <w:szCs w:val="19"/>
                <w:color w:val="auto"/>
              </w:rPr>
            </w:pPr>
          </w:p>
        </w:tc>
      </w:tr>
      <w:tr>
        <w:trPr>
          <w:trHeight w:val="102"/>
        </w:trPr>
        <w:tc>
          <w:tcPr>
            <w:tcW w:w="3760" w:type="dxa"/>
            <w:vAlign w:val="bottom"/>
            <w:gridSpan w:val="2"/>
            <w:shd w:val="clear" w:color="auto" w:fill="E9F9D8"/>
          </w:tcPr>
          <w:p>
            <w:pPr>
              <w:spacing w:after="0"/>
              <w:rPr>
                <w:sz w:val="8"/>
                <w:szCs w:val="8"/>
                <w:color w:val="auto"/>
              </w:rPr>
            </w:pPr>
          </w:p>
        </w:tc>
        <w:tc>
          <w:tcPr>
            <w:tcW w:w="1860" w:type="dxa"/>
            <w:vAlign w:val="bottom"/>
            <w:gridSpan w:val="2"/>
            <w:shd w:val="clear" w:color="auto" w:fill="E9F9D8"/>
          </w:tcPr>
          <w:p>
            <w:pPr>
              <w:spacing w:after="0"/>
              <w:rPr>
                <w:sz w:val="8"/>
                <w:szCs w:val="8"/>
                <w:color w:val="auto"/>
              </w:rPr>
            </w:pPr>
          </w:p>
        </w:tc>
        <w:tc>
          <w:tcPr>
            <w:tcW w:w="200" w:type="dxa"/>
            <w:vAlign w:val="bottom"/>
            <w:shd w:val="clear" w:color="auto" w:fill="E9F9D8"/>
          </w:tcPr>
          <w:p>
            <w:pPr>
              <w:spacing w:after="0"/>
              <w:rPr>
                <w:sz w:val="8"/>
                <w:szCs w:val="8"/>
                <w:color w:val="auto"/>
              </w:rPr>
            </w:pPr>
          </w:p>
        </w:tc>
        <w:tc>
          <w:tcPr>
            <w:tcW w:w="3040" w:type="dxa"/>
            <w:vAlign w:val="bottom"/>
            <w:shd w:val="clear" w:color="auto" w:fill="E9F9D8"/>
          </w:tcPr>
          <w:p>
            <w:pPr>
              <w:spacing w:after="0"/>
              <w:rPr>
                <w:sz w:val="8"/>
                <w:szCs w:val="8"/>
                <w:color w:val="auto"/>
              </w:rPr>
            </w:pPr>
          </w:p>
        </w:tc>
        <w:tc>
          <w:tcPr>
            <w:tcW w:w="200" w:type="dxa"/>
            <w:vAlign w:val="bottom"/>
            <w:shd w:val="clear" w:color="auto" w:fill="E9F9D8"/>
          </w:tcPr>
          <w:p>
            <w:pPr>
              <w:spacing w:after="0"/>
              <w:rPr>
                <w:sz w:val="8"/>
                <w:szCs w:val="8"/>
                <w:color w:val="auto"/>
              </w:rPr>
            </w:pPr>
          </w:p>
        </w:tc>
        <w:tc>
          <w:tcPr>
            <w:tcW w:w="40" w:type="dxa"/>
            <w:vAlign w:val="bottom"/>
          </w:tcPr>
          <w:p>
            <w:pPr>
              <w:spacing w:after="0"/>
              <w:rPr>
                <w:sz w:val="8"/>
                <w:szCs w:val="8"/>
                <w:color w:val="auto"/>
              </w:rPr>
            </w:pPr>
          </w:p>
        </w:tc>
      </w:tr>
      <w:tr>
        <w:trPr>
          <w:trHeight w:val="403"/>
        </w:trPr>
        <w:tc>
          <w:tcPr>
            <w:tcW w:w="8860" w:type="dxa"/>
            <w:vAlign w:val="bottom"/>
            <w:gridSpan w:val="6"/>
          </w:tcPr>
          <w:p>
            <w:pPr>
              <w:spacing w:after="0"/>
              <w:rPr>
                <w:sz w:val="20"/>
                <w:szCs w:val="20"/>
                <w:color w:val="auto"/>
              </w:rPr>
            </w:pPr>
            <w:r>
              <w:rPr>
                <w:rFonts w:ascii="Arial" w:cs="Arial" w:eastAsia="Arial" w:hAnsi="Arial"/>
                <w:sz w:val="16"/>
                <w:szCs w:val="16"/>
                <w:color w:val="auto"/>
              </w:rPr>
              <w:t>For all of our formulaic annual cash bonus awards and performance-based equity awards, linear interpolation is used to</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4"/>
        </w:trPr>
        <w:tc>
          <w:tcPr>
            <w:tcW w:w="8860" w:type="dxa"/>
            <w:vAlign w:val="bottom"/>
            <w:gridSpan w:val="6"/>
          </w:tcPr>
          <w:p>
            <w:pPr>
              <w:spacing w:after="0"/>
              <w:rPr>
                <w:sz w:val="20"/>
                <w:szCs w:val="20"/>
                <w:color w:val="auto"/>
              </w:rPr>
            </w:pPr>
            <w:r>
              <w:rPr>
                <w:rFonts w:ascii="Arial" w:cs="Arial" w:eastAsia="Arial" w:hAnsi="Arial"/>
                <w:sz w:val="16"/>
                <w:szCs w:val="16"/>
                <w:color w:val="auto"/>
              </w:rPr>
              <w:t>determine the percentage earned for performance that falls between threshold, target and/or maximum. The tables below set</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5"/>
        </w:trPr>
        <w:tc>
          <w:tcPr>
            <w:tcW w:w="4660" w:type="dxa"/>
            <w:vAlign w:val="bottom"/>
            <w:gridSpan w:val="3"/>
          </w:tcPr>
          <w:p>
            <w:pPr>
              <w:spacing w:after="0"/>
              <w:rPr>
                <w:sz w:val="20"/>
                <w:szCs w:val="20"/>
                <w:color w:val="auto"/>
              </w:rPr>
            </w:pPr>
            <w:r>
              <w:rPr>
                <w:rFonts w:ascii="Arial" w:cs="Arial" w:eastAsia="Arial" w:hAnsi="Arial"/>
                <w:sz w:val="16"/>
                <w:szCs w:val="16"/>
                <w:color w:val="auto"/>
              </w:rPr>
              <w:t>forth our 2024 performance relative to 2024 performance criteria.</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520"/>
        </w:trPr>
        <w:tc>
          <w:tcPr>
            <w:tcW w:w="4660" w:type="dxa"/>
            <w:vAlign w:val="bottom"/>
            <w:gridSpan w:val="3"/>
          </w:tcPr>
          <w:p>
            <w:pPr>
              <w:spacing w:after="0"/>
              <w:rPr>
                <w:sz w:val="20"/>
                <w:szCs w:val="20"/>
                <w:color w:val="auto"/>
              </w:rPr>
            </w:pPr>
            <w:r>
              <w:rPr>
                <w:rFonts w:ascii="Arial" w:cs="Arial" w:eastAsia="Arial" w:hAnsi="Arial"/>
                <w:sz w:val="23"/>
                <w:szCs w:val="23"/>
                <w:b w:val="1"/>
                <w:bCs w:val="1"/>
                <w:color w:val="1F2668"/>
              </w:rPr>
              <w:t>2024 Formulaic Annual Bonus Goals</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9"/>
        </w:trPr>
        <w:tc>
          <w:tcPr>
            <w:tcW w:w="3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ind w:left="140"/>
              <w:spacing w:after="0"/>
              <w:rPr>
                <w:sz w:val="20"/>
                <w:szCs w:val="20"/>
                <w:color w:val="auto"/>
              </w:rPr>
            </w:pPr>
            <w:r>
              <w:rPr>
                <w:rFonts w:ascii="Arial" w:cs="Arial" w:eastAsia="Arial" w:hAnsi="Arial"/>
                <w:sz w:val="14"/>
                <w:szCs w:val="14"/>
                <w:b w:val="1"/>
                <w:bCs w:val="1"/>
                <w:color w:val="1F2668"/>
              </w:rPr>
              <w:t>Weighting</w:t>
            </w: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162"/>
        </w:trPr>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ind w:left="140"/>
              <w:spacing w:after="0"/>
              <w:rPr>
                <w:sz w:val="20"/>
                <w:szCs w:val="20"/>
                <w:color w:val="auto"/>
              </w:rPr>
            </w:pPr>
            <w:r>
              <w:rPr>
                <w:rFonts w:ascii="Arial" w:cs="Arial" w:eastAsia="Arial" w:hAnsi="Arial"/>
                <w:sz w:val="14"/>
                <w:szCs w:val="14"/>
                <w:b w:val="1"/>
                <w:bCs w:val="1"/>
                <w:color w:val="1F2668"/>
              </w:rPr>
              <w:t>(Holliday /</w:t>
            </w:r>
          </w:p>
        </w:tc>
        <w:tc>
          <w:tcPr>
            <w:tcW w:w="4200" w:type="dxa"/>
            <w:vAlign w:val="bottom"/>
            <w:gridSpan w:val="3"/>
          </w:tcPr>
          <w:p>
            <w:pPr>
              <w:ind w:left="80"/>
              <w:spacing w:after="0"/>
              <w:rPr>
                <w:sz w:val="20"/>
                <w:szCs w:val="20"/>
                <w:color w:val="auto"/>
              </w:rPr>
            </w:pPr>
            <w:r>
              <w:rPr>
                <w:rFonts w:ascii="Arial" w:cs="Arial" w:eastAsia="Arial" w:hAnsi="Arial"/>
                <w:sz w:val="14"/>
                <w:szCs w:val="14"/>
                <w:b w:val="1"/>
                <w:bCs w:val="1"/>
                <w:color w:val="1F2668"/>
              </w:rPr>
              <w:t>Guidance or</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8"/>
        </w:trPr>
        <w:tc>
          <w:tcPr>
            <w:tcW w:w="3540" w:type="dxa"/>
            <w:vAlign w:val="bottom"/>
          </w:tcPr>
          <w:p>
            <w:pPr>
              <w:spacing w:after="0"/>
              <w:rPr>
                <w:sz w:val="20"/>
                <w:szCs w:val="20"/>
                <w:color w:val="auto"/>
              </w:rPr>
            </w:pPr>
            <w:r>
              <w:rPr>
                <w:rFonts w:ascii="Arial" w:cs="Arial" w:eastAsia="Arial" w:hAnsi="Arial"/>
                <w:sz w:val="14"/>
                <w:szCs w:val="14"/>
                <w:b w:val="1"/>
                <w:bCs w:val="1"/>
                <w:color w:val="1F2668"/>
              </w:rPr>
              <w:t>Performance Criteria / Reason Selected</w:t>
            </w: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1F2668"/>
              </w:rPr>
              <w:t>​ ​  DiLiberto)</w:t>
            </w:r>
          </w:p>
        </w:tc>
        <w:tc>
          <w:tcPr>
            <w:tcW w:w="4200" w:type="dxa"/>
            <w:vAlign w:val="bottom"/>
            <w:gridSpan w:val="3"/>
          </w:tcPr>
          <w:p>
            <w:pPr>
              <w:ind w:left="80"/>
              <w:spacing w:after="0"/>
              <w:rPr>
                <w:sz w:val="20"/>
                <w:szCs w:val="20"/>
                <w:color w:val="auto"/>
              </w:rPr>
            </w:pPr>
            <w:r>
              <w:rPr>
                <w:rFonts w:ascii="Arial" w:cs="Arial" w:eastAsia="Arial" w:hAnsi="Arial"/>
                <w:sz w:val="14"/>
                <w:szCs w:val="14"/>
                <w:b w:val="1"/>
                <w:bCs w:val="1"/>
                <w:color w:val="1F2668"/>
              </w:rPr>
              <w:t>​Stretch Goal ​ ​   Threshold   ​   Target   ​   Maximum</w:t>
            </w:r>
          </w:p>
        </w:tc>
        <w:tc>
          <w:tcPr>
            <w:tcW w:w="200" w:type="dxa"/>
            <w:vAlign w:val="bottom"/>
          </w:tcPr>
          <w:p>
            <w:pPr>
              <w:spacing w:after="0"/>
              <w:rPr>
                <w:sz w:val="17"/>
                <w:szCs w:val="17"/>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1F2668"/>
              </w:rPr>
              <w:t>​</w:t>
            </w:r>
          </w:p>
        </w:tc>
      </w:tr>
      <w:tr>
        <w:trPr>
          <w:trHeight w:val="20"/>
        </w:trPr>
        <w:tc>
          <w:tcPr>
            <w:tcW w:w="3540" w:type="dxa"/>
            <w:vAlign w:val="bottom"/>
            <w:shd w:val="clear" w:color="auto" w:fill="1F266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1F2668"/>
          </w:tcPr>
          <w:p>
            <w:pPr>
              <w:spacing w:after="0" w:line="20" w:lineRule="exact"/>
              <w:rPr>
                <w:sz w:val="1"/>
                <w:szCs w:val="1"/>
                <w:color w:val="auto"/>
              </w:rPr>
            </w:pPr>
          </w:p>
        </w:tc>
        <w:tc>
          <w:tcPr>
            <w:tcW w:w="960" w:type="dxa"/>
            <w:vAlign w:val="bottom"/>
            <w:shd w:val="clear" w:color="auto" w:fill="1F266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shd w:val="clear" w:color="auto" w:fill="1F2668"/>
          </w:tcPr>
          <w:p>
            <w:pPr>
              <w:spacing w:after="0" w:line="20" w:lineRule="exact"/>
              <w:rPr>
                <w:sz w:val="1"/>
                <w:szCs w:val="1"/>
                <w:color w:val="auto"/>
              </w:rPr>
            </w:pPr>
          </w:p>
        </w:tc>
        <w:tc>
          <w:tcPr>
            <w:tcW w:w="200" w:type="dxa"/>
            <w:vAlign w:val="bottom"/>
            <w:shd w:val="clear" w:color="auto" w:fill="1F266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5"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1F2668"/>
        </w:rPr>
        <w:t>Normalized FFO per Share</w:t>
      </w:r>
      <w:r>
        <w:rPr>
          <w:rFonts w:ascii="Arial" w:cs="Arial" w:eastAsia="Arial" w:hAnsi="Arial"/>
          <w:sz w:val="19"/>
          <w:szCs w:val="19"/>
          <w:b w:val="1"/>
          <w:bCs w:val="1"/>
          <w:color w:val="1F2668"/>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4229100</wp:posOffset>
            </wp:positionH>
            <wp:positionV relativeFrom="paragraph">
              <wp:posOffset>19050</wp:posOffset>
            </wp:positionV>
            <wp:extent cx="2066290" cy="41148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066290" cy="41148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p>
      <w:pPr>
        <w:spacing w:after="0" w:line="150" w:lineRule="exact"/>
        <w:rPr>
          <w:sz w:val="20"/>
          <w:szCs w:val="20"/>
          <w:color w:val="auto"/>
        </w:rPr>
      </w:pPr>
    </w:p>
    <w:tbl>
      <w:tblPr>
        <w:tblLayout w:type="fixed"/>
        <w:tblInd w:w="820" w:type="dxa"/>
        <w:tblCellMar>
          <w:top w:w="0" w:type="dxa"/>
          <w:left w:w="0" w:type="dxa"/>
          <w:bottom w:w="0" w:type="dxa"/>
          <w:right w:w="0" w:type="dxa"/>
        </w:tblCellMar>
      </w:tblPr>
      <w:tr>
        <w:trPr>
          <w:trHeight w:val="203"/>
        </w:trPr>
        <w:tc>
          <w:tcPr>
            <w:tcW w:w="3540" w:type="dxa"/>
            <w:vAlign w:val="bottom"/>
          </w:tcPr>
          <w:p>
            <w:pPr>
              <w:spacing w:after="0"/>
              <w:rPr>
                <w:sz w:val="20"/>
                <w:szCs w:val="20"/>
                <w:color w:val="auto"/>
              </w:rPr>
            </w:pPr>
            <w:r>
              <w:rPr>
                <w:rFonts w:ascii="Arial" w:cs="Arial" w:eastAsia="Arial" w:hAnsi="Arial"/>
                <w:sz w:val="16"/>
                <w:szCs w:val="16"/>
                <w:color w:val="auto"/>
              </w:rPr>
              <w:t>• Widely-used non-GAAP measure of earnings</w:t>
            </w:r>
          </w:p>
        </w:tc>
        <w:tc>
          <w:tcPr>
            <w:tcW w:w="220" w:type="dxa"/>
            <w:vAlign w:val="bottom"/>
            <w:vMerge w:val="restart"/>
          </w:tcPr>
          <w:p>
            <w:pPr>
              <w:ind w:left="60"/>
              <w:spacing w:after="0"/>
              <w:rPr>
                <w:sz w:val="20"/>
                <w:szCs w:val="20"/>
                <w:color w:val="auto"/>
              </w:rPr>
            </w:pPr>
            <w:r>
              <w:rPr>
                <w:rFonts w:ascii="Arial" w:cs="Arial" w:eastAsia="Arial" w:hAnsi="Arial"/>
                <w:sz w:val="16"/>
                <w:szCs w:val="16"/>
                <w:color w:val="auto"/>
              </w:rPr>
              <w:t>​ ​</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20% / 25%</w:t>
            </w:r>
          </w:p>
        </w:tc>
        <w:tc>
          <w:tcPr>
            <w:tcW w:w="16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center"/>
              <w:ind w:right="39"/>
              <w:spacing w:after="0"/>
              <w:rPr>
                <w:sz w:val="20"/>
                <w:szCs w:val="20"/>
                <w:color w:val="auto"/>
              </w:rPr>
            </w:pPr>
            <w:r>
              <w:rPr>
                <w:rFonts w:ascii="Arial" w:cs="Arial" w:eastAsia="Arial" w:hAnsi="Arial"/>
                <w:sz w:val="16"/>
                <w:szCs w:val="16"/>
                <w:color w:val="auto"/>
                <w:w w:val="99"/>
              </w:rPr>
              <w:t>$5.05</w:t>
            </w:r>
          </w:p>
        </w:tc>
        <w:tc>
          <w:tcPr>
            <w:tcW w:w="20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07"/>
        </w:trPr>
        <w:tc>
          <w:tcPr>
            <w:tcW w:w="3540" w:type="dxa"/>
            <w:vAlign w:val="bottom"/>
            <w:vMerge w:val="restart"/>
          </w:tcPr>
          <w:p>
            <w:pPr>
              <w:ind w:left="160"/>
              <w:spacing w:after="0"/>
              <w:rPr>
                <w:sz w:val="20"/>
                <w:szCs w:val="20"/>
                <w:color w:val="auto"/>
              </w:rPr>
            </w:pPr>
            <w:r>
              <w:rPr>
                <w:rFonts w:ascii="Arial" w:cs="Arial" w:eastAsia="Arial" w:hAnsi="Arial"/>
                <w:sz w:val="16"/>
                <w:szCs w:val="16"/>
                <w:color w:val="auto"/>
              </w:rPr>
              <w:t>performance for REITs, used both by investors</w:t>
            </w:r>
          </w:p>
        </w:tc>
        <w:tc>
          <w:tcPr>
            <w:tcW w:w="2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35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3540" w:type="dxa"/>
            <w:vAlign w:val="bottom"/>
          </w:tcPr>
          <w:p>
            <w:pPr>
              <w:ind w:left="160"/>
              <w:spacing w:after="0"/>
              <w:rPr>
                <w:sz w:val="20"/>
                <w:szCs w:val="20"/>
                <w:color w:val="auto"/>
              </w:rPr>
            </w:pPr>
            <w:r>
              <w:rPr>
                <w:rFonts w:ascii="Arial" w:cs="Arial" w:eastAsia="Arial" w:hAnsi="Arial"/>
                <w:sz w:val="16"/>
                <w:szCs w:val="16"/>
                <w:color w:val="auto"/>
              </w:rPr>
              <w:t>and our management, and a key financial</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540" w:type="dxa"/>
            <w:vAlign w:val="bottom"/>
            <w:tcBorders>
              <w:bottom w:val="single" w:sz="8" w:color="4B5088"/>
            </w:tcBorders>
          </w:tcPr>
          <w:p>
            <w:pPr>
              <w:ind w:left="160"/>
              <w:spacing w:after="0"/>
              <w:rPr>
                <w:sz w:val="20"/>
                <w:szCs w:val="20"/>
                <w:color w:val="auto"/>
              </w:rPr>
            </w:pPr>
            <w:r>
              <w:rPr>
                <w:rFonts w:ascii="Arial" w:cs="Arial" w:eastAsia="Arial" w:hAnsi="Arial"/>
                <w:sz w:val="16"/>
                <w:szCs w:val="16"/>
                <w:color w:val="auto"/>
              </w:rPr>
              <w:t>measure for which we provide guidance</w:t>
            </w:r>
          </w:p>
        </w:tc>
        <w:tc>
          <w:tcPr>
            <w:tcW w:w="220" w:type="dxa"/>
            <w:vAlign w:val="bottom"/>
          </w:tcPr>
          <w:p>
            <w:pPr>
              <w:spacing w:after="0"/>
              <w:rPr>
                <w:sz w:val="19"/>
                <w:szCs w:val="19"/>
                <w:color w:val="auto"/>
              </w:rPr>
            </w:pPr>
          </w:p>
        </w:tc>
        <w:tc>
          <w:tcPr>
            <w:tcW w:w="940" w:type="dxa"/>
            <w:vAlign w:val="bottom"/>
            <w:tcBorders>
              <w:bottom w:val="single" w:sz="8" w:color="4B5088"/>
            </w:tcBorders>
          </w:tcPr>
          <w:p>
            <w:pPr>
              <w:spacing w:after="0"/>
              <w:rPr>
                <w:sz w:val="19"/>
                <w:szCs w:val="19"/>
                <w:color w:val="auto"/>
              </w:rPr>
            </w:pPr>
          </w:p>
        </w:tc>
        <w:tc>
          <w:tcPr>
            <w:tcW w:w="160" w:type="dxa"/>
            <w:vAlign w:val="bottom"/>
            <w:tcBorders>
              <w:bottom w:val="single" w:sz="8" w:color="4B5088"/>
            </w:tcBorders>
          </w:tcPr>
          <w:p>
            <w:pPr>
              <w:spacing w:after="0"/>
              <w:rPr>
                <w:sz w:val="19"/>
                <w:szCs w:val="19"/>
                <w:color w:val="auto"/>
              </w:rPr>
            </w:pPr>
          </w:p>
        </w:tc>
        <w:tc>
          <w:tcPr>
            <w:tcW w:w="760" w:type="dxa"/>
            <w:vAlign w:val="bottom"/>
            <w:tcBorders>
              <w:bottom w:val="single" w:sz="8" w:color="4B5088"/>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540" w:type="dxa"/>
            <w:vAlign w:val="bottom"/>
          </w:tcPr>
          <w:p>
            <w:pPr>
              <w:spacing w:after="0"/>
              <w:rPr>
                <w:sz w:val="20"/>
                <w:szCs w:val="20"/>
                <w:color w:val="auto"/>
              </w:rPr>
            </w:pPr>
            <w:r>
              <w:rPr>
                <w:rFonts w:ascii="Arial" w:cs="Arial" w:eastAsia="Arial" w:hAnsi="Arial"/>
                <w:sz w:val="16"/>
                <w:szCs w:val="16"/>
                <w:b w:val="1"/>
                <w:bCs w:val="1"/>
                <w:color w:val="1F2668"/>
              </w:rPr>
              <w:t>Discounted Debt Extinguishment</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7"/>
        </w:trPr>
        <w:tc>
          <w:tcPr>
            <w:tcW w:w="3540" w:type="dxa"/>
            <w:vAlign w:val="bottom"/>
          </w:tcPr>
          <w:p>
            <w:pPr>
              <w:spacing w:after="0"/>
              <w:rPr>
                <w:sz w:val="20"/>
                <w:szCs w:val="20"/>
                <w:color w:val="auto"/>
              </w:rPr>
            </w:pPr>
            <w:r>
              <w:rPr>
                <w:rFonts w:ascii="Arial" w:cs="Arial" w:eastAsia="Arial" w:hAnsi="Arial"/>
                <w:sz w:val="16"/>
                <w:szCs w:val="16"/>
                <w:color w:val="auto"/>
              </w:rPr>
              <w:t>• A key measurement of the relationship between</w:t>
            </w:r>
          </w:p>
        </w:tc>
        <w:tc>
          <w:tcPr>
            <w:tcW w:w="220" w:type="dxa"/>
            <w:vAlign w:val="bottom"/>
          </w:tcPr>
          <w:p>
            <w:pPr>
              <w:ind w:left="60"/>
              <w:spacing w:after="0"/>
              <w:rPr>
                <w:sz w:val="20"/>
                <w:szCs w:val="20"/>
                <w:color w:val="auto"/>
              </w:rPr>
            </w:pPr>
            <w:r>
              <w:rPr>
                <w:rFonts w:ascii="Arial" w:cs="Arial" w:eastAsia="Arial" w:hAnsi="Arial"/>
                <w:sz w:val="16"/>
                <w:szCs w:val="16"/>
                <w:color w:val="auto"/>
              </w:rPr>
              <w:t>​ ​</w:t>
            </w:r>
          </w:p>
        </w:tc>
        <w:tc>
          <w:tcPr>
            <w:tcW w:w="940" w:type="dxa"/>
            <w:vAlign w:val="bottom"/>
          </w:tcPr>
          <w:p>
            <w:pPr>
              <w:jc w:val="right"/>
              <w:spacing w:after="0"/>
              <w:rPr>
                <w:sz w:val="20"/>
                <w:szCs w:val="20"/>
                <w:color w:val="auto"/>
              </w:rPr>
            </w:pPr>
            <w:r>
              <w:rPr>
                <w:rFonts w:ascii="Arial" w:cs="Arial" w:eastAsia="Arial" w:hAnsi="Arial"/>
                <w:sz w:val="16"/>
                <w:szCs w:val="16"/>
                <w:color w:val="auto"/>
              </w:rPr>
              <w:t>20% / 25%</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760" w:type="dxa"/>
            <w:vAlign w:val="bottom"/>
          </w:tcPr>
          <w:p>
            <w:pPr>
              <w:jc w:val="center"/>
              <w:ind w:right="39"/>
              <w:spacing w:after="0"/>
              <w:rPr>
                <w:sz w:val="20"/>
                <w:szCs w:val="20"/>
                <w:color w:val="auto"/>
              </w:rPr>
            </w:pPr>
            <w:r>
              <w:rPr>
                <w:rFonts w:ascii="Arial" w:cs="Arial" w:eastAsia="Arial" w:hAnsi="Arial"/>
                <w:sz w:val="16"/>
                <w:szCs w:val="16"/>
                <w:color w:val="auto"/>
                <w:w w:val="99"/>
              </w:rPr>
              <w:t>$50M</w:t>
            </w:r>
          </w:p>
        </w:tc>
        <w:tc>
          <w:tcPr>
            <w:tcW w:w="200" w:type="dxa"/>
            <w:vAlign w:val="bottom"/>
          </w:tcPr>
          <w:p>
            <w:pPr>
              <w:ind w:left="4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89"/>
        </w:trPr>
        <w:tc>
          <w:tcPr>
            <w:tcW w:w="3540" w:type="dxa"/>
            <w:vAlign w:val="bottom"/>
          </w:tcPr>
          <w:p>
            <w:pPr>
              <w:ind w:left="160"/>
              <w:spacing w:after="0"/>
              <w:rPr>
                <w:sz w:val="20"/>
                <w:szCs w:val="20"/>
                <w:color w:val="auto"/>
              </w:rPr>
            </w:pPr>
            <w:r>
              <w:rPr>
                <w:rFonts w:ascii="Arial" w:cs="Arial" w:eastAsia="Arial" w:hAnsi="Arial"/>
                <w:sz w:val="16"/>
                <w:szCs w:val="16"/>
                <w:color w:val="auto"/>
                <w:w w:val="99"/>
              </w:rPr>
              <w:t>our financial performance and the management</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540" w:type="dxa"/>
            <w:vAlign w:val="bottom"/>
            <w:tcBorders>
              <w:bottom w:val="single" w:sz="8" w:color="4B5088"/>
            </w:tcBorders>
          </w:tcPr>
          <w:p>
            <w:pPr>
              <w:ind w:left="160"/>
              <w:spacing w:after="0"/>
              <w:rPr>
                <w:sz w:val="20"/>
                <w:szCs w:val="20"/>
                <w:color w:val="auto"/>
              </w:rPr>
            </w:pPr>
            <w:r>
              <w:rPr>
                <w:rFonts w:ascii="Arial" w:cs="Arial" w:eastAsia="Arial" w:hAnsi="Arial"/>
                <w:sz w:val="16"/>
                <w:szCs w:val="16"/>
                <w:color w:val="auto"/>
              </w:rPr>
              <w:t>of our portfolio and balance sheet</w:t>
            </w:r>
          </w:p>
        </w:tc>
        <w:tc>
          <w:tcPr>
            <w:tcW w:w="220" w:type="dxa"/>
            <w:vAlign w:val="bottom"/>
          </w:tcPr>
          <w:p>
            <w:pPr>
              <w:spacing w:after="0"/>
              <w:rPr>
                <w:sz w:val="19"/>
                <w:szCs w:val="19"/>
                <w:color w:val="auto"/>
              </w:rPr>
            </w:pPr>
          </w:p>
        </w:tc>
        <w:tc>
          <w:tcPr>
            <w:tcW w:w="940" w:type="dxa"/>
            <w:vAlign w:val="bottom"/>
            <w:tcBorders>
              <w:bottom w:val="single" w:sz="8" w:color="4B5088"/>
            </w:tcBorders>
          </w:tcPr>
          <w:p>
            <w:pPr>
              <w:spacing w:after="0"/>
              <w:rPr>
                <w:sz w:val="19"/>
                <w:szCs w:val="19"/>
                <w:color w:val="auto"/>
              </w:rPr>
            </w:pPr>
          </w:p>
        </w:tc>
        <w:tc>
          <w:tcPr>
            <w:tcW w:w="160" w:type="dxa"/>
            <w:vAlign w:val="bottom"/>
            <w:tcBorders>
              <w:bottom w:val="single" w:sz="8" w:color="4B5088"/>
            </w:tcBorders>
          </w:tcPr>
          <w:p>
            <w:pPr>
              <w:spacing w:after="0"/>
              <w:rPr>
                <w:sz w:val="19"/>
                <w:szCs w:val="19"/>
                <w:color w:val="auto"/>
              </w:rPr>
            </w:pPr>
          </w:p>
        </w:tc>
        <w:tc>
          <w:tcPr>
            <w:tcW w:w="760" w:type="dxa"/>
            <w:vAlign w:val="bottom"/>
            <w:tcBorders>
              <w:bottom w:val="single" w:sz="8" w:color="4B5088"/>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3540" w:type="dxa"/>
            <w:vAlign w:val="bottom"/>
          </w:tcPr>
          <w:p>
            <w:pPr>
              <w:spacing w:after="0"/>
              <w:rPr>
                <w:sz w:val="20"/>
                <w:szCs w:val="20"/>
                <w:color w:val="auto"/>
              </w:rPr>
            </w:pPr>
            <w:r>
              <w:rPr>
                <w:rFonts w:ascii="Arial" w:cs="Arial" w:eastAsia="Arial" w:hAnsi="Arial"/>
                <w:sz w:val="16"/>
                <w:szCs w:val="16"/>
                <w:b w:val="1"/>
                <w:bCs w:val="1"/>
                <w:color w:val="1F2668"/>
                <w:w w:val="98"/>
              </w:rPr>
              <w:t>Debt Refinancings / Extensions / Modifications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3540" w:type="dxa"/>
            <w:vAlign w:val="bottom"/>
            <w:vMerge w:val="restart"/>
          </w:tcPr>
          <w:p>
            <w:pPr>
              <w:spacing w:after="0"/>
              <w:rPr>
                <w:sz w:val="20"/>
                <w:szCs w:val="20"/>
                <w:color w:val="auto"/>
              </w:rPr>
            </w:pPr>
            <w:r>
              <w:rPr>
                <w:rFonts w:ascii="Arial" w:cs="Arial" w:eastAsia="Arial" w:hAnsi="Arial"/>
                <w:sz w:val="16"/>
                <w:szCs w:val="16"/>
                <w:color w:val="auto"/>
              </w:rPr>
              <w:t>• A key measurement of our long-term balance</w:t>
            </w:r>
          </w:p>
        </w:tc>
        <w:tc>
          <w:tcPr>
            <w:tcW w:w="220" w:type="dxa"/>
            <w:vAlign w:val="bottom"/>
          </w:tcPr>
          <w:p>
            <w:pPr>
              <w:ind w:left="60"/>
              <w:spacing w:after="0"/>
              <w:rPr>
                <w:sz w:val="20"/>
                <w:szCs w:val="20"/>
                <w:color w:val="auto"/>
              </w:rPr>
            </w:pPr>
            <w:r>
              <w:rPr>
                <w:rFonts w:ascii="Arial" w:cs="Arial" w:eastAsia="Arial" w:hAnsi="Arial"/>
                <w:sz w:val="16"/>
                <w:szCs w:val="16"/>
                <w:color w:val="auto"/>
              </w:rPr>
              <w:t>​ ​</w:t>
            </w:r>
          </w:p>
        </w:tc>
        <w:tc>
          <w:tcPr>
            <w:tcW w:w="940" w:type="dxa"/>
            <w:vAlign w:val="bottom"/>
          </w:tcPr>
          <w:p>
            <w:pPr>
              <w:jc w:val="right"/>
              <w:spacing w:after="0"/>
              <w:rPr>
                <w:sz w:val="20"/>
                <w:szCs w:val="20"/>
                <w:color w:val="auto"/>
              </w:rPr>
            </w:pPr>
            <w:r>
              <w:rPr>
                <w:rFonts w:ascii="Arial" w:cs="Arial" w:eastAsia="Arial" w:hAnsi="Arial"/>
                <w:sz w:val="16"/>
                <w:szCs w:val="16"/>
                <w:color w:val="auto"/>
              </w:rPr>
              <w:t>20% / 20%</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760" w:type="dxa"/>
            <w:vAlign w:val="bottom"/>
          </w:tcPr>
          <w:p>
            <w:pPr>
              <w:jc w:val="center"/>
              <w:ind w:right="39"/>
              <w:spacing w:after="0"/>
              <w:rPr>
                <w:sz w:val="20"/>
                <w:szCs w:val="20"/>
                <w:color w:val="auto"/>
              </w:rPr>
            </w:pPr>
            <w:r>
              <w:rPr>
                <w:rFonts w:ascii="Arial" w:cs="Arial" w:eastAsia="Arial" w:hAnsi="Arial"/>
                <w:sz w:val="16"/>
                <w:szCs w:val="16"/>
                <w:color w:val="auto"/>
                <w:w w:val="95"/>
              </w:rPr>
              <w:t>$5.0B</w:t>
            </w:r>
          </w:p>
        </w:tc>
        <w:tc>
          <w:tcPr>
            <w:tcW w:w="200" w:type="dxa"/>
            <w:vAlign w:val="bottom"/>
          </w:tcPr>
          <w:p>
            <w:pPr>
              <w:ind w:left="4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69"/>
        </w:trPr>
        <w:tc>
          <w:tcPr>
            <w:tcW w:w="3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3540" w:type="dxa"/>
            <w:vAlign w:val="bottom"/>
          </w:tcPr>
          <w:p>
            <w:pPr>
              <w:ind w:left="160"/>
              <w:spacing w:after="0"/>
              <w:rPr>
                <w:sz w:val="20"/>
                <w:szCs w:val="20"/>
                <w:color w:val="auto"/>
              </w:rPr>
            </w:pPr>
            <w:r>
              <w:rPr>
                <w:rFonts w:ascii="Arial" w:cs="Arial" w:eastAsia="Arial" w:hAnsi="Arial"/>
                <w:sz w:val="16"/>
                <w:szCs w:val="16"/>
                <w:color w:val="auto"/>
              </w:rPr>
              <w:t>sheet management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3540" w:type="dxa"/>
            <w:vAlign w:val="bottom"/>
            <w:tcBorders>
              <w:bottom w:val="single" w:sz="8" w:color="4B5088"/>
            </w:tcBorders>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Borders>
              <w:bottom w:val="single" w:sz="8" w:color="4B5088"/>
            </w:tcBorders>
          </w:tcPr>
          <w:p>
            <w:pPr>
              <w:spacing w:after="0"/>
              <w:rPr>
                <w:sz w:val="4"/>
                <w:szCs w:val="4"/>
                <w:color w:val="auto"/>
              </w:rPr>
            </w:pPr>
          </w:p>
        </w:tc>
        <w:tc>
          <w:tcPr>
            <w:tcW w:w="160" w:type="dxa"/>
            <w:vAlign w:val="bottom"/>
            <w:tcBorders>
              <w:bottom w:val="single" w:sz="8" w:color="4B5088"/>
            </w:tcBorders>
          </w:tcPr>
          <w:p>
            <w:pPr>
              <w:spacing w:after="0"/>
              <w:rPr>
                <w:sz w:val="4"/>
                <w:szCs w:val="4"/>
                <w:color w:val="auto"/>
              </w:rPr>
            </w:pPr>
          </w:p>
        </w:tc>
        <w:tc>
          <w:tcPr>
            <w:tcW w:w="760" w:type="dxa"/>
            <w:vAlign w:val="bottom"/>
            <w:tcBorders>
              <w:bottom w:val="single" w:sz="8" w:color="4B5088"/>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3540" w:type="dxa"/>
            <w:vAlign w:val="bottom"/>
          </w:tcPr>
          <w:p>
            <w:pPr>
              <w:spacing w:after="0"/>
              <w:rPr>
                <w:sz w:val="20"/>
                <w:szCs w:val="20"/>
                <w:color w:val="auto"/>
              </w:rPr>
            </w:pPr>
            <w:r>
              <w:rPr>
                <w:rFonts w:ascii="Arial" w:cs="Arial" w:eastAsia="Arial" w:hAnsi="Arial"/>
                <w:sz w:val="16"/>
                <w:szCs w:val="16"/>
                <w:b w:val="1"/>
                <w:bCs w:val="1"/>
                <w:color w:val="1F2668"/>
              </w:rPr>
              <w:t>NYC Opportunity Fund Size</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7"/>
        </w:trPr>
        <w:tc>
          <w:tcPr>
            <w:tcW w:w="3540" w:type="dxa"/>
            <w:vAlign w:val="bottom"/>
          </w:tcPr>
          <w:p>
            <w:pPr>
              <w:spacing w:after="0"/>
              <w:rPr>
                <w:sz w:val="20"/>
                <w:szCs w:val="20"/>
                <w:color w:val="auto"/>
              </w:rPr>
            </w:pPr>
            <w:r>
              <w:rPr>
                <w:rFonts w:ascii="Arial" w:cs="Arial" w:eastAsia="Arial" w:hAnsi="Arial"/>
                <w:sz w:val="16"/>
                <w:szCs w:val="16"/>
                <w:color w:val="auto"/>
              </w:rPr>
              <w:t>• A vital strategic goal for 2024, the achievement</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540" w:type="dxa"/>
            <w:vAlign w:val="bottom"/>
          </w:tcPr>
          <w:p>
            <w:pPr>
              <w:ind w:left="160"/>
              <w:spacing w:after="0"/>
              <w:rPr>
                <w:sz w:val="20"/>
                <w:szCs w:val="20"/>
                <w:color w:val="auto"/>
              </w:rPr>
            </w:pPr>
            <w:r>
              <w:rPr>
                <w:rFonts w:ascii="Arial" w:cs="Arial" w:eastAsia="Arial" w:hAnsi="Arial"/>
                <w:sz w:val="16"/>
                <w:szCs w:val="16"/>
                <w:color w:val="auto"/>
              </w:rPr>
              <w:t>of which would enable the Company to</w:t>
            </w:r>
          </w:p>
        </w:tc>
        <w:tc>
          <w:tcPr>
            <w:tcW w:w="220" w:type="dxa"/>
            <w:vAlign w:val="bottom"/>
          </w:tcPr>
          <w:p>
            <w:pPr>
              <w:ind w:left="60"/>
              <w:spacing w:after="0"/>
              <w:rPr>
                <w:sz w:val="20"/>
                <w:szCs w:val="20"/>
                <w:color w:val="auto"/>
              </w:rPr>
            </w:pPr>
            <w:r>
              <w:rPr>
                <w:rFonts w:ascii="Arial" w:cs="Arial" w:eastAsia="Arial" w:hAnsi="Arial"/>
                <w:sz w:val="16"/>
                <w:szCs w:val="16"/>
                <w:color w:val="auto"/>
              </w:rPr>
              <w:t>​ ​</w:t>
            </w:r>
          </w:p>
        </w:tc>
        <w:tc>
          <w:tcPr>
            <w:tcW w:w="940" w:type="dxa"/>
            <w:vAlign w:val="bottom"/>
          </w:tcPr>
          <w:p>
            <w:pPr>
              <w:jc w:val="right"/>
              <w:spacing w:after="0"/>
              <w:rPr>
                <w:sz w:val="20"/>
                <w:szCs w:val="20"/>
                <w:color w:val="auto"/>
              </w:rPr>
            </w:pPr>
            <w:r>
              <w:rPr>
                <w:rFonts w:ascii="Arial" w:cs="Arial" w:eastAsia="Arial" w:hAnsi="Arial"/>
                <w:sz w:val="16"/>
                <w:szCs w:val="16"/>
                <w:color w:val="auto"/>
              </w:rPr>
              <w:t>20% / 10%</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760" w:type="dxa"/>
            <w:vAlign w:val="bottom"/>
          </w:tcPr>
          <w:p>
            <w:pPr>
              <w:jc w:val="center"/>
              <w:ind w:right="39"/>
              <w:spacing w:after="0"/>
              <w:rPr>
                <w:sz w:val="20"/>
                <w:szCs w:val="20"/>
                <w:color w:val="auto"/>
              </w:rPr>
            </w:pPr>
            <w:r>
              <w:rPr>
                <w:rFonts w:ascii="Arial" w:cs="Arial" w:eastAsia="Arial" w:hAnsi="Arial"/>
                <w:sz w:val="16"/>
                <w:szCs w:val="16"/>
                <w:color w:val="auto"/>
                <w:w w:val="95"/>
              </w:rPr>
              <w:t>$1.0B</w:t>
            </w:r>
          </w:p>
        </w:tc>
        <w:tc>
          <w:tcPr>
            <w:tcW w:w="200" w:type="dxa"/>
            <w:vAlign w:val="bottom"/>
          </w:tcPr>
          <w:p>
            <w:pPr>
              <w:ind w:left="4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3"/>
        </w:trPr>
        <w:tc>
          <w:tcPr>
            <w:tcW w:w="3540" w:type="dxa"/>
            <w:vAlign w:val="bottom"/>
          </w:tcPr>
          <w:p>
            <w:pPr>
              <w:ind w:left="160"/>
              <w:spacing w:after="0"/>
              <w:rPr>
                <w:sz w:val="20"/>
                <w:szCs w:val="20"/>
                <w:color w:val="auto"/>
              </w:rPr>
            </w:pPr>
            <w:r>
              <w:rPr>
                <w:rFonts w:ascii="Arial" w:cs="Arial" w:eastAsia="Arial" w:hAnsi="Arial"/>
                <w:sz w:val="16"/>
                <w:szCs w:val="16"/>
                <w:color w:val="auto"/>
              </w:rPr>
              <w:t>capitalize on key opportunities arising from</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160"/>
              <w:spacing w:after="0"/>
              <w:rPr>
                <w:sz w:val="20"/>
                <w:szCs w:val="20"/>
                <w:color w:val="auto"/>
              </w:rPr>
            </w:pPr>
            <w:r>
              <w:rPr>
                <w:rFonts w:ascii="Arial" w:cs="Arial" w:eastAsia="Arial" w:hAnsi="Arial"/>
                <w:sz w:val="16"/>
                <w:szCs w:val="16"/>
                <w:color w:val="auto"/>
              </w:rPr>
              <w:t>capital markets disruptions and create</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540" w:type="dxa"/>
            <w:vAlign w:val="bottom"/>
            <w:tcBorders>
              <w:bottom w:val="single" w:sz="8" w:color="4B5088"/>
            </w:tcBorders>
          </w:tcPr>
          <w:p>
            <w:pPr>
              <w:ind w:left="160"/>
              <w:spacing w:after="0"/>
              <w:rPr>
                <w:sz w:val="20"/>
                <w:szCs w:val="20"/>
                <w:color w:val="auto"/>
              </w:rPr>
            </w:pPr>
            <w:r>
              <w:rPr>
                <w:rFonts w:ascii="Arial" w:cs="Arial" w:eastAsia="Arial" w:hAnsi="Arial"/>
                <w:sz w:val="16"/>
                <w:szCs w:val="16"/>
                <w:color w:val="auto"/>
              </w:rPr>
              <w:t>stockholder value</w:t>
            </w:r>
          </w:p>
        </w:tc>
        <w:tc>
          <w:tcPr>
            <w:tcW w:w="220" w:type="dxa"/>
            <w:vAlign w:val="bottom"/>
          </w:tcPr>
          <w:p>
            <w:pPr>
              <w:spacing w:after="0"/>
              <w:rPr>
                <w:sz w:val="19"/>
                <w:szCs w:val="19"/>
                <w:color w:val="auto"/>
              </w:rPr>
            </w:pPr>
          </w:p>
        </w:tc>
        <w:tc>
          <w:tcPr>
            <w:tcW w:w="940" w:type="dxa"/>
            <w:vAlign w:val="bottom"/>
            <w:tcBorders>
              <w:bottom w:val="single" w:sz="8" w:color="4B5088"/>
            </w:tcBorders>
          </w:tcPr>
          <w:p>
            <w:pPr>
              <w:spacing w:after="0"/>
              <w:rPr>
                <w:sz w:val="19"/>
                <w:szCs w:val="19"/>
                <w:color w:val="auto"/>
              </w:rPr>
            </w:pPr>
          </w:p>
        </w:tc>
        <w:tc>
          <w:tcPr>
            <w:tcW w:w="160" w:type="dxa"/>
            <w:vAlign w:val="bottom"/>
            <w:tcBorders>
              <w:bottom w:val="single" w:sz="8" w:color="4B5088"/>
            </w:tcBorders>
          </w:tcPr>
          <w:p>
            <w:pPr>
              <w:spacing w:after="0"/>
              <w:rPr>
                <w:sz w:val="19"/>
                <w:szCs w:val="19"/>
                <w:color w:val="auto"/>
              </w:rPr>
            </w:pPr>
          </w:p>
        </w:tc>
        <w:tc>
          <w:tcPr>
            <w:tcW w:w="760" w:type="dxa"/>
            <w:vAlign w:val="bottom"/>
            <w:tcBorders>
              <w:bottom w:val="single" w:sz="8" w:color="4B5088"/>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3540" w:type="dxa"/>
            <w:vAlign w:val="bottom"/>
          </w:tcPr>
          <w:p>
            <w:pPr>
              <w:spacing w:after="0"/>
              <w:rPr>
                <w:sz w:val="20"/>
                <w:szCs w:val="20"/>
                <w:color w:val="auto"/>
              </w:rPr>
            </w:pPr>
            <w:r>
              <w:rPr>
                <w:rFonts w:ascii="Arial" w:cs="Arial" w:eastAsia="Arial" w:hAnsi="Arial"/>
                <w:sz w:val="16"/>
                <w:szCs w:val="16"/>
                <w:b w:val="1"/>
                <w:bCs w:val="1"/>
                <w:color w:val="1F2668"/>
              </w:rPr>
              <w:t>G&amp;A Expense (in millions)</w:t>
            </w:r>
            <w:r>
              <w:rPr>
                <w:rFonts w:ascii="Arial" w:cs="Arial" w:eastAsia="Arial" w:hAnsi="Arial"/>
                <w:sz w:val="19"/>
                <w:szCs w:val="19"/>
                <w:b w:val="1"/>
                <w:bCs w:val="1"/>
                <w:color w:val="1F2668"/>
                <w:vertAlign w:val="superscript"/>
              </w:rPr>
              <w:t>(3)</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3540" w:type="dxa"/>
            <w:vAlign w:val="bottom"/>
          </w:tcPr>
          <w:p>
            <w:pPr>
              <w:spacing w:after="0"/>
              <w:rPr>
                <w:sz w:val="20"/>
                <w:szCs w:val="20"/>
                <w:color w:val="auto"/>
              </w:rPr>
            </w:pPr>
            <w:r>
              <w:rPr>
                <w:rFonts w:ascii="Arial" w:cs="Arial" w:eastAsia="Arial" w:hAnsi="Arial"/>
                <w:sz w:val="16"/>
                <w:szCs w:val="16"/>
                <w:color w:val="auto"/>
              </w:rPr>
              <w:t>• Corporate overhead is a key efficiency metric</w:t>
            </w:r>
          </w:p>
        </w:tc>
        <w:tc>
          <w:tcPr>
            <w:tcW w:w="220" w:type="dxa"/>
            <w:vAlign w:val="bottom"/>
          </w:tcPr>
          <w:p>
            <w:pPr>
              <w:ind w:left="60"/>
              <w:spacing w:after="0"/>
              <w:rPr>
                <w:sz w:val="20"/>
                <w:szCs w:val="20"/>
                <w:color w:val="auto"/>
              </w:rPr>
            </w:pPr>
            <w:r>
              <w:rPr>
                <w:rFonts w:ascii="Arial" w:cs="Arial" w:eastAsia="Arial" w:hAnsi="Arial"/>
                <w:sz w:val="16"/>
                <w:szCs w:val="16"/>
                <w:color w:val="auto"/>
              </w:rPr>
              <w:t>​ ​</w:t>
            </w:r>
          </w:p>
        </w:tc>
        <w:tc>
          <w:tcPr>
            <w:tcW w:w="940" w:type="dxa"/>
            <w:vAlign w:val="bottom"/>
          </w:tcPr>
          <w:p>
            <w:pPr>
              <w:jc w:val="right"/>
              <w:spacing w:after="0"/>
              <w:rPr>
                <w:sz w:val="20"/>
                <w:szCs w:val="20"/>
                <w:color w:val="auto"/>
              </w:rPr>
            </w:pPr>
            <w:r>
              <w:rPr>
                <w:rFonts w:ascii="Arial" w:cs="Arial" w:eastAsia="Arial" w:hAnsi="Arial"/>
                <w:sz w:val="16"/>
                <w:szCs w:val="16"/>
                <w:color w:val="auto"/>
              </w:rPr>
              <w:t>20% / 20%</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760" w:type="dxa"/>
            <w:vAlign w:val="bottom"/>
          </w:tcPr>
          <w:p>
            <w:pPr>
              <w:jc w:val="center"/>
              <w:ind w:right="39"/>
              <w:spacing w:after="0"/>
              <w:rPr>
                <w:sz w:val="20"/>
                <w:szCs w:val="20"/>
                <w:color w:val="auto"/>
              </w:rPr>
            </w:pPr>
            <w:r>
              <w:rPr>
                <w:rFonts w:ascii="Arial" w:cs="Arial" w:eastAsia="Arial" w:hAnsi="Arial"/>
                <w:sz w:val="16"/>
                <w:szCs w:val="16"/>
                <w:color w:val="auto"/>
                <w:w w:val="97"/>
              </w:rPr>
              <w:t>$81.5M</w:t>
            </w:r>
          </w:p>
        </w:tc>
        <w:tc>
          <w:tcPr>
            <w:tcW w:w="200" w:type="dxa"/>
            <w:vAlign w:val="bottom"/>
          </w:tcPr>
          <w:p>
            <w:pPr>
              <w:ind w:left="4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89"/>
        </w:trPr>
        <w:tc>
          <w:tcPr>
            <w:tcW w:w="3540" w:type="dxa"/>
            <w:vAlign w:val="bottom"/>
          </w:tcPr>
          <w:p>
            <w:pPr>
              <w:ind w:left="180"/>
              <w:spacing w:after="0"/>
              <w:rPr>
                <w:sz w:val="20"/>
                <w:szCs w:val="20"/>
                <w:color w:val="auto"/>
              </w:rPr>
            </w:pPr>
            <w:r>
              <w:rPr>
                <w:rFonts w:ascii="Arial" w:cs="Arial" w:eastAsia="Arial" w:hAnsi="Arial"/>
                <w:sz w:val="16"/>
                <w:szCs w:val="16"/>
                <w:color w:val="auto"/>
              </w:rPr>
              <w:t>impacting the overall profitability and value of</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540" w:type="dxa"/>
            <w:vAlign w:val="bottom"/>
          </w:tcPr>
          <w:p>
            <w:pPr>
              <w:ind w:left="180"/>
              <w:spacing w:after="0"/>
              <w:rPr>
                <w:sz w:val="20"/>
                <w:szCs w:val="20"/>
                <w:color w:val="auto"/>
              </w:rPr>
            </w:pPr>
            <w:r>
              <w:rPr>
                <w:rFonts w:ascii="Arial" w:cs="Arial" w:eastAsia="Arial" w:hAnsi="Arial"/>
                <w:sz w:val="16"/>
                <w:szCs w:val="16"/>
                <w:color w:val="auto"/>
              </w:rPr>
              <w:t>the Company</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3540" w:type="dxa"/>
            <w:vAlign w:val="bottom"/>
            <w:tcBorders>
              <w:bottom w:val="single" w:sz="8" w:color="1F2668"/>
            </w:tcBorders>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Borders>
              <w:bottom w:val="single" w:sz="8" w:color="1F2668"/>
            </w:tcBorders>
          </w:tcPr>
          <w:p>
            <w:pPr>
              <w:spacing w:after="0"/>
              <w:rPr>
                <w:sz w:val="3"/>
                <w:szCs w:val="3"/>
                <w:color w:val="auto"/>
              </w:rPr>
            </w:pPr>
          </w:p>
        </w:tc>
        <w:tc>
          <w:tcPr>
            <w:tcW w:w="160" w:type="dxa"/>
            <w:vAlign w:val="bottom"/>
            <w:tcBorders>
              <w:bottom w:val="single" w:sz="8" w:color="1F2668"/>
            </w:tcBorders>
          </w:tcPr>
          <w:p>
            <w:pPr>
              <w:spacing w:after="0"/>
              <w:rPr>
                <w:sz w:val="3"/>
                <w:szCs w:val="3"/>
                <w:color w:val="auto"/>
              </w:rPr>
            </w:pPr>
          </w:p>
        </w:tc>
        <w:tc>
          <w:tcPr>
            <w:tcW w:w="760" w:type="dxa"/>
            <w:vAlign w:val="bottom"/>
            <w:tcBorders>
              <w:bottom w:val="single" w:sz="8" w:color="1F2668"/>
            </w:tcBorders>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-2052955</wp:posOffset>
            </wp:positionH>
            <wp:positionV relativeFrom="paragraph">
              <wp:posOffset>346710</wp:posOffset>
            </wp:positionV>
            <wp:extent cx="20574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0574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466725</wp:posOffset>
            </wp:positionV>
            <wp:extent cx="2057400" cy="41148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05740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-2052955</wp:posOffset>
            </wp:positionH>
            <wp:positionV relativeFrom="paragraph">
              <wp:posOffset>269240</wp:posOffset>
            </wp:positionV>
            <wp:extent cx="205740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057400" cy="8255"/>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337820</wp:posOffset>
            </wp:positionV>
            <wp:extent cx="2057400" cy="43751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05740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-2052955</wp:posOffset>
            </wp:positionH>
            <wp:positionV relativeFrom="paragraph">
              <wp:posOffset>234950</wp:posOffset>
            </wp:positionV>
            <wp:extent cx="20574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0574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483870</wp:posOffset>
            </wp:positionV>
            <wp:extent cx="2066290" cy="41148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06629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-2052955</wp:posOffset>
            </wp:positionH>
            <wp:positionV relativeFrom="paragraph">
              <wp:posOffset>398145</wp:posOffset>
            </wp:positionV>
            <wp:extent cx="20574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0574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526415</wp:posOffset>
            </wp:positionV>
            <wp:extent cx="2066290" cy="41148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06629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-2052955</wp:posOffset>
            </wp:positionH>
            <wp:positionV relativeFrom="paragraph">
              <wp:posOffset>286385</wp:posOffset>
            </wp:positionV>
            <wp:extent cx="20574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664" w:lineRule="exact"/>
        <w:rPr>
          <w:sz w:val="20"/>
          <w:szCs w:val="20"/>
          <w:color w:val="auto"/>
        </w:rPr>
      </w:pPr>
    </w:p>
    <w:p>
      <w:pPr>
        <w:sectPr>
          <w:pgSz w:w="11900" w:h="16838" w:orient="portrait"/>
          <w:cols w:equalWidth="0" w:num="2">
            <w:col w:w="9160" w:space="720"/>
            <w:col w:w="60"/>
          </w:cols>
          <w:pgMar w:left="580" w:top="97" w:right="1379" w:bottom="1440" w:gutter="0" w:footer="0" w:header="0"/>
          <w:type w:val="continuous"/>
        </w:sectPr>
      </w:pPr>
    </w:p>
    <w:p>
      <w:pPr>
        <w:spacing w:after="0" w:line="20" w:lineRule="exact"/>
        <w:rPr>
          <w:sz w:val="20"/>
          <w:szCs w:val="20"/>
          <w:color w:val="auto"/>
        </w:rPr>
      </w:pPr>
    </w:p>
    <w:p>
      <w:pPr>
        <w:ind w:left="1180" w:hanging="364"/>
        <w:spacing w:after="0"/>
        <w:tabs>
          <w:tab w:leader="none" w:pos="11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Determined in December 2024 based on a combination of actual results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p>
      <w:pPr>
        <w:ind w:left="820"/>
        <w:spacing w:after="0"/>
        <w:tabs>
          <w:tab w:leader="none" w:pos="1440" w:val="left"/>
          <w:tab w:leader="none" w:pos="9860" w:val="left"/>
        </w:tabs>
        <w:rPr>
          <w:sz w:val="20"/>
          <w:szCs w:val="20"/>
          <w:color w:val="auto"/>
        </w:rPr>
      </w:pPr>
      <w:r>
        <w:rPr>
          <w:rFonts w:ascii="Arial" w:cs="Arial" w:eastAsia="Arial" w:hAnsi="Arial"/>
          <w:sz w:val="22"/>
          <w:szCs w:val="22"/>
          <w:b w:val="1"/>
          <w:bCs w:val="1"/>
          <w:color w:val="1F2668"/>
        </w:rPr>
        <w:t>​54</w:t>
      </w:r>
      <w:r>
        <w:rPr>
          <w:sz w:val="20"/>
          <w:szCs w:val="20"/>
          <w:color w:val="auto"/>
        </w:rPr>
        <w:tab/>
      </w:r>
      <w:r>
        <w:rPr>
          <w:rFonts w:ascii="Arial" w:cs="Arial" w:eastAsia="Arial" w:hAnsi="Arial"/>
          <w:sz w:val="22"/>
          <w:szCs w:val="22"/>
          <w:b w:val="1"/>
          <w:bCs w:val="1"/>
          <w:color w:val="1F2668"/>
        </w:rPr>
        <w:t xml:space="preserve">​ ​ </w:t>
      </w:r>
      <w:r>
        <w:rPr>
          <w:rFonts w:ascii="Arial" w:cs="Arial" w:eastAsia="Arial" w:hAnsi="Arial"/>
          <w:sz w:val="14"/>
          <w:szCs w:val="14"/>
          <w:b w:val="1"/>
          <w:bCs w:val="1"/>
          <w:color w:val="1F2668"/>
        </w:rPr>
        <w:t>SL GREEN REALTY CORP. 2025 PROXY STATEMENT</w:t>
      </w:r>
      <w:r>
        <w:rPr>
          <w:sz w:val="20"/>
          <w:szCs w:val="20"/>
          <w:color w:val="auto"/>
        </w:rPr>
        <w:tab/>
      </w:r>
      <w:r>
        <w:rPr>
          <w:rFonts w:ascii="Arial" w:cs="Arial" w:eastAsia="Arial" w:hAnsi="Arial"/>
          <w:sz w:val="22"/>
          <w:szCs w:val="22"/>
          <w:b w:val="1"/>
          <w:bCs w:val="1"/>
          <w:color w:val="1F2668"/>
        </w:rPr>
        <w:t>​</w:t>
      </w:r>
    </w:p>
    <w:p>
      <w:pPr>
        <w:spacing w:after="0" w:line="200" w:lineRule="exact"/>
        <w:rPr>
          <w:sz w:val="20"/>
          <w:szCs w:val="20"/>
          <w:color w:val="auto"/>
        </w:rPr>
      </w:pPr>
    </w:p>
    <w:p>
      <w:pPr>
        <w:spacing w:after="0" w:line="295" w:lineRule="exact"/>
        <w:rPr>
          <w:sz w:val="20"/>
          <w:szCs w:val="20"/>
          <w:color w:val="auto"/>
        </w:rPr>
      </w:pPr>
    </w:p>
    <w:p>
      <w:pPr>
        <w:ind w:left="1180" w:right="100" w:hanging="364"/>
        <w:spacing w:after="0" w:line="322" w:lineRule="auto"/>
        <w:tabs>
          <w:tab w:leader="none" w:pos="11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Includes Gain on Discounted Debt Extinguishment of $20.0M. Gains on Discounted Debt Extinguishment in excess of $20.0M are excluded from the final calculation.</w:t>
      </w:r>
    </w:p>
    <w:p>
      <w:pPr>
        <w:ind w:left="1180" w:hanging="364"/>
        <w:spacing w:after="0"/>
        <w:tabs>
          <w:tab w:leader="none" w:pos="11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Excludes accounting for internal lease costs, one-time severance costs and relocation expenses.</w:t>
      </w:r>
    </w:p>
    <w:p>
      <w:pPr>
        <w:spacing w:after="0" w:line="172" w:lineRule="exact"/>
        <w:rPr>
          <w:sz w:val="20"/>
          <w:szCs w:val="20"/>
          <w:color w:val="auto"/>
        </w:rPr>
      </w:pPr>
    </w:p>
    <w:p>
      <w:pPr>
        <w:ind w:left="820" w:right="240"/>
        <w:spacing w:after="0" w:line="321" w:lineRule="auto"/>
        <w:rPr>
          <w:sz w:val="20"/>
          <w:szCs w:val="20"/>
          <w:color w:val="auto"/>
        </w:rPr>
      </w:pPr>
      <w:r>
        <w:rPr>
          <w:rFonts w:ascii="Arial" w:cs="Arial" w:eastAsia="Arial" w:hAnsi="Arial"/>
          <w:sz w:val="16"/>
          <w:szCs w:val="16"/>
          <w:color w:val="auto"/>
        </w:rPr>
        <w:t>Based on our performance relative to these formulaic goals, our CEO and CFO earned the following amounts of annual bonus, representing 100% of Mr. Holliday’s 2024 bonus and 60% of Mr. DiLiberto’s total bonus opportunity for 2024:</w:t>
      </w:r>
    </w:p>
    <w:p>
      <w:pPr>
        <w:sectPr>
          <w:pgSz w:w="11900" w:h="16838" w:orient="portrait"/>
          <w:cols w:equalWidth="0" w:num="1">
            <w:col w:w="9940"/>
          </w:cols>
          <w:pgMar w:left="580" w:top="97" w:right="1379" w:bottom="1440" w:gutter="0" w:footer="0" w:header="0"/>
        </w:sect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3"/>
          <w:szCs w:val="13"/>
          <w:color w:val="1F2668"/>
        </w:rPr>
        <w:t>Target 2024</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4"/>
          <w:szCs w:val="14"/>
          <w:color w:val="1F2668"/>
        </w:rPr>
        <w:t>Formulaic</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ind w:left="140"/>
        <w:spacing w:after="0"/>
        <w:rPr>
          <w:sz w:val="20"/>
          <w:szCs w:val="20"/>
          <w:color w:val="auto"/>
        </w:rPr>
      </w:pPr>
      <w:r>
        <w:rPr>
          <w:rFonts w:ascii="Arial" w:cs="Arial" w:eastAsia="Arial" w:hAnsi="Arial"/>
          <w:sz w:val="14"/>
          <w:szCs w:val="14"/>
          <w:color w:val="1F2668"/>
        </w:rPr>
        <w:t>Actual 2024</w:t>
      </w:r>
    </w:p>
    <w:p>
      <w:pPr>
        <w:spacing w:after="0" w:line="15" w:lineRule="exact"/>
        <w:rPr>
          <w:sz w:val="20"/>
          <w:szCs w:val="20"/>
          <w:color w:val="auto"/>
        </w:rPr>
      </w:pPr>
    </w:p>
    <w:p>
      <w:pPr>
        <w:ind w:left="260"/>
        <w:spacing w:after="0"/>
        <w:tabs>
          <w:tab w:leader="none" w:pos="1500" w:val="left"/>
        </w:tabs>
        <w:rPr>
          <w:sz w:val="20"/>
          <w:szCs w:val="20"/>
          <w:color w:val="auto"/>
        </w:rPr>
      </w:pPr>
      <w:r>
        <w:rPr>
          <w:rFonts w:ascii="Arial" w:cs="Arial" w:eastAsia="Arial" w:hAnsi="Arial"/>
          <w:sz w:val="14"/>
          <w:szCs w:val="14"/>
          <w:color w:val="1F2668"/>
        </w:rPr>
        <w:t>Formulaic</w:t>
      </w:r>
      <w:r>
        <w:rPr>
          <w:sz w:val="20"/>
          <w:szCs w:val="20"/>
          <w:color w:val="auto"/>
        </w:rPr>
        <w:tab/>
      </w:r>
      <w:r>
        <w:rPr>
          <w:rFonts w:ascii="Arial" w:cs="Arial" w:eastAsia="Arial" w:hAnsi="Arial"/>
          <w:sz w:val="14"/>
          <w:szCs w:val="14"/>
          <w:color w:val="1F2668"/>
        </w:rPr>
        <w:t>Actual 2024</w:t>
      </w:r>
    </w:p>
    <w:p>
      <w:pPr>
        <w:spacing w:after="0" w:line="1" w:lineRule="exact"/>
        <w:rPr>
          <w:sz w:val="20"/>
          <w:szCs w:val="20"/>
          <w:color w:val="auto"/>
        </w:rPr>
      </w:pPr>
    </w:p>
    <w:p>
      <w:pPr>
        <w:spacing w:after="0"/>
        <w:tabs>
          <w:tab w:leader="none" w:pos="1620" w:val="left"/>
        </w:tabs>
        <w:rPr>
          <w:sz w:val="20"/>
          <w:szCs w:val="20"/>
          <w:color w:val="auto"/>
        </w:rPr>
      </w:pPr>
      <w:r>
        <w:rPr>
          <w:rFonts w:ascii="Arial" w:cs="Arial" w:eastAsia="Arial" w:hAnsi="Arial"/>
          <w:sz w:val="14"/>
          <w:szCs w:val="14"/>
          <w:color w:val="1F2668"/>
        </w:rPr>
        <w:t>Annual Bonus</w:t>
      </w:r>
      <w:r>
        <w:rPr>
          <w:sz w:val="20"/>
          <w:szCs w:val="20"/>
          <w:color w:val="auto"/>
        </w:rPr>
        <w:tab/>
      </w:r>
      <w:r>
        <w:rPr>
          <w:rFonts w:ascii="Arial" w:cs="Arial" w:eastAsia="Arial" w:hAnsi="Arial"/>
          <w:sz w:val="14"/>
          <w:szCs w:val="14"/>
          <w:color w:val="1F2668"/>
        </w:rPr>
        <w:t>Formulaic</w:t>
      </w:r>
    </w:p>
    <w:p>
      <w:pPr>
        <w:spacing w:after="0" w:line="1" w:lineRule="exact"/>
        <w:rPr>
          <w:sz w:val="20"/>
          <w:szCs w:val="20"/>
          <w:color w:val="auto"/>
        </w:rPr>
      </w:pPr>
    </w:p>
    <w:p>
      <w:pPr>
        <w:sectPr>
          <w:pgSz w:w="11900" w:h="16838" w:orient="portrait"/>
          <w:cols w:equalWidth="0" w:num="2">
            <w:col w:w="7420" w:space="160"/>
            <w:col w:w="2360"/>
          </w:cols>
          <w:pgMar w:left="580" w:top="97" w:right="1379" w:bottom="1440" w:gutter="0" w:footer="0" w:header="0"/>
          <w:type w:val="continuous"/>
        </w:sectPr>
      </w:pPr>
    </w:p>
    <w:tbl>
      <w:tblPr>
        <w:tblLayout w:type="fixed"/>
        <w:tblInd w:w="820" w:type="dxa"/>
        <w:tblCellMar>
          <w:top w:w="0" w:type="dxa"/>
          <w:left w:w="0" w:type="dxa"/>
          <w:bottom w:w="0" w:type="dxa"/>
          <w:right w:w="0" w:type="dxa"/>
        </w:tblCellMar>
      </w:tblPr>
      <w:tr>
        <w:trPr>
          <w:trHeight w:val="216"/>
        </w:trPr>
        <w:tc>
          <w:tcPr>
            <w:tcW w:w="5420" w:type="dxa"/>
            <w:vAlign w:val="bottom"/>
          </w:tcPr>
          <w:p>
            <w:pPr>
              <w:spacing w:after="0"/>
              <w:rPr>
                <w:sz w:val="20"/>
                <w:szCs w:val="20"/>
                <w:color w:val="auto"/>
              </w:rPr>
            </w:pPr>
            <w:r>
              <w:rPr>
                <w:rFonts w:ascii="Arial" w:cs="Arial" w:eastAsia="Arial" w:hAnsi="Arial"/>
                <w:sz w:val="14"/>
                <w:szCs w:val="14"/>
                <w:color w:val="1F2668"/>
              </w:rPr>
              <w:t>Executive</w:t>
            </w:r>
          </w:p>
        </w:tc>
        <w:tc>
          <w:tcPr>
            <w:tcW w:w="1420" w:type="dxa"/>
            <w:vAlign w:val="bottom"/>
            <w:gridSpan w:val="5"/>
          </w:tcPr>
          <w:p>
            <w:pPr>
              <w:ind w:left="60"/>
              <w:spacing w:after="0" w:line="216" w:lineRule="exact"/>
              <w:rPr>
                <w:sz w:val="20"/>
                <w:szCs w:val="20"/>
                <w:color w:val="auto"/>
              </w:rPr>
            </w:pPr>
            <w:r>
              <w:rPr>
                <w:rFonts w:ascii="Arial" w:cs="Arial" w:eastAsia="Arial" w:hAnsi="Arial"/>
                <w:sz w:val="25"/>
                <w:szCs w:val="25"/>
                <w:color w:val="1F2668"/>
                <w:vertAlign w:val="subscript"/>
              </w:rPr>
              <w:t>​​</w:t>
            </w:r>
            <w:r>
              <w:rPr>
                <w:rFonts w:ascii="Arial" w:cs="Arial" w:eastAsia="Arial" w:hAnsi="Arial"/>
                <w:sz w:val="13"/>
                <w:szCs w:val="13"/>
                <w:color w:val="1F2668"/>
              </w:rPr>
              <w:t xml:space="preserve">Annual Bonus </w:t>
            </w:r>
            <w:r>
              <w:rPr>
                <w:rFonts w:ascii="Arial" w:cs="Arial" w:eastAsia="Arial" w:hAnsi="Arial"/>
                <w:sz w:val="13"/>
                <w:szCs w:val="13"/>
                <w:u w:val="single" w:color="auto"/>
                <w:color w:val="1F2668"/>
              </w:rPr>
              <w:t>($</w:t>
            </w:r>
            <w:r>
              <w:rPr>
                <w:rFonts w:ascii="Arial" w:cs="Arial" w:eastAsia="Arial" w:hAnsi="Arial"/>
                <w:sz w:val="13"/>
                <w:szCs w:val="13"/>
                <w:color w:val="1F2668"/>
              </w:rPr>
              <w:t xml:space="preserve">) </w:t>
            </w:r>
            <w:r>
              <w:rPr>
                <w:rFonts w:ascii="Arial" w:cs="Arial" w:eastAsia="Arial" w:hAnsi="Arial"/>
                <w:sz w:val="25"/>
                <w:szCs w:val="25"/>
                <w:color w:val="1F2668"/>
                <w:vertAlign w:val="subscript"/>
              </w:rPr>
              <w:t>​​</w:t>
            </w:r>
          </w:p>
        </w:tc>
        <w:tc>
          <w:tcPr>
            <w:tcW w:w="2280" w:type="dxa"/>
            <w:vAlign w:val="bottom"/>
            <w:gridSpan w:val="4"/>
          </w:tcPr>
          <w:p>
            <w:pPr>
              <w:jc w:val="right"/>
              <w:ind w:right="20"/>
              <w:spacing w:after="0" w:line="216" w:lineRule="exact"/>
              <w:rPr>
                <w:sz w:val="20"/>
                <w:szCs w:val="20"/>
                <w:color w:val="auto"/>
              </w:rPr>
            </w:pPr>
            <w:r>
              <w:rPr>
                <w:rFonts w:ascii="Arial" w:cs="Arial" w:eastAsia="Arial" w:hAnsi="Arial"/>
                <w:sz w:val="13"/>
                <w:szCs w:val="13"/>
                <w:color w:val="1F2668"/>
              </w:rPr>
              <w:t xml:space="preserve">(% of Target) </w:t>
            </w:r>
            <w:r>
              <w:rPr>
                <w:rFonts w:ascii="Arial" w:cs="Arial" w:eastAsia="Arial" w:hAnsi="Arial"/>
                <w:sz w:val="25"/>
                <w:szCs w:val="25"/>
                <w:color w:val="1F2668"/>
                <w:vertAlign w:val="subscript"/>
              </w:rPr>
              <w:t>​​</w:t>
            </w:r>
            <w:r>
              <w:rPr>
                <w:rFonts w:ascii="Arial" w:cs="Arial" w:eastAsia="Arial" w:hAnsi="Arial"/>
                <w:sz w:val="13"/>
                <w:szCs w:val="13"/>
                <w:color w:val="1F2668"/>
              </w:rPr>
              <w:t xml:space="preserve"> Annual Bonus </w:t>
            </w:r>
            <w:r>
              <w:rPr>
                <w:rFonts w:ascii="Arial" w:cs="Arial" w:eastAsia="Arial" w:hAnsi="Arial"/>
                <w:sz w:val="13"/>
                <w:szCs w:val="13"/>
                <w:u w:val="single" w:color="auto"/>
                <w:color w:val="1F2668"/>
              </w:rPr>
              <w:t>($</w:t>
            </w:r>
            <w:r>
              <w:rPr>
                <w:rFonts w:ascii="Arial" w:cs="Arial" w:eastAsia="Arial" w:hAnsi="Arial"/>
                <w:sz w:val="13"/>
                <w:szCs w:val="13"/>
                <w:color w:val="1F2668"/>
              </w:rPr>
              <w:t>)</w:t>
            </w:r>
            <w:r>
              <w:rPr>
                <w:rFonts w:ascii="Arial" w:cs="Arial" w:eastAsia="Arial" w:hAnsi="Arial"/>
                <w:sz w:val="16"/>
                <w:szCs w:val="16"/>
                <w:b w:val="1"/>
                <w:bCs w:val="1"/>
                <w:color w:val="1F2668"/>
                <w:vertAlign w:val="superscript"/>
              </w:rPr>
              <w:t>(1)</w:t>
            </w:r>
            <w:r>
              <w:rPr>
                <w:rFonts w:ascii="Arial" w:cs="Arial" w:eastAsia="Arial" w:hAnsi="Arial"/>
                <w:sz w:val="25"/>
                <w:szCs w:val="25"/>
                <w:color w:val="1F2668"/>
                <w:vertAlign w:val="subscript"/>
              </w:rPr>
              <w:t>​</w:t>
            </w:r>
          </w:p>
        </w:tc>
      </w:tr>
      <w:tr>
        <w:trPr>
          <w:trHeight w:val="20"/>
        </w:trPr>
        <w:tc>
          <w:tcPr>
            <w:tcW w:w="542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1F2668"/>
          </w:tcPr>
          <w:p>
            <w:pPr>
              <w:spacing w:after="0" w:line="20" w:lineRule="exact"/>
              <w:rPr>
                <w:sz w:val="1"/>
                <w:szCs w:val="1"/>
                <w:color w:val="auto"/>
              </w:rPr>
            </w:pPr>
          </w:p>
        </w:tc>
        <w:tc>
          <w:tcPr>
            <w:tcW w:w="960" w:type="dxa"/>
            <w:vAlign w:val="bottom"/>
            <w:shd w:val="clear" w:color="auto" w:fill="1F266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1F2668"/>
          </w:tcPr>
          <w:p>
            <w:pPr>
              <w:spacing w:after="0" w:line="20" w:lineRule="exact"/>
              <w:rPr>
                <w:sz w:val="1"/>
                <w:szCs w:val="1"/>
                <w:color w:val="auto"/>
              </w:rPr>
            </w:pPr>
          </w:p>
        </w:tc>
        <w:tc>
          <w:tcPr>
            <w:tcW w:w="840" w:type="dxa"/>
            <w:vAlign w:val="bottom"/>
            <w:shd w:val="clear" w:color="auto" w:fill="1F2668"/>
          </w:tcPr>
          <w:p>
            <w:pPr>
              <w:spacing w:after="0" w:line="20" w:lineRule="exact"/>
              <w:rPr>
                <w:sz w:val="1"/>
                <w:szCs w:val="1"/>
                <w:color w:val="auto"/>
              </w:rPr>
            </w:pPr>
          </w:p>
        </w:tc>
        <w:tc>
          <w:tcPr>
            <w:tcW w:w="140" w:type="dxa"/>
            <w:vAlign w:val="bottom"/>
            <w:tcBorders>
              <w:right w:val="single" w:sz="8" w:color="1F2668"/>
            </w:tcBorders>
          </w:tcPr>
          <w:p>
            <w:pPr>
              <w:spacing w:after="0" w:line="20" w:lineRule="exact"/>
              <w:rPr>
                <w:sz w:val="1"/>
                <w:szCs w:val="1"/>
                <w:color w:val="auto"/>
              </w:rPr>
            </w:pPr>
          </w:p>
        </w:tc>
        <w:tc>
          <w:tcPr>
            <w:tcW w:w="1240" w:type="dxa"/>
            <w:vAlign w:val="bottom"/>
            <w:shd w:val="clear" w:color="auto" w:fill="1F266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5420" w:type="dxa"/>
            <w:vAlign w:val="bottom"/>
          </w:tcPr>
          <w:p>
            <w:pPr>
              <w:spacing w:after="0"/>
              <w:rPr>
                <w:sz w:val="20"/>
                <w:szCs w:val="20"/>
                <w:color w:val="auto"/>
              </w:rPr>
            </w:pPr>
            <w:r>
              <w:rPr>
                <w:rFonts w:ascii="Arial" w:cs="Arial" w:eastAsia="Arial" w:hAnsi="Arial"/>
                <w:sz w:val="16"/>
                <w:szCs w:val="16"/>
                <w:b w:val="1"/>
                <w:bCs w:val="1"/>
                <w:color w:val="auto"/>
              </w:rPr>
              <w:t>Marc Holliday</w:t>
            </w:r>
          </w:p>
        </w:tc>
        <w:tc>
          <w:tcPr>
            <w:tcW w:w="2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160" w:type="dxa"/>
            <w:vAlign w:val="bottom"/>
            <w:gridSpan w:val="3"/>
          </w:tcPr>
          <w:p>
            <w:pPr>
              <w:ind w:left="14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$2,500,000</w:t>
            </w:r>
            <w:r>
              <w:rPr>
                <w:rFonts w:ascii="Arial" w:cs="Arial" w:eastAsia="Arial" w:hAnsi="Arial"/>
                <w:sz w:val="32"/>
                <w:szCs w:val="32"/>
                <w:color w:val="auto"/>
                <w:vertAlign w:val="subscript"/>
              </w:rPr>
              <w:t>​​​</w:t>
            </w:r>
          </w:p>
        </w:tc>
        <w:tc>
          <w:tcPr>
            <w:tcW w:w="980" w:type="dxa"/>
            <w:vAlign w:val="bottom"/>
            <w:gridSpan w:val="2"/>
          </w:tcPr>
          <w:p>
            <w:pPr>
              <w:ind w:left="42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​128%</w:t>
            </w:r>
            <w:r>
              <w:rPr>
                <w:rFonts w:ascii="Arial" w:cs="Arial" w:eastAsia="Arial" w:hAnsi="Arial"/>
                <w:sz w:val="32"/>
                <w:szCs w:val="32"/>
                <w:color w:val="auto"/>
                <w:vertAlign w:val="subscript"/>
              </w:rPr>
              <w:t>​​​</w:t>
            </w:r>
          </w:p>
        </w:tc>
        <w:tc>
          <w:tcPr>
            <w:tcW w:w="1300" w:type="dxa"/>
            <w:vAlign w:val="bottom"/>
            <w:gridSpan w:val="2"/>
          </w:tcPr>
          <w:p>
            <w:pPr>
              <w:jc w:val="right"/>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$ 3,200,000</w:t>
            </w:r>
            <w:r>
              <w:rPr>
                <w:rFonts w:ascii="Arial" w:cs="Arial" w:eastAsia="Arial" w:hAnsi="Arial"/>
                <w:sz w:val="32"/>
                <w:szCs w:val="32"/>
                <w:color w:val="auto"/>
                <w:vertAlign w:val="subscript"/>
              </w:rPr>
              <w:t>​</w:t>
            </w:r>
          </w:p>
        </w:tc>
      </w:tr>
      <w:tr>
        <w:trPr>
          <w:trHeight w:val="20"/>
        </w:trPr>
        <w:tc>
          <w:tcPr>
            <w:tcW w:w="542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96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840" w:type="dxa"/>
            <w:vAlign w:val="bottom"/>
            <w:shd w:val="clear" w:color="auto" w:fill="4B508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shd w:val="clear" w:color="auto" w:fill="4B5088"/>
          </w:tcPr>
          <w:p>
            <w:pPr>
              <w:spacing w:after="0" w:line="20" w:lineRule="exact"/>
              <w:rPr>
                <w:sz w:val="1"/>
                <w:szCs w:val="1"/>
                <w:color w:val="auto"/>
              </w:rPr>
            </w:pPr>
          </w:p>
        </w:tc>
        <w:tc>
          <w:tcPr>
            <w:tcW w:w="60" w:type="dxa"/>
            <w:vAlign w:val="bottom"/>
            <w:tcBorders>
              <w:left w:val="single" w:sz="8" w:color="4B5088"/>
            </w:tcBorders>
          </w:tcPr>
          <w:p>
            <w:pPr>
              <w:spacing w:after="0" w:line="20" w:lineRule="exact"/>
              <w:rPr>
                <w:sz w:val="1"/>
                <w:szCs w:val="1"/>
                <w:color w:val="auto"/>
              </w:rPr>
            </w:pPr>
          </w:p>
        </w:tc>
      </w:tr>
      <w:tr>
        <w:trPr>
          <w:trHeight w:val="304"/>
        </w:trPr>
        <w:tc>
          <w:tcPr>
            <w:tcW w:w="5420" w:type="dxa"/>
            <w:vAlign w:val="bottom"/>
          </w:tcPr>
          <w:p>
            <w:pPr>
              <w:spacing w:after="0"/>
              <w:rPr>
                <w:sz w:val="20"/>
                <w:szCs w:val="20"/>
                <w:color w:val="auto"/>
              </w:rPr>
            </w:pPr>
            <w:r>
              <w:rPr>
                <w:rFonts w:ascii="Arial" w:cs="Arial" w:eastAsia="Arial" w:hAnsi="Arial"/>
                <w:sz w:val="16"/>
                <w:szCs w:val="16"/>
                <w:b w:val="1"/>
                <w:bCs w:val="1"/>
                <w:color w:val="auto"/>
              </w:rPr>
              <w:t>Matthew J. DiLiberto</w:t>
            </w:r>
            <w:r>
              <w:rPr>
                <w:rFonts w:ascii="Arial" w:cs="Arial" w:eastAsia="Arial" w:hAnsi="Arial"/>
                <w:sz w:val="19"/>
                <w:szCs w:val="19"/>
                <w:b w:val="1"/>
                <w:bCs w:val="1"/>
                <w:color w:val="auto"/>
                <w:vertAlign w:val="superscript"/>
              </w:rPr>
              <w:t>(2)</w:t>
            </w:r>
          </w:p>
        </w:tc>
        <w:tc>
          <w:tcPr>
            <w:tcW w:w="2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160" w:type="dxa"/>
            <w:vAlign w:val="bottom"/>
            <w:gridSpan w:val="3"/>
          </w:tcPr>
          <w:p>
            <w:pPr>
              <w:ind w:left="140"/>
              <w:spacing w:after="0" w:line="304"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$1,050,000</w:t>
            </w:r>
            <w:r>
              <w:rPr>
                <w:rFonts w:ascii="Arial" w:cs="Arial" w:eastAsia="Arial" w:hAnsi="Arial"/>
                <w:sz w:val="32"/>
                <w:szCs w:val="32"/>
                <w:color w:val="auto"/>
                <w:vertAlign w:val="subscript"/>
              </w:rPr>
              <w:t>​​​</w:t>
            </w:r>
          </w:p>
        </w:tc>
        <w:tc>
          <w:tcPr>
            <w:tcW w:w="980" w:type="dxa"/>
            <w:vAlign w:val="bottom"/>
            <w:gridSpan w:val="2"/>
          </w:tcPr>
          <w:p>
            <w:pPr>
              <w:ind w:left="420"/>
              <w:spacing w:after="0" w:line="304"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​128%</w:t>
            </w:r>
            <w:r>
              <w:rPr>
                <w:rFonts w:ascii="Arial" w:cs="Arial" w:eastAsia="Arial" w:hAnsi="Arial"/>
                <w:sz w:val="32"/>
                <w:szCs w:val="32"/>
                <w:color w:val="auto"/>
                <w:vertAlign w:val="subscript"/>
              </w:rPr>
              <w:t>​​​</w:t>
            </w:r>
          </w:p>
        </w:tc>
        <w:tc>
          <w:tcPr>
            <w:tcW w:w="1300" w:type="dxa"/>
            <w:vAlign w:val="bottom"/>
            <w:gridSpan w:val="2"/>
          </w:tcPr>
          <w:p>
            <w:pPr>
              <w:jc w:val="right"/>
              <w:spacing w:after="0" w:line="304"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$ 1,342,500</w:t>
            </w:r>
            <w:r>
              <w:rPr>
                <w:rFonts w:ascii="Arial" w:cs="Arial" w:eastAsia="Arial" w:hAnsi="Arial"/>
                <w:sz w:val="32"/>
                <w:szCs w:val="32"/>
                <w:color w:val="auto"/>
                <w:vertAlign w:val="subscript"/>
              </w:rPr>
              <w:t>​</w:t>
            </w:r>
          </w:p>
        </w:tc>
      </w:tr>
      <w:tr>
        <w:trPr>
          <w:trHeight w:val="20"/>
        </w:trPr>
        <w:tc>
          <w:tcPr>
            <w:tcW w:w="542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1F2668"/>
          </w:tcPr>
          <w:p>
            <w:pPr>
              <w:spacing w:after="0" w:line="20" w:lineRule="exact"/>
              <w:rPr>
                <w:sz w:val="1"/>
                <w:szCs w:val="1"/>
                <w:color w:val="auto"/>
              </w:rPr>
            </w:pPr>
          </w:p>
        </w:tc>
        <w:tc>
          <w:tcPr>
            <w:tcW w:w="960" w:type="dxa"/>
            <w:vAlign w:val="bottom"/>
            <w:shd w:val="clear" w:color="auto" w:fill="1F266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1F2668"/>
          </w:tcPr>
          <w:p>
            <w:pPr>
              <w:spacing w:after="0" w:line="20" w:lineRule="exact"/>
              <w:rPr>
                <w:sz w:val="1"/>
                <w:szCs w:val="1"/>
                <w:color w:val="auto"/>
              </w:rPr>
            </w:pPr>
          </w:p>
        </w:tc>
        <w:tc>
          <w:tcPr>
            <w:tcW w:w="840" w:type="dxa"/>
            <w:vAlign w:val="bottom"/>
            <w:shd w:val="clear" w:color="auto" w:fill="1F266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shd w:val="clear" w:color="auto" w:fill="1F2668"/>
          </w:tcPr>
          <w:p>
            <w:pPr>
              <w:spacing w:after="0" w:line="20" w:lineRule="exact"/>
              <w:rPr>
                <w:sz w:val="1"/>
                <w:szCs w:val="1"/>
                <w:color w:val="auto"/>
              </w:rPr>
            </w:pPr>
          </w:p>
        </w:tc>
        <w:tc>
          <w:tcPr>
            <w:tcW w:w="60" w:type="dxa"/>
            <w:vAlign w:val="bottom"/>
            <w:tcBorders>
              <w:left w:val="single" w:sz="8" w:color="1F2668"/>
            </w:tcBorders>
          </w:tcPr>
          <w:p>
            <w:pPr>
              <w:spacing w:after="0" w:line="20" w:lineRule="exact"/>
              <w:rPr>
                <w:sz w:val="1"/>
                <w:szCs w:val="1"/>
                <w:color w:val="auto"/>
              </w:rPr>
            </w:pPr>
          </w:p>
        </w:tc>
      </w:tr>
    </w:tbl>
    <w:p>
      <w:pPr>
        <w:spacing w:after="0" w:line="207" w:lineRule="exact"/>
        <w:rPr>
          <w:sz w:val="20"/>
          <w:szCs w:val="20"/>
          <w:color w:val="auto"/>
        </w:rPr>
      </w:pPr>
    </w:p>
    <w:p>
      <w:pPr>
        <w:ind w:left="1180" w:right="60" w:hanging="364"/>
        <w:spacing w:after="0" w:line="305" w:lineRule="auto"/>
        <w:tabs>
          <w:tab w:leader="none" w:pos="11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Excludes a downward adjustment of $31,667 for Mr. Holliday and $11,400 for Mr. DiLiberto based on 2023 actual performance, representing a reconciliation of each individual’s 2023 formulaic cash bonus that was determined in December 2023 based on estimated performance.</w:t>
      </w:r>
    </w:p>
    <w:p>
      <w:pPr>
        <w:spacing w:after="0" w:line="22" w:lineRule="exact"/>
        <w:rPr>
          <w:rFonts w:ascii="Arial" w:cs="Arial" w:eastAsia="Arial" w:hAnsi="Arial"/>
          <w:sz w:val="14"/>
          <w:szCs w:val="14"/>
          <w:color w:val="auto"/>
        </w:rPr>
      </w:pPr>
    </w:p>
    <w:p>
      <w:pPr>
        <w:ind w:left="1180" w:right="60" w:hanging="364"/>
        <w:spacing w:after="0" w:line="293" w:lineRule="auto"/>
        <w:tabs>
          <w:tab w:leader="none" w:pos="11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For the remaining 40% of Mr. DiLiberto’s 2024 bonus opportunity, a discretionary bonus potential of $895,000 was calculated pursuant to his employment agreement based on the amount of formulaic bonus that was earned, of which Mr. DiLiberto was awarded the full amount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5387975</wp:posOffset>
            </wp:positionV>
            <wp:extent cx="6831965"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5100" w:type="dxa"/>
            <w:vAlign w:val="bottom"/>
          </w:tcPr>
          <w:p>
            <w:pPr>
              <w:spacing w:after="0"/>
              <w:rPr>
                <w:sz w:val="20"/>
                <w:szCs w:val="20"/>
                <w:color w:val="auto"/>
              </w:rPr>
            </w:pPr>
            <w:r>
              <w:rPr>
                <w:rFonts w:ascii="Arial" w:cs="Arial" w:eastAsia="Arial" w:hAnsi="Arial"/>
                <w:sz w:val="14"/>
                <w:szCs w:val="14"/>
                <w:b w:val="1"/>
                <w:bCs w:val="1"/>
                <w:color w:val="auto"/>
              </w:rPr>
              <w:t>​</w:t>
            </w:r>
          </w:p>
        </w:tc>
        <w:tc>
          <w:tcPr>
            <w:tcW w:w="3480" w:type="dxa"/>
            <w:vAlign w:val="bottom"/>
          </w:tcPr>
          <w:p>
            <w:pPr>
              <w:ind w:left="3100"/>
              <w:spacing w:after="0"/>
              <w:rPr>
                <w:sz w:val="20"/>
                <w:szCs w:val="20"/>
                <w:color w:val="auto"/>
              </w:rPr>
            </w:pPr>
            <w:r>
              <w:rPr>
                <w:rFonts w:ascii="Arial" w:cs="Arial" w:eastAsia="Arial" w:hAnsi="Arial"/>
                <w:sz w:val="14"/>
                <w:szCs w:val="14"/>
                <w:b w:val="1"/>
                <w:bCs w:val="1"/>
                <w:color w:val="auto"/>
              </w:rPr>
              <w:t>​ ​</w:t>
            </w:r>
          </w:p>
        </w:tc>
        <w:tc>
          <w:tcPr>
            <w:tcW w:w="480" w:type="dxa"/>
            <w:vAlign w:val="bottom"/>
            <w:vMerge w:val="restart"/>
          </w:tcPr>
          <w:p>
            <w:pPr>
              <w:jc w:val="right"/>
              <w:spacing w:after="0"/>
              <w:rPr>
                <w:sz w:val="20"/>
                <w:szCs w:val="20"/>
                <w:color w:val="auto"/>
              </w:rPr>
            </w:pPr>
            <w:r>
              <w:rPr>
                <w:rFonts w:ascii="Arial" w:cs="Arial" w:eastAsia="Arial" w:hAnsi="Arial"/>
                <w:sz w:val="22"/>
                <w:szCs w:val="22"/>
                <w:b w:val="1"/>
                <w:bCs w:val="1"/>
                <w:color w:val="1F2668"/>
              </w:rPr>
              <w:t>55</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5100" w:type="dxa"/>
            <w:vAlign w:val="bottom"/>
          </w:tcPr>
          <w:p>
            <w:pPr>
              <w:spacing w:after="0"/>
              <w:rPr>
                <w:sz w:val="20"/>
                <w:szCs w:val="20"/>
                <w:color w:val="auto"/>
              </w:rPr>
            </w:pPr>
            <w:r>
              <w:rPr>
                <w:rFonts w:ascii="Arial" w:cs="Arial" w:eastAsia="Arial" w:hAnsi="Arial"/>
                <w:sz w:val="14"/>
                <w:szCs w:val="14"/>
                <w:b w:val="1"/>
                <w:bCs w:val="1"/>
                <w:color w:val="auto"/>
              </w:rPr>
              <w:t>EXECUTIVE COMPENSATION</w:t>
            </w:r>
          </w:p>
        </w:tc>
        <w:tc>
          <w:tcPr>
            <w:tcW w:w="348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38"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2024 Operational Component Performance Goals</w:t>
      </w:r>
    </w:p>
    <w:p>
      <w:pPr>
        <w:spacing w:after="0" w:line="43"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(50% of Annual Equity Award)</w:t>
      </w:r>
    </w:p>
    <w:p>
      <w:pPr>
        <w:spacing w:after="0" w:line="122" w:lineRule="exact"/>
        <w:rPr>
          <w:sz w:val="20"/>
          <w:szCs w:val="20"/>
          <w:color w:val="auto"/>
        </w:rPr>
      </w:pPr>
    </w:p>
    <w:p>
      <w:pPr>
        <w:ind w:left="820" w:right="940"/>
        <w:spacing w:after="0" w:line="301" w:lineRule="auto"/>
        <w:rPr>
          <w:sz w:val="20"/>
          <w:szCs w:val="20"/>
          <w:color w:val="auto"/>
        </w:rPr>
      </w:pPr>
      <w:r>
        <w:rPr>
          <w:rFonts w:ascii="Arial" w:cs="Arial" w:eastAsia="Arial" w:hAnsi="Arial"/>
          <w:sz w:val="16"/>
          <w:szCs w:val="16"/>
          <w:color w:val="auto"/>
        </w:rPr>
        <w:t>The operational component of our annual performance-based equity awards measures our performance against five objective criteria over a one-year performance period, which remain subject to an absolute TSR modifier (either up or down 12.5%) based on our absolute TSR performance over a three-year performance period.</w:t>
      </w:r>
    </w:p>
    <w:p>
      <w:pPr>
        <w:spacing w:after="0" w:line="131" w:lineRule="exact"/>
        <w:rPr>
          <w:sz w:val="20"/>
          <w:szCs w:val="20"/>
          <w:color w:val="auto"/>
        </w:rPr>
      </w:pPr>
    </w:p>
    <w:p>
      <w:pPr>
        <w:ind w:left="820"/>
        <w:spacing w:after="0"/>
        <w:tabs>
          <w:tab w:leader="none" w:pos="9700" w:val="left"/>
        </w:tabs>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The objective criteria used for 2024 were the same criteria as were used for 2023.</w:t>
      </w:r>
      <w:r>
        <w:rPr>
          <w:sz w:val="20"/>
          <w:szCs w:val="20"/>
          <w:color w:val="auto"/>
        </w:rPr>
        <w:tab/>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-224155</wp:posOffset>
            </wp:positionV>
            <wp:extent cx="5760720" cy="27432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760720" cy="274320"/>
                    </a:xfrm>
                    <a:prstGeom prst="rect">
                      <a:avLst/>
                    </a:prstGeom>
                    <a:noFill/>
                  </pic:spPr>
                </pic:pic>
              </a:graphicData>
            </a:graphic>
          </wp:anchor>
        </w:drawing>
      </w:r>
    </w:p>
    <w:p>
      <w:pPr>
        <w:spacing w:after="0" w:line="389"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One-Year Operational Objectives</w:t>
      </w:r>
    </w:p>
    <w:p>
      <w:pPr>
        <w:spacing w:after="0" w:line="165"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2"/>
          </w:tcPr>
          <w:p>
            <w:pPr>
              <w:ind w:left="980"/>
              <w:spacing w:after="0"/>
              <w:rPr>
                <w:sz w:val="20"/>
                <w:szCs w:val="20"/>
                <w:color w:val="auto"/>
              </w:rPr>
            </w:pPr>
            <w:r>
              <w:rPr>
                <w:rFonts w:ascii="Arial" w:cs="Arial" w:eastAsia="Arial" w:hAnsi="Arial"/>
                <w:sz w:val="14"/>
                <w:szCs w:val="14"/>
                <w:b w:val="1"/>
                <w:bCs w:val="1"/>
                <w:color w:val="1F2668"/>
              </w:rPr>
              <w:t>Guidance or</w:t>
            </w:r>
          </w:p>
        </w:tc>
        <w:tc>
          <w:tcPr>
            <w:tcW w:w="1040" w:type="dxa"/>
            <w:vAlign w:val="bottom"/>
          </w:tcPr>
          <w:p>
            <w:pPr>
              <w:jc w:val="center"/>
              <w:ind w:left="8"/>
              <w:spacing w:after="0"/>
              <w:rPr>
                <w:sz w:val="20"/>
                <w:szCs w:val="20"/>
                <w:color w:val="auto"/>
              </w:rPr>
            </w:pPr>
            <w:r>
              <w:rPr>
                <w:rFonts w:ascii="Arial" w:cs="Arial" w:eastAsia="Arial" w:hAnsi="Arial"/>
                <w:sz w:val="14"/>
                <w:szCs w:val="14"/>
                <w:b w:val="1"/>
                <w:bCs w:val="1"/>
                <w:color w:val="1F2668"/>
              </w:rPr>
              <w:t>Threshold</w:t>
            </w:r>
          </w:p>
        </w:tc>
        <w:tc>
          <w:tcPr>
            <w:tcW w:w="1240" w:type="dxa"/>
            <w:vAlign w:val="bottom"/>
          </w:tcPr>
          <w:p>
            <w:pPr>
              <w:ind w:left="400"/>
              <w:spacing w:after="0"/>
              <w:rPr>
                <w:sz w:val="20"/>
                <w:szCs w:val="20"/>
                <w:color w:val="auto"/>
              </w:rPr>
            </w:pPr>
            <w:r>
              <w:rPr>
                <w:rFonts w:ascii="Arial" w:cs="Arial" w:eastAsia="Arial" w:hAnsi="Arial"/>
                <w:sz w:val="14"/>
                <w:szCs w:val="14"/>
                <w:b w:val="1"/>
                <w:bCs w:val="1"/>
                <w:color w:val="1F2668"/>
              </w:rPr>
              <w:t>Target</w:t>
            </w:r>
          </w:p>
        </w:tc>
        <w:tc>
          <w:tcPr>
            <w:tcW w:w="1000" w:type="dxa"/>
            <w:vAlign w:val="bottom"/>
          </w:tcPr>
          <w:p>
            <w:pPr>
              <w:jc w:val="center"/>
              <w:ind w:right="68"/>
              <w:spacing w:after="0"/>
              <w:rPr>
                <w:sz w:val="20"/>
                <w:szCs w:val="20"/>
                <w:color w:val="auto"/>
              </w:rPr>
            </w:pPr>
            <w:r>
              <w:rPr>
                <w:rFonts w:ascii="Arial" w:cs="Arial" w:eastAsia="Arial" w:hAnsi="Arial"/>
                <w:sz w:val="14"/>
                <w:szCs w:val="14"/>
                <w:b w:val="1"/>
                <w:bCs w:val="1"/>
                <w:color w:val="1F2668"/>
              </w:rPr>
              <w:t>Maximum</w:t>
            </w:r>
          </w:p>
        </w:tc>
        <w:tc>
          <w:tcPr>
            <w:tcW w:w="40" w:type="dxa"/>
            <w:vAlign w:val="bottom"/>
          </w:tcPr>
          <w:p>
            <w:pPr>
              <w:spacing w:after="0"/>
              <w:rPr>
                <w:sz w:val="14"/>
                <w:szCs w:val="14"/>
                <w:color w:val="auto"/>
              </w:rPr>
            </w:pPr>
          </w:p>
        </w:tc>
      </w:tr>
      <w:tr>
        <w:trPr>
          <w:trHeight w:val="198"/>
        </w:trPr>
        <w:tc>
          <w:tcPr>
            <w:tcW w:w="3500" w:type="dxa"/>
            <w:vAlign w:val="bottom"/>
          </w:tcPr>
          <w:p>
            <w:pPr>
              <w:spacing w:after="0"/>
              <w:rPr>
                <w:sz w:val="20"/>
                <w:szCs w:val="20"/>
                <w:color w:val="auto"/>
              </w:rPr>
            </w:pPr>
            <w:r>
              <w:rPr>
                <w:rFonts w:ascii="Arial" w:cs="Arial" w:eastAsia="Arial" w:hAnsi="Arial"/>
                <w:sz w:val="14"/>
                <w:szCs w:val="14"/>
                <w:b w:val="1"/>
                <w:bCs w:val="1"/>
                <w:color w:val="1F2668"/>
              </w:rPr>
              <w:t>Performance Criteria / Reason Selected</w:t>
            </w:r>
          </w:p>
        </w:tc>
        <w:tc>
          <w:tcPr>
            <w:tcW w:w="2280" w:type="dxa"/>
            <w:vAlign w:val="bottom"/>
            <w:gridSpan w:val="3"/>
          </w:tcPr>
          <w:p>
            <w:pPr>
              <w:ind w:left="60"/>
              <w:spacing w:after="0" w:line="199" w:lineRule="exact"/>
              <w:rPr>
                <w:sz w:val="20"/>
                <w:szCs w:val="20"/>
                <w:color w:val="auto"/>
              </w:rPr>
            </w:pPr>
            <w:r>
              <w:rPr>
                <w:rFonts w:ascii="Arial" w:cs="Arial" w:eastAsia="Arial" w:hAnsi="Arial"/>
                <w:sz w:val="12"/>
                <w:szCs w:val="12"/>
                <w:b w:val="1"/>
                <w:bCs w:val="1"/>
                <w:color w:val="1F2668"/>
              </w:rPr>
              <w:t xml:space="preserve">​ ​  Weighting  </w:t>
            </w:r>
            <w:r>
              <w:rPr>
                <w:rFonts w:ascii="Arial" w:cs="Arial" w:eastAsia="Arial" w:hAnsi="Arial"/>
                <w:sz w:val="22"/>
                <w:szCs w:val="22"/>
                <w:b w:val="1"/>
                <w:bCs w:val="1"/>
                <w:color w:val="1F2668"/>
                <w:vertAlign w:val="subscript"/>
              </w:rPr>
              <w:t>​</w:t>
            </w:r>
            <w:r>
              <w:rPr>
                <w:rFonts w:ascii="Arial" w:cs="Arial" w:eastAsia="Arial" w:hAnsi="Arial"/>
                <w:sz w:val="12"/>
                <w:szCs w:val="12"/>
                <w:b w:val="1"/>
                <w:bCs w:val="1"/>
                <w:color w:val="1F2668"/>
              </w:rPr>
              <w:t>Stretch Goal ​ ​</w:t>
            </w:r>
          </w:p>
        </w:tc>
        <w:tc>
          <w:tcPr>
            <w:tcW w:w="1040" w:type="dxa"/>
            <w:vAlign w:val="bottom"/>
          </w:tcPr>
          <w:p>
            <w:pPr>
              <w:jc w:val="right"/>
              <w:ind w:right="188"/>
              <w:spacing w:after="0"/>
              <w:rPr>
                <w:sz w:val="20"/>
                <w:szCs w:val="20"/>
                <w:color w:val="auto"/>
              </w:rPr>
            </w:pPr>
            <w:r>
              <w:rPr>
                <w:rFonts w:ascii="Arial" w:cs="Arial" w:eastAsia="Arial" w:hAnsi="Arial"/>
                <w:sz w:val="14"/>
                <w:szCs w:val="14"/>
                <w:b w:val="1"/>
                <w:bCs w:val="1"/>
                <w:color w:val="1F2668"/>
              </w:rPr>
              <w:t>(50%)</w:t>
            </w:r>
          </w:p>
        </w:tc>
        <w:tc>
          <w:tcPr>
            <w:tcW w:w="1240" w:type="dxa"/>
            <w:vAlign w:val="bottom"/>
          </w:tcPr>
          <w:p>
            <w:pPr>
              <w:ind w:left="140"/>
              <w:spacing w:after="0" w:line="199" w:lineRule="exact"/>
              <w:rPr>
                <w:sz w:val="20"/>
                <w:szCs w:val="20"/>
                <w:color w:val="auto"/>
              </w:rPr>
            </w:pPr>
            <w:r>
              <w:rPr>
                <w:rFonts w:ascii="Arial" w:cs="Arial" w:eastAsia="Arial" w:hAnsi="Arial"/>
                <w:sz w:val="22"/>
                <w:szCs w:val="22"/>
                <w:b w:val="1"/>
                <w:bCs w:val="1"/>
                <w:color w:val="1F2668"/>
                <w:vertAlign w:val="subscript"/>
              </w:rPr>
              <w:t>​​</w:t>
            </w:r>
            <w:r>
              <w:rPr>
                <w:rFonts w:ascii="Arial" w:cs="Arial" w:eastAsia="Arial" w:hAnsi="Arial"/>
                <w:sz w:val="12"/>
                <w:szCs w:val="12"/>
                <w:b w:val="1"/>
                <w:bCs w:val="1"/>
                <w:color w:val="1F2668"/>
              </w:rPr>
              <w:t xml:space="preserve">   (100%)   </w:t>
            </w:r>
            <w:r>
              <w:rPr>
                <w:rFonts w:ascii="Arial" w:cs="Arial" w:eastAsia="Arial" w:hAnsi="Arial"/>
                <w:sz w:val="22"/>
                <w:szCs w:val="22"/>
                <w:b w:val="1"/>
                <w:bCs w:val="1"/>
                <w:color w:val="1F2668"/>
                <w:vertAlign w:val="subscript"/>
              </w:rPr>
              <w:t>​</w:t>
            </w:r>
          </w:p>
        </w:tc>
        <w:tc>
          <w:tcPr>
            <w:tcW w:w="1000" w:type="dxa"/>
            <w:vAlign w:val="bottom"/>
          </w:tcPr>
          <w:p>
            <w:pPr>
              <w:jc w:val="right"/>
              <w:ind w:right="248"/>
              <w:spacing w:after="0"/>
              <w:rPr>
                <w:sz w:val="20"/>
                <w:szCs w:val="20"/>
                <w:color w:val="auto"/>
              </w:rPr>
            </w:pPr>
            <w:r>
              <w:rPr>
                <w:rFonts w:ascii="Arial" w:cs="Arial" w:eastAsia="Arial" w:hAnsi="Arial"/>
                <w:sz w:val="14"/>
                <w:szCs w:val="14"/>
                <w:b w:val="1"/>
                <w:bCs w:val="1"/>
                <w:color w:val="1F2668"/>
              </w:rPr>
              <w:t>(200%)</w:t>
            </w:r>
          </w:p>
        </w:tc>
        <w:tc>
          <w:tcPr>
            <w:tcW w:w="40" w:type="dxa"/>
            <w:vAlign w:val="bottom"/>
          </w:tcPr>
          <w:p>
            <w:pPr>
              <w:spacing w:after="0"/>
              <w:rPr>
                <w:sz w:val="20"/>
                <w:szCs w:val="20"/>
                <w:color w:val="auto"/>
              </w:rPr>
            </w:pPr>
            <w:r>
              <w:rPr>
                <w:rFonts w:ascii="Arial" w:cs="Arial" w:eastAsia="Arial" w:hAnsi="Arial"/>
                <w:sz w:val="14"/>
                <w:szCs w:val="14"/>
                <w:b w:val="1"/>
                <w:bCs w:val="1"/>
                <w:color w:val="1F2668"/>
              </w:rPr>
              <w:t>​</w:t>
            </w:r>
          </w:p>
        </w:tc>
      </w:tr>
      <w:tr>
        <w:trPr>
          <w:trHeight w:val="20"/>
        </w:trPr>
        <w:tc>
          <w:tcPr>
            <w:tcW w:w="3500" w:type="dxa"/>
            <w:vAlign w:val="bottom"/>
            <w:shd w:val="clear" w:color="auto" w:fill="1F266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shd w:val="clear" w:color="auto" w:fill="1F266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1F2668"/>
          </w:tcPr>
          <w:p>
            <w:pPr>
              <w:spacing w:after="0" w:line="20" w:lineRule="exact"/>
              <w:rPr>
                <w:sz w:val="1"/>
                <w:szCs w:val="1"/>
                <w:color w:val="auto"/>
              </w:rPr>
            </w:pPr>
          </w:p>
        </w:tc>
        <w:tc>
          <w:tcPr>
            <w:tcW w:w="1240" w:type="dxa"/>
            <w:vAlign w:val="bottom"/>
            <w:shd w:val="clear" w:color="auto" w:fill="1F2668"/>
          </w:tcPr>
          <w:p>
            <w:pPr>
              <w:spacing w:after="0" w:line="20" w:lineRule="exact"/>
              <w:rPr>
                <w:sz w:val="1"/>
                <w:szCs w:val="1"/>
                <w:color w:val="auto"/>
              </w:rPr>
            </w:pPr>
          </w:p>
        </w:tc>
        <w:tc>
          <w:tcPr>
            <w:tcW w:w="1000" w:type="dxa"/>
            <w:vAlign w:val="bottom"/>
            <w:shd w:val="clear" w:color="auto" w:fill="1F266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 w:lineRule="exact"/>
        <w:rPr>
          <w:sz w:val="20"/>
          <w:szCs w:val="20"/>
          <w:color w:val="auto"/>
        </w:rPr>
      </w:pPr>
    </w:p>
    <w:p>
      <w:pPr>
        <w:sectPr>
          <w:pgSz w:w="11900" w:h="16838" w:orient="portrait"/>
          <w:cols w:equalWidth="0" w:num="1">
            <w:col w:w="10720"/>
          </w:cols>
          <w:pgMar w:left="580" w:top="97" w:right="599" w:bottom="1440" w:gutter="0" w:footer="0" w:header="0"/>
        </w:sectPr>
      </w:pPr>
    </w:p>
    <w:p>
      <w:pPr>
        <w:ind w:left="820"/>
        <w:spacing w:after="0"/>
        <w:rPr>
          <w:sz w:val="20"/>
          <w:szCs w:val="20"/>
          <w:color w:val="auto"/>
        </w:rPr>
      </w:pPr>
      <w:r>
        <w:rPr>
          <w:rFonts w:ascii="Arial" w:cs="Arial" w:eastAsia="Arial" w:hAnsi="Arial"/>
          <w:sz w:val="16"/>
          <w:szCs w:val="16"/>
          <w:b w:val="1"/>
          <w:bCs w:val="1"/>
          <w:color w:val="1F2668"/>
        </w:rPr>
        <w:t>Normalized Funds Available for Distribution</w:t>
      </w:r>
      <w:r>
        <w:rPr>
          <w:rFonts w:ascii="Arial" w:cs="Arial" w:eastAsia="Arial" w:hAnsi="Arial"/>
          <w:sz w:val="19"/>
          <w:szCs w:val="19"/>
          <w:b w:val="1"/>
          <w:bCs w:val="1"/>
          <w:color w:val="1F2668"/>
          <w:vertAlign w:val="superscript"/>
        </w:rPr>
        <w:t>(1)</w:t>
      </w:r>
    </w:p>
    <w:p>
      <w:pPr>
        <w:spacing w:after="0" w:line="69" w:lineRule="exact"/>
        <w:rPr>
          <w:sz w:val="20"/>
          <w:szCs w:val="20"/>
          <w:color w:val="auto"/>
        </w:rPr>
      </w:pPr>
    </w:p>
    <w:p>
      <w:pPr>
        <w:ind w:left="980" w:right="2560" w:hanging="159"/>
        <w:spacing w:after="0" w:line="230" w:lineRule="auto"/>
        <w:tabs>
          <w:tab w:leader="none" w:pos="960" w:val="left"/>
        </w:tabs>
        <w:rPr>
          <w:sz w:val="20"/>
          <w:szCs w:val="20"/>
          <w:color w:val="auto"/>
        </w:rPr>
      </w:pPr>
      <w:r>
        <w:rPr>
          <w:rFonts w:ascii="Arial" w:cs="Arial" w:eastAsia="Arial" w:hAnsi="Arial"/>
          <w:sz w:val="16"/>
          <w:szCs w:val="16"/>
          <w:color w:val="auto"/>
        </w:rPr>
        <w:t>•</w:t>
        <w:tab/>
        <w:t>A key measure of operating cash flow that is ​ ​ 20% ​ $228.0M ​ ​ driven by the effective management of our</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portfolio and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1905</wp:posOffset>
            </wp:positionV>
            <wp:extent cx="354012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19"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1F2668"/>
        </w:rPr>
        <w:t>Combined Net Debt Reduction</w:t>
      </w:r>
      <w:r>
        <w:rPr>
          <w:rFonts w:ascii="Arial" w:cs="Arial" w:eastAsia="Arial" w:hAnsi="Arial"/>
          <w:sz w:val="19"/>
          <w:szCs w:val="19"/>
          <w:b w:val="1"/>
          <w:bCs w:val="1"/>
          <w:color w:val="1F2668"/>
          <w:vertAlign w:val="superscript"/>
        </w:rPr>
        <w:t>(2)</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-2078355</wp:posOffset>
            </wp:positionH>
            <wp:positionV relativeFrom="paragraph">
              <wp:posOffset>226695</wp:posOffset>
            </wp:positionV>
            <wp:extent cx="208280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082800" cy="8255"/>
                    </a:xfrm>
                    <a:prstGeom prst="rect">
                      <a:avLst/>
                    </a:prstGeom>
                    <a:noFill/>
                  </pic:spPr>
                </pic:pic>
              </a:graphicData>
            </a:graphic>
          </wp:anchor>
        </w:drawing>
        <w:drawing>
          <wp:anchor simplePos="0" relativeHeight="251657728" behindDoc="1" locked="0" layoutInCell="0" allowOverlap="1">
            <wp:simplePos x="0" y="0"/>
            <wp:positionH relativeFrom="column">
              <wp:posOffset>-2070100</wp:posOffset>
            </wp:positionH>
            <wp:positionV relativeFrom="paragraph">
              <wp:posOffset>-252730</wp:posOffset>
            </wp:positionV>
            <wp:extent cx="2065655" cy="41148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065655" cy="411480"/>
                    </a:xfrm>
                    <a:prstGeom prst="rect">
                      <a:avLst/>
                    </a:prstGeom>
                    <a:noFill/>
                  </pic:spPr>
                </pic:pic>
              </a:graphicData>
            </a:graphic>
          </wp:anchor>
        </w:drawing>
        <w:drawing>
          <wp:anchor simplePos="0" relativeHeight="251657728" behindDoc="1" locked="0" layoutInCell="0" allowOverlap="1">
            <wp:simplePos x="0" y="0"/>
            <wp:positionH relativeFrom="column">
              <wp:posOffset>-2061210</wp:posOffset>
            </wp:positionH>
            <wp:positionV relativeFrom="paragraph">
              <wp:posOffset>295275</wp:posOffset>
            </wp:positionV>
            <wp:extent cx="2057400" cy="41148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057400" cy="411480"/>
                    </a:xfrm>
                    <a:prstGeom prst="rect">
                      <a:avLst/>
                    </a:prstGeom>
                    <a:noFill/>
                  </pic:spPr>
                </pic:pic>
              </a:graphicData>
            </a:graphic>
          </wp:anchor>
        </w:drawing>
      </w:r>
    </w:p>
    <w:p>
      <w:pPr>
        <w:spacing w:after="0" w:line="679" w:lineRule="exact"/>
        <w:rPr>
          <w:sz w:val="20"/>
          <w:szCs w:val="20"/>
          <w:color w:val="auto"/>
        </w:rPr>
      </w:pPr>
    </w:p>
    <w:p>
      <w:pPr>
        <w:sectPr>
          <w:pgSz w:w="11900" w:h="16838" w:orient="portrait"/>
          <w:cols w:equalWidth="0" w:num="2">
            <w:col w:w="9160" w:space="720"/>
            <w:col w:w="840"/>
          </w:cols>
          <w:pgMar w:left="580" w:top="97" w:right="599" w:bottom="1440" w:gutter="0" w:footer="0" w:header="0"/>
          <w:type w:val="continuous"/>
        </w:sectPr>
      </w:pPr>
    </w:p>
    <w:p>
      <w:pPr>
        <w:spacing w:after="0" w:line="14" w:lineRule="exact"/>
        <w:rPr>
          <w:sz w:val="20"/>
          <w:szCs w:val="20"/>
          <w:color w:val="auto"/>
        </w:rPr>
      </w:pPr>
    </w:p>
    <w:p>
      <w:pPr>
        <w:ind w:left="980" w:right="300" w:hanging="164"/>
        <w:spacing w:after="0" w:line="234" w:lineRule="auto"/>
        <w:tabs>
          <w:tab w:leader="none" w:pos="9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 measure that reflects the health of our balance sheet and the execution of a key strategic business objective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-6350</wp:posOffset>
            </wp:positionV>
            <wp:extent cx="222885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9" w:lineRule="exact"/>
        <w:rPr>
          <w:sz w:val="20"/>
          <w:szCs w:val="20"/>
          <w:color w:val="auto"/>
        </w:rPr>
      </w:pPr>
    </w:p>
    <w:p>
      <w:pPr>
        <w:ind w:left="820" w:right="540"/>
        <w:spacing w:after="0" w:line="261" w:lineRule="auto"/>
        <w:rPr>
          <w:sz w:val="20"/>
          <w:szCs w:val="20"/>
          <w:color w:val="auto"/>
        </w:rPr>
      </w:pPr>
      <w:r>
        <w:rPr>
          <w:rFonts w:ascii="Arial" w:cs="Arial" w:eastAsia="Arial" w:hAnsi="Arial"/>
          <w:sz w:val="16"/>
          <w:szCs w:val="16"/>
          <w:b w:val="1"/>
          <w:bCs w:val="1"/>
          <w:color w:val="1F2668"/>
        </w:rPr>
        <w:t>Manhattan Same Store Office Leased Occupancy</w:t>
      </w:r>
    </w:p>
    <w:p>
      <w:pPr>
        <w:spacing w:after="0" w:line="32" w:lineRule="exact"/>
        <w:rPr>
          <w:sz w:val="20"/>
          <w:szCs w:val="20"/>
          <w:color w:val="auto"/>
        </w:rPr>
      </w:pPr>
    </w:p>
    <w:p>
      <w:pPr>
        <w:ind w:left="980" w:hanging="164"/>
        <w:spacing w:after="0" w:line="234" w:lineRule="auto"/>
        <w:tabs>
          <w:tab w:leader="none" w:pos="9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 measure of how effectively we manage properties owned by us in a similar manner in both reporting periods (year over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1270</wp:posOffset>
            </wp:positionV>
            <wp:extent cx="222885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2"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1F2668"/>
        </w:rPr>
        <w:t>Manhattan Office Leasing Volume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60" w:type="dxa"/>
            <w:vAlign w:val="bottom"/>
          </w:tcPr>
          <w:p>
            <w:pPr>
              <w:spacing w:after="0"/>
              <w:rPr>
                <w:sz w:val="20"/>
                <w:szCs w:val="20"/>
                <w:color w:val="auto"/>
              </w:rPr>
            </w:pPr>
            <w:r>
              <w:rPr>
                <w:rFonts w:ascii="Arial" w:cs="Arial" w:eastAsia="Arial" w:hAnsi="Arial"/>
                <w:sz w:val="16"/>
                <w:szCs w:val="16"/>
                <w:color w:val="auto"/>
              </w:rPr>
              <w:t>​ ​</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20%</w:t>
            </w:r>
          </w:p>
        </w:tc>
        <w:tc>
          <w:tcPr>
            <w:tcW w:w="300" w:type="dxa"/>
            <w:vAlign w:val="bottom"/>
          </w:tcPr>
          <w:p>
            <w:pPr>
              <w:ind w:left="160"/>
              <w:spacing w:after="0"/>
              <w:rPr>
                <w:sz w:val="20"/>
                <w:szCs w:val="20"/>
                <w:color w:val="auto"/>
              </w:rPr>
            </w:pPr>
            <w:r>
              <w:rPr>
                <w:rFonts w:ascii="Arial" w:cs="Arial" w:eastAsia="Arial" w:hAnsi="Arial"/>
                <w:sz w:val="16"/>
                <w:szCs w:val="16"/>
                <w:color w:val="auto"/>
              </w:rPr>
              <w:t>​</w:t>
            </w:r>
          </w:p>
        </w:tc>
        <w:tc>
          <w:tcPr>
            <w:tcW w:w="720" w:type="dxa"/>
            <w:vAlign w:val="bottom"/>
          </w:tcPr>
          <w:p>
            <w:pPr>
              <w:jc w:val="center"/>
              <w:ind w:right="39"/>
              <w:spacing w:after="0"/>
              <w:rPr>
                <w:sz w:val="20"/>
                <w:szCs w:val="20"/>
                <w:color w:val="auto"/>
              </w:rPr>
            </w:pPr>
            <w:r>
              <w:rPr>
                <w:rFonts w:ascii="Arial" w:cs="Arial" w:eastAsia="Arial" w:hAnsi="Arial"/>
                <w:sz w:val="16"/>
                <w:szCs w:val="16"/>
                <w:color w:val="auto"/>
                <w:w w:val="95"/>
              </w:rPr>
              <w:t>$1.1B</w:t>
            </w:r>
          </w:p>
        </w:tc>
        <w:tc>
          <w:tcPr>
            <w:tcW w:w="220" w:type="dxa"/>
            <w:vAlign w:val="bottom"/>
          </w:tcPr>
          <w:p>
            <w:pPr>
              <w:ind w:left="60"/>
              <w:spacing w:after="0"/>
              <w:rPr>
                <w:sz w:val="20"/>
                <w:szCs w:val="20"/>
                <w:color w:val="auto"/>
              </w:rPr>
            </w:pPr>
            <w:r>
              <w:rPr>
                <w:rFonts w:ascii="Arial" w:cs="Arial" w:eastAsia="Arial" w:hAnsi="Arial"/>
                <w:sz w:val="16"/>
                <w:szCs w:val="16"/>
                <w:color w:val="auto"/>
              </w:rPr>
              <w:t>​ ​</w:t>
            </w:r>
          </w:p>
        </w:tc>
      </w:tr>
      <w:tr>
        <w:trPr>
          <w:trHeight w:val="326"/>
        </w:trPr>
        <w:tc>
          <w:tcPr>
            <w:tcW w:w="160" w:type="dxa"/>
            <w:vAlign w:val="bottom"/>
          </w:tcPr>
          <w:p>
            <w:pPr>
              <w:spacing w:after="0"/>
              <w:rPr>
                <w:sz w:val="24"/>
                <w:szCs w:val="24"/>
                <w:color w:val="auto"/>
              </w:rPr>
            </w:pPr>
          </w:p>
        </w:tc>
        <w:tc>
          <w:tcPr>
            <w:tcW w:w="820" w:type="dxa"/>
            <w:vAlign w:val="bottom"/>
            <w:tcBorders>
              <w:bottom w:val="single" w:sz="8" w:color="4B5088"/>
            </w:tcBorders>
          </w:tcPr>
          <w:p>
            <w:pPr>
              <w:spacing w:after="0"/>
              <w:rPr>
                <w:sz w:val="24"/>
                <w:szCs w:val="24"/>
                <w:color w:val="auto"/>
              </w:rPr>
            </w:pPr>
          </w:p>
        </w:tc>
        <w:tc>
          <w:tcPr>
            <w:tcW w:w="300" w:type="dxa"/>
            <w:vAlign w:val="bottom"/>
            <w:tcBorders>
              <w:bottom w:val="single" w:sz="8" w:color="4B5088"/>
            </w:tcBorders>
          </w:tcPr>
          <w:p>
            <w:pPr>
              <w:spacing w:after="0"/>
              <w:rPr>
                <w:sz w:val="24"/>
                <w:szCs w:val="24"/>
                <w:color w:val="auto"/>
              </w:rPr>
            </w:pPr>
          </w:p>
        </w:tc>
        <w:tc>
          <w:tcPr>
            <w:tcW w:w="720" w:type="dxa"/>
            <w:vAlign w:val="bottom"/>
            <w:tcBorders>
              <w:bottom w:val="single" w:sz="8" w:color="4B5088"/>
            </w:tcBorders>
          </w:tcPr>
          <w:p>
            <w:pPr>
              <w:spacing w:after="0"/>
              <w:rPr>
                <w:sz w:val="24"/>
                <w:szCs w:val="24"/>
                <w:color w:val="auto"/>
              </w:rPr>
            </w:pPr>
          </w:p>
        </w:tc>
        <w:tc>
          <w:tcPr>
            <w:tcW w:w="220" w:type="dxa"/>
            <w:vAlign w:val="bottom"/>
          </w:tcPr>
          <w:p>
            <w:pPr>
              <w:spacing w:after="0"/>
              <w:rPr>
                <w:sz w:val="24"/>
                <w:szCs w:val="24"/>
                <w:color w:val="auto"/>
              </w:rPr>
            </w:pPr>
          </w:p>
        </w:tc>
      </w:tr>
      <w:tr>
        <w:trPr>
          <w:trHeight w:val="599"/>
        </w:trPr>
        <w:tc>
          <w:tcPr>
            <w:tcW w:w="160" w:type="dxa"/>
            <w:vAlign w:val="bottom"/>
          </w:tcPr>
          <w:p>
            <w:pPr>
              <w:spacing w:after="0"/>
              <w:rPr>
                <w:sz w:val="20"/>
                <w:szCs w:val="20"/>
                <w:color w:val="auto"/>
              </w:rPr>
            </w:pPr>
            <w:r>
              <w:rPr>
                <w:rFonts w:ascii="Arial" w:cs="Arial" w:eastAsia="Arial" w:hAnsi="Arial"/>
                <w:sz w:val="16"/>
                <w:szCs w:val="16"/>
                <w:color w:val="auto"/>
              </w:rPr>
              <w:t>​ ​</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20%</w:t>
            </w:r>
          </w:p>
        </w:tc>
        <w:tc>
          <w:tcPr>
            <w:tcW w:w="300" w:type="dxa"/>
            <w:vAlign w:val="bottom"/>
          </w:tcPr>
          <w:p>
            <w:pPr>
              <w:ind w:left="16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19"/>
              <w:spacing w:after="0"/>
              <w:rPr>
                <w:sz w:val="20"/>
                <w:szCs w:val="20"/>
                <w:color w:val="auto"/>
              </w:rPr>
            </w:pPr>
            <w:r>
              <w:rPr>
                <w:rFonts w:ascii="Arial" w:cs="Arial" w:eastAsia="Arial" w:hAnsi="Arial"/>
                <w:sz w:val="16"/>
                <w:szCs w:val="16"/>
                <w:color w:val="auto"/>
              </w:rPr>
              <w:t>91.6%</w:t>
            </w:r>
          </w:p>
        </w:tc>
        <w:tc>
          <w:tcPr>
            <w:tcW w:w="220" w:type="dxa"/>
            <w:vAlign w:val="bottom"/>
          </w:tcPr>
          <w:p>
            <w:pPr>
              <w:ind w:left="60"/>
              <w:spacing w:after="0"/>
              <w:rPr>
                <w:sz w:val="20"/>
                <w:szCs w:val="20"/>
                <w:color w:val="auto"/>
              </w:rPr>
            </w:pPr>
            <w:r>
              <w:rPr>
                <w:rFonts w:ascii="Arial" w:cs="Arial" w:eastAsia="Arial" w:hAnsi="Arial"/>
                <w:sz w:val="16"/>
                <w:szCs w:val="16"/>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250190</wp:posOffset>
            </wp:positionV>
            <wp:extent cx="117475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1747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-2078355</wp:posOffset>
            </wp:positionH>
            <wp:positionV relativeFrom="paragraph">
              <wp:posOffset>226695</wp:posOffset>
            </wp:positionV>
            <wp:extent cx="20828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082800" cy="8890"/>
                    </a:xfrm>
                    <a:prstGeom prst="rect">
                      <a:avLst/>
                    </a:prstGeom>
                    <a:noFill/>
                  </pic:spPr>
                </pic:pic>
              </a:graphicData>
            </a:graphic>
          </wp:anchor>
        </w:drawing>
        <w:drawing>
          <wp:anchor simplePos="0" relativeHeight="251657728" behindDoc="1" locked="0" layoutInCell="0" allowOverlap="1">
            <wp:simplePos x="0" y="0"/>
            <wp:positionH relativeFrom="column">
              <wp:posOffset>-2061210</wp:posOffset>
            </wp:positionH>
            <wp:positionV relativeFrom="paragraph">
              <wp:posOffset>346710</wp:posOffset>
            </wp:positionV>
            <wp:extent cx="2057400" cy="41148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05740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-2078355</wp:posOffset>
            </wp:positionH>
            <wp:positionV relativeFrom="paragraph">
              <wp:posOffset>269240</wp:posOffset>
            </wp:positionV>
            <wp:extent cx="208280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082800" cy="8255"/>
                    </a:xfrm>
                    <a:prstGeom prst="rect">
                      <a:avLst/>
                    </a:prstGeom>
                    <a:noFill/>
                  </pic:spPr>
                </pic:pic>
              </a:graphicData>
            </a:graphic>
          </wp:anchor>
        </w:drawing>
        <w:drawing>
          <wp:anchor simplePos="0" relativeHeight="251657728" behindDoc="1" locked="0" layoutInCell="0" allowOverlap="1">
            <wp:simplePos x="0" y="0"/>
            <wp:positionH relativeFrom="column">
              <wp:posOffset>-2061210</wp:posOffset>
            </wp:positionH>
            <wp:positionV relativeFrom="paragraph">
              <wp:posOffset>337820</wp:posOffset>
            </wp:positionV>
            <wp:extent cx="2057400" cy="41148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057400" cy="411480"/>
                    </a:xfrm>
                    <a:prstGeom prst="rect">
                      <a:avLst/>
                    </a:prstGeom>
                    <a:noFill/>
                  </pic:spPr>
                </pic:pic>
              </a:graphicData>
            </a:graphic>
          </wp:anchor>
        </w:drawing>
      </w:r>
    </w:p>
    <w:p>
      <w:pPr>
        <w:spacing w:after="0" w:line="725" w:lineRule="exact"/>
        <w:rPr>
          <w:sz w:val="20"/>
          <w:szCs w:val="20"/>
          <w:color w:val="auto"/>
        </w:rPr>
      </w:pPr>
    </w:p>
    <w:p>
      <w:pPr>
        <w:sectPr>
          <w:pgSz w:w="11900" w:h="16838" w:orient="portrait"/>
          <w:cols w:equalWidth="0" w:num="3">
            <w:col w:w="4160" w:space="220"/>
            <w:col w:w="4780" w:space="720"/>
            <w:col w:w="840"/>
          </w:cols>
          <w:pgMar w:left="580" w:top="97" w:right="599" w:bottom="1440" w:gutter="0" w:footer="0" w:header="0"/>
          <w:type w:val="continuous"/>
        </w:sectPr>
      </w:pPr>
    </w:p>
    <w:tbl>
      <w:tblPr>
        <w:tblLayout w:type="fixed"/>
        <w:tblInd w:w="820" w:type="dxa"/>
        <w:tblCellMar>
          <w:top w:w="0" w:type="dxa"/>
          <w:left w:w="0" w:type="dxa"/>
          <w:bottom w:w="0" w:type="dxa"/>
          <w:right w:w="0" w:type="dxa"/>
        </w:tblCellMar>
      </w:tblPr>
      <w:tr>
        <w:trPr>
          <w:trHeight w:val="184"/>
        </w:trPr>
        <w:tc>
          <w:tcPr>
            <w:tcW w:w="3500" w:type="dxa"/>
            <w:vAlign w:val="bottom"/>
          </w:tcPr>
          <w:p>
            <w:pPr>
              <w:spacing w:after="0"/>
              <w:rPr>
                <w:sz w:val="20"/>
                <w:szCs w:val="20"/>
                <w:color w:val="auto"/>
              </w:rPr>
            </w:pPr>
            <w:r>
              <w:rPr>
                <w:rFonts w:ascii="Arial" w:cs="Arial" w:eastAsia="Arial" w:hAnsi="Arial"/>
                <w:sz w:val="16"/>
                <w:szCs w:val="16"/>
                <w:color w:val="auto"/>
              </w:rPr>
              <w:t>• A measure of our ability to execute our leasing</w:t>
            </w:r>
          </w:p>
        </w:tc>
        <w:tc>
          <w:tcPr>
            <w:tcW w:w="220" w:type="dxa"/>
            <w:vAlign w:val="bottom"/>
          </w:tcPr>
          <w:p>
            <w:pPr>
              <w:ind w:left="60"/>
              <w:spacing w:after="0"/>
              <w:rPr>
                <w:sz w:val="20"/>
                <w:szCs w:val="20"/>
                <w:color w:val="auto"/>
              </w:rPr>
            </w:pPr>
            <w:r>
              <w:rPr>
                <w:rFonts w:ascii="Arial" w:cs="Arial" w:eastAsia="Arial" w:hAnsi="Arial"/>
                <w:sz w:val="16"/>
                <w:szCs w:val="16"/>
                <w:color w:val="auto"/>
              </w:rPr>
              <w:t>​ ​</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20%</w:t>
            </w:r>
          </w:p>
        </w:tc>
        <w:tc>
          <w:tcPr>
            <w:tcW w:w="260" w:type="dxa"/>
            <w:vAlign w:val="bottom"/>
          </w:tcPr>
          <w:p>
            <w:pPr>
              <w:ind w:left="160"/>
              <w:spacing w:after="0"/>
              <w:rPr>
                <w:sz w:val="20"/>
                <w:szCs w:val="20"/>
                <w:color w:val="auto"/>
              </w:rPr>
            </w:pPr>
            <w:r>
              <w:rPr>
                <w:rFonts w:ascii="Arial" w:cs="Arial" w:eastAsia="Arial" w:hAnsi="Arial"/>
                <w:sz w:val="16"/>
                <w:szCs w:val="16"/>
                <w:color w:val="auto"/>
              </w:rPr>
              <w:t>​</w:t>
            </w:r>
          </w:p>
        </w:tc>
        <w:tc>
          <w:tcPr>
            <w:tcW w:w="760" w:type="dxa"/>
            <w:vAlign w:val="bottom"/>
          </w:tcPr>
          <w:p>
            <w:pPr>
              <w:jc w:val="center"/>
              <w:spacing w:after="0"/>
              <w:rPr>
                <w:sz w:val="20"/>
                <w:szCs w:val="20"/>
                <w:color w:val="auto"/>
              </w:rPr>
            </w:pPr>
            <w:r>
              <w:rPr>
                <w:rFonts w:ascii="Arial" w:cs="Arial" w:eastAsia="Arial" w:hAnsi="Arial"/>
                <w:sz w:val="16"/>
                <w:szCs w:val="16"/>
                <w:color w:val="auto"/>
                <w:w w:val="99"/>
              </w:rPr>
              <w:t>2.0M SF</w:t>
            </w:r>
          </w:p>
        </w:tc>
        <w:tc>
          <w:tcPr>
            <w:tcW w:w="220" w:type="dxa"/>
            <w:vAlign w:val="bottom"/>
          </w:tcPr>
          <w:p>
            <w:pPr>
              <w:ind w:left="60"/>
              <w:spacing w:after="0"/>
              <w:rPr>
                <w:sz w:val="20"/>
                <w:szCs w:val="20"/>
                <w:color w:val="auto"/>
              </w:rPr>
            </w:pPr>
            <w:r>
              <w:rPr>
                <w:rFonts w:ascii="Arial" w:cs="Arial" w:eastAsia="Arial" w:hAnsi="Arial"/>
                <w:sz w:val="16"/>
                <w:szCs w:val="16"/>
                <w:color w:val="auto"/>
              </w:rPr>
              <w:t>​ ​</w:t>
            </w:r>
          </w:p>
        </w:tc>
      </w:tr>
      <w:tr>
        <w:trPr>
          <w:trHeight w:val="148"/>
        </w:trPr>
        <w:tc>
          <w:tcPr>
            <w:tcW w:w="3500" w:type="dxa"/>
            <w:vAlign w:val="bottom"/>
          </w:tcPr>
          <w:p>
            <w:pPr>
              <w:ind w:left="160"/>
              <w:spacing w:after="0" w:line="148" w:lineRule="exact"/>
              <w:rPr>
                <w:sz w:val="20"/>
                <w:szCs w:val="20"/>
                <w:color w:val="auto"/>
              </w:rPr>
            </w:pPr>
            <w:r>
              <w:rPr>
                <w:rFonts w:ascii="Arial" w:cs="Arial" w:eastAsia="Arial" w:hAnsi="Arial"/>
                <w:sz w:val="16"/>
                <w:szCs w:val="16"/>
                <w:color w:val="auto"/>
                <w:w w:val="97"/>
              </w:rPr>
              <w:t>platform in the highly competitive New York City</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5"/>
        </w:trPr>
        <w:tc>
          <w:tcPr>
            <w:tcW w:w="3500" w:type="dxa"/>
            <w:vAlign w:val="bottom"/>
            <w:tcBorders>
              <w:bottom w:val="single" w:sz="8" w:color="4B5088"/>
            </w:tcBorders>
          </w:tcPr>
          <w:p>
            <w:pPr>
              <w:ind w:left="160"/>
              <w:spacing w:after="0"/>
              <w:rPr>
                <w:sz w:val="20"/>
                <w:szCs w:val="20"/>
                <w:color w:val="auto"/>
              </w:rPr>
            </w:pPr>
            <w:r>
              <w:rPr>
                <w:rFonts w:ascii="Arial" w:cs="Arial" w:eastAsia="Arial" w:hAnsi="Arial"/>
                <w:sz w:val="16"/>
                <w:szCs w:val="16"/>
                <w:color w:val="auto"/>
              </w:rPr>
              <w:t>real estate market</w:t>
            </w:r>
          </w:p>
        </w:tc>
        <w:tc>
          <w:tcPr>
            <w:tcW w:w="220" w:type="dxa"/>
            <w:vAlign w:val="bottom"/>
          </w:tcPr>
          <w:p>
            <w:pPr>
              <w:spacing w:after="0"/>
              <w:rPr>
                <w:sz w:val="18"/>
                <w:szCs w:val="18"/>
                <w:color w:val="auto"/>
              </w:rPr>
            </w:pPr>
          </w:p>
        </w:tc>
        <w:tc>
          <w:tcPr>
            <w:tcW w:w="820" w:type="dxa"/>
            <w:vAlign w:val="bottom"/>
            <w:tcBorders>
              <w:bottom w:val="single" w:sz="8" w:color="4B5088"/>
            </w:tcBorders>
          </w:tcPr>
          <w:p>
            <w:pPr>
              <w:spacing w:after="0"/>
              <w:rPr>
                <w:sz w:val="18"/>
                <w:szCs w:val="18"/>
                <w:color w:val="auto"/>
              </w:rPr>
            </w:pPr>
          </w:p>
        </w:tc>
        <w:tc>
          <w:tcPr>
            <w:tcW w:w="260" w:type="dxa"/>
            <w:vAlign w:val="bottom"/>
            <w:tcBorders>
              <w:bottom w:val="single" w:sz="8" w:color="4B5088"/>
            </w:tcBorders>
          </w:tcPr>
          <w:p>
            <w:pPr>
              <w:spacing w:after="0"/>
              <w:rPr>
                <w:sz w:val="18"/>
                <w:szCs w:val="18"/>
                <w:color w:val="auto"/>
              </w:rPr>
            </w:pPr>
          </w:p>
        </w:tc>
        <w:tc>
          <w:tcPr>
            <w:tcW w:w="760" w:type="dxa"/>
            <w:vAlign w:val="bottom"/>
            <w:tcBorders>
              <w:bottom w:val="single" w:sz="8" w:color="4B5088"/>
            </w:tcBorders>
          </w:tcPr>
          <w:p>
            <w:pPr>
              <w:spacing w:after="0"/>
              <w:rPr>
                <w:sz w:val="18"/>
                <w:szCs w:val="18"/>
                <w:color w:val="auto"/>
              </w:rPr>
            </w:pPr>
          </w:p>
        </w:tc>
        <w:tc>
          <w:tcPr>
            <w:tcW w:w="220" w:type="dxa"/>
            <w:vAlign w:val="bottom"/>
          </w:tcPr>
          <w:p>
            <w:pPr>
              <w:spacing w:after="0"/>
              <w:rPr>
                <w:sz w:val="18"/>
                <w:szCs w:val="18"/>
                <w:color w:val="auto"/>
              </w:rPr>
            </w:pPr>
          </w:p>
        </w:tc>
      </w:tr>
      <w:tr>
        <w:trPr>
          <w:trHeight w:val="300"/>
        </w:trPr>
        <w:tc>
          <w:tcPr>
            <w:tcW w:w="3500" w:type="dxa"/>
            <w:vAlign w:val="bottom"/>
          </w:tcPr>
          <w:p>
            <w:pPr>
              <w:spacing w:after="0"/>
              <w:rPr>
                <w:sz w:val="20"/>
                <w:szCs w:val="20"/>
                <w:color w:val="auto"/>
              </w:rPr>
            </w:pPr>
            <w:r>
              <w:rPr>
                <w:rFonts w:ascii="Arial" w:cs="Arial" w:eastAsia="Arial" w:hAnsi="Arial"/>
                <w:sz w:val="16"/>
                <w:szCs w:val="16"/>
                <w:b w:val="1"/>
                <w:bCs w:val="1"/>
                <w:color w:val="1F2668"/>
              </w:rPr>
              <w:t>Liquidity</w:t>
            </w:r>
            <w:r>
              <w:rPr>
                <w:rFonts w:ascii="Arial" w:cs="Arial" w:eastAsia="Arial" w:hAnsi="Arial"/>
                <w:sz w:val="19"/>
                <w:szCs w:val="19"/>
                <w:b w:val="1"/>
                <w:bCs w:val="1"/>
                <w:color w:val="1F2668"/>
                <w:vertAlign w:val="superscript"/>
              </w:rPr>
              <w:t>(3)</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8"/>
        </w:trPr>
        <w:tc>
          <w:tcPr>
            <w:tcW w:w="3500" w:type="dxa"/>
            <w:vAlign w:val="bottom"/>
          </w:tcPr>
          <w:p>
            <w:pPr>
              <w:spacing w:after="0"/>
              <w:rPr>
                <w:sz w:val="20"/>
                <w:szCs w:val="20"/>
                <w:color w:val="auto"/>
              </w:rPr>
            </w:pPr>
            <w:r>
              <w:rPr>
                <w:rFonts w:ascii="Arial" w:cs="Arial" w:eastAsia="Arial" w:hAnsi="Arial"/>
                <w:sz w:val="16"/>
                <w:szCs w:val="16"/>
                <w:color w:val="auto"/>
              </w:rPr>
              <w:t>• A measure of our ability to meet our financial</w:t>
            </w:r>
          </w:p>
        </w:tc>
        <w:tc>
          <w:tcPr>
            <w:tcW w:w="220" w:type="dxa"/>
            <w:vAlign w:val="bottom"/>
          </w:tcPr>
          <w:p>
            <w:pPr>
              <w:ind w:left="60"/>
              <w:spacing w:after="0"/>
              <w:rPr>
                <w:sz w:val="20"/>
                <w:szCs w:val="20"/>
                <w:color w:val="auto"/>
              </w:rPr>
            </w:pPr>
            <w:r>
              <w:rPr>
                <w:rFonts w:ascii="Arial" w:cs="Arial" w:eastAsia="Arial" w:hAnsi="Arial"/>
                <w:sz w:val="16"/>
                <w:szCs w:val="16"/>
                <w:color w:val="auto"/>
              </w:rPr>
              <w:t>​ ​</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20%</w:t>
            </w:r>
          </w:p>
        </w:tc>
        <w:tc>
          <w:tcPr>
            <w:tcW w:w="260" w:type="dxa"/>
            <w:vAlign w:val="bottom"/>
          </w:tcPr>
          <w:p>
            <w:pPr>
              <w:ind w:left="160"/>
              <w:spacing w:after="0"/>
              <w:rPr>
                <w:sz w:val="20"/>
                <w:szCs w:val="20"/>
                <w:color w:val="auto"/>
              </w:rPr>
            </w:pPr>
            <w:r>
              <w:rPr>
                <w:rFonts w:ascii="Arial" w:cs="Arial" w:eastAsia="Arial" w:hAnsi="Arial"/>
                <w:sz w:val="16"/>
                <w:szCs w:val="16"/>
                <w:color w:val="auto"/>
              </w:rPr>
              <w:t>​</w:t>
            </w:r>
          </w:p>
        </w:tc>
        <w:tc>
          <w:tcPr>
            <w:tcW w:w="760" w:type="dxa"/>
            <w:vAlign w:val="bottom"/>
          </w:tcPr>
          <w:p>
            <w:pPr>
              <w:jc w:val="center"/>
              <w:spacing w:after="0"/>
              <w:rPr>
                <w:sz w:val="20"/>
                <w:szCs w:val="20"/>
                <w:color w:val="auto"/>
              </w:rPr>
            </w:pPr>
            <w:r>
              <w:rPr>
                <w:rFonts w:ascii="Arial" w:cs="Arial" w:eastAsia="Arial" w:hAnsi="Arial"/>
                <w:sz w:val="16"/>
                <w:szCs w:val="16"/>
                <w:color w:val="auto"/>
              </w:rPr>
              <w:t>$1.18B</w:t>
            </w:r>
          </w:p>
        </w:tc>
        <w:tc>
          <w:tcPr>
            <w:tcW w:w="220" w:type="dxa"/>
            <w:vAlign w:val="bottom"/>
          </w:tcPr>
          <w:p>
            <w:pPr>
              <w:ind w:left="60"/>
              <w:spacing w:after="0"/>
              <w:rPr>
                <w:sz w:val="20"/>
                <w:szCs w:val="20"/>
                <w:color w:val="auto"/>
              </w:rPr>
            </w:pPr>
            <w:r>
              <w:rPr>
                <w:rFonts w:ascii="Arial" w:cs="Arial" w:eastAsia="Arial" w:hAnsi="Arial"/>
                <w:sz w:val="16"/>
                <w:szCs w:val="16"/>
                <w:color w:val="auto"/>
              </w:rPr>
              <w:t>​ ​</w:t>
            </w:r>
          </w:p>
        </w:tc>
      </w:tr>
      <w:tr>
        <w:trPr>
          <w:trHeight w:val="164"/>
        </w:trPr>
        <w:tc>
          <w:tcPr>
            <w:tcW w:w="3500" w:type="dxa"/>
            <w:vAlign w:val="bottom"/>
          </w:tcPr>
          <w:p>
            <w:pPr>
              <w:ind w:left="180"/>
              <w:spacing w:after="0" w:line="164" w:lineRule="exact"/>
              <w:rPr>
                <w:sz w:val="20"/>
                <w:szCs w:val="20"/>
                <w:color w:val="auto"/>
              </w:rPr>
            </w:pPr>
            <w:r>
              <w:rPr>
                <w:rFonts w:ascii="Arial" w:cs="Arial" w:eastAsia="Arial" w:hAnsi="Arial"/>
                <w:sz w:val="16"/>
                <w:szCs w:val="16"/>
                <w:color w:val="auto"/>
              </w:rPr>
              <w:t>obligations and effectively operate our</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r>
    </w:tbl>
    <w:p>
      <w:pPr>
        <w:ind w:left="1000"/>
        <w:spacing w:after="0"/>
        <w:rPr>
          <w:sz w:val="20"/>
          <w:szCs w:val="20"/>
          <w:color w:val="auto"/>
        </w:rPr>
      </w:pPr>
      <w:r>
        <w:rPr>
          <w:rFonts w:ascii="Arial" w:cs="Arial" w:eastAsia="Arial" w:hAnsi="Arial"/>
          <w:sz w:val="16"/>
          <w:szCs w:val="16"/>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36195</wp:posOffset>
            </wp:positionV>
            <wp:extent cx="354012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-2078355</wp:posOffset>
            </wp:positionH>
            <wp:positionV relativeFrom="paragraph">
              <wp:posOffset>217805</wp:posOffset>
            </wp:positionV>
            <wp:extent cx="208280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082800" cy="8255"/>
                    </a:xfrm>
                    <a:prstGeom prst="rect">
                      <a:avLst/>
                    </a:prstGeom>
                    <a:noFill/>
                  </pic:spPr>
                </pic:pic>
              </a:graphicData>
            </a:graphic>
          </wp:anchor>
        </w:drawing>
        <w:drawing>
          <wp:anchor simplePos="0" relativeHeight="251657728" behindDoc="1" locked="0" layoutInCell="0" allowOverlap="1">
            <wp:simplePos x="0" y="0"/>
            <wp:positionH relativeFrom="column">
              <wp:posOffset>-2061210</wp:posOffset>
            </wp:positionH>
            <wp:positionV relativeFrom="paragraph">
              <wp:posOffset>312420</wp:posOffset>
            </wp:positionV>
            <wp:extent cx="2057400" cy="41148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05740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-2078355</wp:posOffset>
            </wp:positionH>
            <wp:positionV relativeFrom="paragraph">
              <wp:posOffset>252095</wp:posOffset>
            </wp:positionV>
            <wp:extent cx="208280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539" w:lineRule="exact"/>
        <w:rPr>
          <w:sz w:val="20"/>
          <w:szCs w:val="20"/>
          <w:color w:val="auto"/>
        </w:rPr>
      </w:pPr>
    </w:p>
    <w:p>
      <w:pPr>
        <w:sectPr>
          <w:pgSz w:w="11900" w:h="16838" w:orient="portrait"/>
          <w:cols w:equalWidth="0" w:num="2">
            <w:col w:w="9160" w:space="720"/>
            <w:col w:w="840"/>
          </w:cols>
          <w:pgMar w:left="580" w:top="97" w:right="599" w:bottom="1440" w:gutter="0" w:footer="0" w:header="0"/>
          <w:type w:val="continuous"/>
        </w:sectPr>
      </w:pPr>
    </w:p>
    <w:p>
      <w:pPr>
        <w:spacing w:after="0" w:line="77" w:lineRule="exact"/>
        <w:rPr>
          <w:sz w:val="20"/>
          <w:szCs w:val="20"/>
          <w:color w:val="auto"/>
        </w:rPr>
      </w:pPr>
    </w:p>
    <w:p>
      <w:pPr>
        <w:ind w:left="1180" w:right="880" w:hanging="364"/>
        <w:spacing w:after="0" w:line="325" w:lineRule="auto"/>
        <w:tabs>
          <w:tab w:leader="none" w:pos="11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Includes Gain on Discounted Debt Extinguishment of $20.0M. Gains on Discounted Debt Extinguishment in excess of $20.0M are excluded from the final calculation.</w:t>
      </w:r>
    </w:p>
    <w:p>
      <w:pPr>
        <w:spacing w:after="0" w:line="22" w:lineRule="exact"/>
        <w:rPr>
          <w:rFonts w:ascii="Arial" w:cs="Arial" w:eastAsia="Arial" w:hAnsi="Arial"/>
          <w:sz w:val="14"/>
          <w:szCs w:val="14"/>
          <w:color w:val="auto"/>
        </w:rPr>
      </w:pPr>
    </w:p>
    <w:p>
      <w:pPr>
        <w:ind w:left="1180" w:hanging="364"/>
        <w:spacing w:after="0"/>
        <w:tabs>
          <w:tab w:leader="none" w:pos="11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Excludes collateral acquired via foreclosure or deed in lieu in 2024.</w:t>
      </w:r>
    </w:p>
    <w:p>
      <w:pPr>
        <w:spacing w:after="0" w:line="109" w:lineRule="exact"/>
        <w:rPr>
          <w:rFonts w:ascii="Arial" w:cs="Arial" w:eastAsia="Arial" w:hAnsi="Arial"/>
          <w:sz w:val="14"/>
          <w:szCs w:val="14"/>
          <w:color w:val="auto"/>
        </w:rPr>
      </w:pPr>
    </w:p>
    <w:p>
      <w:pPr>
        <w:ind w:left="1180" w:hanging="364"/>
        <w:spacing w:after="0"/>
        <w:tabs>
          <w:tab w:leader="none" w:pos="11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Includes cash and cash equivalents, marketable securities and undrawn credit capacity.</w:t>
      </w:r>
    </w:p>
    <w:p>
      <w:pPr>
        <w:spacing w:after="0" w:line="342"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Three-year Absolute TSR Modifier</w:t>
      </w:r>
    </w:p>
    <w:p>
      <w:pPr>
        <w:spacing w:after="0" w:line="151"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1F2668"/>
              </w:rPr>
              <w:t>Guidance/</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8"/>
        </w:trPr>
        <w:tc>
          <w:tcPr>
            <w:tcW w:w="3660" w:type="dxa"/>
            <w:vAlign w:val="bottom"/>
          </w:tcPr>
          <w:p>
            <w:pPr>
              <w:spacing w:after="0"/>
              <w:rPr>
                <w:sz w:val="20"/>
                <w:szCs w:val="20"/>
                <w:color w:val="auto"/>
              </w:rPr>
            </w:pPr>
            <w:r>
              <w:rPr>
                <w:rFonts w:ascii="Arial" w:cs="Arial" w:eastAsia="Arial" w:hAnsi="Arial"/>
                <w:sz w:val="14"/>
                <w:szCs w:val="14"/>
                <w:b w:val="1"/>
                <w:bCs w:val="1"/>
                <w:color w:val="1F2668"/>
              </w:rPr>
              <w:t>Performance Criteria / Reason Selected</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1F2668"/>
              </w:rPr>
              <w:t>​ ​</w:t>
            </w:r>
          </w:p>
        </w:tc>
        <w:tc>
          <w:tcPr>
            <w:tcW w:w="920" w:type="dxa"/>
            <w:vAlign w:val="bottom"/>
          </w:tcPr>
          <w:p>
            <w:pPr>
              <w:ind w:left="160"/>
              <w:spacing w:after="0"/>
              <w:rPr>
                <w:sz w:val="20"/>
                <w:szCs w:val="20"/>
                <w:color w:val="auto"/>
              </w:rPr>
            </w:pPr>
            <w:r>
              <w:rPr>
                <w:rFonts w:ascii="Arial" w:cs="Arial" w:eastAsia="Arial" w:hAnsi="Arial"/>
                <w:sz w:val="14"/>
                <w:szCs w:val="14"/>
                <w:b w:val="1"/>
                <w:bCs w:val="1"/>
                <w:color w:val="1F2668"/>
              </w:rPr>
              <w:t>Weighting</w:t>
            </w:r>
          </w:p>
        </w:tc>
        <w:tc>
          <w:tcPr>
            <w:tcW w:w="200" w:type="dxa"/>
            <w:vAlign w:val="bottom"/>
          </w:tcPr>
          <w:p>
            <w:pPr>
              <w:ind w:left="80"/>
              <w:spacing w:after="0"/>
              <w:rPr>
                <w:sz w:val="20"/>
                <w:szCs w:val="20"/>
                <w:color w:val="auto"/>
              </w:rPr>
            </w:pPr>
            <w:r>
              <w:rPr>
                <w:rFonts w:ascii="Arial" w:cs="Arial" w:eastAsia="Arial" w:hAnsi="Arial"/>
                <w:sz w:val="14"/>
                <w:szCs w:val="14"/>
                <w:b w:val="1"/>
                <w:bCs w:val="1"/>
                <w:color w:val="1F2668"/>
              </w:rPr>
              <w:t>​</w:t>
            </w:r>
          </w:p>
        </w:tc>
        <w:tc>
          <w:tcPr>
            <w:tcW w:w="600" w:type="dxa"/>
            <w:vAlign w:val="bottom"/>
          </w:tcPr>
          <w:p>
            <w:pPr>
              <w:jc w:val="center"/>
              <w:ind w:right="44"/>
              <w:spacing w:after="0"/>
              <w:rPr>
                <w:sz w:val="20"/>
                <w:szCs w:val="20"/>
                <w:color w:val="auto"/>
              </w:rPr>
            </w:pPr>
            <w:r>
              <w:rPr>
                <w:rFonts w:ascii="Arial" w:cs="Arial" w:eastAsia="Arial" w:hAnsi="Arial"/>
                <w:sz w:val="14"/>
                <w:szCs w:val="14"/>
                <w:b w:val="1"/>
                <w:bCs w:val="1"/>
                <w:color w:val="1F2668"/>
              </w:rPr>
              <w:t>Goal</w:t>
            </w: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1F2668"/>
              </w:rPr>
              <w:t>​ ​   Threshold</w:t>
            </w:r>
          </w:p>
        </w:tc>
        <w:tc>
          <w:tcPr>
            <w:tcW w:w="2260" w:type="dxa"/>
            <w:vAlign w:val="bottom"/>
            <w:gridSpan w:val="2"/>
          </w:tcPr>
          <w:p>
            <w:pPr>
              <w:jc w:val="right"/>
              <w:spacing w:after="0" w:line="199" w:lineRule="exact"/>
              <w:rPr>
                <w:sz w:val="20"/>
                <w:szCs w:val="20"/>
                <w:color w:val="auto"/>
              </w:rPr>
            </w:pPr>
            <w:r>
              <w:rPr>
                <w:rFonts w:ascii="Arial" w:cs="Arial" w:eastAsia="Arial" w:hAnsi="Arial"/>
                <w:sz w:val="22"/>
                <w:szCs w:val="22"/>
                <w:b w:val="1"/>
                <w:bCs w:val="1"/>
                <w:color w:val="1F2668"/>
                <w:vertAlign w:val="subscript"/>
              </w:rPr>
              <w:t>​​</w:t>
            </w:r>
            <w:r>
              <w:rPr>
                <w:rFonts w:ascii="Arial" w:cs="Arial" w:eastAsia="Arial" w:hAnsi="Arial"/>
                <w:sz w:val="12"/>
                <w:szCs w:val="12"/>
                <w:b w:val="1"/>
                <w:bCs w:val="1"/>
                <w:color w:val="1F2668"/>
              </w:rPr>
              <w:t xml:space="preserve">   Target   </w:t>
            </w:r>
            <w:r>
              <w:rPr>
                <w:rFonts w:ascii="Arial" w:cs="Arial" w:eastAsia="Arial" w:hAnsi="Arial"/>
                <w:sz w:val="22"/>
                <w:szCs w:val="22"/>
                <w:b w:val="1"/>
                <w:bCs w:val="1"/>
                <w:color w:val="1F2668"/>
                <w:vertAlign w:val="subscript"/>
              </w:rPr>
              <w:t>​</w:t>
            </w:r>
            <w:r>
              <w:rPr>
                <w:rFonts w:ascii="Arial" w:cs="Arial" w:eastAsia="Arial" w:hAnsi="Arial"/>
                <w:sz w:val="12"/>
                <w:szCs w:val="12"/>
                <w:b w:val="1"/>
                <w:bCs w:val="1"/>
                <w:color w:val="1F2668"/>
              </w:rPr>
              <w:t xml:space="preserve">   Maximum   ​</w:t>
            </w:r>
          </w:p>
        </w:tc>
      </w:tr>
      <w:tr>
        <w:trPr>
          <w:trHeight w:val="272"/>
        </w:trPr>
        <w:tc>
          <w:tcPr>
            <w:tcW w:w="3660" w:type="dxa"/>
            <w:vAlign w:val="bottom"/>
            <w:tcBorders>
              <w:top w:val="single" w:sz="8" w:color="1F2668"/>
            </w:tcBorders>
          </w:tcPr>
          <w:p>
            <w:pPr>
              <w:spacing w:after="0"/>
              <w:rPr>
                <w:sz w:val="20"/>
                <w:szCs w:val="20"/>
                <w:color w:val="auto"/>
              </w:rPr>
            </w:pPr>
            <w:r>
              <w:rPr>
                <w:rFonts w:ascii="Arial" w:cs="Arial" w:eastAsia="Arial" w:hAnsi="Arial"/>
                <w:sz w:val="16"/>
                <w:szCs w:val="16"/>
                <w:b w:val="1"/>
                <w:bCs w:val="1"/>
                <w:color w:val="1F2668"/>
              </w:rPr>
              <w:t>Absolute TSR per Year</w:t>
            </w:r>
            <w:r>
              <w:rPr>
                <w:rFonts w:ascii="Arial" w:cs="Arial" w:eastAsia="Arial" w:hAnsi="Arial"/>
                <w:sz w:val="19"/>
                <w:szCs w:val="19"/>
                <w:b w:val="1"/>
                <w:bCs w:val="1"/>
                <w:color w:val="1F2668"/>
                <w:vertAlign w:val="superscript"/>
              </w:rPr>
              <w:t>(1)</w:t>
            </w:r>
          </w:p>
        </w:tc>
        <w:tc>
          <w:tcPr>
            <w:tcW w:w="200" w:type="dxa"/>
            <w:vAlign w:val="bottom"/>
          </w:tcPr>
          <w:p>
            <w:pPr>
              <w:spacing w:after="0"/>
              <w:rPr>
                <w:sz w:val="23"/>
                <w:szCs w:val="23"/>
                <w:color w:val="auto"/>
              </w:rPr>
            </w:pPr>
          </w:p>
        </w:tc>
        <w:tc>
          <w:tcPr>
            <w:tcW w:w="920" w:type="dxa"/>
            <w:vAlign w:val="bottom"/>
            <w:tcBorders>
              <w:top w:val="single" w:sz="8" w:color="1F2668"/>
            </w:tcBorders>
          </w:tcPr>
          <w:p>
            <w:pPr>
              <w:spacing w:after="0"/>
              <w:rPr>
                <w:sz w:val="23"/>
                <w:szCs w:val="23"/>
                <w:color w:val="auto"/>
              </w:rPr>
            </w:pPr>
          </w:p>
        </w:tc>
        <w:tc>
          <w:tcPr>
            <w:tcW w:w="200" w:type="dxa"/>
            <w:vAlign w:val="bottom"/>
            <w:tcBorders>
              <w:top w:val="single" w:sz="8" w:color="1F2668"/>
            </w:tcBorders>
          </w:tcPr>
          <w:p>
            <w:pPr>
              <w:spacing w:after="0"/>
              <w:rPr>
                <w:sz w:val="23"/>
                <w:szCs w:val="23"/>
                <w:color w:val="auto"/>
              </w:rPr>
            </w:pPr>
          </w:p>
        </w:tc>
        <w:tc>
          <w:tcPr>
            <w:tcW w:w="600" w:type="dxa"/>
            <w:vAlign w:val="bottom"/>
            <w:tcBorders>
              <w:top w:val="single" w:sz="8" w:color="1F2668"/>
            </w:tcBorders>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Borders>
              <w:top w:val="single" w:sz="8" w:color="1F2668"/>
            </w:tcBorders>
          </w:tcPr>
          <w:p>
            <w:pPr>
              <w:spacing w:after="0"/>
              <w:rPr>
                <w:sz w:val="23"/>
                <w:szCs w:val="23"/>
                <w:color w:val="auto"/>
              </w:rPr>
            </w:pPr>
          </w:p>
        </w:tc>
        <w:tc>
          <w:tcPr>
            <w:tcW w:w="2200" w:type="dxa"/>
            <w:vAlign w:val="bottom"/>
            <w:tcBorders>
              <w:top w:val="single" w:sz="8" w:color="1F2668"/>
            </w:tcBorders>
          </w:tcPr>
          <w:p>
            <w:pPr>
              <w:spacing w:after="0"/>
              <w:rPr>
                <w:sz w:val="23"/>
                <w:szCs w:val="23"/>
                <w:color w:val="auto"/>
              </w:rPr>
            </w:pPr>
          </w:p>
        </w:tc>
        <w:tc>
          <w:tcPr>
            <w:tcW w:w="60" w:type="dxa"/>
            <w:vAlign w:val="bottom"/>
          </w:tcPr>
          <w:p>
            <w:pPr>
              <w:spacing w:after="0"/>
              <w:rPr>
                <w:sz w:val="23"/>
                <w:szCs w:val="23"/>
                <w:color w:val="auto"/>
              </w:rPr>
            </w:pPr>
          </w:p>
        </w:tc>
      </w:tr>
      <w:tr>
        <w:trPr>
          <w:trHeight w:val="302"/>
        </w:trPr>
        <w:tc>
          <w:tcPr>
            <w:tcW w:w="3660" w:type="dxa"/>
            <w:vAlign w:val="bottom"/>
          </w:tcPr>
          <w:p>
            <w:pPr>
              <w:spacing w:after="0"/>
              <w:rPr>
                <w:sz w:val="20"/>
                <w:szCs w:val="20"/>
                <w:color w:val="auto"/>
              </w:rPr>
            </w:pPr>
            <w:r>
              <w:rPr>
                <w:rFonts w:ascii="Arial" w:cs="Arial" w:eastAsia="Arial" w:hAnsi="Arial"/>
                <w:sz w:val="16"/>
                <w:szCs w:val="16"/>
                <w:color w:val="auto"/>
              </w:rPr>
              <w:t>• Absolute TSR is a pure measure of value</w:t>
            </w:r>
          </w:p>
        </w:tc>
        <w:tc>
          <w:tcPr>
            <w:tcW w:w="200" w:type="dxa"/>
            <w:vAlign w:val="bottom"/>
          </w:tcPr>
          <w:p>
            <w:pPr>
              <w:ind w:left="40"/>
              <w:spacing w:after="0"/>
              <w:rPr>
                <w:sz w:val="20"/>
                <w:szCs w:val="20"/>
                <w:color w:val="auto"/>
              </w:rPr>
            </w:pPr>
            <w:r>
              <w:rPr>
                <w:rFonts w:ascii="Arial" w:cs="Arial" w:eastAsia="Arial" w:hAnsi="Arial"/>
                <w:sz w:val="16"/>
                <w:szCs w:val="16"/>
                <w:color w:val="auto"/>
              </w:rPr>
              <w:t>​ ​</w:t>
            </w:r>
          </w:p>
        </w:tc>
        <w:tc>
          <w:tcPr>
            <w:tcW w:w="920" w:type="dxa"/>
            <w:vAlign w:val="bottom"/>
          </w:tcPr>
          <w:p>
            <w:pPr>
              <w:ind w:left="160"/>
              <w:spacing w:after="0"/>
              <w:rPr>
                <w:sz w:val="20"/>
                <w:szCs w:val="20"/>
                <w:color w:val="auto"/>
              </w:rPr>
            </w:pPr>
            <w:r>
              <w:rPr>
                <w:rFonts w:ascii="Arial" w:cs="Arial" w:eastAsia="Arial" w:hAnsi="Arial"/>
                <w:sz w:val="16"/>
                <w:szCs w:val="16"/>
                <w:color w:val="auto"/>
              </w:rPr>
              <w:t>+/- 12.5%</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600" w:type="dxa"/>
            <w:vAlign w:val="bottom"/>
          </w:tcPr>
          <w:p>
            <w:pPr>
              <w:jc w:val="center"/>
              <w:ind w:right="44"/>
              <w:spacing w:after="0"/>
              <w:rPr>
                <w:sz w:val="20"/>
                <w:szCs w:val="20"/>
                <w:color w:val="auto"/>
              </w:rPr>
            </w:pPr>
            <w:r>
              <w:rPr>
                <w:rFonts w:ascii="Arial" w:cs="Arial" w:eastAsia="Arial" w:hAnsi="Arial"/>
                <w:sz w:val="16"/>
                <w:szCs w:val="16"/>
                <w:color w:val="auto"/>
              </w:rPr>
              <w:t>N/A</w:t>
            </w:r>
          </w:p>
        </w:tc>
        <w:tc>
          <w:tcPr>
            <w:tcW w:w="1280" w:type="dxa"/>
            <w:vAlign w:val="bottom"/>
            <w:gridSpan w:val="2"/>
          </w:tcPr>
          <w:p>
            <w:pPr>
              <w:ind w:left="60"/>
              <w:spacing w:after="0"/>
              <w:rPr>
                <w:sz w:val="20"/>
                <w:szCs w:val="20"/>
                <w:color w:val="auto"/>
              </w:rPr>
            </w:pPr>
            <w:r>
              <w:rPr>
                <w:rFonts w:ascii="Arial" w:cs="Arial" w:eastAsia="Arial" w:hAnsi="Arial"/>
                <w:sz w:val="16"/>
                <w:szCs w:val="16"/>
                <w:color w:val="auto"/>
              </w:rPr>
              <w:t>​ ​</w:t>
            </w:r>
          </w:p>
        </w:tc>
        <w:tc>
          <w:tcPr>
            <w:tcW w:w="22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3660" w:type="dxa"/>
            <w:vAlign w:val="bottom"/>
          </w:tcPr>
          <w:p>
            <w:pPr>
              <w:ind w:left="180"/>
              <w:spacing w:after="0"/>
              <w:rPr>
                <w:sz w:val="20"/>
                <w:szCs w:val="20"/>
                <w:color w:val="auto"/>
              </w:rPr>
            </w:pPr>
            <w:r>
              <w:rPr>
                <w:rFonts w:ascii="Arial" w:cs="Arial" w:eastAsia="Arial" w:hAnsi="Arial"/>
                <w:sz w:val="16"/>
                <w:szCs w:val="16"/>
                <w:color w:val="auto"/>
              </w:rPr>
              <w:t>delivered to stockholders who were invested in</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4211955</wp:posOffset>
            </wp:positionH>
            <wp:positionV relativeFrom="paragraph">
              <wp:posOffset>-384175</wp:posOffset>
            </wp:positionV>
            <wp:extent cx="2057400" cy="41148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057400" cy="41148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16"/>
          <w:szCs w:val="16"/>
          <w:color w:val="auto"/>
        </w:rPr>
        <w:t>our stock for the three-year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30480</wp:posOffset>
            </wp:positionV>
            <wp:extent cx="576072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61" w:lineRule="exact"/>
        <w:rPr>
          <w:sz w:val="20"/>
          <w:szCs w:val="20"/>
          <w:color w:val="auto"/>
        </w:rPr>
      </w:pPr>
    </w:p>
    <w:p>
      <w:pPr>
        <w:ind w:left="1180" w:right="1100" w:hanging="364"/>
        <w:spacing w:after="0" w:line="305" w:lineRule="auto"/>
        <w:tabs>
          <w:tab w:leader="none" w:pos="11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Calculated as of December 31, 2024, assuming no reinvestment of dividends and that our performance continued through the full three-year performance period.</w:t>
      </w:r>
    </w:p>
    <w:p>
      <w:pPr>
        <w:sectPr>
          <w:pgSz w:w="11900" w:h="16838" w:orient="portrait"/>
          <w:cols w:equalWidth="0" w:num="1">
            <w:col w:w="10720"/>
          </w:cols>
          <w:pgMar w:left="580" w:top="97" w:right="599" w:bottom="1440" w:gutter="0" w:footer="0" w:header="0"/>
          <w:type w:val="continuous"/>
        </w:sectPr>
      </w:pP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820" w:type="dxa"/>
            <w:vAlign w:val="bottom"/>
          </w:tcPr>
          <w:p>
            <w:pPr>
              <w:spacing w:after="0"/>
              <w:rPr>
                <w:sz w:val="24"/>
                <w:szCs w:val="24"/>
                <w:color w:val="auto"/>
              </w:rPr>
            </w:pPr>
          </w:p>
        </w:tc>
        <w:tc>
          <w:tcPr>
            <w:tcW w:w="8740" w:type="dxa"/>
            <w:vAlign w:val="bottom"/>
            <w:shd w:val="clear" w:color="auto" w:fill="E9F9D8"/>
          </w:tcPr>
          <w:p>
            <w:pPr>
              <w:spacing w:after="0"/>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As noted above, in connection with our CEO’s new employment agreement, annual goals no longer underpin our CEO’s</w:t>
            </w:r>
          </w:p>
        </w:tc>
        <w:tc>
          <w:tcPr>
            <w:tcW w:w="320" w:type="dxa"/>
            <w:vAlign w:val="bottom"/>
            <w:shd w:val="clear" w:color="auto" w:fill="E9F9D8"/>
          </w:tcPr>
          <w:p>
            <w:pPr>
              <w:ind w:left="16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24"/>
                <w:szCs w:val="24"/>
                <w:color w:val="auto"/>
              </w:rPr>
            </w:pPr>
          </w:p>
        </w:tc>
      </w:tr>
      <w:tr>
        <w:trPr>
          <w:trHeight w:val="189"/>
        </w:trPr>
        <w:tc>
          <w:tcPr>
            <w:tcW w:w="820" w:type="dxa"/>
            <w:vAlign w:val="bottom"/>
          </w:tcPr>
          <w:p>
            <w:pPr>
              <w:spacing w:after="0"/>
              <w:rPr>
                <w:sz w:val="16"/>
                <w:szCs w:val="16"/>
                <w:color w:val="auto"/>
              </w:rPr>
            </w:pPr>
          </w:p>
        </w:tc>
        <w:tc>
          <w:tcPr>
            <w:tcW w:w="8740" w:type="dxa"/>
            <w:vAlign w:val="bottom"/>
            <w:shd w:val="clear" w:color="auto" w:fill="E9F9D8"/>
          </w:tcPr>
          <w:p>
            <w:pPr>
              <w:ind w:left="160"/>
              <w:spacing w:after="0"/>
              <w:rPr>
                <w:sz w:val="20"/>
                <w:szCs w:val="20"/>
                <w:color w:val="auto"/>
              </w:rPr>
            </w:pPr>
            <w:r>
              <w:rPr>
                <w:rFonts w:ascii="Arial" w:cs="Arial" w:eastAsia="Arial" w:hAnsi="Arial"/>
                <w:sz w:val="16"/>
                <w:szCs w:val="16"/>
                <w:color w:val="auto"/>
              </w:rPr>
              <w:t xml:space="preserve">performance-based equity awards. </w:t>
            </w:r>
            <w:r>
              <w:rPr>
                <w:rFonts w:ascii="Arial" w:cs="Arial" w:eastAsia="Arial" w:hAnsi="Arial"/>
                <w:sz w:val="16"/>
                <w:szCs w:val="16"/>
                <w:b w:val="1"/>
                <w:bCs w:val="1"/>
                <w:color w:val="auto"/>
              </w:rPr>
              <w:t>Starting with 2025, all performance-based equity awards to our CEO will be</w:t>
            </w:r>
          </w:p>
        </w:tc>
        <w:tc>
          <w:tcPr>
            <w:tcW w:w="320" w:type="dxa"/>
            <w:vAlign w:val="bottom"/>
            <w:shd w:val="clear" w:color="auto" w:fill="E9F9D8"/>
          </w:tcPr>
          <w:p>
            <w:pPr>
              <w:spacing w:after="0"/>
              <w:rPr>
                <w:sz w:val="16"/>
                <w:szCs w:val="16"/>
                <w:color w:val="auto"/>
              </w:rPr>
            </w:pPr>
          </w:p>
        </w:tc>
        <w:tc>
          <w:tcPr>
            <w:tcW w:w="840" w:type="dxa"/>
            <w:vAlign w:val="bottom"/>
          </w:tcPr>
          <w:p>
            <w:pPr>
              <w:spacing w:after="0"/>
              <w:rPr>
                <w:sz w:val="16"/>
                <w:szCs w:val="16"/>
                <w:color w:val="auto"/>
              </w:rPr>
            </w:pPr>
          </w:p>
        </w:tc>
      </w:tr>
      <w:tr>
        <w:trPr>
          <w:trHeight w:val="223"/>
        </w:trPr>
        <w:tc>
          <w:tcPr>
            <w:tcW w:w="820" w:type="dxa"/>
            <w:vAlign w:val="bottom"/>
          </w:tcPr>
          <w:p>
            <w:pPr>
              <w:spacing w:after="0"/>
              <w:rPr>
                <w:sz w:val="19"/>
                <w:szCs w:val="19"/>
                <w:color w:val="auto"/>
              </w:rPr>
            </w:pPr>
          </w:p>
        </w:tc>
        <w:tc>
          <w:tcPr>
            <w:tcW w:w="8740" w:type="dxa"/>
            <w:vAlign w:val="bottom"/>
            <w:shd w:val="clear" w:color="auto" w:fill="E9F9D8"/>
          </w:tcPr>
          <w:p>
            <w:pPr>
              <w:ind w:left="160"/>
              <w:spacing w:after="0"/>
              <w:rPr>
                <w:sz w:val="20"/>
                <w:szCs w:val="20"/>
                <w:color w:val="auto"/>
              </w:rPr>
            </w:pPr>
            <w:r>
              <w:rPr>
                <w:rFonts w:ascii="Arial" w:cs="Arial" w:eastAsia="Arial" w:hAnsi="Arial"/>
                <w:sz w:val="16"/>
                <w:szCs w:val="16"/>
                <w:b w:val="1"/>
                <w:bCs w:val="1"/>
                <w:color w:val="auto"/>
              </w:rPr>
              <w:t>exclusively based on three-year performance goals</w:t>
            </w:r>
            <w:r>
              <w:rPr>
                <w:rFonts w:ascii="Arial" w:cs="Arial" w:eastAsia="Arial" w:hAnsi="Arial"/>
                <w:sz w:val="16"/>
                <w:szCs w:val="16"/>
                <w:color w:val="auto"/>
              </w:rPr>
              <w:t>.</w:t>
            </w:r>
          </w:p>
        </w:tc>
        <w:tc>
          <w:tcPr>
            <w:tcW w:w="320" w:type="dxa"/>
            <w:vAlign w:val="bottom"/>
            <w:shd w:val="clear" w:color="auto" w:fill="E9F9D8"/>
          </w:tcPr>
          <w:p>
            <w:pPr>
              <w:spacing w:after="0"/>
              <w:rPr>
                <w:sz w:val="19"/>
                <w:szCs w:val="19"/>
                <w:color w:val="auto"/>
              </w:rPr>
            </w:pPr>
          </w:p>
        </w:tc>
        <w:tc>
          <w:tcPr>
            <w:tcW w:w="840" w:type="dxa"/>
            <w:vAlign w:val="bottom"/>
          </w:tcPr>
          <w:p>
            <w:pPr>
              <w:spacing w:after="0"/>
              <w:rPr>
                <w:sz w:val="19"/>
                <w:szCs w:val="19"/>
                <w:color w:val="auto"/>
              </w:rPr>
            </w:pPr>
          </w:p>
        </w:tc>
      </w:tr>
      <w:tr>
        <w:trPr>
          <w:trHeight w:val="102"/>
        </w:trPr>
        <w:tc>
          <w:tcPr>
            <w:tcW w:w="820" w:type="dxa"/>
            <w:vAlign w:val="bottom"/>
          </w:tcPr>
          <w:p>
            <w:pPr>
              <w:spacing w:after="0"/>
              <w:rPr>
                <w:sz w:val="8"/>
                <w:szCs w:val="8"/>
                <w:color w:val="auto"/>
              </w:rPr>
            </w:pPr>
          </w:p>
        </w:tc>
        <w:tc>
          <w:tcPr>
            <w:tcW w:w="8740" w:type="dxa"/>
            <w:vAlign w:val="bottom"/>
            <w:shd w:val="clear" w:color="auto" w:fill="E9F9D8"/>
          </w:tcPr>
          <w:p>
            <w:pPr>
              <w:spacing w:after="0"/>
              <w:rPr>
                <w:sz w:val="8"/>
                <w:szCs w:val="8"/>
                <w:color w:val="auto"/>
              </w:rPr>
            </w:pPr>
          </w:p>
        </w:tc>
        <w:tc>
          <w:tcPr>
            <w:tcW w:w="320" w:type="dxa"/>
            <w:vAlign w:val="bottom"/>
            <w:shd w:val="clear" w:color="auto" w:fill="E9F9D8"/>
          </w:tcPr>
          <w:p>
            <w:pPr>
              <w:spacing w:after="0"/>
              <w:rPr>
                <w:sz w:val="8"/>
                <w:szCs w:val="8"/>
                <w:color w:val="auto"/>
              </w:rPr>
            </w:pPr>
          </w:p>
        </w:tc>
        <w:tc>
          <w:tcPr>
            <w:tcW w:w="840" w:type="dxa"/>
            <w:vAlign w:val="bottom"/>
          </w:tcPr>
          <w:p>
            <w:pPr>
              <w:spacing w:after="0"/>
              <w:rPr>
                <w:sz w:val="8"/>
                <w:szCs w:val="8"/>
                <w:color w:val="auto"/>
              </w:rPr>
            </w:pPr>
          </w:p>
        </w:tc>
      </w:tr>
      <w:tr>
        <w:trPr>
          <w:trHeight w:val="142"/>
        </w:trPr>
        <w:tc>
          <w:tcPr>
            <w:tcW w:w="820" w:type="dxa"/>
            <w:vAlign w:val="bottom"/>
            <w:tcBorders>
              <w:bottom w:val="single" w:sz="8" w:color="9A9A9A"/>
            </w:tcBorders>
          </w:tcPr>
          <w:p>
            <w:pPr>
              <w:spacing w:after="0"/>
              <w:rPr>
                <w:sz w:val="12"/>
                <w:szCs w:val="12"/>
                <w:color w:val="auto"/>
              </w:rPr>
            </w:pPr>
          </w:p>
        </w:tc>
        <w:tc>
          <w:tcPr>
            <w:tcW w:w="87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p>
      <w:pPr>
        <w:ind w:left="820"/>
        <w:spacing w:after="0"/>
        <w:tabs>
          <w:tab w:leader="none" w:pos="1440" w:val="left"/>
          <w:tab w:leader="none" w:pos="9860" w:val="left"/>
        </w:tabs>
        <w:rPr>
          <w:sz w:val="20"/>
          <w:szCs w:val="20"/>
          <w:color w:val="auto"/>
        </w:rPr>
      </w:pPr>
      <w:r>
        <w:rPr>
          <w:rFonts w:ascii="Arial" w:cs="Arial" w:eastAsia="Arial" w:hAnsi="Arial"/>
          <w:sz w:val="22"/>
          <w:szCs w:val="22"/>
          <w:b w:val="1"/>
          <w:bCs w:val="1"/>
          <w:color w:val="1F2668"/>
        </w:rPr>
        <w:t>​56</w:t>
      </w:r>
      <w:r>
        <w:rPr>
          <w:sz w:val="20"/>
          <w:szCs w:val="20"/>
          <w:color w:val="auto"/>
        </w:rPr>
        <w:tab/>
      </w:r>
      <w:r>
        <w:rPr>
          <w:rFonts w:ascii="Arial" w:cs="Arial" w:eastAsia="Arial" w:hAnsi="Arial"/>
          <w:sz w:val="22"/>
          <w:szCs w:val="22"/>
          <w:b w:val="1"/>
          <w:bCs w:val="1"/>
          <w:color w:val="1F2668"/>
        </w:rPr>
        <w:t xml:space="preserve">​ ​ </w:t>
      </w:r>
      <w:r>
        <w:rPr>
          <w:rFonts w:ascii="Arial" w:cs="Arial" w:eastAsia="Arial" w:hAnsi="Arial"/>
          <w:sz w:val="14"/>
          <w:szCs w:val="14"/>
          <w:b w:val="1"/>
          <w:bCs w:val="1"/>
          <w:color w:val="1F2668"/>
        </w:rPr>
        <w:t>SL GREEN REALTY CORP. 2025 PROXY STATEMENT</w:t>
      </w:r>
      <w:r>
        <w:rPr>
          <w:sz w:val="20"/>
          <w:szCs w:val="20"/>
          <w:color w:val="auto"/>
        </w:rPr>
        <w:tab/>
      </w:r>
      <w:r>
        <w:rPr>
          <w:rFonts w:ascii="Arial" w:cs="Arial" w:eastAsia="Arial" w:hAnsi="Arial"/>
          <w:sz w:val="22"/>
          <w:szCs w:val="22"/>
          <w:b w:val="1"/>
          <w:bCs w:val="1"/>
          <w:color w:val="1F2668"/>
        </w:rPr>
        <w:t>​</w:t>
      </w:r>
    </w:p>
    <w:p>
      <w:pPr>
        <w:spacing w:after="0" w:line="200" w:lineRule="exact"/>
        <w:rPr>
          <w:sz w:val="20"/>
          <w:szCs w:val="20"/>
          <w:color w:val="auto"/>
        </w:rPr>
      </w:pPr>
    </w:p>
    <w:p>
      <w:pPr>
        <w:spacing w:after="0" w:line="285"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2024 Relative Component Performance Goals</w:t>
      </w:r>
    </w:p>
    <w:p>
      <w:pPr>
        <w:spacing w:after="0" w:line="30"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(50% of Annual Equity Award)</w:t>
      </w:r>
    </w:p>
    <w:p>
      <w:pPr>
        <w:spacing w:after="0" w:line="109" w:lineRule="exact"/>
        <w:rPr>
          <w:sz w:val="20"/>
          <w:szCs w:val="20"/>
          <w:color w:val="auto"/>
        </w:rPr>
      </w:pPr>
    </w:p>
    <w:p>
      <w:pPr>
        <w:ind w:left="820" w:right="860"/>
        <w:spacing w:after="0" w:line="332" w:lineRule="auto"/>
        <w:rPr>
          <w:sz w:val="20"/>
          <w:szCs w:val="20"/>
          <w:color w:val="auto"/>
        </w:rPr>
      </w:pPr>
      <w:r>
        <w:rPr>
          <w:rFonts w:ascii="Arial" w:cs="Arial" w:eastAsia="Arial" w:hAnsi="Arial"/>
          <w:sz w:val="16"/>
          <w:szCs w:val="16"/>
          <w:color w:val="auto"/>
        </w:rPr>
        <w:t xml:space="preserve">The relative component of our annual performance-based equity awards measures our performance against two peer sets over a </w:t>
      </w:r>
      <w:r>
        <w:rPr>
          <w:rFonts w:ascii="Arial" w:cs="Arial" w:eastAsia="Arial" w:hAnsi="Arial"/>
          <w:sz w:val="16"/>
          <w:szCs w:val="16"/>
          <w:b w:val="1"/>
          <w:bCs w:val="1"/>
          <w:color w:val="auto"/>
        </w:rPr>
        <w:t>three-year performance period</w:t>
      </w:r>
      <w:r>
        <w:rPr>
          <w:rFonts w:ascii="Arial" w:cs="Arial" w:eastAsia="Arial" w:hAnsi="Arial"/>
          <w:sz w:val="16"/>
          <w:szCs w:val="16"/>
          <w:color w:val="auto"/>
        </w:rPr>
        <w:t>.</w:t>
      </w:r>
    </w:p>
    <w:p>
      <w:pPr>
        <w:spacing w:after="0" w:line="71" w:lineRule="exact"/>
        <w:rPr>
          <w:sz w:val="20"/>
          <w:szCs w:val="20"/>
          <w:color w:val="auto"/>
        </w:rPr>
      </w:pPr>
    </w:p>
    <w:p>
      <w:pPr>
        <w:ind w:left="820" w:right="960"/>
        <w:spacing w:after="0" w:line="301" w:lineRule="auto"/>
        <w:rPr>
          <w:sz w:val="20"/>
          <w:szCs w:val="20"/>
          <w:color w:val="auto"/>
        </w:rPr>
      </w:pPr>
      <w:r>
        <w:rPr>
          <w:rFonts w:ascii="Arial" w:cs="Arial" w:eastAsia="Arial" w:hAnsi="Arial"/>
          <w:sz w:val="16"/>
          <w:szCs w:val="16"/>
          <w:color w:val="auto"/>
        </w:rPr>
        <w:t>The relative component is weighted equally between our performance relative to Office REIT Peers and NYC REIT Peers. As of December 31, 2024, based on our one-year TSR relative to the Office REIT Peers and the NYC REIT Peers, our performance would have placed us at maximum performance for both portions of the relative component.</w:t>
      </w:r>
    </w:p>
    <w:p>
      <w:pPr>
        <w:sectPr>
          <w:pgSz w:w="11900" w:h="16838" w:orient="portrait"/>
          <w:cols w:equalWidth="0" w:num="1">
            <w:col w:w="10720"/>
          </w:cols>
          <w:pgMar w:left="580" w:top="97" w:right="599" w:bottom="1440" w:gutter="0" w:footer="0" w:header="0"/>
        </w:sectPr>
      </w:pPr>
    </w:p>
    <w:p>
      <w:pPr>
        <w:spacing w:after="0" w:line="312" w:lineRule="exact"/>
        <w:rPr>
          <w:sz w:val="20"/>
          <w:szCs w:val="20"/>
          <w:color w:val="auto"/>
        </w:rPr>
      </w:pPr>
    </w:p>
    <w:tbl>
      <w:tblPr>
        <w:tblLayout w:type="fixed"/>
        <w:tblInd w:w="820" w:type="dxa"/>
        <w:tblCellMar>
          <w:top w:w="0" w:type="dxa"/>
          <w:left w:w="0" w:type="dxa"/>
          <w:bottom w:w="0" w:type="dxa"/>
          <w:right w:w="0" w:type="dxa"/>
        </w:tblCellMar>
      </w:tblPr>
      <w:tr>
        <w:trPr>
          <w:trHeight w:val="198"/>
        </w:trPr>
        <w:tc>
          <w:tcPr>
            <w:tcW w:w="3660" w:type="dxa"/>
            <w:vAlign w:val="bottom"/>
          </w:tcPr>
          <w:p>
            <w:pPr>
              <w:spacing w:after="0"/>
              <w:rPr>
                <w:sz w:val="20"/>
                <w:szCs w:val="20"/>
                <w:color w:val="auto"/>
              </w:rPr>
            </w:pPr>
            <w:r>
              <w:rPr>
                <w:rFonts w:ascii="Arial" w:cs="Arial" w:eastAsia="Arial" w:hAnsi="Arial"/>
                <w:sz w:val="14"/>
                <w:szCs w:val="14"/>
                <w:color w:val="1F2668"/>
              </w:rPr>
              <w:t>Performance Criteria / Reason Selected</w:t>
            </w:r>
          </w:p>
        </w:tc>
        <w:tc>
          <w:tcPr>
            <w:tcW w:w="920" w:type="dxa"/>
            <w:vAlign w:val="bottom"/>
            <w:gridSpan w:val="2"/>
          </w:tcPr>
          <w:p>
            <w:pPr>
              <w:ind w:left="60"/>
              <w:spacing w:after="0"/>
              <w:rPr>
                <w:sz w:val="20"/>
                <w:szCs w:val="20"/>
                <w:color w:val="auto"/>
              </w:rPr>
            </w:pPr>
            <w:r>
              <w:rPr>
                <w:rFonts w:ascii="Arial" w:cs="Arial" w:eastAsia="Arial" w:hAnsi="Arial"/>
                <w:sz w:val="14"/>
                <w:szCs w:val="14"/>
                <w:color w:val="1F2668"/>
              </w:rPr>
              <w:t>​ ​ Weighting</w:t>
            </w:r>
          </w:p>
        </w:tc>
        <w:tc>
          <w:tcPr>
            <w:tcW w:w="200" w:type="dxa"/>
            <w:vAlign w:val="bottom"/>
          </w:tcPr>
          <w:p>
            <w:pPr>
              <w:ind w:left="40"/>
              <w:spacing w:after="0"/>
              <w:rPr>
                <w:sz w:val="20"/>
                <w:szCs w:val="20"/>
                <w:color w:val="auto"/>
              </w:rPr>
            </w:pPr>
            <w:r>
              <w:rPr>
                <w:rFonts w:ascii="Arial" w:cs="Arial" w:eastAsia="Arial" w:hAnsi="Arial"/>
                <w:sz w:val="14"/>
                <w:szCs w:val="14"/>
                <w:color w:val="1F2668"/>
              </w:rPr>
              <w:t>​ ​</w:t>
            </w:r>
          </w:p>
        </w:tc>
      </w:tr>
      <w:tr>
        <w:trPr>
          <w:trHeight w:val="263"/>
        </w:trPr>
        <w:tc>
          <w:tcPr>
            <w:tcW w:w="3660" w:type="dxa"/>
            <w:vAlign w:val="bottom"/>
            <w:tcBorders>
              <w:top w:val="single" w:sz="8" w:color="1F2668"/>
            </w:tcBorders>
          </w:tcPr>
          <w:p>
            <w:pPr>
              <w:spacing w:after="0"/>
              <w:rPr>
                <w:sz w:val="20"/>
                <w:szCs w:val="20"/>
                <w:color w:val="auto"/>
              </w:rPr>
            </w:pPr>
            <w:r>
              <w:rPr>
                <w:rFonts w:ascii="Arial" w:cs="Arial" w:eastAsia="Arial" w:hAnsi="Arial"/>
                <w:sz w:val="16"/>
                <w:szCs w:val="16"/>
                <w:b w:val="1"/>
                <w:bCs w:val="1"/>
                <w:color w:val="1F2668"/>
              </w:rPr>
              <w:t>Relative TSR vs. Office REIT Peers</w:t>
            </w:r>
            <w:r>
              <w:rPr>
                <w:rFonts w:ascii="Arial" w:cs="Arial" w:eastAsia="Arial" w:hAnsi="Arial"/>
                <w:sz w:val="19"/>
                <w:szCs w:val="19"/>
                <w:b w:val="1"/>
                <w:bCs w:val="1"/>
                <w:color w:val="1F2668"/>
                <w:vertAlign w:val="superscript"/>
              </w:rPr>
              <w:t>(1)</w:t>
            </w:r>
          </w:p>
        </w:tc>
        <w:tc>
          <w:tcPr>
            <w:tcW w:w="220" w:type="dxa"/>
            <w:vAlign w:val="bottom"/>
          </w:tcPr>
          <w:p>
            <w:pPr>
              <w:ind w:left="60"/>
              <w:spacing w:after="0"/>
              <w:rPr>
                <w:sz w:val="20"/>
                <w:szCs w:val="20"/>
                <w:color w:val="auto"/>
              </w:rPr>
            </w:pPr>
            <w:r>
              <w:rPr>
                <w:rFonts w:ascii="Arial" w:cs="Arial" w:eastAsia="Arial" w:hAnsi="Arial"/>
                <w:sz w:val="16"/>
                <w:szCs w:val="16"/>
                <w:color w:val="auto"/>
              </w:rPr>
              <w:t>​ ​</w:t>
            </w:r>
          </w:p>
        </w:tc>
        <w:tc>
          <w:tcPr>
            <w:tcW w:w="700" w:type="dxa"/>
            <w:vAlign w:val="bottom"/>
            <w:tcBorders>
              <w:top w:val="single" w:sz="8" w:color="1F2668"/>
            </w:tcBorders>
          </w:tcPr>
          <w:p>
            <w:pPr>
              <w:spacing w:after="0"/>
              <w:rPr>
                <w:sz w:val="22"/>
                <w:szCs w:val="22"/>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rPr>
              <w:t>​ ​</w:t>
            </w:r>
          </w:p>
        </w:tc>
      </w:tr>
      <w:tr>
        <w:trPr>
          <w:trHeight w:val="297"/>
        </w:trPr>
        <w:tc>
          <w:tcPr>
            <w:tcW w:w="3660" w:type="dxa"/>
            <w:vAlign w:val="bottom"/>
          </w:tcPr>
          <w:p>
            <w:pPr>
              <w:spacing w:after="0"/>
              <w:rPr>
                <w:sz w:val="20"/>
                <w:szCs w:val="20"/>
                <w:color w:val="auto"/>
              </w:rPr>
            </w:pPr>
            <w:r>
              <w:rPr>
                <w:rFonts w:ascii="Arial" w:cs="Arial" w:eastAsia="Arial" w:hAnsi="Arial"/>
                <w:sz w:val="16"/>
                <w:szCs w:val="16"/>
                <w:color w:val="auto"/>
              </w:rPr>
              <w:t>• A comparison of the returns of a hypothetical</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3"/>
        </w:trPr>
        <w:tc>
          <w:tcPr>
            <w:tcW w:w="3660" w:type="dxa"/>
            <w:vAlign w:val="bottom"/>
          </w:tcPr>
          <w:p>
            <w:pPr>
              <w:ind w:left="160"/>
              <w:spacing w:after="0"/>
              <w:rPr>
                <w:sz w:val="20"/>
                <w:szCs w:val="20"/>
                <w:color w:val="auto"/>
              </w:rPr>
            </w:pPr>
            <w:r>
              <w:rPr>
                <w:rFonts w:ascii="Arial" w:cs="Arial" w:eastAsia="Arial" w:hAnsi="Arial"/>
                <w:sz w:val="16"/>
                <w:szCs w:val="16"/>
                <w:color w:val="auto"/>
              </w:rPr>
              <w:t>investor seeking exposure to office REITs as an</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50%</w:t>
            </w:r>
          </w:p>
        </w:tc>
        <w:tc>
          <w:tcPr>
            <w:tcW w:w="200" w:type="dxa"/>
            <w:vAlign w:val="bottom"/>
          </w:tcPr>
          <w:p>
            <w:pPr>
              <w:spacing w:after="0"/>
              <w:rPr>
                <w:sz w:val="17"/>
                <w:szCs w:val="17"/>
                <w:color w:val="auto"/>
              </w:rPr>
            </w:pPr>
          </w:p>
        </w:tc>
      </w:tr>
      <w:tr>
        <w:trPr>
          <w:trHeight w:val="188"/>
        </w:trPr>
        <w:tc>
          <w:tcPr>
            <w:tcW w:w="3660" w:type="dxa"/>
            <w:vAlign w:val="bottom"/>
          </w:tcPr>
          <w:p>
            <w:pPr>
              <w:ind w:left="160"/>
              <w:spacing w:after="0"/>
              <w:rPr>
                <w:sz w:val="20"/>
                <w:szCs w:val="20"/>
                <w:color w:val="auto"/>
              </w:rPr>
            </w:pPr>
            <w:r>
              <w:rPr>
                <w:rFonts w:ascii="Arial" w:cs="Arial" w:eastAsia="Arial" w:hAnsi="Arial"/>
                <w:sz w:val="16"/>
                <w:szCs w:val="16"/>
                <w:color w:val="auto"/>
                <w:w w:val="98"/>
              </w:rPr>
              <w:t>asset class and reflects how we performed versus</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24"/>
        </w:trPr>
        <w:tc>
          <w:tcPr>
            <w:tcW w:w="3660" w:type="dxa"/>
            <w:vAlign w:val="bottom"/>
            <w:tcBorders>
              <w:bottom w:val="single" w:sz="8" w:color="4B5088"/>
            </w:tcBorders>
          </w:tcPr>
          <w:p>
            <w:pPr>
              <w:ind w:left="160"/>
              <w:spacing w:after="0"/>
              <w:rPr>
                <w:sz w:val="20"/>
                <w:szCs w:val="20"/>
                <w:color w:val="auto"/>
              </w:rPr>
            </w:pPr>
            <w:r>
              <w:rPr>
                <w:rFonts w:ascii="Arial" w:cs="Arial" w:eastAsia="Arial" w:hAnsi="Arial"/>
                <w:sz w:val="16"/>
                <w:szCs w:val="16"/>
                <w:color w:val="auto"/>
              </w:rPr>
              <w:t>other companies in our sector</w:t>
            </w:r>
          </w:p>
        </w:tc>
        <w:tc>
          <w:tcPr>
            <w:tcW w:w="220" w:type="dxa"/>
            <w:vAlign w:val="bottom"/>
          </w:tcPr>
          <w:p>
            <w:pPr>
              <w:spacing w:after="0"/>
              <w:rPr>
                <w:sz w:val="19"/>
                <w:szCs w:val="19"/>
                <w:color w:val="auto"/>
              </w:rPr>
            </w:pPr>
          </w:p>
        </w:tc>
        <w:tc>
          <w:tcPr>
            <w:tcW w:w="700" w:type="dxa"/>
            <w:vAlign w:val="bottom"/>
            <w:tcBorders>
              <w:bottom w:val="single" w:sz="8" w:color="4B5088"/>
            </w:tcBorders>
          </w:tcPr>
          <w:p>
            <w:pPr>
              <w:spacing w:after="0"/>
              <w:rPr>
                <w:sz w:val="19"/>
                <w:szCs w:val="19"/>
                <w:color w:val="auto"/>
              </w:rPr>
            </w:pPr>
          </w:p>
        </w:tc>
        <w:tc>
          <w:tcPr>
            <w:tcW w:w="200" w:type="dxa"/>
            <w:vAlign w:val="bottom"/>
          </w:tcPr>
          <w:p>
            <w:pPr>
              <w:spacing w:after="0"/>
              <w:rPr>
                <w:sz w:val="19"/>
                <w:szCs w:val="19"/>
                <w:color w:val="auto"/>
              </w:rPr>
            </w:pPr>
          </w:p>
        </w:tc>
      </w:tr>
      <w:tr>
        <w:trPr>
          <w:trHeight w:val="270"/>
        </w:trPr>
        <w:tc>
          <w:tcPr>
            <w:tcW w:w="3660" w:type="dxa"/>
            <w:vAlign w:val="bottom"/>
          </w:tcPr>
          <w:p>
            <w:pPr>
              <w:spacing w:after="0"/>
              <w:rPr>
                <w:sz w:val="20"/>
                <w:szCs w:val="20"/>
                <w:color w:val="auto"/>
              </w:rPr>
            </w:pPr>
            <w:r>
              <w:rPr>
                <w:rFonts w:ascii="Arial" w:cs="Arial" w:eastAsia="Arial" w:hAnsi="Arial"/>
                <w:sz w:val="16"/>
                <w:szCs w:val="16"/>
                <w:b w:val="1"/>
                <w:bCs w:val="1"/>
                <w:color w:val="1F2668"/>
              </w:rPr>
              <w:t>Relative TSR vs. NYC REIT Peers</w:t>
            </w:r>
            <w:r>
              <w:rPr>
                <w:rFonts w:ascii="Arial" w:cs="Arial" w:eastAsia="Arial" w:hAnsi="Arial"/>
                <w:sz w:val="19"/>
                <w:szCs w:val="19"/>
                <w:b w:val="1"/>
                <w:bCs w:val="1"/>
                <w:color w:val="1F2668"/>
                <w:vertAlign w:val="superscript"/>
              </w:rPr>
              <w:t>(2)</w:t>
            </w:r>
          </w:p>
        </w:tc>
        <w:tc>
          <w:tcPr>
            <w:tcW w:w="220" w:type="dxa"/>
            <w:vAlign w:val="bottom"/>
          </w:tcPr>
          <w:p>
            <w:pPr>
              <w:ind w:left="60"/>
              <w:spacing w:after="0"/>
              <w:rPr>
                <w:sz w:val="20"/>
                <w:szCs w:val="20"/>
                <w:color w:val="auto"/>
              </w:rPr>
            </w:pPr>
            <w:r>
              <w:rPr>
                <w:rFonts w:ascii="Arial" w:cs="Arial" w:eastAsia="Arial" w:hAnsi="Arial"/>
                <w:sz w:val="16"/>
                <w:szCs w:val="16"/>
                <w:color w:val="auto"/>
              </w:rPr>
              <w:t>​ ​</w:t>
            </w:r>
          </w:p>
        </w:tc>
        <w:tc>
          <w:tcPr>
            <w:tcW w:w="700" w:type="dxa"/>
            <w:vAlign w:val="bottom"/>
          </w:tcPr>
          <w:p>
            <w:pPr>
              <w:spacing w:after="0"/>
              <w:rPr>
                <w:sz w:val="23"/>
                <w:szCs w:val="23"/>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rPr>
              <w:t>​ ​</w:t>
            </w:r>
          </w:p>
        </w:tc>
      </w:tr>
      <w:tr>
        <w:trPr>
          <w:trHeight w:val="309"/>
        </w:trPr>
        <w:tc>
          <w:tcPr>
            <w:tcW w:w="3660" w:type="dxa"/>
            <w:vAlign w:val="bottom"/>
          </w:tcPr>
          <w:p>
            <w:pPr>
              <w:spacing w:after="0"/>
              <w:rPr>
                <w:sz w:val="20"/>
                <w:szCs w:val="20"/>
                <w:color w:val="auto"/>
              </w:rPr>
            </w:pPr>
            <w:r>
              <w:rPr>
                <w:rFonts w:ascii="Arial" w:cs="Arial" w:eastAsia="Arial" w:hAnsi="Arial"/>
                <w:sz w:val="16"/>
                <w:szCs w:val="16"/>
                <w:color w:val="auto"/>
              </w:rPr>
              <w:t>• A comparison of our performance against</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280" w:type="dxa"/>
            <w:vAlign w:val="bottom"/>
          </w:tcPr>
          <w:p>
            <w:pPr>
              <w:jc w:val="center"/>
              <w:ind w:left="108"/>
              <w:spacing w:after="0"/>
              <w:rPr>
                <w:sz w:val="20"/>
                <w:szCs w:val="20"/>
                <w:color w:val="auto"/>
              </w:rPr>
            </w:pPr>
            <w:r>
              <w:rPr>
                <w:rFonts w:ascii="Arial" w:cs="Arial" w:eastAsia="Arial" w:hAnsi="Arial"/>
                <w:sz w:val="14"/>
                <w:szCs w:val="14"/>
                <w:color w:val="1F2668"/>
                <w:w w:val="99"/>
              </w:rPr>
              <w:t>Threshold</w:t>
            </w:r>
          </w:p>
        </w:tc>
        <w:tc>
          <w:tcPr>
            <w:tcW w:w="460" w:type="dxa"/>
            <w:vAlign w:val="bottom"/>
          </w:tcPr>
          <w:p>
            <w:pPr>
              <w:spacing w:after="0"/>
              <w:rPr>
                <w:sz w:val="14"/>
                <w:szCs w:val="14"/>
                <w:color w:val="auto"/>
              </w:rPr>
            </w:pPr>
          </w:p>
        </w:tc>
        <w:tc>
          <w:tcPr>
            <w:tcW w:w="860" w:type="dxa"/>
            <w:vAlign w:val="bottom"/>
          </w:tcPr>
          <w:p>
            <w:pPr>
              <w:ind w:left="200"/>
              <w:spacing w:after="0"/>
              <w:rPr>
                <w:sz w:val="20"/>
                <w:szCs w:val="20"/>
                <w:color w:val="auto"/>
              </w:rPr>
            </w:pPr>
            <w:r>
              <w:rPr>
                <w:rFonts w:ascii="Arial" w:cs="Arial" w:eastAsia="Arial" w:hAnsi="Arial"/>
                <w:sz w:val="14"/>
                <w:szCs w:val="14"/>
                <w:color w:val="1F2668"/>
              </w:rPr>
              <w:t>Target</w:t>
            </w:r>
          </w:p>
        </w:tc>
        <w:tc>
          <w:tcPr>
            <w:tcW w:w="420" w:type="dxa"/>
            <w:vAlign w:val="bottom"/>
          </w:tcPr>
          <w:p>
            <w:pPr>
              <w:spacing w:after="0"/>
              <w:rPr>
                <w:sz w:val="14"/>
                <w:szCs w:val="14"/>
                <w:color w:val="auto"/>
              </w:rPr>
            </w:pPr>
          </w:p>
        </w:tc>
        <w:tc>
          <w:tcPr>
            <w:tcW w:w="1260" w:type="dxa"/>
            <w:vAlign w:val="bottom"/>
          </w:tcPr>
          <w:p>
            <w:pPr>
              <w:jc w:val="center"/>
              <w:ind w:right="188"/>
              <w:spacing w:after="0"/>
              <w:rPr>
                <w:sz w:val="20"/>
                <w:szCs w:val="20"/>
                <w:color w:val="auto"/>
              </w:rPr>
            </w:pPr>
            <w:r>
              <w:rPr>
                <w:rFonts w:ascii="Arial" w:cs="Arial" w:eastAsia="Arial" w:hAnsi="Arial"/>
                <w:sz w:val="14"/>
                <w:szCs w:val="14"/>
                <w:color w:val="1F2668"/>
                <w:w w:val="98"/>
              </w:rPr>
              <w:t>Maximum</w:t>
            </w:r>
          </w:p>
        </w:tc>
        <w:tc>
          <w:tcPr>
            <w:tcW w:w="40" w:type="dxa"/>
            <w:vAlign w:val="bottom"/>
          </w:tcPr>
          <w:p>
            <w:pPr>
              <w:spacing w:after="0"/>
              <w:rPr>
                <w:sz w:val="14"/>
                <w:szCs w:val="14"/>
                <w:color w:val="auto"/>
              </w:rPr>
            </w:pPr>
          </w:p>
        </w:tc>
      </w:tr>
      <w:tr>
        <w:trPr>
          <w:trHeight w:val="198"/>
        </w:trPr>
        <w:tc>
          <w:tcPr>
            <w:tcW w:w="1280" w:type="dxa"/>
            <w:vAlign w:val="bottom"/>
            <w:tcBorders>
              <w:bottom w:val="single" w:sz="8" w:color="1F2668"/>
            </w:tcBorders>
          </w:tcPr>
          <w:p>
            <w:pPr>
              <w:jc w:val="right"/>
              <w:ind w:right="268"/>
              <w:spacing w:after="0"/>
              <w:rPr>
                <w:sz w:val="20"/>
                <w:szCs w:val="20"/>
                <w:color w:val="auto"/>
              </w:rPr>
            </w:pPr>
            <w:r>
              <w:rPr>
                <w:rFonts w:ascii="Arial" w:cs="Arial" w:eastAsia="Arial" w:hAnsi="Arial"/>
                <w:sz w:val="14"/>
                <w:szCs w:val="14"/>
                <w:color w:val="1F2668"/>
              </w:rPr>
              <w:t>(50%)</w:t>
            </w:r>
          </w:p>
        </w:tc>
        <w:tc>
          <w:tcPr>
            <w:tcW w:w="460" w:type="dxa"/>
            <w:vAlign w:val="bottom"/>
            <w:tcBorders>
              <w:bottom w:val="single" w:sz="8" w:color="1F2668"/>
            </w:tcBorders>
          </w:tcPr>
          <w:p>
            <w:pPr>
              <w:ind w:left="220"/>
              <w:spacing w:after="0"/>
              <w:rPr>
                <w:sz w:val="20"/>
                <w:szCs w:val="20"/>
                <w:color w:val="auto"/>
              </w:rPr>
            </w:pPr>
            <w:r>
              <w:rPr>
                <w:rFonts w:ascii="Arial" w:cs="Arial" w:eastAsia="Arial" w:hAnsi="Arial"/>
                <w:sz w:val="14"/>
                <w:szCs w:val="14"/>
                <w:b w:val="1"/>
                <w:bCs w:val="1"/>
                <w:color w:val="1F2668"/>
              </w:rPr>
              <w:t>​</w:t>
            </w:r>
          </w:p>
        </w:tc>
        <w:tc>
          <w:tcPr>
            <w:tcW w:w="860" w:type="dxa"/>
            <w:vAlign w:val="bottom"/>
            <w:tcBorders>
              <w:bottom w:val="single" w:sz="8" w:color="1F2668"/>
            </w:tcBorders>
          </w:tcPr>
          <w:p>
            <w:pPr>
              <w:ind w:left="180"/>
              <w:spacing w:after="0"/>
              <w:rPr>
                <w:sz w:val="20"/>
                <w:szCs w:val="20"/>
                <w:color w:val="auto"/>
              </w:rPr>
            </w:pPr>
            <w:r>
              <w:rPr>
                <w:rFonts w:ascii="Arial" w:cs="Arial" w:eastAsia="Arial" w:hAnsi="Arial"/>
                <w:sz w:val="14"/>
                <w:szCs w:val="14"/>
                <w:color w:val="1F2668"/>
              </w:rPr>
              <w:t>(100%)</w:t>
            </w:r>
          </w:p>
        </w:tc>
        <w:tc>
          <w:tcPr>
            <w:tcW w:w="420" w:type="dxa"/>
            <w:vAlign w:val="bottom"/>
            <w:tcBorders>
              <w:bottom w:val="single" w:sz="8" w:color="1F2668"/>
            </w:tcBorders>
          </w:tcPr>
          <w:p>
            <w:pPr>
              <w:ind w:left="200"/>
              <w:spacing w:after="0"/>
              <w:rPr>
                <w:sz w:val="20"/>
                <w:szCs w:val="20"/>
                <w:color w:val="auto"/>
              </w:rPr>
            </w:pPr>
            <w:r>
              <w:rPr>
                <w:rFonts w:ascii="Arial" w:cs="Arial" w:eastAsia="Arial" w:hAnsi="Arial"/>
                <w:sz w:val="14"/>
                <w:szCs w:val="14"/>
                <w:color w:val="1F2668"/>
              </w:rPr>
              <w:t>​</w:t>
            </w:r>
          </w:p>
        </w:tc>
        <w:tc>
          <w:tcPr>
            <w:tcW w:w="1260" w:type="dxa"/>
            <w:vAlign w:val="bottom"/>
            <w:tcBorders>
              <w:bottom w:val="single" w:sz="8" w:color="1F2668"/>
            </w:tcBorders>
          </w:tcPr>
          <w:p>
            <w:pPr>
              <w:jc w:val="right"/>
              <w:ind w:right="448"/>
              <w:spacing w:after="0"/>
              <w:rPr>
                <w:sz w:val="20"/>
                <w:szCs w:val="20"/>
                <w:color w:val="auto"/>
              </w:rPr>
            </w:pPr>
            <w:r>
              <w:rPr>
                <w:rFonts w:ascii="Arial" w:cs="Arial" w:eastAsia="Arial" w:hAnsi="Arial"/>
                <w:sz w:val="14"/>
                <w:szCs w:val="14"/>
                <w:color w:val="1F2668"/>
              </w:rPr>
              <w:t>(200%)</w:t>
            </w:r>
          </w:p>
        </w:tc>
        <w:tc>
          <w:tcPr>
            <w:tcW w:w="40" w:type="dxa"/>
            <w:vAlign w:val="bottom"/>
          </w:tcPr>
          <w:p>
            <w:pPr>
              <w:spacing w:after="0"/>
              <w:rPr>
                <w:sz w:val="20"/>
                <w:szCs w:val="20"/>
                <w:color w:val="auto"/>
              </w:rPr>
            </w:pPr>
            <w:r>
              <w:rPr>
                <w:rFonts w:ascii="Arial" w:cs="Arial" w:eastAsia="Arial" w:hAnsi="Arial"/>
                <w:sz w:val="14"/>
                <w:szCs w:val="14"/>
                <w:color w:val="1F2668"/>
              </w:rPr>
              <w:t>​</w:t>
            </w:r>
          </w:p>
        </w:tc>
      </w:tr>
      <w:tr>
        <w:trPr>
          <w:trHeight w:val="195"/>
        </w:trPr>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129540</wp:posOffset>
            </wp:positionV>
            <wp:extent cx="2708910" cy="3771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7089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ind w:right="8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270891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409" w:lineRule="exact"/>
        <w:rPr>
          <w:sz w:val="20"/>
          <w:szCs w:val="20"/>
          <w:color w:val="auto"/>
        </w:rPr>
      </w:pPr>
    </w:p>
    <w:p>
      <w:pPr>
        <w:sectPr>
          <w:pgSz w:w="11900" w:h="16838" w:orient="portrait"/>
          <w:cols w:equalWidth="0" w:num="2">
            <w:col w:w="5600" w:space="0"/>
            <w:col w:w="5120"/>
          </w:cols>
          <w:pgMar w:left="580" w:top="97" w:right="599" w:bottom="1440" w:gutter="0" w:footer="0" w:header="0"/>
          <w:type w:val="continuous"/>
        </w:sectPr>
      </w:pPr>
    </w:p>
    <w:tbl>
      <w:tblPr>
        <w:tblLayout w:type="fixed"/>
        <w:tblInd w:w="980" w:type="dxa"/>
        <w:tblCellMar>
          <w:top w:w="0" w:type="dxa"/>
          <w:left w:w="0" w:type="dxa"/>
          <w:bottom w:w="0" w:type="dxa"/>
          <w:right w:w="0" w:type="dxa"/>
        </w:tblCellMar>
      </w:tblPr>
      <w:tr>
        <w:trPr>
          <w:trHeight w:val="177"/>
        </w:trPr>
        <w:tc>
          <w:tcPr>
            <w:tcW w:w="3580" w:type="dxa"/>
            <w:vAlign w:val="bottom"/>
          </w:tcPr>
          <w:p>
            <w:pPr>
              <w:spacing w:after="0" w:line="177" w:lineRule="exact"/>
              <w:rPr>
                <w:sz w:val="20"/>
                <w:szCs w:val="20"/>
                <w:color w:val="auto"/>
              </w:rPr>
            </w:pPr>
            <w:r>
              <w:rPr>
                <w:rFonts w:ascii="Arial" w:cs="Arial" w:eastAsia="Arial" w:hAnsi="Arial"/>
                <w:sz w:val="16"/>
                <w:szCs w:val="16"/>
                <w:color w:val="auto"/>
              </w:rPr>
              <w:t>companies with office and/or retail commercial</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rPr>
                <w:sz w:val="20"/>
                <w:szCs w:val="20"/>
                <w:color w:val="auto"/>
              </w:rPr>
            </w:pPr>
            <w:r>
              <w:rPr>
                <w:rFonts w:ascii="Arial" w:cs="Arial" w:eastAsia="Arial" w:hAnsi="Arial"/>
                <w:sz w:val="16"/>
                <w:szCs w:val="16"/>
                <w:color w:val="auto"/>
              </w:rPr>
              <w:t>real estate portfolios concentrated in the New</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5"/>
        </w:trPr>
        <w:tc>
          <w:tcPr>
            <w:tcW w:w="3580" w:type="dxa"/>
            <w:vAlign w:val="bottom"/>
          </w:tcPr>
          <w:p>
            <w:pPr>
              <w:spacing w:after="0"/>
              <w:rPr>
                <w:sz w:val="20"/>
                <w:szCs w:val="20"/>
                <w:color w:val="auto"/>
              </w:rPr>
            </w:pPr>
            <w:r>
              <w:rPr>
                <w:rFonts w:ascii="Arial" w:cs="Arial" w:eastAsia="Arial" w:hAnsi="Arial"/>
                <w:sz w:val="16"/>
                <w:szCs w:val="16"/>
                <w:color w:val="auto"/>
              </w:rPr>
              <w:t>York City market, which we believe are most</w:t>
            </w: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-289560</wp:posOffset>
            </wp:positionV>
            <wp:extent cx="2708910" cy="3771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708910" cy="377190"/>
                    </a:xfrm>
                    <a:prstGeom prst="rect">
                      <a:avLst/>
                    </a:prstGeom>
                    <a:noFill/>
                  </pic:spPr>
                </pic:pic>
              </a:graphicData>
            </a:graphic>
          </wp:anchor>
        </w:drawing>
      </w:r>
    </w:p>
    <w:p>
      <w:pPr>
        <w:jc w:val="both"/>
        <w:ind w:left="980" w:right="6360"/>
        <w:spacing w:after="0" w:line="266" w:lineRule="auto"/>
        <w:rPr>
          <w:sz w:val="20"/>
          <w:szCs w:val="20"/>
          <w:color w:val="auto"/>
        </w:rPr>
      </w:pPr>
      <w:r>
        <w:rPr>
          <w:rFonts w:ascii="Arial" w:cs="Arial" w:eastAsia="Arial" w:hAnsi="Arial"/>
          <w:sz w:val="16"/>
          <w:szCs w:val="16"/>
          <w:color w:val="auto"/>
        </w:rPr>
        <w:t>directly comparable to the Company due to the market dynamics of New York City that uniquely impact owners and operators of commercial 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-1905</wp:posOffset>
            </wp:positionV>
            <wp:extent cx="575183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751830" cy="8890"/>
                    </a:xfrm>
                    <a:prstGeom prst="rect">
                      <a:avLst/>
                    </a:prstGeom>
                    <a:noFill/>
                  </pic:spPr>
                </pic:pic>
              </a:graphicData>
            </a:graphic>
          </wp:anchor>
        </w:drawing>
      </w:r>
    </w:p>
    <w:p>
      <w:pPr>
        <w:spacing w:after="0" w:line="224" w:lineRule="exact"/>
        <w:rPr>
          <w:sz w:val="20"/>
          <w:szCs w:val="20"/>
          <w:color w:val="auto"/>
        </w:rPr>
      </w:pPr>
    </w:p>
    <w:p>
      <w:pPr>
        <w:ind w:left="1180" w:hanging="364"/>
        <w:spacing w:after="0"/>
        <w:tabs>
          <w:tab w:leader="none" w:pos="11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Office REIT Peer Group is comprised of the constituents of the Bloomberg North American Office REIT Valuation Peers Index.</w:t>
      </w:r>
    </w:p>
    <w:p>
      <w:pPr>
        <w:spacing w:after="0" w:line="95" w:lineRule="exact"/>
        <w:rPr>
          <w:rFonts w:ascii="Arial" w:cs="Arial" w:eastAsia="Arial" w:hAnsi="Arial"/>
          <w:sz w:val="14"/>
          <w:szCs w:val="14"/>
          <w:color w:val="auto"/>
        </w:rPr>
      </w:pPr>
    </w:p>
    <w:p>
      <w:pPr>
        <w:ind w:left="1180" w:right="920" w:hanging="364"/>
        <w:spacing w:after="0" w:line="325" w:lineRule="auto"/>
        <w:tabs>
          <w:tab w:leader="none" w:pos="11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NYC Peer Group is comprised of the following companies: Acadia Realty Trust, Empire State Realty Trust, Inc., Veris Residential, Inc., Paramount Group, Inc. and Vornado Realty Trust.</w:t>
      </w:r>
    </w:p>
    <w:p>
      <w:pPr>
        <w:spacing w:after="0" w:line="140"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1F2668"/>
        </w:rPr>
        <w:t>FINAL RESULTS—2022-2024 PERFORMANCE-BASED AWARDS</w:t>
      </w:r>
    </w:p>
    <w:p>
      <w:pPr>
        <w:spacing w:after="0" w:line="167" w:lineRule="exact"/>
        <w:rPr>
          <w:sz w:val="20"/>
          <w:szCs w:val="20"/>
          <w:color w:val="auto"/>
        </w:rPr>
      </w:pPr>
    </w:p>
    <w:p>
      <w:pPr>
        <w:ind w:left="820" w:right="920"/>
        <w:spacing w:after="0" w:line="291" w:lineRule="auto"/>
        <w:rPr>
          <w:sz w:val="20"/>
          <w:szCs w:val="20"/>
          <w:color w:val="auto"/>
        </w:rPr>
      </w:pPr>
      <w:r>
        <w:rPr>
          <w:rFonts w:ascii="Arial" w:cs="Arial" w:eastAsia="Arial" w:hAnsi="Arial"/>
          <w:sz w:val="16"/>
          <w:szCs w:val="16"/>
          <w:color w:val="auto"/>
        </w:rPr>
        <w:t xml:space="preserve">The performance period for the 2022 annual performance-based equity awards concluded on December 31, 2024. Under the program, </w:t>
      </w:r>
      <w:r>
        <w:rPr>
          <w:rFonts w:ascii="Arial" w:cs="Arial" w:eastAsia="Arial" w:hAnsi="Arial"/>
          <w:sz w:val="16"/>
          <w:szCs w:val="16"/>
          <w:b w:val="1"/>
          <w:bCs w:val="1"/>
          <w:color w:val="auto"/>
        </w:rPr>
        <w:t>141.29%</w:t>
      </w:r>
      <w:r>
        <w:rPr>
          <w:rFonts w:ascii="Arial" w:cs="Arial" w:eastAsia="Arial" w:hAnsi="Arial"/>
          <w:sz w:val="16"/>
          <w:szCs w:val="16"/>
          <w:color w:val="auto"/>
        </w:rPr>
        <w:t xml:space="preserve"> of the target operational component was initially earned, which amount was </w:t>
      </w:r>
      <w:r>
        <w:rPr>
          <w:rFonts w:ascii="Arial" w:cs="Arial" w:eastAsia="Arial" w:hAnsi="Arial"/>
          <w:sz w:val="16"/>
          <w:szCs w:val="16"/>
          <w:b w:val="1"/>
          <w:bCs w:val="1"/>
          <w:color w:val="auto"/>
        </w:rPr>
        <w:t>increased by 4.35%</w:t>
      </w:r>
      <w:r>
        <w:rPr>
          <w:rFonts w:ascii="Arial" w:cs="Arial" w:eastAsia="Arial" w:hAnsi="Arial"/>
          <w:sz w:val="16"/>
          <w:szCs w:val="16"/>
          <w:color w:val="auto"/>
        </w:rPr>
        <w:t xml:space="preserve"> following application of the three-year absolute TSR modifier at the end of the performance period. Award recipients also earned </w:t>
      </w:r>
      <w:r>
        <w:rPr>
          <w:rFonts w:ascii="Arial" w:cs="Arial" w:eastAsia="Arial" w:hAnsi="Arial"/>
          <w:sz w:val="16"/>
          <w:szCs w:val="16"/>
          <w:b w:val="1"/>
          <w:bCs w:val="1"/>
          <w:color w:val="auto"/>
        </w:rPr>
        <w:t>225%</w:t>
      </w:r>
      <w:r>
        <w:rPr>
          <w:rFonts w:ascii="Arial" w:cs="Arial" w:eastAsia="Arial" w:hAnsi="Arial"/>
          <w:sz w:val="16"/>
          <w:szCs w:val="16"/>
          <w:color w:val="auto"/>
        </w:rPr>
        <w:t xml:space="preserve"> of target for both of the components that could be earned based on our relative performance, as measured against the constituents of the Dow Jones U.S. Real Estate Office Index and measured against the NYC REIT Peers.</w:t>
      </w:r>
    </w:p>
    <w:p>
      <w:pPr>
        <w:spacing w:after="0" w:line="11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table below summarizes the final value of these awards as of the conclusion of the performance period:</w:t>
      </w:r>
    </w:p>
    <w:p>
      <w:pPr>
        <w:spacing w:after="0" w:line="212"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1F2668"/>
              </w:rPr>
              <w:t>Realized Value as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1F2668"/>
              </w:rPr>
              <w:t>a Percentage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color w:val="1F2668"/>
                <w:w w:val="96"/>
              </w:rPr>
              <w:t>Target Value of</w:t>
            </w:r>
          </w:p>
        </w:tc>
        <w:tc>
          <w:tcPr>
            <w:tcW w:w="100" w:type="dxa"/>
            <w:vAlign w:val="bottom"/>
          </w:tcPr>
          <w:p>
            <w:pPr>
              <w:spacing w:after="0"/>
              <w:rPr>
                <w:sz w:val="14"/>
                <w:szCs w:val="14"/>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color w:val="1F2668"/>
              </w:rPr>
              <w:t>Number of Units</w:t>
            </w:r>
          </w:p>
        </w:tc>
        <w:tc>
          <w:tcPr>
            <w:tcW w:w="160" w:type="dxa"/>
            <w:vAlign w:val="bottom"/>
          </w:tcPr>
          <w:p>
            <w:pPr>
              <w:spacing w:after="0"/>
              <w:rPr>
                <w:sz w:val="14"/>
                <w:szCs w:val="14"/>
                <w:color w:val="auto"/>
              </w:rPr>
            </w:pPr>
          </w:p>
        </w:tc>
        <w:tc>
          <w:tcPr>
            <w:tcW w:w="1260" w:type="dxa"/>
            <w:vAlign w:val="bottom"/>
          </w:tcPr>
          <w:p>
            <w:pPr>
              <w:ind w:left="60"/>
              <w:spacing w:after="0"/>
              <w:rPr>
                <w:sz w:val="20"/>
                <w:szCs w:val="20"/>
                <w:color w:val="auto"/>
              </w:rPr>
            </w:pPr>
            <w:r>
              <w:rPr>
                <w:rFonts w:ascii="Arial" w:cs="Arial" w:eastAsia="Arial" w:hAnsi="Arial"/>
                <w:sz w:val="14"/>
                <w:szCs w:val="14"/>
                <w:color w:val="1F2668"/>
              </w:rPr>
              <w:t>Earned Units as of</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color w:val="1F2668"/>
              </w:rPr>
              <w:t>Realized Value as of</w:t>
            </w: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1F2668"/>
              </w:rPr>
              <w:t>Target Value as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360" w:type="dxa"/>
            <w:vAlign w:val="bottom"/>
          </w:tcPr>
          <w:p>
            <w:pPr>
              <w:spacing w:after="0"/>
              <w:rPr>
                <w:sz w:val="20"/>
                <w:szCs w:val="20"/>
                <w:color w:val="auto"/>
              </w:rPr>
            </w:pPr>
            <w:r>
              <w:rPr>
                <w:rFonts w:ascii="Arial" w:cs="Arial" w:eastAsia="Arial" w:hAnsi="Arial"/>
                <w:sz w:val="14"/>
                <w:szCs w:val="14"/>
                <w:color w:val="1F2668"/>
              </w:rPr>
              <w:t>Executive</w:t>
            </w:r>
          </w:p>
        </w:tc>
        <w:tc>
          <w:tcPr>
            <w:tcW w:w="200" w:type="dxa"/>
            <w:vAlign w:val="bottom"/>
            <w:gridSpan w:val="2"/>
          </w:tcPr>
          <w:p>
            <w:pPr>
              <w:ind w:left="60"/>
              <w:spacing w:after="0"/>
              <w:rPr>
                <w:sz w:val="20"/>
                <w:szCs w:val="20"/>
                <w:color w:val="auto"/>
              </w:rPr>
            </w:pPr>
            <w:r>
              <w:rPr>
                <w:rFonts w:ascii="Arial" w:cs="Arial" w:eastAsia="Arial" w:hAnsi="Arial"/>
                <w:sz w:val="14"/>
                <w:szCs w:val="14"/>
                <w:color w:val="1F2668"/>
              </w:rPr>
              <w:t>​​</w:t>
            </w:r>
          </w:p>
        </w:tc>
        <w:tc>
          <w:tcPr>
            <w:tcW w:w="240" w:type="dxa"/>
            <w:vAlign w:val="bottom"/>
          </w:tcPr>
          <w:p>
            <w:pPr>
              <w:spacing w:after="0"/>
              <w:rPr>
                <w:sz w:val="19"/>
                <w:szCs w:val="19"/>
                <w:color w:val="auto"/>
              </w:rPr>
            </w:pPr>
          </w:p>
        </w:tc>
        <w:tc>
          <w:tcPr>
            <w:tcW w:w="4820" w:type="dxa"/>
            <w:vAlign w:val="bottom"/>
            <w:gridSpan w:val="12"/>
          </w:tcPr>
          <w:p>
            <w:pPr>
              <w:jc w:val="right"/>
              <w:ind w:right="20"/>
              <w:spacing w:after="0" w:line="225" w:lineRule="exact"/>
              <w:rPr>
                <w:sz w:val="20"/>
                <w:szCs w:val="20"/>
                <w:color w:val="auto"/>
              </w:rPr>
            </w:pPr>
            <w:r>
              <w:rPr>
                <w:rFonts w:ascii="Arial" w:cs="Arial" w:eastAsia="Arial" w:hAnsi="Arial"/>
                <w:sz w:val="14"/>
                <w:szCs w:val="14"/>
                <w:color w:val="1F2668"/>
              </w:rPr>
              <w:t xml:space="preserve">Grant </w:t>
            </w:r>
            <w:r>
              <w:rPr>
                <w:rFonts w:ascii="Arial" w:cs="Arial" w:eastAsia="Arial" w:hAnsi="Arial"/>
                <w:sz w:val="26"/>
                <w:szCs w:val="26"/>
                <w:color w:val="1F2668"/>
                <w:vertAlign w:val="subscript"/>
              </w:rPr>
              <w:t>​​</w:t>
            </w:r>
            <w:r>
              <w:rPr>
                <w:rFonts w:ascii="Arial" w:cs="Arial" w:eastAsia="Arial" w:hAnsi="Arial"/>
                <w:sz w:val="14"/>
                <w:szCs w:val="14"/>
                <w:color w:val="1F2668"/>
              </w:rPr>
              <w:t xml:space="preserve">Earned at Target </w:t>
            </w:r>
            <w:r>
              <w:rPr>
                <w:rFonts w:ascii="Arial" w:cs="Arial" w:eastAsia="Arial" w:hAnsi="Arial"/>
                <w:sz w:val="26"/>
                <w:szCs w:val="26"/>
                <w:color w:val="1F2668"/>
                <w:vertAlign w:val="subscript"/>
              </w:rPr>
              <w:t>​​</w:t>
            </w:r>
            <w:r>
              <w:rPr>
                <w:rFonts w:ascii="Arial" w:cs="Arial" w:eastAsia="Arial" w:hAnsi="Arial"/>
                <w:sz w:val="14"/>
                <w:szCs w:val="14"/>
                <w:color w:val="1F2668"/>
              </w:rPr>
              <w:t xml:space="preserve"> December 31, 2024 </w:t>
            </w:r>
            <w:r>
              <w:rPr>
                <w:rFonts w:ascii="Arial" w:cs="Arial" w:eastAsia="Arial" w:hAnsi="Arial"/>
                <w:sz w:val="26"/>
                <w:szCs w:val="26"/>
                <w:color w:val="1F2668"/>
                <w:vertAlign w:val="subscript"/>
              </w:rPr>
              <w:t>​​</w:t>
            </w:r>
            <w:r>
              <w:rPr>
                <w:rFonts w:ascii="Arial" w:cs="Arial" w:eastAsia="Arial" w:hAnsi="Arial"/>
                <w:sz w:val="14"/>
                <w:szCs w:val="14"/>
                <w:color w:val="1F2668"/>
              </w:rPr>
              <w:t xml:space="preserve"> December 31, 2024</w:t>
            </w:r>
            <w:r>
              <w:rPr>
                <w:rFonts w:ascii="Arial" w:cs="Arial" w:eastAsia="Arial" w:hAnsi="Arial"/>
                <w:sz w:val="16"/>
                <w:szCs w:val="16"/>
                <w:b w:val="1"/>
                <w:bCs w:val="1"/>
                <w:color w:val="1F2668"/>
                <w:vertAlign w:val="superscript"/>
              </w:rPr>
              <w:t>(1)</w:t>
            </w:r>
          </w:p>
        </w:tc>
        <w:tc>
          <w:tcPr>
            <w:tcW w:w="1500" w:type="dxa"/>
            <w:vAlign w:val="bottom"/>
            <w:gridSpan w:val="3"/>
          </w:tcPr>
          <w:p>
            <w:pPr>
              <w:jc w:val="right"/>
              <w:spacing w:after="0" w:line="225" w:lineRule="exact"/>
              <w:rPr>
                <w:sz w:val="20"/>
                <w:szCs w:val="20"/>
                <w:color w:val="auto"/>
              </w:rPr>
            </w:pPr>
            <w:r>
              <w:rPr>
                <w:rFonts w:ascii="Arial" w:cs="Arial" w:eastAsia="Arial" w:hAnsi="Arial"/>
                <w:sz w:val="26"/>
                <w:szCs w:val="26"/>
                <w:color w:val="1F2668"/>
                <w:vertAlign w:val="subscript"/>
              </w:rPr>
              <w:t>​​</w:t>
            </w:r>
            <w:r>
              <w:rPr>
                <w:rFonts w:ascii="Arial" w:cs="Arial" w:eastAsia="Arial" w:hAnsi="Arial"/>
                <w:sz w:val="14"/>
                <w:szCs w:val="14"/>
                <w:color w:val="1F2668"/>
              </w:rPr>
              <w:t xml:space="preserve"> December 31, 2024</w:t>
            </w:r>
            <w:r>
              <w:rPr>
                <w:rFonts w:ascii="Arial" w:cs="Arial" w:eastAsia="Arial" w:hAnsi="Arial"/>
                <w:sz w:val="26"/>
                <w:szCs w:val="26"/>
                <w:color w:val="1F2668"/>
                <w:vertAlign w:val="subscript"/>
              </w:rPr>
              <w:t>​</w:t>
            </w:r>
          </w:p>
        </w:tc>
        <w:tc>
          <w:tcPr>
            <w:tcW w:w="0" w:type="dxa"/>
            <w:vAlign w:val="bottom"/>
          </w:tcPr>
          <w:p>
            <w:pPr>
              <w:spacing w:after="0"/>
              <w:rPr>
                <w:sz w:val="1"/>
                <w:szCs w:val="1"/>
                <w:color w:val="auto"/>
              </w:rPr>
            </w:pPr>
          </w:p>
        </w:tc>
      </w:tr>
      <w:tr>
        <w:trPr>
          <w:trHeight w:val="20"/>
        </w:trPr>
        <w:tc>
          <w:tcPr>
            <w:tcW w:w="236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1F2668"/>
          </w:tcPr>
          <w:p>
            <w:pPr>
              <w:spacing w:after="0" w:line="20" w:lineRule="exact"/>
              <w:rPr>
                <w:sz w:val="1"/>
                <w:szCs w:val="1"/>
                <w:color w:val="auto"/>
              </w:rPr>
            </w:pPr>
          </w:p>
        </w:tc>
        <w:tc>
          <w:tcPr>
            <w:tcW w:w="900" w:type="dxa"/>
            <w:vAlign w:val="bottom"/>
            <w:gridSpan w:val="2"/>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1F2668"/>
          </w:tcPr>
          <w:p>
            <w:pPr>
              <w:spacing w:after="0" w:line="20" w:lineRule="exact"/>
              <w:rPr>
                <w:sz w:val="1"/>
                <w:szCs w:val="1"/>
                <w:color w:val="auto"/>
              </w:rPr>
            </w:pPr>
          </w:p>
        </w:tc>
        <w:tc>
          <w:tcPr>
            <w:tcW w:w="820" w:type="dxa"/>
            <w:vAlign w:val="bottom"/>
            <w:gridSpan w:val="2"/>
            <w:shd w:val="clear" w:color="auto" w:fill="1F2668"/>
          </w:tcPr>
          <w:p>
            <w:pPr>
              <w:spacing w:after="0" w:line="20" w:lineRule="exact"/>
              <w:rPr>
                <w:sz w:val="1"/>
                <w:szCs w:val="1"/>
                <w:color w:val="auto"/>
              </w:rPr>
            </w:pPr>
          </w:p>
        </w:tc>
        <w:tc>
          <w:tcPr>
            <w:tcW w:w="160" w:type="dxa"/>
            <w:vAlign w:val="bottom"/>
            <w:tcBorders>
              <w:right w:val="single" w:sz="8" w:color="1F2668"/>
            </w:tcBorders>
          </w:tcPr>
          <w:p>
            <w:pPr>
              <w:spacing w:after="0" w:line="20" w:lineRule="exact"/>
              <w:rPr>
                <w:sz w:val="1"/>
                <w:szCs w:val="1"/>
                <w:color w:val="auto"/>
              </w:rPr>
            </w:pPr>
          </w:p>
        </w:tc>
        <w:tc>
          <w:tcPr>
            <w:tcW w:w="126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1F2668"/>
          </w:tcPr>
          <w:p>
            <w:pPr>
              <w:spacing w:after="0" w:line="20" w:lineRule="exact"/>
              <w:rPr>
                <w:sz w:val="1"/>
                <w:szCs w:val="1"/>
                <w:color w:val="auto"/>
              </w:rPr>
            </w:pPr>
          </w:p>
        </w:tc>
        <w:tc>
          <w:tcPr>
            <w:tcW w:w="1360" w:type="dxa"/>
            <w:vAlign w:val="bottom"/>
            <w:gridSpan w:val="2"/>
            <w:shd w:val="clear" w:color="auto" w:fill="1F266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1F2668"/>
            </w:tcBorders>
          </w:tcPr>
          <w:p>
            <w:pPr>
              <w:spacing w:after="0" w:line="20" w:lineRule="exact"/>
              <w:rPr>
                <w:sz w:val="1"/>
                <w:szCs w:val="1"/>
                <w:color w:val="auto"/>
              </w:rPr>
            </w:pPr>
          </w:p>
        </w:tc>
        <w:tc>
          <w:tcPr>
            <w:tcW w:w="1320" w:type="dxa"/>
            <w:vAlign w:val="bottom"/>
            <w:shd w:val="clear" w:color="auto" w:fill="1F266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60" w:type="dxa"/>
            <w:vAlign w:val="bottom"/>
          </w:tcPr>
          <w:p>
            <w:pPr>
              <w:spacing w:after="0"/>
              <w:rPr>
                <w:sz w:val="20"/>
                <w:szCs w:val="20"/>
                <w:color w:val="auto"/>
              </w:rPr>
            </w:pPr>
            <w:r>
              <w:rPr>
                <w:rFonts w:ascii="Arial" w:cs="Arial" w:eastAsia="Arial" w:hAnsi="Arial"/>
                <w:sz w:val="16"/>
                <w:szCs w:val="16"/>
                <w:b w:val="1"/>
                <w:bCs w:val="1"/>
                <w:color w:val="1F2668"/>
              </w:rPr>
              <w:t>Marc Holliday</w:t>
            </w:r>
          </w:p>
        </w:tc>
        <w:tc>
          <w:tcPr>
            <w:tcW w:w="20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$7,500,000</w:t>
            </w:r>
          </w:p>
        </w:tc>
        <w:tc>
          <w:tcPr>
            <w:tcW w:w="36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820" w:type="dxa"/>
            <w:vAlign w:val="bottom"/>
            <w:gridSpan w:val="2"/>
          </w:tcPr>
          <w:p>
            <w:pPr>
              <w:ind w:left="220"/>
              <w:spacing w:after="0"/>
              <w:rPr>
                <w:sz w:val="20"/>
                <w:szCs w:val="20"/>
                <w:color w:val="auto"/>
              </w:rPr>
            </w:pPr>
            <w:r>
              <w:rPr>
                <w:rFonts w:ascii="Arial" w:cs="Arial" w:eastAsia="Arial" w:hAnsi="Arial"/>
                <w:sz w:val="16"/>
                <w:szCs w:val="16"/>
                <w:color w:val="auto"/>
              </w:rPr>
              <w:t>​101,632</w:t>
            </w:r>
          </w:p>
        </w:tc>
        <w:tc>
          <w:tcPr>
            <w:tcW w:w="160" w:type="dxa"/>
            <w:vAlign w:val="bottom"/>
            <w:vMerge w:val="restart"/>
          </w:tcPr>
          <w:p>
            <w:pPr>
              <w:spacing w:after="0"/>
              <w:rPr>
                <w:sz w:val="20"/>
                <w:szCs w:val="20"/>
                <w:color w:val="auto"/>
              </w:rPr>
            </w:pPr>
            <w:r>
              <w:rPr>
                <w:rFonts w:ascii="Arial" w:cs="Arial" w:eastAsia="Arial" w:hAnsi="Arial"/>
                <w:sz w:val="16"/>
                <w:szCs w:val="16"/>
                <w:color w:val="auto"/>
              </w:rPr>
              <w:t>​​​</w:t>
            </w:r>
          </w:p>
        </w:tc>
        <w:tc>
          <w:tcPr>
            <w:tcW w:w="1260" w:type="dxa"/>
            <w:vAlign w:val="bottom"/>
          </w:tcPr>
          <w:p>
            <w:pPr>
              <w:ind w:left="660"/>
              <w:spacing w:after="0"/>
              <w:rPr>
                <w:sz w:val="20"/>
                <w:szCs w:val="20"/>
                <w:color w:val="auto"/>
              </w:rPr>
            </w:pPr>
            <w:r>
              <w:rPr>
                <w:rFonts w:ascii="Arial" w:cs="Arial" w:eastAsia="Arial" w:hAnsi="Arial"/>
                <w:sz w:val="16"/>
                <w:szCs w:val="16"/>
                <w:color w:val="auto"/>
              </w:rPr>
              <w:t>​189,256</w:t>
            </w:r>
          </w:p>
        </w:tc>
        <w:tc>
          <w:tcPr>
            <w:tcW w:w="18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$12,854,268</w:t>
            </w: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1320" w:type="dxa"/>
            <w:vAlign w:val="bottom"/>
          </w:tcPr>
          <w:p>
            <w:pPr>
              <w:ind w:left="760"/>
              <w:spacing w:after="0"/>
              <w:rPr>
                <w:sz w:val="20"/>
                <w:szCs w:val="20"/>
                <w:color w:val="auto"/>
              </w:rPr>
            </w:pPr>
            <w:r>
              <w:rPr>
                <w:rFonts w:ascii="Arial" w:cs="Arial" w:eastAsia="Arial" w:hAnsi="Arial"/>
                <w:sz w:val="16"/>
                <w:szCs w:val="16"/>
                <w:color w:val="auto"/>
                <w:w w:val="99"/>
              </w:rPr>
              <w:t>​171.4%</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2360" w:type="dxa"/>
            <w:vAlign w:val="bottom"/>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240" w:type="dxa"/>
            <w:vAlign w:val="bottom"/>
          </w:tcPr>
          <w:p>
            <w:pPr>
              <w:ind w:left="60"/>
              <w:spacing w:after="0" w:line="81" w:lineRule="exact"/>
              <w:rPr>
                <w:sz w:val="20"/>
                <w:szCs w:val="20"/>
                <w:color w:val="auto"/>
              </w:rPr>
            </w:pPr>
            <w:r>
              <w:rPr>
                <w:rFonts w:ascii="Arial" w:cs="Arial" w:eastAsia="Arial" w:hAnsi="Arial"/>
                <w:sz w:val="9"/>
                <w:szCs w:val="9"/>
                <w:color w:val="auto"/>
              </w:rPr>
              <w:t>​</w:t>
            </w:r>
          </w:p>
        </w:tc>
        <w:tc>
          <w:tcPr>
            <w:tcW w:w="66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340" w:type="dxa"/>
            <w:vAlign w:val="bottom"/>
          </w:tcPr>
          <w:p>
            <w:pPr>
              <w:ind w:left="220"/>
              <w:spacing w:after="0" w:line="81" w:lineRule="exact"/>
              <w:rPr>
                <w:sz w:val="20"/>
                <w:szCs w:val="20"/>
                <w:color w:val="auto"/>
              </w:rPr>
            </w:pPr>
            <w:r>
              <w:rPr>
                <w:rFonts w:ascii="Arial" w:cs="Arial" w:eastAsia="Arial" w:hAnsi="Arial"/>
                <w:sz w:val="9"/>
                <w:szCs w:val="9"/>
                <w:color w:val="auto"/>
              </w:rPr>
              <w:t>​</w:t>
            </w:r>
          </w:p>
        </w:tc>
        <w:tc>
          <w:tcPr>
            <w:tcW w:w="48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260" w:type="dxa"/>
            <w:vAlign w:val="bottom"/>
          </w:tcPr>
          <w:p>
            <w:pPr>
              <w:ind w:left="660"/>
              <w:spacing w:after="0" w:line="81" w:lineRule="exact"/>
              <w:rPr>
                <w:sz w:val="20"/>
                <w:szCs w:val="20"/>
                <w:color w:val="auto"/>
              </w:rPr>
            </w:pPr>
            <w:r>
              <w:rPr>
                <w:rFonts w:ascii="Arial" w:cs="Arial" w:eastAsia="Arial" w:hAnsi="Arial"/>
                <w:sz w:val="9"/>
                <w:szCs w:val="9"/>
                <w:color w:val="auto"/>
              </w:rPr>
              <w:t>​</w:t>
            </w:r>
          </w:p>
        </w:tc>
        <w:tc>
          <w:tcPr>
            <w:tcW w:w="180" w:type="dxa"/>
            <w:vAlign w:val="bottom"/>
            <w:gridSpan w:val="2"/>
            <w:vMerge w:val="continue"/>
          </w:tcPr>
          <w:p>
            <w:pPr>
              <w:spacing w:after="0"/>
              <w:rPr>
                <w:sz w:val="7"/>
                <w:szCs w:val="7"/>
                <w:color w:val="auto"/>
              </w:rPr>
            </w:pPr>
          </w:p>
        </w:tc>
        <w:tc>
          <w:tcPr>
            <w:tcW w:w="660" w:type="dxa"/>
            <w:vAlign w:val="bottom"/>
          </w:tcPr>
          <w:p>
            <w:pPr>
              <w:ind w:left="440"/>
              <w:spacing w:after="0" w:line="81" w:lineRule="exact"/>
              <w:rPr>
                <w:sz w:val="20"/>
                <w:szCs w:val="20"/>
                <w:color w:val="auto"/>
              </w:rPr>
            </w:pPr>
            <w:r>
              <w:rPr>
                <w:rFonts w:ascii="Arial" w:cs="Arial" w:eastAsia="Arial" w:hAnsi="Arial"/>
                <w:sz w:val="9"/>
                <w:szCs w:val="9"/>
                <w:color w:val="auto"/>
              </w:rPr>
              <w:t>​</w:t>
            </w: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1320" w:type="dxa"/>
            <w:vAlign w:val="bottom"/>
          </w:tcPr>
          <w:p>
            <w:pPr>
              <w:ind w:left="760"/>
              <w:spacing w:after="0" w:line="81" w:lineRule="exact"/>
              <w:rPr>
                <w:sz w:val="20"/>
                <w:szCs w:val="20"/>
                <w:color w:val="auto"/>
              </w:rPr>
            </w:pPr>
            <w:r>
              <w:rPr>
                <w:rFonts w:ascii="Arial" w:cs="Arial" w:eastAsia="Arial" w:hAnsi="Arial"/>
                <w:sz w:val="9"/>
                <w:szCs w:val="9"/>
                <w:color w:val="auto"/>
              </w:rPr>
              <w:t>​</w:t>
            </w: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36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240" w:type="dxa"/>
            <w:vAlign w:val="bottom"/>
            <w:shd w:val="clear" w:color="auto" w:fill="4B5088"/>
          </w:tcPr>
          <w:p>
            <w:pPr>
              <w:spacing w:after="0" w:line="20" w:lineRule="exact"/>
              <w:rPr>
                <w:sz w:val="1"/>
                <w:szCs w:val="1"/>
                <w:color w:val="auto"/>
              </w:rPr>
            </w:pPr>
          </w:p>
        </w:tc>
        <w:tc>
          <w:tcPr>
            <w:tcW w:w="66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4B5088"/>
          </w:tcPr>
          <w:p>
            <w:pPr>
              <w:spacing w:after="0" w:line="20" w:lineRule="exact"/>
              <w:rPr>
                <w:sz w:val="1"/>
                <w:szCs w:val="1"/>
                <w:color w:val="auto"/>
              </w:rPr>
            </w:pPr>
          </w:p>
        </w:tc>
        <w:tc>
          <w:tcPr>
            <w:tcW w:w="340" w:type="dxa"/>
            <w:vAlign w:val="bottom"/>
            <w:shd w:val="clear" w:color="auto" w:fill="4B5088"/>
          </w:tcPr>
          <w:p>
            <w:pPr>
              <w:spacing w:after="0" w:line="20" w:lineRule="exact"/>
              <w:rPr>
                <w:sz w:val="1"/>
                <w:szCs w:val="1"/>
                <w:color w:val="auto"/>
              </w:rPr>
            </w:pPr>
          </w:p>
        </w:tc>
        <w:tc>
          <w:tcPr>
            <w:tcW w:w="480" w:type="dxa"/>
            <w:vAlign w:val="bottom"/>
            <w:shd w:val="clear" w:color="auto" w:fill="4B5088"/>
          </w:tcPr>
          <w:p>
            <w:pPr>
              <w:spacing w:after="0" w:line="20" w:lineRule="exact"/>
              <w:rPr>
                <w:sz w:val="1"/>
                <w:szCs w:val="1"/>
                <w:color w:val="auto"/>
              </w:rPr>
            </w:pPr>
          </w:p>
        </w:tc>
        <w:tc>
          <w:tcPr>
            <w:tcW w:w="160" w:type="dxa"/>
            <w:vAlign w:val="bottom"/>
            <w:tcBorders>
              <w:right w:val="single" w:sz="8" w:color="4B5088"/>
            </w:tcBorders>
          </w:tcPr>
          <w:p>
            <w:pPr>
              <w:spacing w:after="0" w:line="20" w:lineRule="exact"/>
              <w:rPr>
                <w:sz w:val="1"/>
                <w:szCs w:val="1"/>
                <w:color w:val="auto"/>
              </w:rPr>
            </w:pPr>
          </w:p>
        </w:tc>
        <w:tc>
          <w:tcPr>
            <w:tcW w:w="126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660" w:type="dxa"/>
            <w:vAlign w:val="bottom"/>
            <w:shd w:val="clear" w:color="auto" w:fill="4B5088"/>
          </w:tcPr>
          <w:p>
            <w:pPr>
              <w:spacing w:after="0" w:line="20" w:lineRule="exact"/>
              <w:rPr>
                <w:sz w:val="1"/>
                <w:szCs w:val="1"/>
                <w:color w:val="auto"/>
              </w:rPr>
            </w:pPr>
          </w:p>
        </w:tc>
        <w:tc>
          <w:tcPr>
            <w:tcW w:w="700" w:type="dxa"/>
            <w:vAlign w:val="bottom"/>
            <w:shd w:val="clear" w:color="auto" w:fill="4B50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4B5088"/>
            </w:tcBorders>
          </w:tcPr>
          <w:p>
            <w:pPr>
              <w:spacing w:after="0" w:line="20" w:lineRule="exact"/>
              <w:rPr>
                <w:sz w:val="1"/>
                <w:szCs w:val="1"/>
                <w:color w:val="auto"/>
              </w:rPr>
            </w:pPr>
          </w:p>
        </w:tc>
        <w:tc>
          <w:tcPr>
            <w:tcW w:w="1320" w:type="dxa"/>
            <w:vAlign w:val="bottom"/>
            <w:shd w:val="clear" w:color="auto" w:fill="4B50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60" w:type="dxa"/>
            <w:vAlign w:val="bottom"/>
          </w:tcPr>
          <w:p>
            <w:pPr>
              <w:spacing w:after="0"/>
              <w:rPr>
                <w:sz w:val="20"/>
                <w:szCs w:val="20"/>
                <w:color w:val="auto"/>
              </w:rPr>
            </w:pPr>
            <w:r>
              <w:rPr>
                <w:rFonts w:ascii="Arial" w:cs="Arial" w:eastAsia="Arial" w:hAnsi="Arial"/>
                <w:sz w:val="16"/>
                <w:szCs w:val="16"/>
                <w:b w:val="1"/>
                <w:bCs w:val="1"/>
                <w:color w:val="1F2668"/>
              </w:rPr>
              <w:t>Matthew J. DiLiberto</w:t>
            </w:r>
          </w:p>
        </w:tc>
        <w:tc>
          <w:tcPr>
            <w:tcW w:w="20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240" w:type="dxa"/>
            <w:vAlign w:val="bottom"/>
          </w:tcPr>
          <w:p>
            <w:pPr>
              <w:ind w:left="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555,556</w:t>
            </w:r>
          </w:p>
        </w:tc>
        <w:tc>
          <w:tcPr>
            <w:tcW w:w="36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340" w:type="dxa"/>
            <w:vAlign w:val="bottom"/>
          </w:tcPr>
          <w:p>
            <w:pPr>
              <w:ind w:left="22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7,528</w:t>
            </w:r>
          </w:p>
        </w:tc>
        <w:tc>
          <w:tcPr>
            <w:tcW w:w="160" w:type="dxa"/>
            <w:vAlign w:val="bottom"/>
            <w:vMerge w:val="restart"/>
          </w:tcPr>
          <w:p>
            <w:pPr>
              <w:spacing w:after="0"/>
              <w:rPr>
                <w:sz w:val="20"/>
                <w:szCs w:val="20"/>
                <w:color w:val="auto"/>
              </w:rPr>
            </w:pPr>
            <w:r>
              <w:rPr>
                <w:rFonts w:ascii="Arial" w:cs="Arial" w:eastAsia="Arial" w:hAnsi="Arial"/>
                <w:sz w:val="16"/>
                <w:szCs w:val="16"/>
                <w:color w:val="auto"/>
              </w:rPr>
              <w:t>​​​</w:t>
            </w:r>
          </w:p>
        </w:tc>
        <w:tc>
          <w:tcPr>
            <w:tcW w:w="1260" w:type="dxa"/>
            <w:vAlign w:val="bottom"/>
          </w:tcPr>
          <w:p>
            <w:pPr>
              <w:ind w:left="660"/>
              <w:spacing w:after="0"/>
              <w:rPr>
                <w:sz w:val="20"/>
                <w:szCs w:val="20"/>
                <w:color w:val="auto"/>
              </w:rPr>
            </w:pPr>
            <w:r>
              <w:rPr>
                <w:rFonts w:ascii="Arial" w:cs="Arial" w:eastAsia="Arial" w:hAnsi="Arial"/>
                <w:sz w:val="16"/>
                <w:szCs w:val="16"/>
                <w:color w:val="auto"/>
              </w:rPr>
              <w:t>​ 14,019</w:t>
            </w:r>
          </w:p>
        </w:tc>
        <w:tc>
          <w:tcPr>
            <w:tcW w:w="18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660" w:type="dxa"/>
            <w:vAlign w:val="bottom"/>
          </w:tcPr>
          <w:p>
            <w:pPr>
              <w:ind w:left="4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952,170</w:t>
            </w: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1320" w:type="dxa"/>
            <w:vAlign w:val="bottom"/>
          </w:tcPr>
          <w:p>
            <w:pPr>
              <w:ind w:left="760"/>
              <w:spacing w:after="0"/>
              <w:rPr>
                <w:sz w:val="20"/>
                <w:szCs w:val="20"/>
                <w:color w:val="auto"/>
              </w:rPr>
            </w:pPr>
            <w:r>
              <w:rPr>
                <w:rFonts w:ascii="Arial" w:cs="Arial" w:eastAsia="Arial" w:hAnsi="Arial"/>
                <w:sz w:val="16"/>
                <w:szCs w:val="16"/>
                <w:color w:val="auto"/>
                <w:w w:val="99"/>
              </w:rPr>
              <w:t>​171.4%</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2360" w:type="dxa"/>
            <w:vAlign w:val="bottom"/>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240" w:type="dxa"/>
            <w:vAlign w:val="bottom"/>
          </w:tcPr>
          <w:p>
            <w:pPr>
              <w:ind w:left="60"/>
              <w:spacing w:after="0" w:line="81" w:lineRule="exact"/>
              <w:rPr>
                <w:sz w:val="20"/>
                <w:szCs w:val="20"/>
                <w:color w:val="auto"/>
              </w:rPr>
            </w:pPr>
            <w:r>
              <w:rPr>
                <w:rFonts w:ascii="Arial" w:cs="Arial" w:eastAsia="Arial" w:hAnsi="Arial"/>
                <w:sz w:val="9"/>
                <w:szCs w:val="9"/>
                <w:color w:val="auto"/>
              </w:rPr>
              <w:t>​</w:t>
            </w:r>
          </w:p>
        </w:tc>
        <w:tc>
          <w:tcPr>
            <w:tcW w:w="66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340" w:type="dxa"/>
            <w:vAlign w:val="bottom"/>
          </w:tcPr>
          <w:p>
            <w:pPr>
              <w:ind w:left="220"/>
              <w:spacing w:after="0" w:line="81" w:lineRule="exact"/>
              <w:rPr>
                <w:sz w:val="20"/>
                <w:szCs w:val="20"/>
                <w:color w:val="auto"/>
              </w:rPr>
            </w:pPr>
            <w:r>
              <w:rPr>
                <w:rFonts w:ascii="Arial" w:cs="Arial" w:eastAsia="Arial" w:hAnsi="Arial"/>
                <w:sz w:val="9"/>
                <w:szCs w:val="9"/>
                <w:color w:val="auto"/>
              </w:rPr>
              <w:t>​</w:t>
            </w:r>
          </w:p>
        </w:tc>
        <w:tc>
          <w:tcPr>
            <w:tcW w:w="48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260" w:type="dxa"/>
            <w:vAlign w:val="bottom"/>
          </w:tcPr>
          <w:p>
            <w:pPr>
              <w:ind w:left="660"/>
              <w:spacing w:after="0" w:line="81" w:lineRule="exact"/>
              <w:rPr>
                <w:sz w:val="20"/>
                <w:szCs w:val="20"/>
                <w:color w:val="auto"/>
              </w:rPr>
            </w:pPr>
            <w:r>
              <w:rPr>
                <w:rFonts w:ascii="Arial" w:cs="Arial" w:eastAsia="Arial" w:hAnsi="Arial"/>
                <w:sz w:val="9"/>
                <w:szCs w:val="9"/>
                <w:color w:val="auto"/>
              </w:rPr>
              <w:t>​</w:t>
            </w:r>
          </w:p>
        </w:tc>
        <w:tc>
          <w:tcPr>
            <w:tcW w:w="180" w:type="dxa"/>
            <w:vAlign w:val="bottom"/>
            <w:gridSpan w:val="2"/>
            <w:vMerge w:val="continue"/>
          </w:tcPr>
          <w:p>
            <w:pPr>
              <w:spacing w:after="0"/>
              <w:rPr>
                <w:sz w:val="7"/>
                <w:szCs w:val="7"/>
                <w:color w:val="auto"/>
              </w:rPr>
            </w:pPr>
          </w:p>
        </w:tc>
        <w:tc>
          <w:tcPr>
            <w:tcW w:w="660" w:type="dxa"/>
            <w:vAlign w:val="bottom"/>
          </w:tcPr>
          <w:p>
            <w:pPr>
              <w:ind w:left="440"/>
              <w:spacing w:after="0" w:line="81" w:lineRule="exact"/>
              <w:rPr>
                <w:sz w:val="20"/>
                <w:szCs w:val="20"/>
                <w:color w:val="auto"/>
              </w:rPr>
            </w:pPr>
            <w:r>
              <w:rPr>
                <w:rFonts w:ascii="Arial" w:cs="Arial" w:eastAsia="Arial" w:hAnsi="Arial"/>
                <w:sz w:val="9"/>
                <w:szCs w:val="9"/>
                <w:color w:val="auto"/>
              </w:rPr>
              <w:t>​</w:t>
            </w: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1320" w:type="dxa"/>
            <w:vAlign w:val="bottom"/>
          </w:tcPr>
          <w:p>
            <w:pPr>
              <w:ind w:left="760"/>
              <w:spacing w:after="0" w:line="81" w:lineRule="exact"/>
              <w:rPr>
                <w:sz w:val="20"/>
                <w:szCs w:val="20"/>
                <w:color w:val="auto"/>
              </w:rPr>
            </w:pPr>
            <w:r>
              <w:rPr>
                <w:rFonts w:ascii="Arial" w:cs="Arial" w:eastAsia="Arial" w:hAnsi="Arial"/>
                <w:sz w:val="9"/>
                <w:szCs w:val="9"/>
                <w:color w:val="auto"/>
              </w:rPr>
              <w:t>​</w:t>
            </w: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36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240" w:type="dxa"/>
            <w:vAlign w:val="bottom"/>
            <w:shd w:val="clear" w:color="auto" w:fill="4B5088"/>
          </w:tcPr>
          <w:p>
            <w:pPr>
              <w:spacing w:after="0" w:line="20" w:lineRule="exact"/>
              <w:rPr>
                <w:sz w:val="1"/>
                <w:szCs w:val="1"/>
                <w:color w:val="auto"/>
              </w:rPr>
            </w:pPr>
          </w:p>
        </w:tc>
        <w:tc>
          <w:tcPr>
            <w:tcW w:w="66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4B5088"/>
          </w:tcPr>
          <w:p>
            <w:pPr>
              <w:spacing w:after="0" w:line="20" w:lineRule="exact"/>
              <w:rPr>
                <w:sz w:val="1"/>
                <w:szCs w:val="1"/>
                <w:color w:val="auto"/>
              </w:rPr>
            </w:pPr>
          </w:p>
        </w:tc>
        <w:tc>
          <w:tcPr>
            <w:tcW w:w="340" w:type="dxa"/>
            <w:vAlign w:val="bottom"/>
            <w:shd w:val="clear" w:color="auto" w:fill="4B5088"/>
          </w:tcPr>
          <w:p>
            <w:pPr>
              <w:spacing w:after="0" w:line="20" w:lineRule="exact"/>
              <w:rPr>
                <w:sz w:val="1"/>
                <w:szCs w:val="1"/>
                <w:color w:val="auto"/>
              </w:rPr>
            </w:pPr>
          </w:p>
        </w:tc>
        <w:tc>
          <w:tcPr>
            <w:tcW w:w="480" w:type="dxa"/>
            <w:vAlign w:val="bottom"/>
            <w:shd w:val="clear" w:color="auto" w:fill="4B5088"/>
          </w:tcPr>
          <w:p>
            <w:pPr>
              <w:spacing w:after="0" w:line="20" w:lineRule="exact"/>
              <w:rPr>
                <w:sz w:val="1"/>
                <w:szCs w:val="1"/>
                <w:color w:val="auto"/>
              </w:rPr>
            </w:pPr>
          </w:p>
        </w:tc>
        <w:tc>
          <w:tcPr>
            <w:tcW w:w="160" w:type="dxa"/>
            <w:vAlign w:val="bottom"/>
            <w:tcBorders>
              <w:right w:val="single" w:sz="8" w:color="4B5088"/>
            </w:tcBorders>
          </w:tcPr>
          <w:p>
            <w:pPr>
              <w:spacing w:after="0" w:line="20" w:lineRule="exact"/>
              <w:rPr>
                <w:sz w:val="1"/>
                <w:szCs w:val="1"/>
                <w:color w:val="auto"/>
              </w:rPr>
            </w:pPr>
          </w:p>
        </w:tc>
        <w:tc>
          <w:tcPr>
            <w:tcW w:w="126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660" w:type="dxa"/>
            <w:vAlign w:val="bottom"/>
            <w:shd w:val="clear" w:color="auto" w:fill="4B5088"/>
          </w:tcPr>
          <w:p>
            <w:pPr>
              <w:spacing w:after="0" w:line="20" w:lineRule="exact"/>
              <w:rPr>
                <w:sz w:val="1"/>
                <w:szCs w:val="1"/>
                <w:color w:val="auto"/>
              </w:rPr>
            </w:pPr>
          </w:p>
        </w:tc>
        <w:tc>
          <w:tcPr>
            <w:tcW w:w="700" w:type="dxa"/>
            <w:vAlign w:val="bottom"/>
            <w:shd w:val="clear" w:color="auto" w:fill="4B50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4B5088"/>
            </w:tcBorders>
          </w:tcPr>
          <w:p>
            <w:pPr>
              <w:spacing w:after="0" w:line="20" w:lineRule="exact"/>
              <w:rPr>
                <w:sz w:val="1"/>
                <w:szCs w:val="1"/>
                <w:color w:val="auto"/>
              </w:rPr>
            </w:pPr>
          </w:p>
        </w:tc>
        <w:tc>
          <w:tcPr>
            <w:tcW w:w="1320" w:type="dxa"/>
            <w:vAlign w:val="bottom"/>
            <w:shd w:val="clear" w:color="auto" w:fill="4B50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60" w:type="dxa"/>
            <w:vAlign w:val="bottom"/>
          </w:tcPr>
          <w:p>
            <w:pPr>
              <w:spacing w:after="0"/>
              <w:rPr>
                <w:sz w:val="20"/>
                <w:szCs w:val="20"/>
                <w:color w:val="auto"/>
              </w:rPr>
            </w:pPr>
            <w:r>
              <w:rPr>
                <w:rFonts w:ascii="Arial" w:cs="Arial" w:eastAsia="Arial" w:hAnsi="Arial"/>
                <w:sz w:val="16"/>
                <w:szCs w:val="16"/>
                <w:b w:val="1"/>
                <w:bCs w:val="1"/>
                <w:color w:val="1F2668"/>
              </w:rPr>
              <w:t>Andrew S. Levine</w:t>
            </w:r>
          </w:p>
        </w:tc>
        <w:tc>
          <w:tcPr>
            <w:tcW w:w="20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240" w:type="dxa"/>
            <w:vAlign w:val="bottom"/>
          </w:tcPr>
          <w:p>
            <w:pPr>
              <w:ind w:left="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555,556</w:t>
            </w:r>
          </w:p>
        </w:tc>
        <w:tc>
          <w:tcPr>
            <w:tcW w:w="36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340" w:type="dxa"/>
            <w:vAlign w:val="bottom"/>
          </w:tcPr>
          <w:p>
            <w:pPr>
              <w:ind w:left="22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7,528</w:t>
            </w:r>
          </w:p>
        </w:tc>
        <w:tc>
          <w:tcPr>
            <w:tcW w:w="160" w:type="dxa"/>
            <w:vAlign w:val="bottom"/>
            <w:vMerge w:val="restart"/>
          </w:tcPr>
          <w:p>
            <w:pPr>
              <w:spacing w:after="0"/>
              <w:rPr>
                <w:sz w:val="20"/>
                <w:szCs w:val="20"/>
                <w:color w:val="auto"/>
              </w:rPr>
            </w:pPr>
            <w:r>
              <w:rPr>
                <w:rFonts w:ascii="Arial" w:cs="Arial" w:eastAsia="Arial" w:hAnsi="Arial"/>
                <w:sz w:val="16"/>
                <w:szCs w:val="16"/>
                <w:color w:val="auto"/>
              </w:rPr>
              <w:t>​​​</w:t>
            </w:r>
          </w:p>
        </w:tc>
        <w:tc>
          <w:tcPr>
            <w:tcW w:w="1260" w:type="dxa"/>
            <w:vAlign w:val="bottom"/>
          </w:tcPr>
          <w:p>
            <w:pPr>
              <w:ind w:left="660"/>
              <w:spacing w:after="0"/>
              <w:rPr>
                <w:sz w:val="20"/>
                <w:szCs w:val="20"/>
                <w:color w:val="auto"/>
              </w:rPr>
            </w:pPr>
            <w:r>
              <w:rPr>
                <w:rFonts w:ascii="Arial" w:cs="Arial" w:eastAsia="Arial" w:hAnsi="Arial"/>
                <w:sz w:val="16"/>
                <w:szCs w:val="16"/>
                <w:color w:val="auto"/>
              </w:rPr>
              <w:t>​ 14,019</w:t>
            </w:r>
          </w:p>
        </w:tc>
        <w:tc>
          <w:tcPr>
            <w:tcW w:w="18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660" w:type="dxa"/>
            <w:vAlign w:val="bottom"/>
          </w:tcPr>
          <w:p>
            <w:pPr>
              <w:ind w:left="4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952,170</w:t>
            </w: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1320" w:type="dxa"/>
            <w:vAlign w:val="bottom"/>
          </w:tcPr>
          <w:p>
            <w:pPr>
              <w:ind w:left="760"/>
              <w:spacing w:after="0"/>
              <w:rPr>
                <w:sz w:val="20"/>
                <w:szCs w:val="20"/>
                <w:color w:val="auto"/>
              </w:rPr>
            </w:pPr>
            <w:r>
              <w:rPr>
                <w:rFonts w:ascii="Arial" w:cs="Arial" w:eastAsia="Arial" w:hAnsi="Arial"/>
                <w:sz w:val="16"/>
                <w:szCs w:val="16"/>
                <w:color w:val="auto"/>
                <w:w w:val="99"/>
              </w:rPr>
              <w:t>​171.4%</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2360" w:type="dxa"/>
            <w:vAlign w:val="bottom"/>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240" w:type="dxa"/>
            <w:vAlign w:val="bottom"/>
          </w:tcPr>
          <w:p>
            <w:pPr>
              <w:ind w:left="60"/>
              <w:spacing w:after="0" w:line="81" w:lineRule="exact"/>
              <w:rPr>
                <w:sz w:val="20"/>
                <w:szCs w:val="20"/>
                <w:color w:val="auto"/>
              </w:rPr>
            </w:pPr>
            <w:r>
              <w:rPr>
                <w:rFonts w:ascii="Arial" w:cs="Arial" w:eastAsia="Arial" w:hAnsi="Arial"/>
                <w:sz w:val="9"/>
                <w:szCs w:val="9"/>
                <w:color w:val="auto"/>
              </w:rPr>
              <w:t>​</w:t>
            </w:r>
          </w:p>
        </w:tc>
        <w:tc>
          <w:tcPr>
            <w:tcW w:w="66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340" w:type="dxa"/>
            <w:vAlign w:val="bottom"/>
          </w:tcPr>
          <w:p>
            <w:pPr>
              <w:ind w:left="220"/>
              <w:spacing w:after="0" w:line="81" w:lineRule="exact"/>
              <w:rPr>
                <w:sz w:val="20"/>
                <w:szCs w:val="20"/>
                <w:color w:val="auto"/>
              </w:rPr>
            </w:pPr>
            <w:r>
              <w:rPr>
                <w:rFonts w:ascii="Arial" w:cs="Arial" w:eastAsia="Arial" w:hAnsi="Arial"/>
                <w:sz w:val="9"/>
                <w:szCs w:val="9"/>
                <w:color w:val="auto"/>
              </w:rPr>
              <w:t>​</w:t>
            </w:r>
          </w:p>
        </w:tc>
        <w:tc>
          <w:tcPr>
            <w:tcW w:w="48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260" w:type="dxa"/>
            <w:vAlign w:val="bottom"/>
          </w:tcPr>
          <w:p>
            <w:pPr>
              <w:ind w:left="660"/>
              <w:spacing w:after="0" w:line="81" w:lineRule="exact"/>
              <w:rPr>
                <w:sz w:val="20"/>
                <w:szCs w:val="20"/>
                <w:color w:val="auto"/>
              </w:rPr>
            </w:pPr>
            <w:r>
              <w:rPr>
                <w:rFonts w:ascii="Arial" w:cs="Arial" w:eastAsia="Arial" w:hAnsi="Arial"/>
                <w:sz w:val="9"/>
                <w:szCs w:val="9"/>
                <w:color w:val="auto"/>
              </w:rPr>
              <w:t>​</w:t>
            </w:r>
          </w:p>
        </w:tc>
        <w:tc>
          <w:tcPr>
            <w:tcW w:w="180" w:type="dxa"/>
            <w:vAlign w:val="bottom"/>
            <w:gridSpan w:val="2"/>
            <w:vMerge w:val="continue"/>
          </w:tcPr>
          <w:p>
            <w:pPr>
              <w:spacing w:after="0"/>
              <w:rPr>
                <w:sz w:val="7"/>
                <w:szCs w:val="7"/>
                <w:color w:val="auto"/>
              </w:rPr>
            </w:pPr>
          </w:p>
        </w:tc>
        <w:tc>
          <w:tcPr>
            <w:tcW w:w="660" w:type="dxa"/>
            <w:vAlign w:val="bottom"/>
          </w:tcPr>
          <w:p>
            <w:pPr>
              <w:ind w:left="440"/>
              <w:spacing w:after="0" w:line="81" w:lineRule="exact"/>
              <w:rPr>
                <w:sz w:val="20"/>
                <w:szCs w:val="20"/>
                <w:color w:val="auto"/>
              </w:rPr>
            </w:pPr>
            <w:r>
              <w:rPr>
                <w:rFonts w:ascii="Arial" w:cs="Arial" w:eastAsia="Arial" w:hAnsi="Arial"/>
                <w:sz w:val="9"/>
                <w:szCs w:val="9"/>
                <w:color w:val="auto"/>
              </w:rPr>
              <w:t>​</w:t>
            </w: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1320" w:type="dxa"/>
            <w:vAlign w:val="bottom"/>
          </w:tcPr>
          <w:p>
            <w:pPr>
              <w:ind w:left="760"/>
              <w:spacing w:after="0" w:line="81" w:lineRule="exact"/>
              <w:rPr>
                <w:sz w:val="20"/>
                <w:szCs w:val="20"/>
                <w:color w:val="auto"/>
              </w:rPr>
            </w:pPr>
            <w:r>
              <w:rPr>
                <w:rFonts w:ascii="Arial" w:cs="Arial" w:eastAsia="Arial" w:hAnsi="Arial"/>
                <w:sz w:val="9"/>
                <w:szCs w:val="9"/>
                <w:color w:val="auto"/>
              </w:rPr>
              <w:t>​</w:t>
            </w: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36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1F2668"/>
          </w:tcPr>
          <w:p>
            <w:pPr>
              <w:spacing w:after="0" w:line="20" w:lineRule="exact"/>
              <w:rPr>
                <w:sz w:val="1"/>
                <w:szCs w:val="1"/>
                <w:color w:val="auto"/>
              </w:rPr>
            </w:pPr>
          </w:p>
        </w:tc>
        <w:tc>
          <w:tcPr>
            <w:tcW w:w="240" w:type="dxa"/>
            <w:vAlign w:val="bottom"/>
            <w:shd w:val="clear" w:color="auto" w:fill="1F2668"/>
          </w:tcPr>
          <w:p>
            <w:pPr>
              <w:spacing w:after="0" w:line="20" w:lineRule="exact"/>
              <w:rPr>
                <w:sz w:val="1"/>
                <w:szCs w:val="1"/>
                <w:color w:val="auto"/>
              </w:rPr>
            </w:pPr>
          </w:p>
        </w:tc>
        <w:tc>
          <w:tcPr>
            <w:tcW w:w="66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1F2668"/>
          </w:tcPr>
          <w:p>
            <w:pPr>
              <w:spacing w:after="0" w:line="20" w:lineRule="exact"/>
              <w:rPr>
                <w:sz w:val="1"/>
                <w:szCs w:val="1"/>
                <w:color w:val="auto"/>
              </w:rPr>
            </w:pPr>
          </w:p>
        </w:tc>
        <w:tc>
          <w:tcPr>
            <w:tcW w:w="340" w:type="dxa"/>
            <w:vAlign w:val="bottom"/>
            <w:shd w:val="clear" w:color="auto" w:fill="1F2668"/>
          </w:tcPr>
          <w:p>
            <w:pPr>
              <w:spacing w:after="0" w:line="20" w:lineRule="exact"/>
              <w:rPr>
                <w:sz w:val="1"/>
                <w:szCs w:val="1"/>
                <w:color w:val="auto"/>
              </w:rPr>
            </w:pPr>
          </w:p>
        </w:tc>
        <w:tc>
          <w:tcPr>
            <w:tcW w:w="480" w:type="dxa"/>
            <w:vAlign w:val="bottom"/>
            <w:shd w:val="clear" w:color="auto" w:fill="1F2668"/>
          </w:tcPr>
          <w:p>
            <w:pPr>
              <w:spacing w:after="0" w:line="20" w:lineRule="exact"/>
              <w:rPr>
                <w:sz w:val="1"/>
                <w:szCs w:val="1"/>
                <w:color w:val="auto"/>
              </w:rPr>
            </w:pPr>
          </w:p>
        </w:tc>
        <w:tc>
          <w:tcPr>
            <w:tcW w:w="160" w:type="dxa"/>
            <w:vAlign w:val="bottom"/>
            <w:tcBorders>
              <w:right w:val="single" w:sz="8" w:color="1F2668"/>
            </w:tcBorders>
          </w:tcPr>
          <w:p>
            <w:pPr>
              <w:spacing w:after="0" w:line="20" w:lineRule="exact"/>
              <w:rPr>
                <w:sz w:val="1"/>
                <w:szCs w:val="1"/>
                <w:color w:val="auto"/>
              </w:rPr>
            </w:pPr>
          </w:p>
        </w:tc>
        <w:tc>
          <w:tcPr>
            <w:tcW w:w="126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1F2668"/>
          </w:tcPr>
          <w:p>
            <w:pPr>
              <w:spacing w:after="0" w:line="20" w:lineRule="exact"/>
              <w:rPr>
                <w:sz w:val="1"/>
                <w:szCs w:val="1"/>
                <w:color w:val="auto"/>
              </w:rPr>
            </w:pPr>
          </w:p>
        </w:tc>
        <w:tc>
          <w:tcPr>
            <w:tcW w:w="660" w:type="dxa"/>
            <w:vAlign w:val="bottom"/>
            <w:shd w:val="clear" w:color="auto" w:fill="1F2668"/>
          </w:tcPr>
          <w:p>
            <w:pPr>
              <w:spacing w:after="0" w:line="20" w:lineRule="exact"/>
              <w:rPr>
                <w:sz w:val="1"/>
                <w:szCs w:val="1"/>
                <w:color w:val="auto"/>
              </w:rPr>
            </w:pPr>
          </w:p>
        </w:tc>
        <w:tc>
          <w:tcPr>
            <w:tcW w:w="700" w:type="dxa"/>
            <w:vAlign w:val="bottom"/>
            <w:shd w:val="clear" w:color="auto" w:fill="1F266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shd w:val="clear" w:color="auto" w:fill="1F266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1180" w:right="940" w:hanging="364"/>
        <w:spacing w:after="0" w:line="305" w:lineRule="auto"/>
        <w:tabs>
          <w:tab w:leader="none" w:pos="11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Based on a per share price of $67.92, which was the closing stock price on the NYSE of one share of our common stock on December 31, 2024.</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820" w:type="dxa"/>
            <w:vAlign w:val="bottom"/>
          </w:tcPr>
          <w:p>
            <w:pPr>
              <w:spacing w:after="0"/>
              <w:rPr>
                <w:sz w:val="24"/>
                <w:szCs w:val="24"/>
                <w:color w:val="auto"/>
              </w:rPr>
            </w:pPr>
          </w:p>
        </w:tc>
        <w:tc>
          <w:tcPr>
            <w:tcW w:w="160" w:type="dxa"/>
            <w:vAlign w:val="bottom"/>
            <w:shd w:val="clear" w:color="auto" w:fill="E9F9D8"/>
          </w:tcPr>
          <w:p>
            <w:pPr>
              <w:spacing w:after="0"/>
              <w:rPr>
                <w:sz w:val="20"/>
                <w:szCs w:val="20"/>
                <w:color w:val="auto"/>
              </w:rPr>
            </w:pPr>
            <w:r>
              <w:rPr>
                <w:rFonts w:ascii="Arial" w:cs="Arial" w:eastAsia="Arial" w:hAnsi="Arial"/>
                <w:sz w:val="16"/>
                <w:szCs w:val="16"/>
                <w:color w:val="auto"/>
              </w:rPr>
              <w:t>​</w:t>
            </w:r>
          </w:p>
        </w:tc>
        <w:tc>
          <w:tcPr>
            <w:tcW w:w="8660" w:type="dxa"/>
            <w:vAlign w:val="bottom"/>
            <w:shd w:val="clear" w:color="auto" w:fill="E9F9D8"/>
          </w:tcPr>
          <w:p>
            <w:pPr>
              <w:spacing w:after="0"/>
              <w:rPr>
                <w:sz w:val="20"/>
                <w:szCs w:val="20"/>
                <w:color w:val="auto"/>
              </w:rPr>
            </w:pPr>
            <w:r>
              <w:rPr>
                <w:rFonts w:ascii="Arial" w:cs="Arial" w:eastAsia="Arial" w:hAnsi="Arial"/>
                <w:sz w:val="16"/>
                <w:szCs w:val="16"/>
                <w:color w:val="auto"/>
              </w:rPr>
              <w:t>The final payout for our 2022 annual performance-based equity award highlights the rigor of the program, our pay for</w:t>
            </w:r>
          </w:p>
        </w:tc>
        <w:tc>
          <w:tcPr>
            <w:tcW w:w="240" w:type="dxa"/>
            <w:vAlign w:val="bottom"/>
            <w:shd w:val="clear" w:color="auto" w:fill="E9F9D8"/>
          </w:tcPr>
          <w:p>
            <w:pPr>
              <w:ind w:left="8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24"/>
                <w:szCs w:val="24"/>
                <w:color w:val="auto"/>
              </w:rPr>
            </w:pPr>
          </w:p>
        </w:tc>
      </w:tr>
      <w:tr>
        <w:trPr>
          <w:trHeight w:val="215"/>
        </w:trPr>
        <w:tc>
          <w:tcPr>
            <w:tcW w:w="820" w:type="dxa"/>
            <w:vAlign w:val="bottom"/>
          </w:tcPr>
          <w:p>
            <w:pPr>
              <w:spacing w:after="0"/>
              <w:rPr>
                <w:sz w:val="18"/>
                <w:szCs w:val="18"/>
                <w:color w:val="auto"/>
              </w:rPr>
            </w:pPr>
          </w:p>
        </w:tc>
        <w:tc>
          <w:tcPr>
            <w:tcW w:w="160" w:type="dxa"/>
            <w:vAlign w:val="bottom"/>
            <w:shd w:val="clear" w:color="auto" w:fill="E9F9D8"/>
          </w:tcPr>
          <w:p>
            <w:pPr>
              <w:spacing w:after="0"/>
              <w:rPr>
                <w:sz w:val="18"/>
                <w:szCs w:val="18"/>
                <w:color w:val="auto"/>
              </w:rPr>
            </w:pPr>
          </w:p>
        </w:tc>
        <w:tc>
          <w:tcPr>
            <w:tcW w:w="8660" w:type="dxa"/>
            <w:vAlign w:val="bottom"/>
            <w:shd w:val="clear" w:color="auto" w:fill="E9F9D8"/>
          </w:tcPr>
          <w:p>
            <w:pPr>
              <w:spacing w:after="0"/>
              <w:rPr>
                <w:sz w:val="20"/>
                <w:szCs w:val="20"/>
                <w:color w:val="auto"/>
              </w:rPr>
            </w:pPr>
            <w:r>
              <w:rPr>
                <w:rFonts w:ascii="Arial" w:cs="Arial" w:eastAsia="Arial" w:hAnsi="Arial"/>
                <w:sz w:val="16"/>
                <w:szCs w:val="16"/>
                <w:color w:val="auto"/>
              </w:rPr>
              <w:t>performance philosophy and the alignment between our executives and our stockholders.</w:t>
            </w:r>
          </w:p>
        </w:tc>
        <w:tc>
          <w:tcPr>
            <w:tcW w:w="240" w:type="dxa"/>
            <w:vAlign w:val="bottom"/>
            <w:shd w:val="clear" w:color="auto" w:fill="E9F9D8"/>
          </w:tcPr>
          <w:p>
            <w:pPr>
              <w:spacing w:after="0"/>
              <w:rPr>
                <w:sz w:val="18"/>
                <w:szCs w:val="18"/>
                <w:color w:val="auto"/>
              </w:rPr>
            </w:pPr>
          </w:p>
        </w:tc>
        <w:tc>
          <w:tcPr>
            <w:tcW w:w="840" w:type="dxa"/>
            <w:vAlign w:val="bottom"/>
          </w:tcPr>
          <w:p>
            <w:pPr>
              <w:spacing w:after="0"/>
              <w:rPr>
                <w:sz w:val="18"/>
                <w:szCs w:val="18"/>
                <w:color w:val="auto"/>
              </w:rPr>
            </w:pPr>
          </w:p>
        </w:tc>
      </w:tr>
      <w:tr>
        <w:trPr>
          <w:trHeight w:val="231"/>
        </w:trPr>
        <w:tc>
          <w:tcPr>
            <w:tcW w:w="820" w:type="dxa"/>
            <w:vAlign w:val="bottom"/>
          </w:tcPr>
          <w:p>
            <w:pPr>
              <w:spacing w:after="0"/>
              <w:rPr>
                <w:sz w:val="20"/>
                <w:szCs w:val="20"/>
                <w:color w:val="auto"/>
              </w:rPr>
            </w:pPr>
          </w:p>
        </w:tc>
        <w:tc>
          <w:tcPr>
            <w:tcW w:w="160" w:type="dxa"/>
            <w:vAlign w:val="bottom"/>
            <w:shd w:val="clear" w:color="auto" w:fill="E9F9D8"/>
          </w:tcPr>
          <w:p>
            <w:pPr>
              <w:spacing w:after="0"/>
              <w:rPr>
                <w:sz w:val="20"/>
                <w:szCs w:val="20"/>
                <w:color w:val="auto"/>
              </w:rPr>
            </w:pPr>
            <w:r>
              <w:rPr>
                <w:rFonts w:ascii="Arial" w:cs="Arial" w:eastAsia="Arial" w:hAnsi="Arial"/>
                <w:sz w:val="16"/>
                <w:szCs w:val="16"/>
                <w:color w:val="auto"/>
              </w:rPr>
              <w:t>​</w:t>
            </w:r>
          </w:p>
        </w:tc>
        <w:tc>
          <w:tcPr>
            <w:tcW w:w="8900" w:type="dxa"/>
            <w:vAlign w:val="bottom"/>
            <w:gridSpan w:val="2"/>
            <w:shd w:val="clear" w:color="auto" w:fill="E9F9D8"/>
          </w:tcPr>
          <w:p>
            <w:pPr>
              <w:spacing w:after="0"/>
              <w:rPr>
                <w:sz w:val="20"/>
                <w:szCs w:val="20"/>
                <w:color w:val="auto"/>
              </w:rPr>
            </w:pPr>
            <w:r>
              <w:rPr>
                <w:rFonts w:ascii="Arial" w:cs="Arial" w:eastAsia="Arial" w:hAnsi="Arial"/>
                <w:sz w:val="16"/>
                <w:szCs w:val="16"/>
                <w:color w:val="auto"/>
              </w:rPr>
              <w:t xml:space="preserve">Despite achieving maximum performance </w:t>
            </w:r>
            <w:r>
              <w:rPr>
                <w:rFonts w:ascii="Arial" w:cs="Arial" w:eastAsia="Arial" w:hAnsi="Arial"/>
                <w:sz w:val="16"/>
                <w:szCs w:val="16"/>
                <w:b w:val="1"/>
                <w:bCs w:val="1"/>
                <w:color w:val="auto"/>
              </w:rPr>
              <w:t>(225%)</w:t>
            </w:r>
            <w:r>
              <w:rPr>
                <w:rFonts w:ascii="Arial" w:cs="Arial" w:eastAsia="Arial" w:hAnsi="Arial"/>
                <w:sz w:val="16"/>
                <w:szCs w:val="16"/>
                <w:color w:val="auto"/>
              </w:rPr>
              <w:t xml:space="preserve"> for the relative components, which represents 50% of the total opportunity, ​</w:t>
            </w:r>
          </w:p>
        </w:tc>
        <w:tc>
          <w:tcPr>
            <w:tcW w:w="840" w:type="dxa"/>
            <w:vAlign w:val="bottom"/>
          </w:tcPr>
          <w:p>
            <w:pPr>
              <w:spacing w:after="0"/>
              <w:rPr>
                <w:sz w:val="20"/>
                <w:szCs w:val="20"/>
                <w:color w:val="auto"/>
              </w:rPr>
            </w:pPr>
          </w:p>
        </w:tc>
      </w:tr>
      <w:tr>
        <w:trPr>
          <w:trHeight w:val="203"/>
        </w:trPr>
        <w:tc>
          <w:tcPr>
            <w:tcW w:w="820" w:type="dxa"/>
            <w:vAlign w:val="bottom"/>
          </w:tcPr>
          <w:p>
            <w:pPr>
              <w:spacing w:after="0"/>
              <w:rPr>
                <w:sz w:val="17"/>
                <w:szCs w:val="17"/>
                <w:color w:val="auto"/>
              </w:rPr>
            </w:pPr>
          </w:p>
        </w:tc>
        <w:tc>
          <w:tcPr>
            <w:tcW w:w="160" w:type="dxa"/>
            <w:vAlign w:val="bottom"/>
            <w:shd w:val="clear" w:color="auto" w:fill="E9F9D8"/>
          </w:tcPr>
          <w:p>
            <w:pPr>
              <w:spacing w:after="0"/>
              <w:rPr>
                <w:sz w:val="17"/>
                <w:szCs w:val="17"/>
                <w:color w:val="auto"/>
              </w:rPr>
            </w:pPr>
          </w:p>
        </w:tc>
        <w:tc>
          <w:tcPr>
            <w:tcW w:w="8660" w:type="dxa"/>
            <w:vAlign w:val="bottom"/>
            <w:shd w:val="clear" w:color="auto" w:fill="E9F9D8"/>
          </w:tcPr>
          <w:p>
            <w:pPr>
              <w:spacing w:after="0"/>
              <w:rPr>
                <w:sz w:val="20"/>
                <w:szCs w:val="20"/>
                <w:color w:val="auto"/>
              </w:rPr>
            </w:pPr>
            <w:r>
              <w:rPr>
                <w:rFonts w:ascii="Arial" w:cs="Arial" w:eastAsia="Arial" w:hAnsi="Arial"/>
                <w:sz w:val="16"/>
                <w:szCs w:val="16"/>
                <w:b w:val="1"/>
                <w:bCs w:val="1"/>
                <w:color w:val="auto"/>
              </w:rPr>
              <w:t xml:space="preserve">the realized value of the award was 171.4% of the initial target value </w:t>
            </w:r>
            <w:r>
              <w:rPr>
                <w:rFonts w:ascii="Arial" w:cs="Arial" w:eastAsia="Arial" w:hAnsi="Arial"/>
                <w:sz w:val="16"/>
                <w:szCs w:val="16"/>
                <w:color w:val="auto"/>
              </w:rPr>
              <w:t>due to the rigor of our operational goals and the</w:t>
            </w:r>
          </w:p>
        </w:tc>
        <w:tc>
          <w:tcPr>
            <w:tcW w:w="240" w:type="dxa"/>
            <w:vAlign w:val="bottom"/>
            <w:shd w:val="clear" w:color="auto" w:fill="E9F9D8"/>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820" w:type="dxa"/>
            <w:vAlign w:val="bottom"/>
          </w:tcPr>
          <w:p>
            <w:pPr>
              <w:spacing w:after="0"/>
              <w:rPr>
                <w:sz w:val="17"/>
                <w:szCs w:val="17"/>
                <w:color w:val="auto"/>
              </w:rPr>
            </w:pPr>
          </w:p>
        </w:tc>
        <w:tc>
          <w:tcPr>
            <w:tcW w:w="160" w:type="dxa"/>
            <w:vAlign w:val="bottom"/>
            <w:shd w:val="clear" w:color="auto" w:fill="E9F9D8"/>
          </w:tcPr>
          <w:p>
            <w:pPr>
              <w:spacing w:after="0"/>
              <w:rPr>
                <w:sz w:val="17"/>
                <w:szCs w:val="17"/>
                <w:color w:val="auto"/>
              </w:rPr>
            </w:pPr>
          </w:p>
        </w:tc>
        <w:tc>
          <w:tcPr>
            <w:tcW w:w="8660" w:type="dxa"/>
            <w:vAlign w:val="bottom"/>
            <w:shd w:val="clear" w:color="auto" w:fill="E9F9D8"/>
          </w:tcPr>
          <w:p>
            <w:pPr>
              <w:spacing w:after="0"/>
              <w:rPr>
                <w:sz w:val="20"/>
                <w:szCs w:val="20"/>
                <w:color w:val="auto"/>
              </w:rPr>
            </w:pPr>
            <w:r>
              <w:rPr>
                <w:rFonts w:ascii="Arial" w:cs="Arial" w:eastAsia="Arial" w:hAnsi="Arial"/>
                <w:sz w:val="16"/>
                <w:szCs w:val="16"/>
                <w:color w:val="auto"/>
                <w:w w:val="99"/>
              </w:rPr>
              <w:t xml:space="preserve">application of the three-year TSR modifier, which only modestly increased the ultimate payout </w:t>
            </w:r>
            <w:r>
              <w:rPr>
                <w:rFonts w:ascii="Arial" w:cs="Arial" w:eastAsia="Arial" w:hAnsi="Arial"/>
                <w:sz w:val="16"/>
                <w:szCs w:val="16"/>
                <w:b w:val="1"/>
                <w:bCs w:val="1"/>
                <w:color w:val="auto"/>
                <w:w w:val="99"/>
              </w:rPr>
              <w:t>despite our sector-leading</w:t>
            </w:r>
          </w:p>
        </w:tc>
        <w:tc>
          <w:tcPr>
            <w:tcW w:w="240" w:type="dxa"/>
            <w:vAlign w:val="bottom"/>
            <w:shd w:val="clear" w:color="auto" w:fill="E9F9D8"/>
          </w:tcPr>
          <w:p>
            <w:pPr>
              <w:spacing w:after="0"/>
              <w:rPr>
                <w:sz w:val="17"/>
                <w:szCs w:val="17"/>
                <w:color w:val="auto"/>
              </w:rPr>
            </w:pPr>
          </w:p>
        </w:tc>
        <w:tc>
          <w:tcPr>
            <w:tcW w:w="840" w:type="dxa"/>
            <w:vAlign w:val="bottom"/>
          </w:tcPr>
          <w:p>
            <w:pPr>
              <w:spacing w:after="0"/>
              <w:rPr>
                <w:sz w:val="17"/>
                <w:szCs w:val="17"/>
                <w:color w:val="auto"/>
              </w:rPr>
            </w:pPr>
          </w:p>
        </w:tc>
      </w:tr>
      <w:tr>
        <w:trPr>
          <w:trHeight w:val="223"/>
        </w:trPr>
        <w:tc>
          <w:tcPr>
            <w:tcW w:w="820" w:type="dxa"/>
            <w:vAlign w:val="bottom"/>
          </w:tcPr>
          <w:p>
            <w:pPr>
              <w:spacing w:after="0"/>
              <w:rPr>
                <w:sz w:val="19"/>
                <w:szCs w:val="19"/>
                <w:color w:val="auto"/>
              </w:rPr>
            </w:pPr>
          </w:p>
        </w:tc>
        <w:tc>
          <w:tcPr>
            <w:tcW w:w="160" w:type="dxa"/>
            <w:vAlign w:val="bottom"/>
            <w:shd w:val="clear" w:color="auto" w:fill="E9F9D8"/>
          </w:tcPr>
          <w:p>
            <w:pPr>
              <w:spacing w:after="0"/>
              <w:rPr>
                <w:sz w:val="19"/>
                <w:szCs w:val="19"/>
                <w:color w:val="auto"/>
              </w:rPr>
            </w:pPr>
          </w:p>
        </w:tc>
        <w:tc>
          <w:tcPr>
            <w:tcW w:w="8660" w:type="dxa"/>
            <w:vAlign w:val="bottom"/>
            <w:shd w:val="clear" w:color="auto" w:fill="E9F9D8"/>
          </w:tcPr>
          <w:p>
            <w:pPr>
              <w:spacing w:after="0"/>
              <w:rPr>
                <w:sz w:val="20"/>
                <w:szCs w:val="20"/>
                <w:color w:val="auto"/>
              </w:rPr>
            </w:pPr>
            <w:r>
              <w:rPr>
                <w:rFonts w:ascii="Arial" w:cs="Arial" w:eastAsia="Arial" w:hAnsi="Arial"/>
                <w:sz w:val="16"/>
                <w:szCs w:val="16"/>
                <w:b w:val="1"/>
                <w:bCs w:val="1"/>
                <w:color w:val="auto"/>
              </w:rPr>
              <w:t>TSR performance over the last two fiscal years</w:t>
            </w:r>
            <w:r>
              <w:rPr>
                <w:rFonts w:ascii="Arial" w:cs="Arial" w:eastAsia="Arial" w:hAnsi="Arial"/>
                <w:sz w:val="16"/>
                <w:szCs w:val="16"/>
                <w:color w:val="auto"/>
              </w:rPr>
              <w:t>.</w:t>
            </w:r>
          </w:p>
        </w:tc>
        <w:tc>
          <w:tcPr>
            <w:tcW w:w="240" w:type="dxa"/>
            <w:vAlign w:val="bottom"/>
            <w:shd w:val="clear" w:color="auto" w:fill="E9F9D8"/>
          </w:tcPr>
          <w:p>
            <w:pPr>
              <w:spacing w:after="0"/>
              <w:rPr>
                <w:sz w:val="19"/>
                <w:szCs w:val="19"/>
                <w:color w:val="auto"/>
              </w:rPr>
            </w:pPr>
          </w:p>
        </w:tc>
        <w:tc>
          <w:tcPr>
            <w:tcW w:w="840" w:type="dxa"/>
            <w:vAlign w:val="bottom"/>
          </w:tcPr>
          <w:p>
            <w:pPr>
              <w:spacing w:after="0"/>
              <w:rPr>
                <w:sz w:val="19"/>
                <w:szCs w:val="19"/>
                <w:color w:val="auto"/>
              </w:rPr>
            </w:pPr>
          </w:p>
        </w:tc>
      </w:tr>
      <w:tr>
        <w:trPr>
          <w:trHeight w:val="102"/>
        </w:trPr>
        <w:tc>
          <w:tcPr>
            <w:tcW w:w="820" w:type="dxa"/>
            <w:vAlign w:val="bottom"/>
          </w:tcPr>
          <w:p>
            <w:pPr>
              <w:spacing w:after="0"/>
              <w:rPr>
                <w:sz w:val="8"/>
                <w:szCs w:val="8"/>
                <w:color w:val="auto"/>
              </w:rPr>
            </w:pPr>
          </w:p>
        </w:tc>
        <w:tc>
          <w:tcPr>
            <w:tcW w:w="160" w:type="dxa"/>
            <w:vAlign w:val="bottom"/>
            <w:shd w:val="clear" w:color="auto" w:fill="E9F9D8"/>
          </w:tcPr>
          <w:p>
            <w:pPr>
              <w:spacing w:after="0"/>
              <w:rPr>
                <w:sz w:val="8"/>
                <w:szCs w:val="8"/>
                <w:color w:val="auto"/>
              </w:rPr>
            </w:pPr>
          </w:p>
        </w:tc>
        <w:tc>
          <w:tcPr>
            <w:tcW w:w="8660" w:type="dxa"/>
            <w:vAlign w:val="bottom"/>
            <w:shd w:val="clear" w:color="auto" w:fill="E9F9D8"/>
          </w:tcPr>
          <w:p>
            <w:pPr>
              <w:spacing w:after="0"/>
              <w:rPr>
                <w:sz w:val="8"/>
                <w:szCs w:val="8"/>
                <w:color w:val="auto"/>
              </w:rPr>
            </w:pPr>
          </w:p>
        </w:tc>
        <w:tc>
          <w:tcPr>
            <w:tcW w:w="240" w:type="dxa"/>
            <w:vAlign w:val="bottom"/>
            <w:shd w:val="clear" w:color="auto" w:fill="E9F9D8"/>
          </w:tcPr>
          <w:p>
            <w:pPr>
              <w:spacing w:after="0"/>
              <w:rPr>
                <w:sz w:val="8"/>
                <w:szCs w:val="8"/>
                <w:color w:val="auto"/>
              </w:rPr>
            </w:pPr>
          </w:p>
        </w:tc>
        <w:tc>
          <w:tcPr>
            <w:tcW w:w="840" w:type="dxa"/>
            <w:vAlign w:val="bottom"/>
          </w:tcPr>
          <w:p>
            <w:pPr>
              <w:spacing w:after="0"/>
              <w:rPr>
                <w:sz w:val="8"/>
                <w:szCs w:val="8"/>
                <w:color w:val="auto"/>
              </w:rPr>
            </w:pPr>
          </w:p>
        </w:tc>
      </w:tr>
      <w:tr>
        <w:trPr>
          <w:trHeight w:val="142"/>
        </w:trPr>
        <w:tc>
          <w:tcPr>
            <w:tcW w:w="8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6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5100" w:type="dxa"/>
            <w:vAlign w:val="bottom"/>
          </w:tcPr>
          <w:p>
            <w:pPr>
              <w:spacing w:after="0"/>
              <w:rPr>
                <w:sz w:val="20"/>
                <w:szCs w:val="20"/>
                <w:color w:val="auto"/>
              </w:rPr>
            </w:pPr>
            <w:r>
              <w:rPr>
                <w:rFonts w:ascii="Arial" w:cs="Arial" w:eastAsia="Arial" w:hAnsi="Arial"/>
                <w:sz w:val="14"/>
                <w:szCs w:val="14"/>
                <w:b w:val="1"/>
                <w:bCs w:val="1"/>
                <w:color w:val="auto"/>
              </w:rPr>
              <w:t>​</w:t>
            </w:r>
          </w:p>
        </w:tc>
        <w:tc>
          <w:tcPr>
            <w:tcW w:w="3480" w:type="dxa"/>
            <w:vAlign w:val="bottom"/>
          </w:tcPr>
          <w:p>
            <w:pPr>
              <w:ind w:left="3100"/>
              <w:spacing w:after="0"/>
              <w:rPr>
                <w:sz w:val="20"/>
                <w:szCs w:val="20"/>
                <w:color w:val="auto"/>
              </w:rPr>
            </w:pPr>
            <w:r>
              <w:rPr>
                <w:rFonts w:ascii="Arial" w:cs="Arial" w:eastAsia="Arial" w:hAnsi="Arial"/>
                <w:sz w:val="14"/>
                <w:szCs w:val="14"/>
                <w:b w:val="1"/>
                <w:bCs w:val="1"/>
                <w:color w:val="auto"/>
              </w:rPr>
              <w:t>​ ​</w:t>
            </w:r>
          </w:p>
        </w:tc>
        <w:tc>
          <w:tcPr>
            <w:tcW w:w="480" w:type="dxa"/>
            <w:vAlign w:val="bottom"/>
            <w:vMerge w:val="restart"/>
          </w:tcPr>
          <w:p>
            <w:pPr>
              <w:jc w:val="right"/>
              <w:spacing w:after="0"/>
              <w:rPr>
                <w:sz w:val="20"/>
                <w:szCs w:val="20"/>
                <w:color w:val="auto"/>
              </w:rPr>
            </w:pPr>
            <w:r>
              <w:rPr>
                <w:rFonts w:ascii="Arial" w:cs="Arial" w:eastAsia="Arial" w:hAnsi="Arial"/>
                <w:sz w:val="22"/>
                <w:szCs w:val="22"/>
                <w:b w:val="1"/>
                <w:bCs w:val="1"/>
                <w:color w:val="1F2668"/>
              </w:rPr>
              <w:t>57</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5100" w:type="dxa"/>
            <w:vAlign w:val="bottom"/>
          </w:tcPr>
          <w:p>
            <w:pPr>
              <w:spacing w:after="0"/>
              <w:rPr>
                <w:sz w:val="20"/>
                <w:szCs w:val="20"/>
                <w:color w:val="auto"/>
              </w:rPr>
            </w:pPr>
            <w:r>
              <w:rPr>
                <w:rFonts w:ascii="Arial" w:cs="Arial" w:eastAsia="Arial" w:hAnsi="Arial"/>
                <w:sz w:val="14"/>
                <w:szCs w:val="14"/>
                <w:b w:val="1"/>
                <w:bCs w:val="1"/>
                <w:color w:val="auto"/>
              </w:rPr>
              <w:t>EXECUTIVE COMPENSATION</w:t>
            </w:r>
          </w:p>
        </w:tc>
        <w:tc>
          <w:tcPr>
            <w:tcW w:w="348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38"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2024 NEO Scorecards</w:t>
      </w:r>
    </w:p>
    <w:p>
      <w:pPr>
        <w:spacing w:after="0" w:line="13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following scorecards summarize each element of compensation received by our NEOs for 2024 as of December 31, 2024.</w:t>
      </w:r>
    </w:p>
    <w:p>
      <w:pPr>
        <w:spacing w:after="0" w:line="181" w:lineRule="exact"/>
        <w:rPr>
          <w:sz w:val="20"/>
          <w:szCs w:val="20"/>
          <w:color w:val="auto"/>
        </w:rPr>
      </w:pPr>
    </w:p>
    <w:p>
      <w:pPr>
        <w:ind w:left="820" w:right="60"/>
        <w:spacing w:after="0" w:line="295" w:lineRule="auto"/>
        <w:rPr>
          <w:sz w:val="20"/>
          <w:szCs w:val="20"/>
          <w:color w:val="auto"/>
        </w:rPr>
      </w:pPr>
      <w:r>
        <w:rPr>
          <w:rFonts w:ascii="Arial" w:cs="Arial" w:eastAsia="Arial" w:hAnsi="Arial"/>
          <w:sz w:val="16"/>
          <w:szCs w:val="16"/>
          <w:color w:val="auto"/>
        </w:rPr>
        <w:t>For purposes of framing the compensation decisions and pay outcomes, we present the “Total Direct Compensation,” or TDC, amounts awarded for 2024 and contrast such amounts to SEC-mandated disclosure rules for the Summary Compensation Table, or SCT, for 2024. We believe this presentation provides investors with a clearer understanding of the compensation decisions made by the Committee.</w:t>
      </w:r>
    </w:p>
    <w:p>
      <w:pPr>
        <w:spacing w:after="0" w:line="91" w:lineRule="exact"/>
        <w:rPr>
          <w:sz w:val="20"/>
          <w:szCs w:val="20"/>
          <w:color w:val="auto"/>
        </w:rPr>
      </w:pPr>
    </w:p>
    <w:tbl>
      <w:tblPr>
        <w:tblLayout w:type="fixed"/>
        <w:tblInd w:w="820" w:type="dxa"/>
        <w:tblCellMar>
          <w:top w:w="0" w:type="dxa"/>
          <w:left w:w="0" w:type="dxa"/>
          <w:bottom w:w="0" w:type="dxa"/>
          <w:right w:w="0" w:type="dxa"/>
        </w:tblCellMar>
      </w:tblPr>
      <w:tr>
        <w:trPr>
          <w:trHeight w:val="368"/>
        </w:trPr>
        <w:tc>
          <w:tcPr>
            <w:tcW w:w="8800" w:type="dxa"/>
            <w:vAlign w:val="bottom"/>
            <w:shd w:val="clear" w:color="auto" w:fill="E9F9D8"/>
          </w:tcPr>
          <w:p>
            <w:pPr>
              <w:spacing w:after="0"/>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6"/>
                <w:szCs w:val="16"/>
                <w:b w:val="1"/>
                <w:bCs w:val="1"/>
                <w:color w:val="auto"/>
              </w:rPr>
              <w:t xml:space="preserve">  Due to the timing and required reporting of certain elements of our compensation program, the 2024 Total Direct</w:t>
            </w:r>
          </w:p>
        </w:tc>
        <w:tc>
          <w:tcPr>
            <w:tcW w:w="260" w:type="dxa"/>
            <w:vAlign w:val="bottom"/>
            <w:shd w:val="clear" w:color="auto" w:fill="E9F9D8"/>
          </w:tcPr>
          <w:p>
            <w:pPr>
              <w:ind w:left="100"/>
              <w:spacing w:after="0"/>
              <w:rPr>
                <w:sz w:val="20"/>
                <w:szCs w:val="20"/>
                <w:color w:val="auto"/>
              </w:rPr>
            </w:pPr>
            <w:r>
              <w:rPr>
                <w:rFonts w:ascii="Arial" w:cs="Arial" w:eastAsia="Arial" w:hAnsi="Arial"/>
                <w:sz w:val="16"/>
                <w:szCs w:val="16"/>
                <w:b w:val="1"/>
                <w:bCs w:val="1"/>
                <w:color w:val="auto"/>
              </w:rPr>
              <w:t>​</w:t>
            </w:r>
          </w:p>
        </w:tc>
      </w:tr>
      <w:tr>
        <w:trPr>
          <w:trHeight w:val="203"/>
        </w:trPr>
        <w:tc>
          <w:tcPr>
            <w:tcW w:w="8800" w:type="dxa"/>
            <w:vAlign w:val="bottom"/>
            <w:shd w:val="clear" w:color="auto" w:fill="E9F9D8"/>
          </w:tcPr>
          <w:p>
            <w:pPr>
              <w:ind w:left="160"/>
              <w:spacing w:after="0"/>
              <w:rPr>
                <w:sz w:val="20"/>
                <w:szCs w:val="20"/>
                <w:color w:val="auto"/>
              </w:rPr>
            </w:pPr>
            <w:r>
              <w:rPr>
                <w:rFonts w:ascii="Arial" w:cs="Arial" w:eastAsia="Arial" w:hAnsi="Arial"/>
                <w:sz w:val="16"/>
                <w:szCs w:val="16"/>
                <w:b w:val="1"/>
                <w:bCs w:val="1"/>
                <w:color w:val="auto"/>
              </w:rPr>
              <w:t>Compensation of our NEOs, which reflects the amounts actually approved by the Committee, is different than the</w:t>
            </w:r>
          </w:p>
        </w:tc>
        <w:tc>
          <w:tcPr>
            <w:tcW w:w="260" w:type="dxa"/>
            <w:vAlign w:val="bottom"/>
            <w:shd w:val="clear" w:color="auto" w:fill="E9F9D8"/>
          </w:tcPr>
          <w:p>
            <w:pPr>
              <w:spacing w:after="0"/>
              <w:rPr>
                <w:sz w:val="17"/>
                <w:szCs w:val="17"/>
                <w:color w:val="auto"/>
              </w:rPr>
            </w:pPr>
          </w:p>
        </w:tc>
      </w:tr>
      <w:tr>
        <w:trPr>
          <w:trHeight w:val="223"/>
        </w:trPr>
        <w:tc>
          <w:tcPr>
            <w:tcW w:w="8800" w:type="dxa"/>
            <w:vAlign w:val="bottom"/>
            <w:shd w:val="clear" w:color="auto" w:fill="E9F9D8"/>
          </w:tcPr>
          <w:p>
            <w:pPr>
              <w:ind w:left="160"/>
              <w:spacing w:after="0"/>
              <w:rPr>
                <w:sz w:val="20"/>
                <w:szCs w:val="20"/>
                <w:color w:val="auto"/>
              </w:rPr>
            </w:pPr>
            <w:r>
              <w:rPr>
                <w:rFonts w:ascii="Arial" w:cs="Arial" w:eastAsia="Arial" w:hAnsi="Arial"/>
                <w:sz w:val="16"/>
                <w:szCs w:val="16"/>
                <w:b w:val="1"/>
                <w:bCs w:val="1"/>
                <w:color w:val="auto"/>
              </w:rPr>
              <w:t>compensation reported in the Summary Compensation Table.</w:t>
            </w:r>
          </w:p>
        </w:tc>
        <w:tc>
          <w:tcPr>
            <w:tcW w:w="260" w:type="dxa"/>
            <w:vAlign w:val="bottom"/>
            <w:shd w:val="clear" w:color="auto" w:fill="E9F9D8"/>
          </w:tcPr>
          <w:p>
            <w:pPr>
              <w:spacing w:after="0"/>
              <w:rPr>
                <w:sz w:val="19"/>
                <w:szCs w:val="19"/>
                <w:color w:val="auto"/>
              </w:rPr>
            </w:pPr>
          </w:p>
        </w:tc>
      </w:tr>
      <w:tr>
        <w:trPr>
          <w:trHeight w:val="102"/>
        </w:trPr>
        <w:tc>
          <w:tcPr>
            <w:tcW w:w="8800" w:type="dxa"/>
            <w:vAlign w:val="bottom"/>
            <w:shd w:val="clear" w:color="auto" w:fill="E9F9D8"/>
          </w:tcPr>
          <w:p>
            <w:pPr>
              <w:spacing w:after="0"/>
              <w:rPr>
                <w:sz w:val="8"/>
                <w:szCs w:val="8"/>
                <w:color w:val="auto"/>
              </w:rPr>
            </w:pPr>
          </w:p>
        </w:tc>
        <w:tc>
          <w:tcPr>
            <w:tcW w:w="260" w:type="dxa"/>
            <w:vAlign w:val="bottom"/>
            <w:shd w:val="clear" w:color="auto" w:fill="E9F9D8"/>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6228080</wp:posOffset>
            </wp:positionV>
            <wp:extent cx="6831965"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71"/>
        </w:trPr>
        <w:tc>
          <w:tcPr>
            <w:tcW w:w="3200" w:type="dxa"/>
            <w:vAlign w:val="bottom"/>
            <w:gridSpan w:val="4"/>
          </w:tcPr>
          <w:p>
            <w:pPr>
              <w:spacing w:after="0"/>
              <w:rPr>
                <w:sz w:val="20"/>
                <w:szCs w:val="20"/>
                <w:color w:val="auto"/>
              </w:rPr>
            </w:pPr>
            <w:r>
              <w:rPr>
                <w:rFonts w:ascii="Calibri" w:cs="Calibri" w:eastAsia="Calibri" w:hAnsi="Calibri"/>
                <w:sz w:val="14"/>
                <w:szCs w:val="14"/>
                <w:color w:val="003366"/>
              </w:rPr>
              <w:t>TABLE OF CONTENTS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5"/>
        </w:trPr>
        <w:tc>
          <w:tcPr>
            <w:tcW w:w="82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22"/>
                <w:szCs w:val="22"/>
                <w:b w:val="1"/>
                <w:bCs w:val="1"/>
                <w:color w:val="1F2668"/>
                <w:w w:val="89"/>
              </w:rPr>
              <w:t>58​</w:t>
            </w:r>
          </w:p>
        </w:tc>
        <w:tc>
          <w:tcPr>
            <w:tcW w:w="4560" w:type="dxa"/>
            <w:vAlign w:val="bottom"/>
            <w:gridSpan w:val="13"/>
          </w:tcPr>
          <w:p>
            <w:pPr>
              <w:ind w:left="360"/>
              <w:spacing w:after="0"/>
              <w:rPr>
                <w:sz w:val="20"/>
                <w:szCs w:val="20"/>
                <w:color w:val="auto"/>
              </w:rPr>
            </w:pPr>
            <w:r>
              <w:rPr>
                <w:rFonts w:ascii="Arial" w:cs="Arial" w:eastAsia="Arial" w:hAnsi="Arial"/>
                <w:sz w:val="22"/>
                <w:szCs w:val="22"/>
                <w:b w:val="1"/>
                <w:bCs w:val="1"/>
                <w:color w:val="1F2668"/>
              </w:rPr>
              <w:t xml:space="preserve">​ ​ </w:t>
            </w:r>
            <w:r>
              <w:rPr>
                <w:rFonts w:ascii="Arial" w:cs="Arial" w:eastAsia="Arial" w:hAnsi="Arial"/>
                <w:sz w:val="14"/>
                <w:szCs w:val="14"/>
                <w:b w:val="1"/>
                <w:bCs w:val="1"/>
                <w:color w:val="1F2668"/>
              </w:rPr>
              <w:t>SL GREEN REALTY CORP. 2025 PROXY STATEMENT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ind w:left="40"/>
              <w:spacing w:after="0"/>
              <w:rPr>
                <w:sz w:val="20"/>
                <w:szCs w:val="20"/>
                <w:color w:val="auto"/>
              </w:rPr>
            </w:pPr>
            <w:r>
              <w:rPr>
                <w:rFonts w:ascii="Arial" w:cs="Arial" w:eastAsia="Arial" w:hAnsi="Arial"/>
                <w:sz w:val="22"/>
                <w:szCs w:val="22"/>
                <w:b w:val="1"/>
                <w:bCs w:val="1"/>
                <w:color w:val="1F2668"/>
              </w:rPr>
              <w:t>​</w:t>
            </w:r>
          </w:p>
        </w:tc>
        <w:tc>
          <w:tcPr>
            <w:tcW w:w="0" w:type="dxa"/>
            <w:vAlign w:val="bottom"/>
          </w:tcPr>
          <w:p>
            <w:pPr>
              <w:spacing w:after="0"/>
              <w:rPr>
                <w:sz w:val="1"/>
                <w:szCs w:val="1"/>
                <w:color w:val="auto"/>
              </w:rPr>
            </w:pPr>
          </w:p>
        </w:tc>
      </w:tr>
      <w:tr>
        <w:trPr>
          <w:trHeight w:val="656"/>
        </w:trPr>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200" w:type="dxa"/>
            <w:vAlign w:val="bottom"/>
            <w:tcBorders>
              <w:right w:val="single" w:sz="8" w:color="83AD40"/>
            </w:tcBorders>
          </w:tcPr>
          <w:p>
            <w:pPr>
              <w:spacing w:after="0"/>
              <w:rPr>
                <w:sz w:val="21"/>
                <w:szCs w:val="21"/>
                <w:color w:val="auto"/>
              </w:rPr>
            </w:pPr>
          </w:p>
        </w:tc>
        <w:tc>
          <w:tcPr>
            <w:tcW w:w="80" w:type="dxa"/>
            <w:vAlign w:val="bottom"/>
            <w:tcBorders>
              <w:top w:val="single" w:sz="8" w:color="83AD40"/>
            </w:tcBorders>
          </w:tcPr>
          <w:p>
            <w:pPr>
              <w:jc w:val="right"/>
              <w:spacing w:after="0" w:line="243" w:lineRule="exact"/>
              <w:rPr>
                <w:sz w:val="20"/>
                <w:szCs w:val="20"/>
                <w:color w:val="auto"/>
              </w:rPr>
            </w:pPr>
            <w:r>
              <w:rPr>
                <w:rFonts w:ascii="Arial" w:cs="Arial" w:eastAsia="Arial" w:hAnsi="Arial"/>
                <w:sz w:val="22"/>
                <w:szCs w:val="22"/>
                <w:color w:val="auto"/>
              </w:rPr>
              <w:t>​</w:t>
            </w:r>
          </w:p>
        </w:tc>
        <w:tc>
          <w:tcPr>
            <w:tcW w:w="2100" w:type="dxa"/>
            <w:vAlign w:val="bottom"/>
            <w:tcBorders>
              <w:top w:val="single" w:sz="8" w:color="83AD40"/>
            </w:tcBorders>
          </w:tcPr>
          <w:p>
            <w:pPr>
              <w:spacing w:after="0"/>
              <w:rPr>
                <w:sz w:val="21"/>
                <w:szCs w:val="21"/>
                <w:color w:val="auto"/>
              </w:rPr>
            </w:pPr>
          </w:p>
        </w:tc>
        <w:tc>
          <w:tcPr>
            <w:tcW w:w="60" w:type="dxa"/>
            <w:vAlign w:val="bottom"/>
            <w:tcBorders>
              <w:top w:val="single" w:sz="8" w:color="83AD40"/>
            </w:tcBorders>
            <w:vMerge w:val="restart"/>
          </w:tcPr>
          <w:p>
            <w:pPr>
              <w:spacing w:after="0"/>
              <w:rPr>
                <w:sz w:val="20"/>
                <w:szCs w:val="20"/>
                <w:color w:val="auto"/>
              </w:rPr>
            </w:pPr>
            <w:r>
              <w:rPr>
                <w:rFonts w:ascii="Arial" w:cs="Arial" w:eastAsia="Arial" w:hAnsi="Arial"/>
                <w:sz w:val="14"/>
                <w:szCs w:val="14"/>
                <w:color w:val="FFFFFF"/>
              </w:rPr>
              <w:t>​</w:t>
            </w:r>
          </w:p>
        </w:tc>
        <w:tc>
          <w:tcPr>
            <w:tcW w:w="40" w:type="dxa"/>
            <w:vAlign w:val="bottom"/>
            <w:tcBorders>
              <w:top w:val="single" w:sz="8" w:color="83AD40"/>
            </w:tcBorders>
          </w:tcPr>
          <w:p>
            <w:pPr>
              <w:spacing w:after="0"/>
              <w:rPr>
                <w:sz w:val="21"/>
                <w:szCs w:val="21"/>
                <w:color w:val="auto"/>
              </w:rPr>
            </w:pPr>
          </w:p>
        </w:tc>
        <w:tc>
          <w:tcPr>
            <w:tcW w:w="60" w:type="dxa"/>
            <w:vAlign w:val="bottom"/>
            <w:tcBorders>
              <w:top w:val="single" w:sz="8" w:color="83AD40"/>
            </w:tcBorders>
            <w:shd w:val="clear" w:color="auto" w:fill="83AD40"/>
          </w:tcPr>
          <w:p>
            <w:pPr>
              <w:spacing w:after="0" w:line="243" w:lineRule="exact"/>
              <w:rPr>
                <w:sz w:val="20"/>
                <w:szCs w:val="20"/>
                <w:color w:val="auto"/>
              </w:rPr>
            </w:pPr>
            <w:r>
              <w:rPr>
                <w:rFonts w:ascii="Arial" w:cs="Arial" w:eastAsia="Arial" w:hAnsi="Arial"/>
                <w:sz w:val="22"/>
                <w:szCs w:val="22"/>
                <w:color w:val="auto"/>
              </w:rPr>
              <w:t>​</w:t>
            </w:r>
          </w:p>
        </w:tc>
        <w:tc>
          <w:tcPr>
            <w:tcW w:w="20" w:type="dxa"/>
            <w:vAlign w:val="bottom"/>
            <w:tcBorders>
              <w:top w:val="single" w:sz="8" w:color="83AD40"/>
            </w:tcBorders>
          </w:tcPr>
          <w:p>
            <w:pPr>
              <w:spacing w:after="0"/>
              <w:rPr>
                <w:sz w:val="21"/>
                <w:szCs w:val="21"/>
                <w:color w:val="auto"/>
              </w:rPr>
            </w:pPr>
          </w:p>
        </w:tc>
        <w:tc>
          <w:tcPr>
            <w:tcW w:w="260" w:type="dxa"/>
            <w:vAlign w:val="bottom"/>
          </w:tcPr>
          <w:p>
            <w:pPr>
              <w:spacing w:after="0"/>
              <w:rPr>
                <w:sz w:val="21"/>
                <w:szCs w:val="21"/>
                <w:color w:val="auto"/>
              </w:rPr>
            </w:pPr>
          </w:p>
        </w:tc>
        <w:tc>
          <w:tcPr>
            <w:tcW w:w="4240" w:type="dxa"/>
            <w:vAlign w:val="bottom"/>
            <w:gridSpan w:val="11"/>
            <w:vMerge w:val="restart"/>
          </w:tcPr>
          <w:p>
            <w:pPr>
              <w:spacing w:after="0"/>
              <w:rPr>
                <w:sz w:val="20"/>
                <w:szCs w:val="20"/>
                <w:color w:val="auto"/>
              </w:rPr>
            </w:pPr>
            <w:r>
              <w:rPr>
                <w:rFonts w:ascii="Arial" w:cs="Arial" w:eastAsia="Arial" w:hAnsi="Arial"/>
                <w:sz w:val="20"/>
                <w:szCs w:val="20"/>
                <w:b w:val="1"/>
                <w:bCs w:val="1"/>
                <w:color w:val="83AD40"/>
              </w:rPr>
              <w:t>2024 Performance and Compensation—</w:t>
            </w:r>
          </w:p>
        </w:tc>
        <w:tc>
          <w:tcPr>
            <w:tcW w:w="1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820" w:type="dxa"/>
            <w:vAlign w:val="bottom"/>
          </w:tcPr>
          <w:p>
            <w:pPr>
              <w:spacing w:after="0"/>
              <w:rPr>
                <w:sz w:val="15"/>
                <w:szCs w:val="15"/>
                <w:color w:val="auto"/>
              </w:rPr>
            </w:pPr>
          </w:p>
        </w:tc>
        <w:tc>
          <w:tcPr>
            <w:tcW w:w="200" w:type="dxa"/>
            <w:vAlign w:val="bottom"/>
            <w:tcBorders>
              <w:right w:val="single" w:sz="8" w:color="1F2668"/>
            </w:tcBorders>
            <w:shd w:val="clear" w:color="auto" w:fill="1F2668"/>
          </w:tcPr>
          <w:p>
            <w:pPr>
              <w:ind w:left="140"/>
              <w:spacing w:after="0"/>
              <w:rPr>
                <w:sz w:val="20"/>
                <w:szCs w:val="20"/>
                <w:color w:val="auto"/>
              </w:rPr>
            </w:pPr>
            <w:r>
              <w:rPr>
                <w:rFonts w:ascii="Arial" w:cs="Arial" w:eastAsia="Arial" w:hAnsi="Arial"/>
                <w:sz w:val="14"/>
                <w:szCs w:val="14"/>
                <w:color w:val="FFFFFF"/>
              </w:rPr>
              <w:t>​</w:t>
            </w:r>
          </w:p>
        </w:tc>
        <w:tc>
          <w:tcPr>
            <w:tcW w:w="80" w:type="dxa"/>
            <w:vAlign w:val="bottom"/>
            <w:shd w:val="clear" w:color="auto" w:fill="1F2668"/>
          </w:tcPr>
          <w:p>
            <w:pPr>
              <w:spacing w:after="0"/>
              <w:rPr>
                <w:sz w:val="15"/>
                <w:szCs w:val="15"/>
                <w:color w:val="auto"/>
              </w:rPr>
            </w:pPr>
          </w:p>
        </w:tc>
        <w:tc>
          <w:tcPr>
            <w:tcW w:w="2100" w:type="dxa"/>
            <w:vAlign w:val="bottom"/>
            <w:shd w:val="clear" w:color="auto" w:fill="1F2668"/>
          </w:tcPr>
          <w:p>
            <w:pPr>
              <w:spacing w:after="0"/>
              <w:rPr>
                <w:sz w:val="15"/>
                <w:szCs w:val="15"/>
                <w:color w:val="auto"/>
              </w:rPr>
            </w:pPr>
          </w:p>
        </w:tc>
        <w:tc>
          <w:tcPr>
            <w:tcW w:w="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shd w:val="clear" w:color="auto" w:fill="83AD40"/>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40" w:type="dxa"/>
            <w:vAlign w:val="bottom"/>
            <w:gridSpan w:val="11"/>
            <w:vMerge w:val="continue"/>
          </w:tcPr>
          <w:p>
            <w:pPr>
              <w:spacing w:after="0"/>
              <w:rPr>
                <w:sz w:val="15"/>
                <w:szCs w:val="15"/>
                <w:color w:val="auto"/>
              </w:rPr>
            </w:pPr>
          </w:p>
        </w:tc>
        <w:tc>
          <w:tcPr>
            <w:tcW w:w="1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7"/>
        </w:trPr>
        <w:tc>
          <w:tcPr>
            <w:tcW w:w="820" w:type="dxa"/>
            <w:vAlign w:val="bottom"/>
          </w:tcPr>
          <w:p>
            <w:pPr>
              <w:spacing w:after="0"/>
              <w:rPr>
                <w:sz w:val="24"/>
                <w:szCs w:val="24"/>
                <w:color w:val="auto"/>
              </w:rPr>
            </w:pPr>
          </w:p>
        </w:tc>
        <w:tc>
          <w:tcPr>
            <w:tcW w:w="2380" w:type="dxa"/>
            <w:vAlign w:val="bottom"/>
            <w:gridSpan w:val="3"/>
            <w:shd w:val="clear" w:color="auto" w:fill="1F2668"/>
          </w:tcPr>
          <w:p>
            <w:pPr>
              <w:ind w:left="140"/>
              <w:spacing w:after="0"/>
              <w:rPr>
                <w:sz w:val="20"/>
                <w:szCs w:val="20"/>
                <w:color w:val="auto"/>
              </w:rPr>
            </w:pPr>
            <w:r>
              <w:rPr>
                <w:rFonts w:ascii="Arial" w:cs="Arial" w:eastAsia="Arial" w:hAnsi="Arial"/>
                <w:sz w:val="23"/>
                <w:szCs w:val="23"/>
                <w:b w:val="1"/>
                <w:bCs w:val="1"/>
                <w:color w:val="FFFFFF"/>
              </w:rPr>
              <w:t>MARC</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shd w:val="clear" w:color="auto" w:fill="83AD40"/>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0" w:type="dxa"/>
            <w:vAlign w:val="bottom"/>
            <w:gridSpan w:val="13"/>
          </w:tcPr>
          <w:p>
            <w:pPr>
              <w:spacing w:after="0"/>
              <w:rPr>
                <w:sz w:val="20"/>
                <w:szCs w:val="20"/>
                <w:color w:val="auto"/>
              </w:rPr>
            </w:pPr>
            <w:r>
              <w:rPr>
                <w:rFonts w:ascii="Arial" w:cs="Arial" w:eastAsia="Arial" w:hAnsi="Arial"/>
                <w:sz w:val="20"/>
                <w:szCs w:val="20"/>
                <w:b w:val="1"/>
                <w:bCs w:val="1"/>
                <w:color w:val="83AD40"/>
              </w:rPr>
              <w:t>Total Direct Compensation vs. Summary Compensation Table</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820" w:type="dxa"/>
            <w:vAlign w:val="bottom"/>
          </w:tcPr>
          <w:p>
            <w:pPr>
              <w:spacing w:after="0"/>
              <w:rPr>
                <w:sz w:val="7"/>
                <w:szCs w:val="7"/>
                <w:color w:val="auto"/>
              </w:rPr>
            </w:pPr>
          </w:p>
        </w:tc>
        <w:tc>
          <w:tcPr>
            <w:tcW w:w="2380" w:type="dxa"/>
            <w:vAlign w:val="bottom"/>
            <w:gridSpan w:val="3"/>
            <w:vMerge w:val="restart"/>
            <w:shd w:val="clear" w:color="auto" w:fill="1F2668"/>
          </w:tcPr>
          <w:p>
            <w:pPr>
              <w:ind w:left="140"/>
              <w:spacing w:after="0"/>
              <w:rPr>
                <w:sz w:val="20"/>
                <w:szCs w:val="20"/>
                <w:color w:val="auto"/>
              </w:rPr>
            </w:pPr>
            <w:r>
              <w:rPr>
                <w:rFonts w:ascii="Arial" w:cs="Arial" w:eastAsia="Arial" w:hAnsi="Arial"/>
                <w:sz w:val="23"/>
                <w:szCs w:val="23"/>
                <w:b w:val="1"/>
                <w:bCs w:val="1"/>
                <w:color w:val="FFFFFF"/>
              </w:rPr>
              <w:t>HOLLIDAY</w:t>
            </w:r>
            <w:r>
              <w:rPr>
                <w:rFonts w:ascii="Arial" w:cs="Arial" w:eastAsia="Arial" w:hAnsi="Arial"/>
                <w:sz w:val="14"/>
                <w:szCs w:val="14"/>
                <w:color w:val="FFFFFF"/>
              </w:rPr>
              <w:t>​</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shd w:val="clear" w:color="auto" w:fill="83AD40"/>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gridSpan w:val="2"/>
          </w:tcPr>
          <w:p>
            <w:pPr>
              <w:spacing w:after="0"/>
              <w:rPr>
                <w:sz w:val="7"/>
                <w:szCs w:val="7"/>
                <w:color w:val="auto"/>
              </w:rPr>
            </w:pPr>
          </w:p>
        </w:tc>
        <w:tc>
          <w:tcPr>
            <w:tcW w:w="840" w:type="dxa"/>
            <w:vAlign w:val="bottom"/>
            <w:vMerge w:val="restart"/>
          </w:tcPr>
          <w:p>
            <w:pPr>
              <w:spacing w:after="0"/>
              <w:rPr>
                <w:sz w:val="20"/>
                <w:szCs w:val="20"/>
                <w:color w:val="auto"/>
              </w:rPr>
            </w:pPr>
            <w:r>
              <w:rPr>
                <w:rFonts w:ascii="Arial" w:cs="Arial" w:eastAsia="Arial" w:hAnsi="Arial"/>
                <w:sz w:val="14"/>
                <w:szCs w:val="14"/>
                <w:color w:val="1F2668"/>
              </w:rPr>
              <w:t>TDC</w:t>
            </w:r>
          </w:p>
        </w:tc>
        <w:tc>
          <w:tcPr>
            <w:tcW w:w="100" w:type="dxa"/>
            <w:vAlign w:val="bottom"/>
          </w:tcPr>
          <w:p>
            <w:pPr>
              <w:spacing w:after="0"/>
              <w:rPr>
                <w:sz w:val="7"/>
                <w:szCs w:val="7"/>
                <w:color w:val="auto"/>
              </w:rPr>
            </w:pPr>
          </w:p>
        </w:tc>
        <w:tc>
          <w:tcPr>
            <w:tcW w:w="980" w:type="dxa"/>
            <w:vAlign w:val="bottom"/>
            <w:gridSpan w:val="3"/>
            <w:vMerge w:val="restart"/>
          </w:tcPr>
          <w:p>
            <w:pPr>
              <w:ind w:left="20"/>
              <w:spacing w:after="0"/>
              <w:rPr>
                <w:sz w:val="20"/>
                <w:szCs w:val="20"/>
                <w:color w:val="auto"/>
              </w:rPr>
            </w:pPr>
            <w:r>
              <w:rPr>
                <w:rFonts w:ascii="Arial" w:cs="Arial" w:eastAsia="Arial" w:hAnsi="Arial"/>
                <w:sz w:val="28"/>
                <w:szCs w:val="28"/>
                <w:color w:val="1F2668"/>
                <w:vertAlign w:val="subscript"/>
              </w:rPr>
              <w:t>​​</w:t>
            </w:r>
            <w:r>
              <w:rPr>
                <w:rFonts w:ascii="Arial" w:cs="Arial" w:eastAsia="Arial" w:hAnsi="Arial"/>
                <w:sz w:val="14"/>
                <w:szCs w:val="14"/>
                <w:color w:val="1F2668"/>
              </w:rPr>
              <w:t>SCT</w:t>
            </w:r>
          </w:p>
        </w:tc>
        <w:tc>
          <w:tcPr>
            <w:tcW w:w="2220" w:type="dxa"/>
            <w:vAlign w:val="bottom"/>
            <w:gridSpan w:val="4"/>
            <w:vMerge w:val="restart"/>
          </w:tcPr>
          <w:p>
            <w:pPr>
              <w:ind w:left="80"/>
              <w:spacing w:after="0"/>
              <w:rPr>
                <w:sz w:val="20"/>
                <w:szCs w:val="20"/>
                <w:color w:val="auto"/>
              </w:rPr>
            </w:pPr>
            <w:r>
              <w:rPr>
                <w:rFonts w:ascii="Arial" w:cs="Arial" w:eastAsia="Arial" w:hAnsi="Arial"/>
                <w:sz w:val="28"/>
                <w:szCs w:val="28"/>
                <w:color w:val="1F2668"/>
                <w:vertAlign w:val="subscript"/>
              </w:rPr>
              <w:t>​​</w:t>
            </w:r>
            <w:r>
              <w:rPr>
                <w:rFonts w:ascii="Arial" w:cs="Arial" w:eastAsia="Arial" w:hAnsi="Arial"/>
                <w:sz w:val="14"/>
                <w:szCs w:val="14"/>
                <w:color w:val="1F2668"/>
              </w:rPr>
              <w:t>Element of Compensation</w:t>
            </w:r>
          </w:p>
        </w:tc>
        <w:tc>
          <w:tcPr>
            <w:tcW w:w="1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820" w:type="dxa"/>
            <w:vAlign w:val="bottom"/>
          </w:tcPr>
          <w:p>
            <w:pPr>
              <w:spacing w:after="0"/>
              <w:rPr>
                <w:sz w:val="23"/>
                <w:szCs w:val="23"/>
                <w:color w:val="auto"/>
              </w:rPr>
            </w:pPr>
          </w:p>
        </w:tc>
        <w:tc>
          <w:tcPr>
            <w:tcW w:w="2380" w:type="dxa"/>
            <w:vAlign w:val="bottom"/>
            <w:tcBorders>
              <w:bottom w:val="single" w:sz="8" w:color="1F2668"/>
            </w:tcBorders>
            <w:gridSpan w:val="3"/>
            <w:vMerge w:val="continue"/>
            <w:shd w:val="clear" w:color="auto" w:fill="1F2668"/>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Borders>
              <w:bottom w:val="single" w:sz="8" w:color="83AD40"/>
            </w:tcBorders>
            <w:shd w:val="clear" w:color="auto" w:fill="83AD40"/>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Borders>
              <w:bottom w:val="single" w:sz="8" w:color="1F2668"/>
            </w:tcBorders>
            <w:gridSpan w:val="2"/>
            <w:shd w:val="clear" w:color="auto" w:fill="E9F9D8"/>
          </w:tcPr>
          <w:p>
            <w:pPr>
              <w:spacing w:after="0"/>
              <w:rPr>
                <w:sz w:val="20"/>
                <w:szCs w:val="20"/>
                <w:color w:val="auto"/>
              </w:rPr>
            </w:pPr>
            <w:r>
              <w:rPr>
                <w:rFonts w:ascii="Arial" w:cs="Arial" w:eastAsia="Arial" w:hAnsi="Arial"/>
                <w:sz w:val="14"/>
                <w:szCs w:val="14"/>
                <w:color w:val="1F2668"/>
              </w:rPr>
              <w:t>​</w:t>
            </w:r>
          </w:p>
        </w:tc>
        <w:tc>
          <w:tcPr>
            <w:tcW w:w="840" w:type="dxa"/>
            <w:vAlign w:val="bottom"/>
            <w:tcBorders>
              <w:bottom w:val="single" w:sz="8" w:color="1F2668"/>
            </w:tcBorders>
            <w:vMerge w:val="continue"/>
          </w:tcPr>
          <w:p>
            <w:pPr>
              <w:spacing w:after="0"/>
              <w:rPr>
                <w:sz w:val="23"/>
                <w:szCs w:val="23"/>
                <w:color w:val="auto"/>
              </w:rPr>
            </w:pPr>
          </w:p>
        </w:tc>
        <w:tc>
          <w:tcPr>
            <w:tcW w:w="100" w:type="dxa"/>
            <w:vAlign w:val="bottom"/>
            <w:tcBorders>
              <w:bottom w:val="single" w:sz="8" w:color="1F2668"/>
            </w:tcBorders>
          </w:tcPr>
          <w:p>
            <w:pPr>
              <w:spacing w:after="0"/>
              <w:rPr>
                <w:sz w:val="23"/>
                <w:szCs w:val="23"/>
                <w:color w:val="auto"/>
              </w:rPr>
            </w:pPr>
          </w:p>
        </w:tc>
        <w:tc>
          <w:tcPr>
            <w:tcW w:w="980" w:type="dxa"/>
            <w:vAlign w:val="bottom"/>
            <w:tcBorders>
              <w:bottom w:val="single" w:sz="8" w:color="1F2668"/>
            </w:tcBorders>
            <w:gridSpan w:val="3"/>
            <w:vMerge w:val="continue"/>
          </w:tcPr>
          <w:p>
            <w:pPr>
              <w:spacing w:after="0"/>
              <w:rPr>
                <w:sz w:val="23"/>
                <w:szCs w:val="23"/>
                <w:color w:val="auto"/>
              </w:rPr>
            </w:pPr>
          </w:p>
        </w:tc>
        <w:tc>
          <w:tcPr>
            <w:tcW w:w="2220" w:type="dxa"/>
            <w:vAlign w:val="bottom"/>
            <w:tcBorders>
              <w:bottom w:val="single" w:sz="8" w:color="1F2668"/>
            </w:tcBorders>
            <w:gridSpan w:val="4"/>
            <w:vMerge w:val="continue"/>
          </w:tcPr>
          <w:p>
            <w:pPr>
              <w:spacing w:after="0"/>
              <w:rPr>
                <w:sz w:val="23"/>
                <w:szCs w:val="23"/>
                <w:color w:val="auto"/>
              </w:rPr>
            </w:pPr>
          </w:p>
        </w:tc>
        <w:tc>
          <w:tcPr>
            <w:tcW w:w="1240" w:type="dxa"/>
            <w:vAlign w:val="bottom"/>
            <w:tcBorders>
              <w:bottom w:val="single" w:sz="8" w:color="1F2668"/>
            </w:tcBorders>
          </w:tcPr>
          <w:p>
            <w:pPr>
              <w:spacing w:after="0"/>
              <w:rPr>
                <w:sz w:val="23"/>
                <w:szCs w:val="23"/>
                <w:color w:val="auto"/>
              </w:rPr>
            </w:pPr>
          </w:p>
        </w:tc>
        <w:tc>
          <w:tcPr>
            <w:tcW w:w="720" w:type="dxa"/>
            <w:vAlign w:val="bottom"/>
            <w:tcBorders>
              <w:bottom w:val="single" w:sz="8" w:color="1F2668"/>
            </w:tcBorders>
          </w:tcPr>
          <w:p>
            <w:pPr>
              <w:spacing w:after="0"/>
              <w:rPr>
                <w:sz w:val="23"/>
                <w:szCs w:val="23"/>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1F2668"/>
              </w:rPr>
              <w:t>​</w:t>
            </w: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200" w:type="dxa"/>
            <w:vAlign w:val="bottom"/>
            <w:tcBorders>
              <w:right w:val="single" w:sz="8" w:color="1F2668"/>
            </w:tcBorders>
            <w:shd w:val="clear" w:color="auto" w:fill="1F2668"/>
          </w:tcPr>
          <w:p>
            <w:pPr>
              <w:spacing w:after="0"/>
              <w:rPr>
                <w:sz w:val="13"/>
                <w:szCs w:val="13"/>
                <w:color w:val="auto"/>
              </w:rPr>
            </w:pPr>
          </w:p>
        </w:tc>
        <w:tc>
          <w:tcPr>
            <w:tcW w:w="80" w:type="dxa"/>
            <w:vAlign w:val="bottom"/>
            <w:shd w:val="clear" w:color="auto" w:fill="1F2668"/>
          </w:tcPr>
          <w:p>
            <w:pPr>
              <w:spacing w:after="0"/>
              <w:rPr>
                <w:sz w:val="13"/>
                <w:szCs w:val="13"/>
                <w:color w:val="auto"/>
              </w:rPr>
            </w:pPr>
          </w:p>
        </w:tc>
        <w:tc>
          <w:tcPr>
            <w:tcW w:w="2100" w:type="dxa"/>
            <w:vAlign w:val="bottom"/>
            <w:shd w:val="clear" w:color="auto" w:fill="1F2668"/>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shd w:val="clear" w:color="auto" w:fill="83AD40"/>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shd w:val="clear" w:color="auto" w:fill="E9F9D8"/>
          </w:tcPr>
          <w:p>
            <w:pPr>
              <w:spacing w:after="0"/>
              <w:rPr>
                <w:sz w:val="13"/>
                <w:szCs w:val="13"/>
                <w:color w:val="auto"/>
              </w:rPr>
            </w:pPr>
          </w:p>
        </w:tc>
        <w:tc>
          <w:tcPr>
            <w:tcW w:w="40" w:type="dxa"/>
            <w:vAlign w:val="bottom"/>
            <w:shd w:val="clear" w:color="auto" w:fill="E9F9D8"/>
          </w:tcPr>
          <w:p>
            <w:pPr>
              <w:spacing w:after="0"/>
              <w:rPr>
                <w:sz w:val="13"/>
                <w:szCs w:val="13"/>
                <w:color w:val="auto"/>
              </w:rPr>
            </w:pPr>
          </w:p>
        </w:tc>
        <w:tc>
          <w:tcPr>
            <w:tcW w:w="840" w:type="dxa"/>
            <w:vAlign w:val="bottom"/>
            <w:vMerge w:val="restart"/>
            <w:shd w:val="clear" w:color="auto" w:fill="E9F9D8"/>
          </w:tcPr>
          <w:p>
            <w:pPr>
              <w:spacing w:after="0" w:line="335" w:lineRule="exact"/>
              <w:rPr>
                <w:sz w:val="20"/>
                <w:szCs w:val="20"/>
                <w:color w:val="auto"/>
              </w:rPr>
            </w:pPr>
            <w:r>
              <w:rPr>
                <w:rFonts w:ascii="Arial" w:cs="Arial" w:eastAsia="Arial" w:hAnsi="Arial"/>
                <w:sz w:val="32"/>
                <w:szCs w:val="32"/>
                <w:color w:val="1F2668"/>
              </w:rPr>
              <w:t>6%</w:t>
            </w:r>
          </w:p>
        </w:tc>
        <w:tc>
          <w:tcPr>
            <w:tcW w:w="100" w:type="dxa"/>
            <w:vAlign w:val="bottom"/>
            <w:shd w:val="clear" w:color="auto" w:fill="E9F9D8"/>
          </w:tcPr>
          <w:p>
            <w:pPr>
              <w:spacing w:after="0"/>
              <w:rPr>
                <w:sz w:val="13"/>
                <w:szCs w:val="13"/>
                <w:color w:val="auto"/>
              </w:rPr>
            </w:pPr>
          </w:p>
        </w:tc>
        <w:tc>
          <w:tcPr>
            <w:tcW w:w="980" w:type="dxa"/>
            <w:vAlign w:val="bottom"/>
            <w:tcBorders>
              <w:left w:val="single" w:sz="8" w:color="E9F9D8"/>
            </w:tcBorders>
            <w:gridSpan w:val="3"/>
            <w:vMerge w:val="restart"/>
          </w:tcPr>
          <w:p>
            <w:pPr>
              <w:ind w:left="20"/>
              <w:spacing w:after="0" w:line="336" w:lineRule="exact"/>
              <w:rPr>
                <w:sz w:val="20"/>
                <w:szCs w:val="20"/>
                <w:color w:val="auto"/>
              </w:rPr>
            </w:pPr>
            <w:r>
              <w:rPr>
                <w:rFonts w:ascii="Arial" w:cs="Arial" w:eastAsia="Arial" w:hAnsi="Arial"/>
                <w:sz w:val="12"/>
                <w:szCs w:val="12"/>
                <w:color w:val="auto"/>
              </w:rPr>
              <w:t>​​</w:t>
            </w:r>
            <w:r>
              <w:rPr>
                <w:rFonts w:ascii="Arial" w:cs="Arial" w:eastAsia="Arial" w:hAnsi="Arial"/>
                <w:sz w:val="38"/>
                <w:szCs w:val="38"/>
                <w:color w:val="1F2668"/>
                <w:vertAlign w:val="subscript"/>
              </w:rPr>
              <w:t>6%</w:t>
            </w:r>
          </w:p>
        </w:tc>
        <w:tc>
          <w:tcPr>
            <w:tcW w:w="100" w:type="dxa"/>
            <w:vAlign w:val="bottom"/>
          </w:tcPr>
          <w:p>
            <w:pPr>
              <w:spacing w:after="0"/>
              <w:rPr>
                <w:sz w:val="13"/>
                <w:szCs w:val="13"/>
                <w:color w:val="auto"/>
              </w:rPr>
            </w:pPr>
          </w:p>
        </w:tc>
        <w:tc>
          <w:tcPr>
            <w:tcW w:w="2120" w:type="dxa"/>
            <w:vAlign w:val="bottom"/>
            <w:gridSpan w:val="3"/>
          </w:tcPr>
          <w:p>
            <w:pPr>
              <w:ind w:left="80"/>
              <w:spacing w:after="0" w:line="155" w:lineRule="exact"/>
              <w:rPr>
                <w:sz w:val="20"/>
                <w:szCs w:val="20"/>
                <w:color w:val="auto"/>
              </w:rPr>
            </w:pPr>
            <w:r>
              <w:rPr>
                <w:rFonts w:ascii="Arial" w:cs="Arial" w:eastAsia="Arial" w:hAnsi="Arial"/>
                <w:sz w:val="16"/>
                <w:szCs w:val="16"/>
                <w:b w:val="1"/>
                <w:bCs w:val="1"/>
                <w:color w:val="auto"/>
              </w:rPr>
              <w:t>Annual Base Salary</w:t>
            </w:r>
          </w:p>
        </w:tc>
        <w:tc>
          <w:tcPr>
            <w:tcW w:w="1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20" w:type="dxa"/>
            <w:vAlign w:val="bottom"/>
          </w:tcPr>
          <w:p>
            <w:pPr>
              <w:spacing w:after="0"/>
              <w:rPr>
                <w:sz w:val="15"/>
                <w:szCs w:val="15"/>
                <w:color w:val="auto"/>
              </w:rPr>
            </w:pPr>
          </w:p>
        </w:tc>
        <w:tc>
          <w:tcPr>
            <w:tcW w:w="200" w:type="dxa"/>
            <w:vAlign w:val="bottom"/>
            <w:tcBorders>
              <w:right w:val="single" w:sz="8" w:color="1F2668"/>
            </w:tcBorders>
            <w:shd w:val="clear" w:color="auto" w:fill="1F2668"/>
          </w:tcPr>
          <w:p>
            <w:pPr>
              <w:spacing w:after="0"/>
              <w:rPr>
                <w:sz w:val="15"/>
                <w:szCs w:val="15"/>
                <w:color w:val="auto"/>
              </w:rPr>
            </w:pPr>
          </w:p>
        </w:tc>
        <w:tc>
          <w:tcPr>
            <w:tcW w:w="80" w:type="dxa"/>
            <w:vAlign w:val="bottom"/>
            <w:shd w:val="clear" w:color="auto" w:fill="1F2668"/>
          </w:tcPr>
          <w:p>
            <w:pPr>
              <w:spacing w:after="0"/>
              <w:rPr>
                <w:sz w:val="15"/>
                <w:szCs w:val="15"/>
                <w:color w:val="auto"/>
              </w:rPr>
            </w:pPr>
          </w:p>
        </w:tc>
        <w:tc>
          <w:tcPr>
            <w:tcW w:w="2100" w:type="dxa"/>
            <w:vAlign w:val="bottom"/>
            <w:shd w:val="clear" w:color="auto" w:fill="1F2668"/>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shd w:val="clear" w:color="auto" w:fill="83AD40"/>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gridSpan w:val="2"/>
            <w:shd w:val="clear" w:color="auto" w:fill="E9F9D8"/>
          </w:tcPr>
          <w:p>
            <w:pPr>
              <w:spacing w:after="0"/>
              <w:rPr>
                <w:sz w:val="20"/>
                <w:szCs w:val="20"/>
                <w:color w:val="auto"/>
              </w:rPr>
            </w:pPr>
            <w:r>
              <w:rPr>
                <w:rFonts w:ascii="Arial" w:cs="Arial" w:eastAsia="Arial" w:hAnsi="Arial"/>
                <w:sz w:val="14"/>
                <w:szCs w:val="14"/>
                <w:color w:val="auto"/>
              </w:rPr>
              <w:t>​</w:t>
            </w:r>
          </w:p>
        </w:tc>
        <w:tc>
          <w:tcPr>
            <w:tcW w:w="840" w:type="dxa"/>
            <w:vAlign w:val="bottom"/>
            <w:vMerge w:val="continue"/>
            <w:shd w:val="clear" w:color="auto" w:fill="E9F9D8"/>
          </w:tcPr>
          <w:p>
            <w:pPr>
              <w:spacing w:after="0"/>
              <w:rPr>
                <w:sz w:val="15"/>
                <w:szCs w:val="15"/>
                <w:color w:val="auto"/>
              </w:rPr>
            </w:pPr>
          </w:p>
        </w:tc>
        <w:tc>
          <w:tcPr>
            <w:tcW w:w="100" w:type="dxa"/>
            <w:vAlign w:val="bottom"/>
            <w:shd w:val="clear" w:color="auto" w:fill="E9F9D8"/>
          </w:tcPr>
          <w:p>
            <w:pPr>
              <w:spacing w:after="0"/>
              <w:rPr>
                <w:sz w:val="15"/>
                <w:szCs w:val="15"/>
                <w:color w:val="auto"/>
              </w:rPr>
            </w:pPr>
          </w:p>
        </w:tc>
        <w:tc>
          <w:tcPr>
            <w:tcW w:w="980" w:type="dxa"/>
            <w:vAlign w:val="bottom"/>
            <w:tcBorders>
              <w:left w:val="single" w:sz="8" w:color="E9F9D8"/>
            </w:tcBorders>
            <w:gridSpan w:val="3"/>
            <w:vMerge w:val="continue"/>
          </w:tcPr>
          <w:p>
            <w:pPr>
              <w:spacing w:after="0"/>
              <w:rPr>
                <w:sz w:val="15"/>
                <w:szCs w:val="15"/>
                <w:color w:val="auto"/>
              </w:rPr>
            </w:pPr>
          </w:p>
        </w:tc>
        <w:tc>
          <w:tcPr>
            <w:tcW w:w="4180" w:type="dxa"/>
            <w:vAlign w:val="bottom"/>
            <w:gridSpan w:val="6"/>
          </w:tcPr>
          <w:p>
            <w:pPr>
              <w:ind w:left="80"/>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Mr. Holliday’s base salary was equal to the minimum set forth in</w:t>
            </w:r>
          </w:p>
        </w:tc>
        <w:tc>
          <w:tcPr>
            <w:tcW w:w="880" w:type="dxa"/>
            <w:vAlign w:val="bottom"/>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820" w:type="dxa"/>
            <w:vAlign w:val="bottom"/>
          </w:tcPr>
          <w:p>
            <w:pPr>
              <w:spacing w:after="0"/>
              <w:rPr>
                <w:sz w:val="14"/>
                <w:szCs w:val="14"/>
                <w:color w:val="auto"/>
              </w:rPr>
            </w:pPr>
          </w:p>
        </w:tc>
        <w:tc>
          <w:tcPr>
            <w:tcW w:w="200" w:type="dxa"/>
            <w:vAlign w:val="bottom"/>
            <w:tcBorders>
              <w:right w:val="single" w:sz="8" w:color="1F2668"/>
            </w:tcBorders>
            <w:shd w:val="clear" w:color="auto" w:fill="1F2668"/>
          </w:tcPr>
          <w:p>
            <w:pPr>
              <w:spacing w:after="0"/>
              <w:rPr>
                <w:sz w:val="14"/>
                <w:szCs w:val="14"/>
                <w:color w:val="auto"/>
              </w:rPr>
            </w:pPr>
          </w:p>
        </w:tc>
        <w:tc>
          <w:tcPr>
            <w:tcW w:w="80" w:type="dxa"/>
            <w:vAlign w:val="bottom"/>
            <w:shd w:val="clear" w:color="auto" w:fill="1F2668"/>
          </w:tcPr>
          <w:p>
            <w:pPr>
              <w:spacing w:after="0"/>
              <w:rPr>
                <w:sz w:val="14"/>
                <w:szCs w:val="14"/>
                <w:color w:val="auto"/>
              </w:rPr>
            </w:pPr>
          </w:p>
        </w:tc>
        <w:tc>
          <w:tcPr>
            <w:tcW w:w="2100" w:type="dxa"/>
            <w:vAlign w:val="bottom"/>
            <w:shd w:val="clear" w:color="auto" w:fill="1F2668"/>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shd w:val="clear" w:color="auto" w:fill="83AD40"/>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shd w:val="clear" w:color="auto" w:fill="E9F9D8"/>
          </w:tcPr>
          <w:p>
            <w:pPr>
              <w:spacing w:after="0"/>
              <w:rPr>
                <w:sz w:val="14"/>
                <w:szCs w:val="14"/>
                <w:color w:val="auto"/>
              </w:rPr>
            </w:pPr>
          </w:p>
        </w:tc>
        <w:tc>
          <w:tcPr>
            <w:tcW w:w="40" w:type="dxa"/>
            <w:vAlign w:val="bottom"/>
            <w:shd w:val="clear" w:color="auto" w:fill="E9F9D8"/>
          </w:tcPr>
          <w:p>
            <w:pPr>
              <w:spacing w:after="0"/>
              <w:rPr>
                <w:sz w:val="14"/>
                <w:szCs w:val="14"/>
                <w:color w:val="auto"/>
              </w:rPr>
            </w:pPr>
          </w:p>
        </w:tc>
        <w:tc>
          <w:tcPr>
            <w:tcW w:w="840" w:type="dxa"/>
            <w:vAlign w:val="bottom"/>
            <w:shd w:val="clear" w:color="auto" w:fill="E9F9D8"/>
          </w:tcPr>
          <w:p>
            <w:pPr>
              <w:spacing w:after="0"/>
              <w:rPr>
                <w:sz w:val="20"/>
                <w:szCs w:val="20"/>
                <w:color w:val="auto"/>
              </w:rPr>
            </w:pPr>
            <w:r>
              <w:rPr>
                <w:rFonts w:ascii="Arial" w:cs="Arial" w:eastAsia="Arial" w:hAnsi="Arial"/>
                <w:sz w:val="14"/>
                <w:szCs w:val="14"/>
                <w:b w:val="1"/>
                <w:bCs w:val="1"/>
                <w:color w:val="auto"/>
              </w:rPr>
              <w:t>$1,250,000</w:t>
            </w:r>
          </w:p>
        </w:tc>
        <w:tc>
          <w:tcPr>
            <w:tcW w:w="100" w:type="dxa"/>
            <w:vAlign w:val="bottom"/>
            <w:shd w:val="clear" w:color="auto" w:fill="E9F9D8"/>
          </w:tcPr>
          <w:p>
            <w:pPr>
              <w:spacing w:after="0"/>
              <w:rPr>
                <w:sz w:val="14"/>
                <w:szCs w:val="14"/>
                <w:color w:val="auto"/>
              </w:rPr>
            </w:pPr>
          </w:p>
        </w:tc>
        <w:tc>
          <w:tcPr>
            <w:tcW w:w="40" w:type="dxa"/>
            <w:vAlign w:val="bottom"/>
            <w:tcBorders>
              <w:left w:val="single" w:sz="8" w:color="E9F9D8"/>
            </w:tcBorders>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4"/>
                <w:szCs w:val="14"/>
                <w:b w:val="1"/>
                <w:bCs w:val="1"/>
                <w:color w:val="auto"/>
              </w:rPr>
              <w:t>$1,250,000</w:t>
            </w:r>
          </w:p>
        </w:tc>
        <w:tc>
          <w:tcPr>
            <w:tcW w:w="100" w:type="dxa"/>
            <w:vAlign w:val="bottom"/>
          </w:tcPr>
          <w:p>
            <w:pPr>
              <w:spacing w:after="0"/>
              <w:rPr>
                <w:sz w:val="14"/>
                <w:szCs w:val="14"/>
                <w:color w:val="auto"/>
              </w:rPr>
            </w:pPr>
          </w:p>
        </w:tc>
        <w:tc>
          <w:tcPr>
            <w:tcW w:w="4080" w:type="dxa"/>
            <w:vAlign w:val="bottom"/>
            <w:gridSpan w:val="5"/>
          </w:tcPr>
          <w:p>
            <w:pPr>
              <w:ind w:left="80"/>
              <w:spacing w:after="0"/>
              <w:rPr>
                <w:sz w:val="20"/>
                <w:szCs w:val="20"/>
                <w:color w:val="auto"/>
              </w:rPr>
            </w:pPr>
            <w:r>
              <w:rPr>
                <w:rFonts w:ascii="Arial" w:cs="Arial" w:eastAsia="Arial" w:hAnsi="Arial"/>
                <w:sz w:val="14"/>
                <w:szCs w:val="14"/>
                <w:color w:val="auto"/>
              </w:rPr>
              <w:t>his employment agreement. There has been no change to his</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820" w:type="dxa"/>
            <w:vAlign w:val="bottom"/>
          </w:tcPr>
          <w:p>
            <w:pPr>
              <w:spacing w:after="0"/>
              <w:rPr>
                <w:sz w:val="12"/>
                <w:szCs w:val="12"/>
                <w:color w:val="auto"/>
              </w:rPr>
            </w:pPr>
          </w:p>
        </w:tc>
        <w:tc>
          <w:tcPr>
            <w:tcW w:w="200" w:type="dxa"/>
            <w:vAlign w:val="bottom"/>
            <w:tcBorders>
              <w:right w:val="single" w:sz="8" w:color="1F2668"/>
            </w:tcBorders>
            <w:shd w:val="clear" w:color="auto" w:fill="1F2668"/>
          </w:tcPr>
          <w:p>
            <w:pPr>
              <w:spacing w:after="0"/>
              <w:rPr>
                <w:sz w:val="12"/>
                <w:szCs w:val="12"/>
                <w:color w:val="auto"/>
              </w:rPr>
            </w:pPr>
          </w:p>
        </w:tc>
        <w:tc>
          <w:tcPr>
            <w:tcW w:w="80" w:type="dxa"/>
            <w:vAlign w:val="bottom"/>
            <w:shd w:val="clear" w:color="auto" w:fill="1F2668"/>
          </w:tcPr>
          <w:p>
            <w:pPr>
              <w:spacing w:after="0"/>
              <w:rPr>
                <w:sz w:val="12"/>
                <w:szCs w:val="12"/>
                <w:color w:val="auto"/>
              </w:rPr>
            </w:pPr>
          </w:p>
        </w:tc>
        <w:tc>
          <w:tcPr>
            <w:tcW w:w="2100" w:type="dxa"/>
            <w:vAlign w:val="bottom"/>
            <w:shd w:val="clear" w:color="auto" w:fill="1F2668"/>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shd w:val="clear" w:color="auto" w:fill="83AD40"/>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shd w:val="clear" w:color="auto" w:fill="E9F9D8"/>
          </w:tcPr>
          <w:p>
            <w:pPr>
              <w:spacing w:after="0"/>
              <w:rPr>
                <w:sz w:val="12"/>
                <w:szCs w:val="12"/>
                <w:color w:val="auto"/>
              </w:rPr>
            </w:pPr>
          </w:p>
        </w:tc>
        <w:tc>
          <w:tcPr>
            <w:tcW w:w="40" w:type="dxa"/>
            <w:vAlign w:val="bottom"/>
            <w:shd w:val="clear" w:color="auto" w:fill="E9F9D8"/>
          </w:tcPr>
          <w:p>
            <w:pPr>
              <w:spacing w:after="0"/>
              <w:rPr>
                <w:sz w:val="12"/>
                <w:szCs w:val="12"/>
                <w:color w:val="auto"/>
              </w:rPr>
            </w:pPr>
          </w:p>
        </w:tc>
        <w:tc>
          <w:tcPr>
            <w:tcW w:w="840" w:type="dxa"/>
            <w:vAlign w:val="bottom"/>
            <w:shd w:val="clear" w:color="auto" w:fill="E9F9D8"/>
          </w:tcPr>
          <w:p>
            <w:pPr>
              <w:spacing w:after="0"/>
              <w:rPr>
                <w:sz w:val="12"/>
                <w:szCs w:val="12"/>
                <w:color w:val="auto"/>
              </w:rPr>
            </w:pPr>
          </w:p>
        </w:tc>
        <w:tc>
          <w:tcPr>
            <w:tcW w:w="100" w:type="dxa"/>
            <w:vAlign w:val="bottom"/>
            <w:shd w:val="clear" w:color="auto" w:fill="E9F9D8"/>
          </w:tcPr>
          <w:p>
            <w:pPr>
              <w:spacing w:after="0"/>
              <w:rPr>
                <w:sz w:val="12"/>
                <w:szCs w:val="12"/>
                <w:color w:val="auto"/>
              </w:rPr>
            </w:pPr>
          </w:p>
        </w:tc>
        <w:tc>
          <w:tcPr>
            <w:tcW w:w="40" w:type="dxa"/>
            <w:vAlign w:val="bottom"/>
            <w:tcBorders>
              <w:left w:val="single" w:sz="8" w:color="E9F9D8"/>
            </w:tcBorders>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80" w:type="dxa"/>
            <w:vAlign w:val="bottom"/>
            <w:gridSpan w:val="5"/>
          </w:tcPr>
          <w:p>
            <w:pPr>
              <w:ind w:left="80"/>
              <w:spacing w:after="0" w:line="139" w:lineRule="exact"/>
              <w:rPr>
                <w:sz w:val="20"/>
                <w:szCs w:val="20"/>
                <w:color w:val="auto"/>
              </w:rPr>
            </w:pPr>
            <w:r>
              <w:rPr>
                <w:rFonts w:ascii="Arial" w:cs="Arial" w:eastAsia="Arial" w:hAnsi="Arial"/>
                <w:sz w:val="14"/>
                <w:szCs w:val="14"/>
                <w:color w:val="auto"/>
              </w:rPr>
              <w:t>base salary since it was retroactively reduced in 2018, though it</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200" w:type="dxa"/>
            <w:vAlign w:val="bottom"/>
            <w:tcBorders>
              <w:right w:val="single" w:sz="8" w:color="1F2668"/>
            </w:tcBorders>
            <w:shd w:val="clear" w:color="auto" w:fill="1F2668"/>
          </w:tcPr>
          <w:p>
            <w:pPr>
              <w:spacing w:after="0"/>
              <w:rPr>
                <w:sz w:val="12"/>
                <w:szCs w:val="12"/>
                <w:color w:val="auto"/>
              </w:rPr>
            </w:pPr>
          </w:p>
        </w:tc>
        <w:tc>
          <w:tcPr>
            <w:tcW w:w="80" w:type="dxa"/>
            <w:vAlign w:val="bottom"/>
            <w:shd w:val="clear" w:color="auto" w:fill="1F2668"/>
          </w:tcPr>
          <w:p>
            <w:pPr>
              <w:spacing w:after="0"/>
              <w:rPr>
                <w:sz w:val="12"/>
                <w:szCs w:val="12"/>
                <w:color w:val="auto"/>
              </w:rPr>
            </w:pPr>
          </w:p>
        </w:tc>
        <w:tc>
          <w:tcPr>
            <w:tcW w:w="2100" w:type="dxa"/>
            <w:vAlign w:val="bottom"/>
            <w:shd w:val="clear" w:color="auto" w:fill="1F2668"/>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shd w:val="clear" w:color="auto" w:fill="83AD40"/>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shd w:val="clear" w:color="auto" w:fill="E9F9D8"/>
          </w:tcPr>
          <w:p>
            <w:pPr>
              <w:spacing w:after="0"/>
              <w:rPr>
                <w:sz w:val="12"/>
                <w:szCs w:val="12"/>
                <w:color w:val="auto"/>
              </w:rPr>
            </w:pPr>
          </w:p>
        </w:tc>
        <w:tc>
          <w:tcPr>
            <w:tcW w:w="40" w:type="dxa"/>
            <w:vAlign w:val="bottom"/>
            <w:shd w:val="clear" w:color="auto" w:fill="E9F9D8"/>
          </w:tcPr>
          <w:p>
            <w:pPr>
              <w:spacing w:after="0"/>
              <w:rPr>
                <w:sz w:val="12"/>
                <w:szCs w:val="12"/>
                <w:color w:val="auto"/>
              </w:rPr>
            </w:pPr>
          </w:p>
        </w:tc>
        <w:tc>
          <w:tcPr>
            <w:tcW w:w="840" w:type="dxa"/>
            <w:vAlign w:val="bottom"/>
            <w:shd w:val="clear" w:color="auto" w:fill="E9F9D8"/>
          </w:tcPr>
          <w:p>
            <w:pPr>
              <w:spacing w:after="0"/>
              <w:rPr>
                <w:sz w:val="12"/>
                <w:szCs w:val="12"/>
                <w:color w:val="auto"/>
              </w:rPr>
            </w:pPr>
          </w:p>
        </w:tc>
        <w:tc>
          <w:tcPr>
            <w:tcW w:w="100" w:type="dxa"/>
            <w:vAlign w:val="bottom"/>
            <w:shd w:val="clear" w:color="auto" w:fill="E9F9D8"/>
          </w:tcPr>
          <w:p>
            <w:pPr>
              <w:spacing w:after="0"/>
              <w:rPr>
                <w:sz w:val="12"/>
                <w:szCs w:val="12"/>
                <w:color w:val="auto"/>
              </w:rPr>
            </w:pPr>
          </w:p>
        </w:tc>
        <w:tc>
          <w:tcPr>
            <w:tcW w:w="40" w:type="dxa"/>
            <w:vAlign w:val="bottom"/>
            <w:tcBorders>
              <w:left w:val="single" w:sz="8" w:color="E9F9D8"/>
            </w:tcBorders>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80" w:type="dxa"/>
            <w:vAlign w:val="bottom"/>
            <w:gridSpan w:val="5"/>
          </w:tcPr>
          <w:p>
            <w:pPr>
              <w:ind w:left="80"/>
              <w:spacing w:after="0" w:line="149" w:lineRule="exact"/>
              <w:rPr>
                <w:sz w:val="20"/>
                <w:szCs w:val="20"/>
                <w:color w:val="auto"/>
              </w:rPr>
            </w:pPr>
            <w:r>
              <w:rPr>
                <w:rFonts w:ascii="Arial" w:cs="Arial" w:eastAsia="Arial" w:hAnsi="Arial"/>
                <w:sz w:val="14"/>
                <w:szCs w:val="14"/>
                <w:color w:val="auto"/>
              </w:rPr>
              <w:t>will increase in 2025 in connection with his new employment</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820" w:type="dxa"/>
            <w:vAlign w:val="bottom"/>
          </w:tcPr>
          <w:p>
            <w:pPr>
              <w:spacing w:after="0"/>
              <w:rPr>
                <w:sz w:val="20"/>
                <w:szCs w:val="20"/>
                <w:color w:val="auto"/>
              </w:rPr>
            </w:pPr>
          </w:p>
        </w:tc>
        <w:tc>
          <w:tcPr>
            <w:tcW w:w="200" w:type="dxa"/>
            <w:vAlign w:val="bottom"/>
            <w:tcBorders>
              <w:bottom w:val="single" w:sz="8" w:color="1F2668"/>
              <w:right w:val="single" w:sz="8" w:color="1F2668"/>
            </w:tcBorders>
            <w:shd w:val="clear" w:color="auto" w:fill="1F2668"/>
          </w:tcPr>
          <w:p>
            <w:pPr>
              <w:spacing w:after="0"/>
              <w:rPr>
                <w:sz w:val="20"/>
                <w:szCs w:val="20"/>
                <w:color w:val="auto"/>
              </w:rPr>
            </w:pPr>
          </w:p>
        </w:tc>
        <w:tc>
          <w:tcPr>
            <w:tcW w:w="80" w:type="dxa"/>
            <w:vAlign w:val="bottom"/>
            <w:tcBorders>
              <w:bottom w:val="single" w:sz="8" w:color="1F2668"/>
            </w:tcBorders>
            <w:shd w:val="clear" w:color="auto" w:fill="1F2668"/>
          </w:tcPr>
          <w:p>
            <w:pPr>
              <w:spacing w:after="0"/>
              <w:rPr>
                <w:sz w:val="20"/>
                <w:szCs w:val="20"/>
                <w:color w:val="auto"/>
              </w:rPr>
            </w:pPr>
          </w:p>
        </w:tc>
        <w:tc>
          <w:tcPr>
            <w:tcW w:w="2100" w:type="dxa"/>
            <w:vAlign w:val="bottom"/>
            <w:tcBorders>
              <w:bottom w:val="single" w:sz="8" w:color="1F2668"/>
            </w:tcBorders>
            <w:shd w:val="clear" w:color="auto" w:fill="1F2668"/>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bottom w:val="single" w:sz="8" w:color="83AD40"/>
            </w:tcBorders>
            <w:shd w:val="clear" w:color="auto" w:fill="83AD40"/>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Borders>
              <w:bottom w:val="single" w:sz="8" w:color="E9F9D8"/>
            </w:tcBorders>
            <w:shd w:val="clear" w:color="auto" w:fill="E9F9D8"/>
          </w:tcPr>
          <w:p>
            <w:pPr>
              <w:spacing w:after="0"/>
              <w:rPr>
                <w:sz w:val="20"/>
                <w:szCs w:val="20"/>
                <w:color w:val="auto"/>
              </w:rPr>
            </w:pPr>
          </w:p>
        </w:tc>
        <w:tc>
          <w:tcPr>
            <w:tcW w:w="40" w:type="dxa"/>
            <w:vAlign w:val="bottom"/>
            <w:tcBorders>
              <w:bottom w:val="single" w:sz="8" w:color="E9F9D8"/>
            </w:tcBorders>
            <w:shd w:val="clear" w:color="auto" w:fill="E9F9D8"/>
          </w:tcPr>
          <w:p>
            <w:pPr>
              <w:spacing w:after="0"/>
              <w:rPr>
                <w:sz w:val="20"/>
                <w:szCs w:val="20"/>
                <w:color w:val="auto"/>
              </w:rPr>
            </w:pPr>
          </w:p>
        </w:tc>
        <w:tc>
          <w:tcPr>
            <w:tcW w:w="840" w:type="dxa"/>
            <w:vAlign w:val="bottom"/>
            <w:tcBorders>
              <w:bottom w:val="single" w:sz="8" w:color="E9F9D8"/>
            </w:tcBorders>
            <w:shd w:val="clear" w:color="auto" w:fill="E9F9D8"/>
          </w:tcPr>
          <w:p>
            <w:pPr>
              <w:spacing w:after="0"/>
              <w:rPr>
                <w:sz w:val="20"/>
                <w:szCs w:val="20"/>
                <w:color w:val="auto"/>
              </w:rPr>
            </w:pPr>
          </w:p>
        </w:tc>
        <w:tc>
          <w:tcPr>
            <w:tcW w:w="100" w:type="dxa"/>
            <w:vAlign w:val="bottom"/>
            <w:tcBorders>
              <w:bottom w:val="single" w:sz="8" w:color="E9F9D8"/>
            </w:tcBorders>
            <w:shd w:val="clear" w:color="auto" w:fill="E9F9D8"/>
          </w:tcPr>
          <w:p>
            <w:pPr>
              <w:spacing w:after="0"/>
              <w:rPr>
                <w:sz w:val="20"/>
                <w:szCs w:val="20"/>
                <w:color w:val="auto"/>
              </w:rPr>
            </w:pPr>
          </w:p>
        </w:tc>
        <w:tc>
          <w:tcPr>
            <w:tcW w:w="40" w:type="dxa"/>
            <w:vAlign w:val="bottom"/>
            <w:tcBorders>
              <w:left w:val="single" w:sz="8" w:color="E9F9D8"/>
            </w:tcBorders>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color w:val="auto"/>
              </w:rPr>
              <w:t>agreement.</w:t>
            </w:r>
          </w:p>
        </w:tc>
        <w:tc>
          <w:tcPr>
            <w:tcW w:w="10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820" w:type="dxa"/>
            <w:vAlign w:val="bottom"/>
          </w:tcPr>
          <w:p>
            <w:pPr>
              <w:spacing w:after="0"/>
              <w:rPr>
                <w:sz w:val="13"/>
                <w:szCs w:val="13"/>
                <w:color w:val="auto"/>
              </w:rPr>
            </w:pPr>
          </w:p>
        </w:tc>
        <w:tc>
          <w:tcPr>
            <w:tcW w:w="200" w:type="dxa"/>
            <w:vAlign w:val="bottom"/>
            <w:tcBorders>
              <w:top w:val="single" w:sz="8" w:color="1F2668"/>
              <w:right w:val="single" w:sz="8" w:color="1F2668"/>
            </w:tcBorders>
            <w:shd w:val="clear" w:color="auto" w:fill="1F2668"/>
          </w:tcPr>
          <w:p>
            <w:pPr>
              <w:spacing w:after="0"/>
              <w:rPr>
                <w:sz w:val="13"/>
                <w:szCs w:val="13"/>
                <w:color w:val="auto"/>
              </w:rPr>
            </w:pPr>
          </w:p>
        </w:tc>
        <w:tc>
          <w:tcPr>
            <w:tcW w:w="80" w:type="dxa"/>
            <w:vAlign w:val="bottom"/>
            <w:tcBorders>
              <w:top w:val="single" w:sz="8" w:color="1F2668"/>
            </w:tcBorders>
            <w:shd w:val="clear" w:color="auto" w:fill="1F2668"/>
          </w:tcPr>
          <w:p>
            <w:pPr>
              <w:spacing w:after="0"/>
              <w:rPr>
                <w:sz w:val="13"/>
                <w:szCs w:val="13"/>
                <w:color w:val="auto"/>
              </w:rPr>
            </w:pPr>
          </w:p>
        </w:tc>
        <w:tc>
          <w:tcPr>
            <w:tcW w:w="2100" w:type="dxa"/>
            <w:vAlign w:val="bottom"/>
            <w:tcBorders>
              <w:top w:val="single" w:sz="8" w:color="1F2668"/>
            </w:tcBorders>
            <w:shd w:val="clear" w:color="auto" w:fill="1F2668"/>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83AD40"/>
            </w:tcBorders>
            <w:shd w:val="clear" w:color="auto" w:fill="83AD40"/>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Borders>
              <w:top w:val="single" w:sz="8" w:color="4B5088"/>
            </w:tcBorders>
            <w:shd w:val="clear" w:color="auto" w:fill="E9F9D8"/>
          </w:tcPr>
          <w:p>
            <w:pPr>
              <w:spacing w:after="0"/>
              <w:rPr>
                <w:sz w:val="13"/>
                <w:szCs w:val="13"/>
                <w:color w:val="auto"/>
              </w:rPr>
            </w:pPr>
          </w:p>
        </w:tc>
        <w:tc>
          <w:tcPr>
            <w:tcW w:w="40" w:type="dxa"/>
            <w:vAlign w:val="bottom"/>
            <w:tcBorders>
              <w:top w:val="single" w:sz="8" w:color="4B5088"/>
            </w:tcBorders>
            <w:shd w:val="clear" w:color="auto" w:fill="E9F9D8"/>
          </w:tcPr>
          <w:p>
            <w:pPr>
              <w:spacing w:after="0"/>
              <w:rPr>
                <w:sz w:val="13"/>
                <w:szCs w:val="13"/>
                <w:color w:val="auto"/>
              </w:rPr>
            </w:pPr>
          </w:p>
        </w:tc>
        <w:tc>
          <w:tcPr>
            <w:tcW w:w="840" w:type="dxa"/>
            <w:vAlign w:val="bottom"/>
            <w:tcBorders>
              <w:top w:val="single" w:sz="8" w:color="4B5088"/>
            </w:tcBorders>
            <w:vMerge w:val="restart"/>
            <w:shd w:val="clear" w:color="auto" w:fill="E9F9D8"/>
          </w:tcPr>
          <w:p>
            <w:pPr>
              <w:spacing w:after="0" w:line="335" w:lineRule="exact"/>
              <w:rPr>
                <w:sz w:val="20"/>
                <w:szCs w:val="20"/>
                <w:color w:val="auto"/>
              </w:rPr>
            </w:pPr>
            <w:r>
              <w:rPr>
                <w:rFonts w:ascii="Arial" w:cs="Arial" w:eastAsia="Arial" w:hAnsi="Arial"/>
                <w:sz w:val="32"/>
                <w:szCs w:val="32"/>
                <w:color w:val="1F2668"/>
              </w:rPr>
              <w:t>16%</w:t>
            </w:r>
          </w:p>
        </w:tc>
        <w:tc>
          <w:tcPr>
            <w:tcW w:w="100" w:type="dxa"/>
            <w:vAlign w:val="bottom"/>
            <w:tcBorders>
              <w:top w:val="single" w:sz="8" w:color="4B5088"/>
            </w:tcBorders>
            <w:shd w:val="clear" w:color="auto" w:fill="E9F9D8"/>
          </w:tcPr>
          <w:p>
            <w:pPr>
              <w:spacing w:after="0"/>
              <w:rPr>
                <w:sz w:val="13"/>
                <w:szCs w:val="13"/>
                <w:color w:val="auto"/>
              </w:rPr>
            </w:pPr>
          </w:p>
        </w:tc>
        <w:tc>
          <w:tcPr>
            <w:tcW w:w="980" w:type="dxa"/>
            <w:vAlign w:val="bottom"/>
            <w:tcBorders>
              <w:top w:val="single" w:sz="8" w:color="4B5088"/>
              <w:left w:val="single" w:sz="8" w:color="E9F9D8"/>
            </w:tcBorders>
            <w:gridSpan w:val="3"/>
            <w:vMerge w:val="restart"/>
          </w:tcPr>
          <w:p>
            <w:pPr>
              <w:ind w:left="20"/>
              <w:spacing w:after="0" w:line="335" w:lineRule="exact"/>
              <w:rPr>
                <w:sz w:val="20"/>
                <w:szCs w:val="20"/>
                <w:color w:val="auto"/>
              </w:rPr>
            </w:pPr>
            <w:r>
              <w:rPr>
                <w:rFonts w:ascii="Arial" w:cs="Arial" w:eastAsia="Arial" w:hAnsi="Arial"/>
                <w:sz w:val="14"/>
                <w:szCs w:val="14"/>
                <w:color w:val="auto"/>
              </w:rPr>
              <w:t>​​</w:t>
            </w:r>
            <w:r>
              <w:rPr>
                <w:rFonts w:ascii="Arial" w:cs="Arial" w:eastAsia="Arial" w:hAnsi="Arial"/>
                <w:sz w:val="32"/>
                <w:szCs w:val="32"/>
                <w:color w:val="1F2668"/>
              </w:rPr>
              <w:t>12%</w:t>
            </w:r>
          </w:p>
        </w:tc>
        <w:tc>
          <w:tcPr>
            <w:tcW w:w="100" w:type="dxa"/>
            <w:vAlign w:val="bottom"/>
            <w:tcBorders>
              <w:top w:val="single" w:sz="8" w:color="4B5088"/>
            </w:tcBorders>
          </w:tcPr>
          <w:p>
            <w:pPr>
              <w:spacing w:after="0"/>
              <w:rPr>
                <w:sz w:val="13"/>
                <w:szCs w:val="13"/>
                <w:color w:val="auto"/>
              </w:rPr>
            </w:pPr>
          </w:p>
        </w:tc>
        <w:tc>
          <w:tcPr>
            <w:tcW w:w="3360" w:type="dxa"/>
            <w:vAlign w:val="bottom"/>
            <w:tcBorders>
              <w:top w:val="single" w:sz="8" w:color="4B5088"/>
            </w:tcBorders>
            <w:gridSpan w:val="4"/>
          </w:tcPr>
          <w:p>
            <w:pPr>
              <w:ind w:left="80"/>
              <w:spacing w:after="0" w:line="155" w:lineRule="exact"/>
              <w:rPr>
                <w:sz w:val="20"/>
                <w:szCs w:val="20"/>
                <w:color w:val="auto"/>
              </w:rPr>
            </w:pPr>
            <w:r>
              <w:rPr>
                <w:rFonts w:ascii="Arial" w:cs="Arial" w:eastAsia="Arial" w:hAnsi="Arial"/>
                <w:sz w:val="16"/>
                <w:szCs w:val="16"/>
                <w:b w:val="1"/>
                <w:bCs w:val="1"/>
                <w:color w:val="auto"/>
              </w:rPr>
              <w:t>100% Formulaic Annual Bonus</w:t>
            </w:r>
          </w:p>
        </w:tc>
        <w:tc>
          <w:tcPr>
            <w:tcW w:w="720" w:type="dxa"/>
            <w:vAlign w:val="bottom"/>
            <w:tcBorders>
              <w:top w:val="single" w:sz="8" w:color="4B5088"/>
            </w:tcBorders>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20" w:type="dxa"/>
            <w:vAlign w:val="bottom"/>
          </w:tcPr>
          <w:p>
            <w:pPr>
              <w:spacing w:after="0"/>
              <w:rPr>
                <w:sz w:val="15"/>
                <w:szCs w:val="15"/>
                <w:color w:val="auto"/>
              </w:rPr>
            </w:pPr>
          </w:p>
        </w:tc>
        <w:tc>
          <w:tcPr>
            <w:tcW w:w="200" w:type="dxa"/>
            <w:vAlign w:val="bottom"/>
            <w:tcBorders>
              <w:right w:val="single" w:sz="8" w:color="1F2668"/>
            </w:tcBorders>
            <w:shd w:val="clear" w:color="auto" w:fill="1F2668"/>
          </w:tcPr>
          <w:p>
            <w:pPr>
              <w:spacing w:after="0"/>
              <w:rPr>
                <w:sz w:val="15"/>
                <w:szCs w:val="15"/>
                <w:color w:val="auto"/>
              </w:rPr>
            </w:pPr>
          </w:p>
        </w:tc>
        <w:tc>
          <w:tcPr>
            <w:tcW w:w="80" w:type="dxa"/>
            <w:vAlign w:val="bottom"/>
            <w:shd w:val="clear" w:color="auto" w:fill="1F2668"/>
          </w:tcPr>
          <w:p>
            <w:pPr>
              <w:spacing w:after="0"/>
              <w:rPr>
                <w:sz w:val="15"/>
                <w:szCs w:val="15"/>
                <w:color w:val="auto"/>
              </w:rPr>
            </w:pPr>
          </w:p>
        </w:tc>
        <w:tc>
          <w:tcPr>
            <w:tcW w:w="2100" w:type="dxa"/>
            <w:vAlign w:val="bottom"/>
            <w:shd w:val="clear" w:color="auto" w:fill="1F2668"/>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shd w:val="clear" w:color="auto" w:fill="83AD40"/>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gridSpan w:val="2"/>
            <w:shd w:val="clear" w:color="auto" w:fill="E9F9D8"/>
          </w:tcPr>
          <w:p>
            <w:pPr>
              <w:spacing w:after="0"/>
              <w:rPr>
                <w:sz w:val="20"/>
                <w:szCs w:val="20"/>
                <w:color w:val="auto"/>
              </w:rPr>
            </w:pPr>
            <w:r>
              <w:rPr>
                <w:rFonts w:ascii="Arial" w:cs="Arial" w:eastAsia="Arial" w:hAnsi="Arial"/>
                <w:sz w:val="14"/>
                <w:szCs w:val="14"/>
                <w:color w:val="auto"/>
              </w:rPr>
              <w:t>​</w:t>
            </w:r>
          </w:p>
        </w:tc>
        <w:tc>
          <w:tcPr>
            <w:tcW w:w="840" w:type="dxa"/>
            <w:vAlign w:val="bottom"/>
            <w:vMerge w:val="continue"/>
            <w:shd w:val="clear" w:color="auto" w:fill="E9F9D8"/>
          </w:tcPr>
          <w:p>
            <w:pPr>
              <w:spacing w:after="0"/>
              <w:rPr>
                <w:sz w:val="15"/>
                <w:szCs w:val="15"/>
                <w:color w:val="auto"/>
              </w:rPr>
            </w:pPr>
          </w:p>
        </w:tc>
        <w:tc>
          <w:tcPr>
            <w:tcW w:w="100" w:type="dxa"/>
            <w:vAlign w:val="bottom"/>
            <w:shd w:val="clear" w:color="auto" w:fill="E9F9D8"/>
          </w:tcPr>
          <w:p>
            <w:pPr>
              <w:spacing w:after="0"/>
              <w:rPr>
                <w:sz w:val="15"/>
                <w:szCs w:val="15"/>
                <w:color w:val="auto"/>
              </w:rPr>
            </w:pPr>
          </w:p>
        </w:tc>
        <w:tc>
          <w:tcPr>
            <w:tcW w:w="980" w:type="dxa"/>
            <w:vAlign w:val="bottom"/>
            <w:tcBorders>
              <w:left w:val="single" w:sz="8" w:color="E9F9D8"/>
            </w:tcBorders>
            <w:gridSpan w:val="3"/>
            <w:vMerge w:val="continue"/>
          </w:tcPr>
          <w:p>
            <w:pPr>
              <w:spacing w:after="0"/>
              <w:rPr>
                <w:sz w:val="15"/>
                <w:szCs w:val="15"/>
                <w:color w:val="auto"/>
              </w:rPr>
            </w:pPr>
          </w:p>
        </w:tc>
        <w:tc>
          <w:tcPr>
            <w:tcW w:w="4180" w:type="dxa"/>
            <w:vAlign w:val="bottom"/>
            <w:gridSpan w:val="6"/>
          </w:tcPr>
          <w:p>
            <w:pPr>
              <w:ind w:left="80"/>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Determined formulaically based on performance relative to</w:t>
            </w:r>
          </w:p>
        </w:tc>
        <w:tc>
          <w:tcPr>
            <w:tcW w:w="880" w:type="dxa"/>
            <w:vAlign w:val="bottom"/>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820" w:type="dxa"/>
            <w:vAlign w:val="bottom"/>
          </w:tcPr>
          <w:p>
            <w:pPr>
              <w:spacing w:after="0"/>
              <w:rPr>
                <w:sz w:val="14"/>
                <w:szCs w:val="14"/>
                <w:color w:val="auto"/>
              </w:rPr>
            </w:pPr>
          </w:p>
        </w:tc>
        <w:tc>
          <w:tcPr>
            <w:tcW w:w="200" w:type="dxa"/>
            <w:vAlign w:val="bottom"/>
            <w:tcBorders>
              <w:right w:val="single" w:sz="8" w:color="1F2668"/>
            </w:tcBorders>
            <w:shd w:val="clear" w:color="auto" w:fill="1F2668"/>
          </w:tcPr>
          <w:p>
            <w:pPr>
              <w:spacing w:after="0"/>
              <w:rPr>
                <w:sz w:val="14"/>
                <w:szCs w:val="14"/>
                <w:color w:val="auto"/>
              </w:rPr>
            </w:pPr>
          </w:p>
        </w:tc>
        <w:tc>
          <w:tcPr>
            <w:tcW w:w="80" w:type="dxa"/>
            <w:vAlign w:val="bottom"/>
            <w:shd w:val="clear" w:color="auto" w:fill="1F2668"/>
          </w:tcPr>
          <w:p>
            <w:pPr>
              <w:spacing w:after="0"/>
              <w:rPr>
                <w:sz w:val="14"/>
                <w:szCs w:val="14"/>
                <w:color w:val="auto"/>
              </w:rPr>
            </w:pPr>
          </w:p>
        </w:tc>
        <w:tc>
          <w:tcPr>
            <w:tcW w:w="2100" w:type="dxa"/>
            <w:vAlign w:val="bottom"/>
            <w:shd w:val="clear" w:color="auto" w:fill="1F2668"/>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shd w:val="clear" w:color="auto" w:fill="83AD40"/>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shd w:val="clear" w:color="auto" w:fill="E9F9D8"/>
          </w:tcPr>
          <w:p>
            <w:pPr>
              <w:spacing w:after="0"/>
              <w:rPr>
                <w:sz w:val="14"/>
                <w:szCs w:val="14"/>
                <w:color w:val="auto"/>
              </w:rPr>
            </w:pPr>
          </w:p>
        </w:tc>
        <w:tc>
          <w:tcPr>
            <w:tcW w:w="40" w:type="dxa"/>
            <w:vAlign w:val="bottom"/>
            <w:shd w:val="clear" w:color="auto" w:fill="E9F9D8"/>
          </w:tcPr>
          <w:p>
            <w:pPr>
              <w:spacing w:after="0"/>
              <w:rPr>
                <w:sz w:val="14"/>
                <w:szCs w:val="14"/>
                <w:color w:val="auto"/>
              </w:rPr>
            </w:pPr>
          </w:p>
        </w:tc>
        <w:tc>
          <w:tcPr>
            <w:tcW w:w="840" w:type="dxa"/>
            <w:vAlign w:val="bottom"/>
            <w:shd w:val="clear" w:color="auto" w:fill="E9F9D8"/>
          </w:tcPr>
          <w:p>
            <w:pPr>
              <w:spacing w:after="0"/>
              <w:rPr>
                <w:sz w:val="20"/>
                <w:szCs w:val="20"/>
                <w:color w:val="auto"/>
              </w:rPr>
            </w:pPr>
            <w:r>
              <w:rPr>
                <w:rFonts w:ascii="Arial" w:cs="Arial" w:eastAsia="Arial" w:hAnsi="Arial"/>
                <w:sz w:val="14"/>
                <w:szCs w:val="14"/>
                <w:b w:val="1"/>
                <w:bCs w:val="1"/>
                <w:color w:val="auto"/>
              </w:rPr>
              <w:t>$3,168,333</w:t>
            </w:r>
          </w:p>
        </w:tc>
        <w:tc>
          <w:tcPr>
            <w:tcW w:w="100" w:type="dxa"/>
            <w:vAlign w:val="bottom"/>
            <w:shd w:val="clear" w:color="auto" w:fill="E9F9D8"/>
          </w:tcPr>
          <w:p>
            <w:pPr>
              <w:spacing w:after="0"/>
              <w:rPr>
                <w:sz w:val="14"/>
                <w:szCs w:val="14"/>
                <w:color w:val="auto"/>
              </w:rPr>
            </w:pPr>
          </w:p>
        </w:tc>
        <w:tc>
          <w:tcPr>
            <w:tcW w:w="40" w:type="dxa"/>
            <w:vAlign w:val="bottom"/>
            <w:tcBorders>
              <w:left w:val="single" w:sz="8" w:color="E9F9D8"/>
            </w:tcBorders>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4"/>
                <w:szCs w:val="14"/>
                <w:b w:val="1"/>
                <w:bCs w:val="1"/>
                <w:color w:val="auto"/>
              </w:rPr>
              <w:t>$2,486,913</w:t>
            </w:r>
          </w:p>
        </w:tc>
        <w:tc>
          <w:tcPr>
            <w:tcW w:w="100" w:type="dxa"/>
            <w:vAlign w:val="bottom"/>
          </w:tcPr>
          <w:p>
            <w:pPr>
              <w:spacing w:after="0"/>
              <w:rPr>
                <w:sz w:val="14"/>
                <w:szCs w:val="14"/>
                <w:color w:val="auto"/>
              </w:rPr>
            </w:pPr>
          </w:p>
        </w:tc>
        <w:tc>
          <w:tcPr>
            <w:tcW w:w="4080" w:type="dxa"/>
            <w:vAlign w:val="bottom"/>
            <w:gridSpan w:val="5"/>
          </w:tcPr>
          <w:p>
            <w:pPr>
              <w:ind w:left="80"/>
              <w:spacing w:after="0"/>
              <w:rPr>
                <w:sz w:val="20"/>
                <w:szCs w:val="20"/>
                <w:color w:val="auto"/>
              </w:rPr>
            </w:pPr>
            <w:r>
              <w:rPr>
                <w:rFonts w:ascii="Arial" w:cs="Arial" w:eastAsia="Arial" w:hAnsi="Arial"/>
                <w:sz w:val="14"/>
                <w:szCs w:val="14"/>
                <w:color w:val="auto"/>
              </w:rPr>
              <w:t>preset objective bonus criteria established by the Committee in</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820" w:type="dxa"/>
            <w:vAlign w:val="bottom"/>
          </w:tcPr>
          <w:p>
            <w:pPr>
              <w:spacing w:after="0"/>
              <w:rPr>
                <w:sz w:val="12"/>
                <w:szCs w:val="12"/>
                <w:color w:val="auto"/>
              </w:rPr>
            </w:pPr>
          </w:p>
        </w:tc>
        <w:tc>
          <w:tcPr>
            <w:tcW w:w="200" w:type="dxa"/>
            <w:vAlign w:val="bottom"/>
            <w:tcBorders>
              <w:right w:val="single" w:sz="8" w:color="1F2668"/>
            </w:tcBorders>
            <w:shd w:val="clear" w:color="auto" w:fill="1F2668"/>
          </w:tcPr>
          <w:p>
            <w:pPr>
              <w:spacing w:after="0"/>
              <w:rPr>
                <w:sz w:val="12"/>
                <w:szCs w:val="12"/>
                <w:color w:val="auto"/>
              </w:rPr>
            </w:pPr>
          </w:p>
        </w:tc>
        <w:tc>
          <w:tcPr>
            <w:tcW w:w="80" w:type="dxa"/>
            <w:vAlign w:val="bottom"/>
            <w:shd w:val="clear" w:color="auto" w:fill="1F2668"/>
          </w:tcPr>
          <w:p>
            <w:pPr>
              <w:spacing w:after="0"/>
              <w:rPr>
                <w:sz w:val="12"/>
                <w:szCs w:val="12"/>
                <w:color w:val="auto"/>
              </w:rPr>
            </w:pPr>
          </w:p>
        </w:tc>
        <w:tc>
          <w:tcPr>
            <w:tcW w:w="2100" w:type="dxa"/>
            <w:vAlign w:val="bottom"/>
            <w:shd w:val="clear" w:color="auto" w:fill="1F2668"/>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shd w:val="clear" w:color="auto" w:fill="83AD40"/>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shd w:val="clear" w:color="auto" w:fill="E9F9D8"/>
          </w:tcPr>
          <w:p>
            <w:pPr>
              <w:spacing w:after="0"/>
              <w:rPr>
                <w:sz w:val="12"/>
                <w:szCs w:val="12"/>
                <w:color w:val="auto"/>
              </w:rPr>
            </w:pPr>
          </w:p>
        </w:tc>
        <w:tc>
          <w:tcPr>
            <w:tcW w:w="40" w:type="dxa"/>
            <w:vAlign w:val="bottom"/>
            <w:shd w:val="clear" w:color="auto" w:fill="E9F9D8"/>
          </w:tcPr>
          <w:p>
            <w:pPr>
              <w:spacing w:after="0"/>
              <w:rPr>
                <w:sz w:val="12"/>
                <w:szCs w:val="12"/>
                <w:color w:val="auto"/>
              </w:rPr>
            </w:pPr>
          </w:p>
        </w:tc>
        <w:tc>
          <w:tcPr>
            <w:tcW w:w="840" w:type="dxa"/>
            <w:vAlign w:val="bottom"/>
            <w:shd w:val="clear" w:color="auto" w:fill="E9F9D8"/>
          </w:tcPr>
          <w:p>
            <w:pPr>
              <w:spacing w:after="0"/>
              <w:rPr>
                <w:sz w:val="12"/>
                <w:szCs w:val="12"/>
                <w:color w:val="auto"/>
              </w:rPr>
            </w:pPr>
          </w:p>
        </w:tc>
        <w:tc>
          <w:tcPr>
            <w:tcW w:w="100" w:type="dxa"/>
            <w:vAlign w:val="bottom"/>
            <w:shd w:val="clear" w:color="auto" w:fill="E9F9D8"/>
          </w:tcPr>
          <w:p>
            <w:pPr>
              <w:spacing w:after="0"/>
              <w:rPr>
                <w:sz w:val="12"/>
                <w:szCs w:val="12"/>
                <w:color w:val="auto"/>
              </w:rPr>
            </w:pPr>
          </w:p>
        </w:tc>
        <w:tc>
          <w:tcPr>
            <w:tcW w:w="40" w:type="dxa"/>
            <w:vAlign w:val="bottom"/>
            <w:tcBorders>
              <w:left w:val="single" w:sz="8" w:color="E9F9D8"/>
            </w:tcBorders>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80" w:type="dxa"/>
            <w:vAlign w:val="bottom"/>
            <w:gridSpan w:val="5"/>
          </w:tcPr>
          <w:p>
            <w:pPr>
              <w:ind w:left="80"/>
              <w:spacing w:after="0" w:line="139" w:lineRule="exact"/>
              <w:rPr>
                <w:sz w:val="20"/>
                <w:szCs w:val="20"/>
                <w:color w:val="auto"/>
              </w:rPr>
            </w:pPr>
            <w:r>
              <w:rPr>
                <w:rFonts w:ascii="Arial" w:cs="Arial" w:eastAsia="Arial" w:hAnsi="Arial"/>
                <w:sz w:val="14"/>
                <w:szCs w:val="14"/>
                <w:color w:val="auto"/>
              </w:rPr>
              <w:t xml:space="preserve">January 2024. The TDC amount reflects the earning of </w:t>
            </w:r>
            <w:r>
              <w:rPr>
                <w:rFonts w:ascii="Arial" w:cs="Arial" w:eastAsia="Arial" w:hAnsi="Arial"/>
                <w:sz w:val="14"/>
                <w:szCs w:val="14"/>
                <w:b w:val="1"/>
                <w:bCs w:val="1"/>
                <w:color w:val="auto"/>
              </w:rPr>
              <w:t>128%</w:t>
            </w:r>
            <w:r>
              <w:rPr>
                <w:rFonts w:ascii="Arial" w:cs="Arial" w:eastAsia="Arial" w:hAnsi="Arial"/>
                <w:sz w:val="14"/>
                <w:szCs w:val="14"/>
                <w:color w:val="auto"/>
              </w:rPr>
              <w:t xml:space="preserve"> of</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20" w:type="dxa"/>
            <w:vAlign w:val="bottom"/>
          </w:tcPr>
          <w:p>
            <w:pPr>
              <w:spacing w:after="0"/>
              <w:rPr>
                <w:sz w:val="16"/>
                <w:szCs w:val="16"/>
                <w:color w:val="auto"/>
              </w:rPr>
            </w:pPr>
          </w:p>
        </w:tc>
        <w:tc>
          <w:tcPr>
            <w:tcW w:w="200" w:type="dxa"/>
            <w:vAlign w:val="bottom"/>
            <w:tcBorders>
              <w:right w:val="single" w:sz="8" w:color="1F2668"/>
            </w:tcBorders>
            <w:shd w:val="clear" w:color="auto" w:fill="1F2668"/>
          </w:tcPr>
          <w:p>
            <w:pPr>
              <w:spacing w:after="0"/>
              <w:rPr>
                <w:sz w:val="16"/>
                <w:szCs w:val="16"/>
                <w:color w:val="auto"/>
              </w:rPr>
            </w:pPr>
          </w:p>
        </w:tc>
        <w:tc>
          <w:tcPr>
            <w:tcW w:w="80" w:type="dxa"/>
            <w:vAlign w:val="bottom"/>
            <w:shd w:val="clear" w:color="auto" w:fill="1F2668"/>
          </w:tcPr>
          <w:p>
            <w:pPr>
              <w:spacing w:after="0"/>
              <w:rPr>
                <w:sz w:val="16"/>
                <w:szCs w:val="16"/>
                <w:color w:val="auto"/>
              </w:rPr>
            </w:pPr>
          </w:p>
        </w:tc>
        <w:tc>
          <w:tcPr>
            <w:tcW w:w="2100" w:type="dxa"/>
            <w:vAlign w:val="bottom"/>
            <w:shd w:val="clear" w:color="auto" w:fill="1F2668"/>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shd w:val="clear" w:color="auto" w:fill="83AD40"/>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shd w:val="clear" w:color="auto" w:fill="E9F9D8"/>
          </w:tcPr>
          <w:p>
            <w:pPr>
              <w:spacing w:after="0"/>
              <w:rPr>
                <w:sz w:val="16"/>
                <w:szCs w:val="16"/>
                <w:color w:val="auto"/>
              </w:rPr>
            </w:pPr>
          </w:p>
        </w:tc>
        <w:tc>
          <w:tcPr>
            <w:tcW w:w="40" w:type="dxa"/>
            <w:vAlign w:val="bottom"/>
            <w:shd w:val="clear" w:color="auto" w:fill="E9F9D8"/>
          </w:tcPr>
          <w:p>
            <w:pPr>
              <w:spacing w:after="0"/>
              <w:rPr>
                <w:sz w:val="16"/>
                <w:szCs w:val="16"/>
                <w:color w:val="auto"/>
              </w:rPr>
            </w:pPr>
          </w:p>
        </w:tc>
        <w:tc>
          <w:tcPr>
            <w:tcW w:w="840" w:type="dxa"/>
            <w:vAlign w:val="bottom"/>
            <w:shd w:val="clear" w:color="auto" w:fill="E9F9D8"/>
          </w:tcPr>
          <w:p>
            <w:pPr>
              <w:spacing w:after="0"/>
              <w:rPr>
                <w:sz w:val="16"/>
                <w:szCs w:val="16"/>
                <w:color w:val="auto"/>
              </w:rPr>
            </w:pPr>
          </w:p>
        </w:tc>
        <w:tc>
          <w:tcPr>
            <w:tcW w:w="100" w:type="dxa"/>
            <w:vAlign w:val="bottom"/>
            <w:shd w:val="clear" w:color="auto" w:fill="E9F9D8"/>
          </w:tcPr>
          <w:p>
            <w:pPr>
              <w:spacing w:after="0"/>
              <w:rPr>
                <w:sz w:val="16"/>
                <w:szCs w:val="16"/>
                <w:color w:val="auto"/>
              </w:rPr>
            </w:pPr>
          </w:p>
        </w:tc>
        <w:tc>
          <w:tcPr>
            <w:tcW w:w="40" w:type="dxa"/>
            <w:vAlign w:val="bottom"/>
            <w:tcBorders>
              <w:left w:val="single" w:sz="8" w:color="E9F9D8"/>
            </w:tcBorders>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4"/>
                <w:szCs w:val="14"/>
                <w:color w:val="auto"/>
              </w:rPr>
              <w:t>the target bonus amount.</w:t>
            </w:r>
          </w:p>
        </w:tc>
        <w:tc>
          <w:tcPr>
            <w:tcW w:w="1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200" w:type="dxa"/>
            <w:vAlign w:val="bottom"/>
            <w:tcBorders>
              <w:right w:val="single" w:sz="8" w:color="1F2668"/>
            </w:tcBorders>
            <w:shd w:val="clear" w:color="auto" w:fill="1F2668"/>
          </w:tcPr>
          <w:p>
            <w:pPr>
              <w:spacing w:after="0"/>
              <w:rPr>
                <w:sz w:val="14"/>
                <w:szCs w:val="14"/>
                <w:color w:val="auto"/>
              </w:rPr>
            </w:pPr>
          </w:p>
        </w:tc>
        <w:tc>
          <w:tcPr>
            <w:tcW w:w="80" w:type="dxa"/>
            <w:vAlign w:val="bottom"/>
            <w:shd w:val="clear" w:color="auto" w:fill="1F2668"/>
          </w:tcPr>
          <w:p>
            <w:pPr>
              <w:spacing w:after="0"/>
              <w:rPr>
                <w:sz w:val="14"/>
                <w:szCs w:val="14"/>
                <w:color w:val="auto"/>
              </w:rPr>
            </w:pPr>
          </w:p>
        </w:tc>
        <w:tc>
          <w:tcPr>
            <w:tcW w:w="2100" w:type="dxa"/>
            <w:vAlign w:val="bottom"/>
            <w:shd w:val="clear" w:color="auto" w:fill="1F2668"/>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shd w:val="clear" w:color="auto" w:fill="83AD40"/>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shd w:val="clear" w:color="auto" w:fill="E9F9D8"/>
          </w:tcPr>
          <w:p>
            <w:pPr>
              <w:spacing w:after="0"/>
              <w:rPr>
                <w:sz w:val="14"/>
                <w:szCs w:val="14"/>
                <w:color w:val="auto"/>
              </w:rPr>
            </w:pPr>
          </w:p>
        </w:tc>
        <w:tc>
          <w:tcPr>
            <w:tcW w:w="40" w:type="dxa"/>
            <w:vAlign w:val="bottom"/>
            <w:shd w:val="clear" w:color="auto" w:fill="E9F9D8"/>
          </w:tcPr>
          <w:p>
            <w:pPr>
              <w:spacing w:after="0"/>
              <w:rPr>
                <w:sz w:val="14"/>
                <w:szCs w:val="14"/>
                <w:color w:val="auto"/>
              </w:rPr>
            </w:pPr>
          </w:p>
        </w:tc>
        <w:tc>
          <w:tcPr>
            <w:tcW w:w="840" w:type="dxa"/>
            <w:vAlign w:val="bottom"/>
            <w:shd w:val="clear" w:color="auto" w:fill="E9F9D8"/>
          </w:tcPr>
          <w:p>
            <w:pPr>
              <w:spacing w:after="0"/>
              <w:rPr>
                <w:sz w:val="14"/>
                <w:szCs w:val="14"/>
                <w:color w:val="auto"/>
              </w:rPr>
            </w:pPr>
          </w:p>
        </w:tc>
        <w:tc>
          <w:tcPr>
            <w:tcW w:w="100" w:type="dxa"/>
            <w:vAlign w:val="bottom"/>
            <w:shd w:val="clear" w:color="auto" w:fill="E9F9D8"/>
          </w:tcPr>
          <w:p>
            <w:pPr>
              <w:spacing w:after="0"/>
              <w:rPr>
                <w:sz w:val="14"/>
                <w:szCs w:val="14"/>
                <w:color w:val="auto"/>
              </w:rPr>
            </w:pPr>
          </w:p>
        </w:tc>
        <w:tc>
          <w:tcPr>
            <w:tcW w:w="40" w:type="dxa"/>
            <w:vAlign w:val="bottom"/>
            <w:tcBorders>
              <w:left w:val="single" w:sz="8" w:color="E9F9D8"/>
            </w:tcBorders>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80" w:type="dxa"/>
            <w:vAlign w:val="bottom"/>
            <w:gridSpan w:val="5"/>
          </w:tcPr>
          <w:p>
            <w:pPr>
              <w:ind w:left="80"/>
              <w:spacing w:after="0"/>
              <w:rPr>
                <w:sz w:val="20"/>
                <w:szCs w:val="20"/>
                <w:color w:val="auto"/>
              </w:rPr>
            </w:pPr>
            <w:r>
              <w:rPr>
                <w:rFonts w:ascii="Arial" w:cs="Arial" w:eastAsia="Arial" w:hAnsi="Arial"/>
                <w:sz w:val="14"/>
                <w:szCs w:val="14"/>
                <w:color w:val="auto"/>
              </w:rPr>
              <w:t>The SCT amount reflects the grant date value of the bonus,</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200" w:type="dxa"/>
            <w:vAlign w:val="bottom"/>
            <w:tcBorders>
              <w:right w:val="single" w:sz="8" w:color="1F2668"/>
            </w:tcBorders>
            <w:shd w:val="clear" w:color="auto" w:fill="1F2668"/>
          </w:tcPr>
          <w:p>
            <w:pPr>
              <w:spacing w:after="0"/>
              <w:rPr>
                <w:sz w:val="14"/>
                <w:szCs w:val="14"/>
                <w:color w:val="auto"/>
              </w:rPr>
            </w:pPr>
          </w:p>
        </w:tc>
        <w:tc>
          <w:tcPr>
            <w:tcW w:w="80" w:type="dxa"/>
            <w:vAlign w:val="bottom"/>
            <w:shd w:val="clear" w:color="auto" w:fill="1F2668"/>
          </w:tcPr>
          <w:p>
            <w:pPr>
              <w:spacing w:after="0"/>
              <w:rPr>
                <w:sz w:val="14"/>
                <w:szCs w:val="14"/>
                <w:color w:val="auto"/>
              </w:rPr>
            </w:pPr>
          </w:p>
        </w:tc>
        <w:tc>
          <w:tcPr>
            <w:tcW w:w="2100" w:type="dxa"/>
            <w:vAlign w:val="bottom"/>
            <w:shd w:val="clear" w:color="auto" w:fill="1F2668"/>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shd w:val="clear" w:color="auto" w:fill="83AD40"/>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shd w:val="clear" w:color="auto" w:fill="E9F9D8"/>
          </w:tcPr>
          <w:p>
            <w:pPr>
              <w:spacing w:after="0"/>
              <w:rPr>
                <w:sz w:val="14"/>
                <w:szCs w:val="14"/>
                <w:color w:val="auto"/>
              </w:rPr>
            </w:pPr>
          </w:p>
        </w:tc>
        <w:tc>
          <w:tcPr>
            <w:tcW w:w="40" w:type="dxa"/>
            <w:vAlign w:val="bottom"/>
            <w:shd w:val="clear" w:color="auto" w:fill="E9F9D8"/>
          </w:tcPr>
          <w:p>
            <w:pPr>
              <w:spacing w:after="0"/>
              <w:rPr>
                <w:sz w:val="14"/>
                <w:szCs w:val="14"/>
                <w:color w:val="auto"/>
              </w:rPr>
            </w:pPr>
          </w:p>
        </w:tc>
        <w:tc>
          <w:tcPr>
            <w:tcW w:w="840" w:type="dxa"/>
            <w:vAlign w:val="bottom"/>
            <w:shd w:val="clear" w:color="auto" w:fill="E9F9D8"/>
          </w:tcPr>
          <w:p>
            <w:pPr>
              <w:spacing w:after="0"/>
              <w:rPr>
                <w:sz w:val="14"/>
                <w:szCs w:val="14"/>
                <w:color w:val="auto"/>
              </w:rPr>
            </w:pPr>
          </w:p>
        </w:tc>
        <w:tc>
          <w:tcPr>
            <w:tcW w:w="100" w:type="dxa"/>
            <w:vAlign w:val="bottom"/>
            <w:shd w:val="clear" w:color="auto" w:fill="E9F9D8"/>
          </w:tcPr>
          <w:p>
            <w:pPr>
              <w:spacing w:after="0"/>
              <w:rPr>
                <w:sz w:val="14"/>
                <w:szCs w:val="14"/>
                <w:color w:val="auto"/>
              </w:rPr>
            </w:pPr>
          </w:p>
        </w:tc>
        <w:tc>
          <w:tcPr>
            <w:tcW w:w="40" w:type="dxa"/>
            <w:vAlign w:val="bottom"/>
            <w:tcBorders>
              <w:left w:val="single" w:sz="8" w:color="E9F9D8"/>
            </w:tcBorders>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80" w:type="dxa"/>
            <w:vAlign w:val="bottom"/>
            <w:gridSpan w:val="5"/>
          </w:tcPr>
          <w:p>
            <w:pPr>
              <w:ind w:left="80"/>
              <w:spacing w:after="0"/>
              <w:rPr>
                <w:sz w:val="20"/>
                <w:szCs w:val="20"/>
                <w:color w:val="auto"/>
              </w:rPr>
            </w:pPr>
            <w:r>
              <w:rPr>
                <w:rFonts w:ascii="Arial" w:cs="Arial" w:eastAsia="Arial" w:hAnsi="Arial"/>
                <w:sz w:val="14"/>
                <w:szCs w:val="14"/>
                <w:color w:val="auto"/>
              </w:rPr>
              <w:t xml:space="preserve">which was paid </w:t>
            </w:r>
            <w:r>
              <w:rPr>
                <w:rFonts w:ascii="Arial" w:cs="Arial" w:eastAsia="Arial" w:hAnsi="Arial"/>
                <w:sz w:val="14"/>
                <w:szCs w:val="14"/>
                <w:b w:val="1"/>
                <w:bCs w:val="1"/>
                <w:color w:val="auto"/>
              </w:rPr>
              <w:t>100%</w:t>
            </w:r>
            <w:r>
              <w:rPr>
                <w:rFonts w:ascii="Arial" w:cs="Arial" w:eastAsia="Arial" w:hAnsi="Arial"/>
                <w:sz w:val="14"/>
                <w:szCs w:val="14"/>
                <w:color w:val="auto"/>
              </w:rPr>
              <w:t xml:space="preserve"> in equity at Mr. Holliday’s election, in the</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20" w:type="dxa"/>
            <w:vAlign w:val="bottom"/>
          </w:tcPr>
          <w:p>
            <w:pPr>
              <w:spacing w:after="0"/>
              <w:rPr>
                <w:sz w:val="14"/>
                <w:szCs w:val="14"/>
                <w:color w:val="auto"/>
              </w:rPr>
            </w:pPr>
          </w:p>
        </w:tc>
        <w:tc>
          <w:tcPr>
            <w:tcW w:w="2380" w:type="dxa"/>
            <w:vAlign w:val="bottom"/>
            <w:gridSpan w:val="3"/>
            <w:shd w:val="clear" w:color="auto" w:fill="1F2668"/>
          </w:tcPr>
          <w:p>
            <w:pPr>
              <w:ind w:left="140"/>
              <w:spacing w:after="0"/>
              <w:rPr>
                <w:sz w:val="20"/>
                <w:szCs w:val="20"/>
                <w:color w:val="auto"/>
              </w:rPr>
            </w:pPr>
            <w:r>
              <w:rPr>
                <w:rFonts w:ascii="Arial" w:cs="Arial" w:eastAsia="Arial" w:hAnsi="Arial"/>
                <w:sz w:val="14"/>
                <w:szCs w:val="14"/>
                <w:b w:val="1"/>
                <w:bCs w:val="1"/>
                <w:color w:val="FFFFFF"/>
              </w:rPr>
              <w:t>Chief Executive Officer,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shd w:val="clear" w:color="auto" w:fill="83AD40"/>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shd w:val="clear" w:color="auto" w:fill="E9F9D8"/>
          </w:tcPr>
          <w:p>
            <w:pPr>
              <w:spacing w:after="0"/>
              <w:rPr>
                <w:sz w:val="14"/>
                <w:szCs w:val="14"/>
                <w:color w:val="auto"/>
              </w:rPr>
            </w:pPr>
          </w:p>
        </w:tc>
        <w:tc>
          <w:tcPr>
            <w:tcW w:w="40" w:type="dxa"/>
            <w:vAlign w:val="bottom"/>
            <w:shd w:val="clear" w:color="auto" w:fill="E9F9D8"/>
          </w:tcPr>
          <w:p>
            <w:pPr>
              <w:spacing w:after="0"/>
              <w:rPr>
                <w:sz w:val="14"/>
                <w:szCs w:val="14"/>
                <w:color w:val="auto"/>
              </w:rPr>
            </w:pPr>
          </w:p>
        </w:tc>
        <w:tc>
          <w:tcPr>
            <w:tcW w:w="840" w:type="dxa"/>
            <w:vAlign w:val="bottom"/>
            <w:shd w:val="clear" w:color="auto" w:fill="E9F9D8"/>
          </w:tcPr>
          <w:p>
            <w:pPr>
              <w:spacing w:after="0"/>
              <w:rPr>
                <w:sz w:val="14"/>
                <w:szCs w:val="14"/>
                <w:color w:val="auto"/>
              </w:rPr>
            </w:pPr>
          </w:p>
        </w:tc>
        <w:tc>
          <w:tcPr>
            <w:tcW w:w="100" w:type="dxa"/>
            <w:vAlign w:val="bottom"/>
            <w:shd w:val="clear" w:color="auto" w:fill="E9F9D8"/>
          </w:tcPr>
          <w:p>
            <w:pPr>
              <w:spacing w:after="0"/>
              <w:rPr>
                <w:sz w:val="14"/>
                <w:szCs w:val="14"/>
                <w:color w:val="auto"/>
              </w:rPr>
            </w:pPr>
          </w:p>
        </w:tc>
        <w:tc>
          <w:tcPr>
            <w:tcW w:w="40" w:type="dxa"/>
            <w:vAlign w:val="bottom"/>
            <w:tcBorders>
              <w:left w:val="single" w:sz="8" w:color="E9F9D8"/>
            </w:tcBorders>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80" w:type="dxa"/>
            <w:vAlign w:val="bottom"/>
            <w:gridSpan w:val="5"/>
          </w:tcPr>
          <w:p>
            <w:pPr>
              <w:ind w:left="80"/>
              <w:spacing w:after="0"/>
              <w:rPr>
                <w:sz w:val="20"/>
                <w:szCs w:val="20"/>
                <w:color w:val="auto"/>
              </w:rPr>
            </w:pPr>
            <w:r>
              <w:rPr>
                <w:rFonts w:ascii="Arial" w:cs="Arial" w:eastAsia="Arial" w:hAnsi="Arial"/>
                <w:sz w:val="14"/>
                <w:szCs w:val="14"/>
                <w:color w:val="auto"/>
              </w:rPr>
              <w:t>form of 45,884 LTIP units granted in December 2024. These</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2380" w:type="dxa"/>
            <w:vAlign w:val="bottom"/>
            <w:gridSpan w:val="3"/>
            <w:shd w:val="clear" w:color="auto" w:fill="1F2668"/>
          </w:tcPr>
          <w:p>
            <w:pPr>
              <w:ind w:left="140"/>
              <w:spacing w:after="0" w:line="149" w:lineRule="exact"/>
              <w:rPr>
                <w:sz w:val="20"/>
                <w:szCs w:val="20"/>
                <w:color w:val="auto"/>
              </w:rPr>
            </w:pPr>
            <w:r>
              <w:rPr>
                <w:rFonts w:ascii="Arial" w:cs="Arial" w:eastAsia="Arial" w:hAnsi="Arial"/>
                <w:sz w:val="14"/>
                <w:szCs w:val="14"/>
                <w:b w:val="1"/>
                <w:bCs w:val="1"/>
                <w:color w:val="FFFFFF"/>
              </w:rPr>
              <w:t>Chairman of the Board and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shd w:val="clear" w:color="auto" w:fill="83AD40"/>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shd w:val="clear" w:color="auto" w:fill="E9F9D8"/>
          </w:tcPr>
          <w:p>
            <w:pPr>
              <w:spacing w:after="0"/>
              <w:rPr>
                <w:sz w:val="12"/>
                <w:szCs w:val="12"/>
                <w:color w:val="auto"/>
              </w:rPr>
            </w:pPr>
          </w:p>
        </w:tc>
        <w:tc>
          <w:tcPr>
            <w:tcW w:w="40" w:type="dxa"/>
            <w:vAlign w:val="bottom"/>
            <w:shd w:val="clear" w:color="auto" w:fill="E9F9D8"/>
          </w:tcPr>
          <w:p>
            <w:pPr>
              <w:spacing w:after="0"/>
              <w:rPr>
                <w:sz w:val="12"/>
                <w:szCs w:val="12"/>
                <w:color w:val="auto"/>
              </w:rPr>
            </w:pPr>
          </w:p>
        </w:tc>
        <w:tc>
          <w:tcPr>
            <w:tcW w:w="840" w:type="dxa"/>
            <w:vAlign w:val="bottom"/>
            <w:shd w:val="clear" w:color="auto" w:fill="E9F9D8"/>
          </w:tcPr>
          <w:p>
            <w:pPr>
              <w:spacing w:after="0"/>
              <w:rPr>
                <w:sz w:val="12"/>
                <w:szCs w:val="12"/>
                <w:color w:val="auto"/>
              </w:rPr>
            </w:pPr>
          </w:p>
        </w:tc>
        <w:tc>
          <w:tcPr>
            <w:tcW w:w="100" w:type="dxa"/>
            <w:vAlign w:val="bottom"/>
            <w:shd w:val="clear" w:color="auto" w:fill="E9F9D8"/>
          </w:tcPr>
          <w:p>
            <w:pPr>
              <w:spacing w:after="0"/>
              <w:rPr>
                <w:sz w:val="12"/>
                <w:szCs w:val="12"/>
                <w:color w:val="auto"/>
              </w:rPr>
            </w:pPr>
          </w:p>
        </w:tc>
        <w:tc>
          <w:tcPr>
            <w:tcW w:w="40" w:type="dxa"/>
            <w:vAlign w:val="bottom"/>
            <w:tcBorders>
              <w:left w:val="single" w:sz="8" w:color="E9F9D8"/>
            </w:tcBorders>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80" w:type="dxa"/>
            <w:vAlign w:val="bottom"/>
            <w:gridSpan w:val="5"/>
          </w:tcPr>
          <w:p>
            <w:pPr>
              <w:ind w:left="80"/>
              <w:spacing w:after="0" w:line="149" w:lineRule="exact"/>
              <w:rPr>
                <w:sz w:val="20"/>
                <w:szCs w:val="20"/>
                <w:color w:val="auto"/>
              </w:rPr>
            </w:pPr>
            <w:r>
              <w:rPr>
                <w:rFonts w:ascii="Arial" w:cs="Arial" w:eastAsia="Arial" w:hAnsi="Arial"/>
                <w:sz w:val="14"/>
                <w:szCs w:val="14"/>
                <w:color w:val="auto"/>
              </w:rPr>
              <w:t>LTIP units were fully vested upon grant, but remain subject to a</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2380" w:type="dxa"/>
            <w:vAlign w:val="bottom"/>
            <w:tcBorders>
              <w:bottom w:val="single" w:sz="8" w:color="1F2668"/>
            </w:tcBorders>
            <w:gridSpan w:val="3"/>
            <w:shd w:val="clear" w:color="auto" w:fill="1F2668"/>
          </w:tcPr>
          <w:p>
            <w:pPr>
              <w:ind w:left="140"/>
              <w:spacing w:after="0"/>
              <w:rPr>
                <w:sz w:val="20"/>
                <w:szCs w:val="20"/>
                <w:color w:val="auto"/>
              </w:rPr>
            </w:pPr>
            <w:r>
              <w:rPr>
                <w:rFonts w:ascii="Arial" w:cs="Arial" w:eastAsia="Arial" w:hAnsi="Arial"/>
                <w:sz w:val="14"/>
                <w:szCs w:val="14"/>
                <w:b w:val="1"/>
                <w:bCs w:val="1"/>
                <w:color w:val="FFFFFF"/>
              </w:rPr>
              <w:t>Interim President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bottom w:val="single" w:sz="8" w:color="83AD40"/>
            </w:tcBorders>
            <w:shd w:val="clear" w:color="auto" w:fill="83AD40"/>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Borders>
              <w:bottom w:val="single" w:sz="8" w:color="4B5088"/>
            </w:tcBorders>
            <w:shd w:val="clear" w:color="auto" w:fill="E9F9D8"/>
          </w:tcPr>
          <w:p>
            <w:pPr>
              <w:spacing w:after="0"/>
              <w:rPr>
                <w:sz w:val="18"/>
                <w:szCs w:val="18"/>
                <w:color w:val="auto"/>
              </w:rPr>
            </w:pPr>
          </w:p>
        </w:tc>
        <w:tc>
          <w:tcPr>
            <w:tcW w:w="40" w:type="dxa"/>
            <w:vAlign w:val="bottom"/>
            <w:tcBorders>
              <w:bottom w:val="single" w:sz="8" w:color="4B5088"/>
            </w:tcBorders>
            <w:shd w:val="clear" w:color="auto" w:fill="E9F9D8"/>
          </w:tcPr>
          <w:p>
            <w:pPr>
              <w:spacing w:after="0"/>
              <w:rPr>
                <w:sz w:val="18"/>
                <w:szCs w:val="18"/>
                <w:color w:val="auto"/>
              </w:rPr>
            </w:pPr>
          </w:p>
        </w:tc>
        <w:tc>
          <w:tcPr>
            <w:tcW w:w="840" w:type="dxa"/>
            <w:vAlign w:val="bottom"/>
            <w:tcBorders>
              <w:bottom w:val="single" w:sz="8" w:color="4B5088"/>
            </w:tcBorders>
            <w:shd w:val="clear" w:color="auto" w:fill="E9F9D8"/>
          </w:tcPr>
          <w:p>
            <w:pPr>
              <w:spacing w:after="0"/>
              <w:rPr>
                <w:sz w:val="18"/>
                <w:szCs w:val="18"/>
                <w:color w:val="auto"/>
              </w:rPr>
            </w:pPr>
          </w:p>
        </w:tc>
        <w:tc>
          <w:tcPr>
            <w:tcW w:w="100" w:type="dxa"/>
            <w:vAlign w:val="bottom"/>
            <w:tcBorders>
              <w:bottom w:val="single" w:sz="8" w:color="4B5088"/>
            </w:tcBorders>
            <w:shd w:val="clear" w:color="auto" w:fill="E9F9D8"/>
          </w:tcPr>
          <w:p>
            <w:pPr>
              <w:spacing w:after="0"/>
              <w:rPr>
                <w:sz w:val="18"/>
                <w:szCs w:val="18"/>
                <w:color w:val="auto"/>
              </w:rPr>
            </w:pPr>
          </w:p>
        </w:tc>
        <w:tc>
          <w:tcPr>
            <w:tcW w:w="40" w:type="dxa"/>
            <w:vAlign w:val="bottom"/>
            <w:tcBorders>
              <w:left w:val="single" w:sz="8" w:color="E9F9D8"/>
              <w:bottom w:val="single" w:sz="8" w:color="4B5088"/>
            </w:tcBorders>
          </w:tcPr>
          <w:p>
            <w:pPr>
              <w:spacing w:after="0"/>
              <w:rPr>
                <w:sz w:val="18"/>
                <w:szCs w:val="18"/>
                <w:color w:val="auto"/>
              </w:rPr>
            </w:pPr>
          </w:p>
        </w:tc>
        <w:tc>
          <w:tcPr>
            <w:tcW w:w="60" w:type="dxa"/>
            <w:vAlign w:val="bottom"/>
            <w:tcBorders>
              <w:bottom w:val="single" w:sz="8" w:color="4B5088"/>
            </w:tcBorders>
          </w:tcPr>
          <w:p>
            <w:pPr>
              <w:spacing w:after="0"/>
              <w:rPr>
                <w:sz w:val="18"/>
                <w:szCs w:val="18"/>
                <w:color w:val="auto"/>
              </w:rPr>
            </w:pPr>
          </w:p>
        </w:tc>
        <w:tc>
          <w:tcPr>
            <w:tcW w:w="880" w:type="dxa"/>
            <w:vAlign w:val="bottom"/>
            <w:tcBorders>
              <w:bottom w:val="single" w:sz="8" w:color="4B5088"/>
            </w:tcBorders>
          </w:tcPr>
          <w:p>
            <w:pPr>
              <w:spacing w:after="0"/>
              <w:rPr>
                <w:sz w:val="18"/>
                <w:szCs w:val="18"/>
                <w:color w:val="auto"/>
              </w:rPr>
            </w:pPr>
          </w:p>
        </w:tc>
        <w:tc>
          <w:tcPr>
            <w:tcW w:w="100" w:type="dxa"/>
            <w:vAlign w:val="bottom"/>
            <w:tcBorders>
              <w:bottom w:val="single" w:sz="8" w:color="4B5088"/>
            </w:tcBorders>
          </w:tcPr>
          <w:p>
            <w:pPr>
              <w:spacing w:after="0"/>
              <w:rPr>
                <w:sz w:val="18"/>
                <w:szCs w:val="18"/>
                <w:color w:val="auto"/>
              </w:rPr>
            </w:pPr>
          </w:p>
        </w:tc>
        <w:tc>
          <w:tcPr>
            <w:tcW w:w="2120" w:type="dxa"/>
            <w:vAlign w:val="bottom"/>
            <w:tcBorders>
              <w:bottom w:val="single" w:sz="8" w:color="4B5088"/>
            </w:tcBorders>
            <w:gridSpan w:val="3"/>
          </w:tcPr>
          <w:p>
            <w:pPr>
              <w:ind w:left="80"/>
              <w:spacing w:after="0"/>
              <w:rPr>
                <w:sz w:val="20"/>
                <w:szCs w:val="20"/>
                <w:color w:val="auto"/>
              </w:rPr>
            </w:pPr>
            <w:r>
              <w:rPr>
                <w:rFonts w:ascii="Arial" w:cs="Arial" w:eastAsia="Arial" w:hAnsi="Arial"/>
                <w:sz w:val="14"/>
                <w:szCs w:val="14"/>
                <w:color w:val="auto"/>
              </w:rPr>
              <w:t>three-year no-sell restriction.</w:t>
            </w:r>
          </w:p>
        </w:tc>
        <w:tc>
          <w:tcPr>
            <w:tcW w:w="1240" w:type="dxa"/>
            <w:vAlign w:val="bottom"/>
            <w:tcBorders>
              <w:bottom w:val="single" w:sz="8" w:color="4B5088"/>
            </w:tcBorders>
          </w:tcPr>
          <w:p>
            <w:pPr>
              <w:spacing w:after="0"/>
              <w:rPr>
                <w:sz w:val="18"/>
                <w:szCs w:val="18"/>
                <w:color w:val="auto"/>
              </w:rPr>
            </w:pPr>
          </w:p>
        </w:tc>
        <w:tc>
          <w:tcPr>
            <w:tcW w:w="720" w:type="dxa"/>
            <w:vAlign w:val="bottom"/>
            <w:tcBorders>
              <w:bottom w:val="single" w:sz="8" w:color="4B5088"/>
            </w:tcBorders>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2380" w:type="dxa"/>
            <w:vAlign w:val="bottom"/>
            <w:gridSpan w:val="3"/>
            <w:shd w:val="clear" w:color="auto" w:fill="1F2668"/>
          </w:tcPr>
          <w:p>
            <w:pPr>
              <w:ind w:left="140"/>
              <w:spacing w:after="0"/>
              <w:rPr>
                <w:sz w:val="20"/>
                <w:szCs w:val="20"/>
                <w:color w:val="auto"/>
              </w:rPr>
            </w:pPr>
            <w:r>
              <w:rPr>
                <w:rFonts w:ascii="Arial" w:cs="Arial" w:eastAsia="Arial" w:hAnsi="Arial"/>
                <w:sz w:val="14"/>
                <w:szCs w:val="14"/>
                <w:color w:val="FFFFFF"/>
              </w:rPr>
              <w:t>Mr. Holliday’s 2024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shd w:val="clear" w:color="auto" w:fill="83AD40"/>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gridSpan w:val="2"/>
            <w:vMerge w:val="restart"/>
            <w:shd w:val="clear" w:color="auto" w:fill="E9F9D8"/>
          </w:tcPr>
          <w:p>
            <w:pPr>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E9F9D8"/>
          </w:tcPr>
          <w:p>
            <w:pPr>
              <w:spacing w:after="0" w:line="329" w:lineRule="exact"/>
              <w:rPr>
                <w:sz w:val="20"/>
                <w:szCs w:val="20"/>
                <w:color w:val="auto"/>
              </w:rPr>
            </w:pPr>
            <w:r>
              <w:rPr>
                <w:rFonts w:ascii="Arial" w:cs="Arial" w:eastAsia="Arial" w:hAnsi="Arial"/>
                <w:sz w:val="32"/>
                <w:szCs w:val="32"/>
                <w:color w:val="1F2668"/>
              </w:rPr>
              <w:t>38%</w:t>
            </w:r>
          </w:p>
        </w:tc>
        <w:tc>
          <w:tcPr>
            <w:tcW w:w="100" w:type="dxa"/>
            <w:vAlign w:val="bottom"/>
            <w:shd w:val="clear" w:color="auto" w:fill="E9F9D8"/>
          </w:tcPr>
          <w:p>
            <w:pPr>
              <w:spacing w:after="0"/>
              <w:rPr>
                <w:sz w:val="15"/>
                <w:szCs w:val="15"/>
                <w:color w:val="auto"/>
              </w:rPr>
            </w:pPr>
          </w:p>
        </w:tc>
        <w:tc>
          <w:tcPr>
            <w:tcW w:w="980" w:type="dxa"/>
            <w:vAlign w:val="bottom"/>
            <w:tcBorders>
              <w:left w:val="single" w:sz="8" w:color="E9F9D8"/>
            </w:tcBorders>
            <w:gridSpan w:val="3"/>
            <w:vMerge w:val="restart"/>
          </w:tcPr>
          <w:p>
            <w:pPr>
              <w:ind w:left="20"/>
              <w:spacing w:after="0" w:line="329" w:lineRule="exact"/>
              <w:rPr>
                <w:sz w:val="20"/>
                <w:szCs w:val="20"/>
                <w:color w:val="auto"/>
              </w:rPr>
            </w:pPr>
            <w:r>
              <w:rPr>
                <w:rFonts w:ascii="Arial" w:cs="Arial" w:eastAsia="Arial" w:hAnsi="Arial"/>
                <w:sz w:val="14"/>
                <w:szCs w:val="14"/>
                <w:color w:val="auto"/>
              </w:rPr>
              <w:t>​​</w:t>
            </w:r>
            <w:r>
              <w:rPr>
                <w:rFonts w:ascii="Arial" w:cs="Arial" w:eastAsia="Arial" w:hAnsi="Arial"/>
                <w:sz w:val="32"/>
                <w:szCs w:val="32"/>
                <w:color w:val="1F2668"/>
              </w:rPr>
              <w:t>62%</w:t>
            </w:r>
          </w:p>
        </w:tc>
        <w:tc>
          <w:tcPr>
            <w:tcW w:w="100" w:type="dxa"/>
            <w:vAlign w:val="bottom"/>
          </w:tcPr>
          <w:p>
            <w:pPr>
              <w:spacing w:after="0"/>
              <w:rPr>
                <w:sz w:val="15"/>
                <w:szCs w:val="15"/>
                <w:color w:val="auto"/>
              </w:rPr>
            </w:pPr>
          </w:p>
        </w:tc>
        <w:tc>
          <w:tcPr>
            <w:tcW w:w="3360" w:type="dxa"/>
            <w:vAlign w:val="bottom"/>
            <w:gridSpan w:val="4"/>
          </w:tcPr>
          <w:p>
            <w:pPr>
              <w:ind w:left="80"/>
              <w:spacing w:after="0" w:line="175" w:lineRule="exact"/>
              <w:rPr>
                <w:sz w:val="20"/>
                <w:szCs w:val="20"/>
                <w:color w:val="auto"/>
              </w:rPr>
            </w:pPr>
            <w:r>
              <w:rPr>
                <w:rFonts w:ascii="Arial" w:cs="Arial" w:eastAsia="Arial" w:hAnsi="Arial"/>
                <w:sz w:val="16"/>
                <w:szCs w:val="16"/>
                <w:b w:val="1"/>
                <w:bCs w:val="1"/>
                <w:color w:val="auto"/>
              </w:rPr>
              <w:t>Performance-Based Equity Awards</w:t>
            </w:r>
          </w:p>
        </w:tc>
        <w:tc>
          <w:tcPr>
            <w:tcW w:w="720" w:type="dxa"/>
            <w:vAlign w:val="bottom"/>
          </w:tcPr>
          <w:p>
            <w:pPr>
              <w:spacing w:after="0"/>
              <w:rPr>
                <w:sz w:val="15"/>
                <w:szCs w:val="15"/>
                <w:color w:val="auto"/>
              </w:rPr>
            </w:pPr>
          </w:p>
        </w:tc>
        <w:tc>
          <w:tcPr>
            <w:tcW w:w="8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820" w:type="dxa"/>
            <w:vAlign w:val="bottom"/>
          </w:tcPr>
          <w:p>
            <w:pPr>
              <w:spacing w:after="0"/>
              <w:rPr>
                <w:sz w:val="13"/>
                <w:szCs w:val="13"/>
                <w:color w:val="auto"/>
              </w:rPr>
            </w:pPr>
          </w:p>
        </w:tc>
        <w:tc>
          <w:tcPr>
            <w:tcW w:w="2380" w:type="dxa"/>
            <w:vAlign w:val="bottom"/>
            <w:gridSpan w:val="3"/>
            <w:shd w:val="clear" w:color="auto" w:fill="1F2668"/>
          </w:tcPr>
          <w:p>
            <w:pPr>
              <w:ind w:left="140"/>
              <w:spacing w:after="0" w:line="153" w:lineRule="exact"/>
              <w:rPr>
                <w:sz w:val="20"/>
                <w:szCs w:val="20"/>
                <w:color w:val="auto"/>
              </w:rPr>
            </w:pPr>
            <w:r>
              <w:rPr>
                <w:rFonts w:ascii="Arial" w:cs="Arial" w:eastAsia="Arial" w:hAnsi="Arial"/>
                <w:sz w:val="14"/>
                <w:szCs w:val="14"/>
                <w:color w:val="FFFFFF"/>
              </w:rPr>
              <w:t>compensation exemplifies our</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shd w:val="clear" w:color="auto" w:fill="83AD40"/>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gridSpan w:val="2"/>
            <w:vMerge w:val="continue"/>
            <w:shd w:val="clear" w:color="auto" w:fill="E9F9D8"/>
          </w:tcPr>
          <w:p>
            <w:pPr>
              <w:spacing w:after="0"/>
              <w:rPr>
                <w:sz w:val="13"/>
                <w:szCs w:val="13"/>
                <w:color w:val="auto"/>
              </w:rPr>
            </w:pPr>
          </w:p>
        </w:tc>
        <w:tc>
          <w:tcPr>
            <w:tcW w:w="840" w:type="dxa"/>
            <w:vAlign w:val="bottom"/>
            <w:vMerge w:val="continue"/>
            <w:shd w:val="clear" w:color="auto" w:fill="E9F9D8"/>
          </w:tcPr>
          <w:p>
            <w:pPr>
              <w:spacing w:after="0"/>
              <w:rPr>
                <w:sz w:val="13"/>
                <w:szCs w:val="13"/>
                <w:color w:val="auto"/>
              </w:rPr>
            </w:pPr>
          </w:p>
        </w:tc>
        <w:tc>
          <w:tcPr>
            <w:tcW w:w="100" w:type="dxa"/>
            <w:vAlign w:val="bottom"/>
            <w:shd w:val="clear" w:color="auto" w:fill="E9F9D8"/>
          </w:tcPr>
          <w:p>
            <w:pPr>
              <w:spacing w:after="0"/>
              <w:rPr>
                <w:sz w:val="13"/>
                <w:szCs w:val="13"/>
                <w:color w:val="auto"/>
              </w:rPr>
            </w:pPr>
          </w:p>
        </w:tc>
        <w:tc>
          <w:tcPr>
            <w:tcW w:w="980" w:type="dxa"/>
            <w:vAlign w:val="bottom"/>
            <w:tcBorders>
              <w:left w:val="single" w:sz="8" w:color="E9F9D8"/>
            </w:tcBorders>
            <w:gridSpan w:val="3"/>
            <w:vMerge w:val="continue"/>
          </w:tcPr>
          <w:p>
            <w:pPr>
              <w:spacing w:after="0"/>
              <w:rPr>
                <w:sz w:val="13"/>
                <w:szCs w:val="13"/>
                <w:color w:val="auto"/>
              </w:rPr>
            </w:pPr>
          </w:p>
        </w:tc>
        <w:tc>
          <w:tcPr>
            <w:tcW w:w="3460" w:type="dxa"/>
            <w:vAlign w:val="bottom"/>
            <w:gridSpan w:val="5"/>
          </w:tcPr>
          <w:p>
            <w:pPr>
              <w:ind w:left="80"/>
              <w:spacing w:after="0" w:line="153"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1"/>
                <w:szCs w:val="11"/>
                <w:color w:val="auto"/>
              </w:rPr>
              <w:t>The TDC amount reflects the target notional value of</w:t>
            </w:r>
          </w:p>
        </w:tc>
        <w:tc>
          <w:tcPr>
            <w:tcW w:w="72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820" w:type="dxa"/>
            <w:vAlign w:val="bottom"/>
          </w:tcPr>
          <w:p>
            <w:pPr>
              <w:spacing w:after="0"/>
              <w:rPr>
                <w:sz w:val="16"/>
                <w:szCs w:val="16"/>
                <w:color w:val="auto"/>
              </w:rPr>
            </w:pPr>
          </w:p>
        </w:tc>
        <w:tc>
          <w:tcPr>
            <w:tcW w:w="2380" w:type="dxa"/>
            <w:vAlign w:val="bottom"/>
            <w:gridSpan w:val="3"/>
            <w:shd w:val="clear" w:color="auto" w:fill="1F2668"/>
          </w:tcPr>
          <w:p>
            <w:pPr>
              <w:ind w:left="140"/>
              <w:spacing w:after="0"/>
              <w:rPr>
                <w:sz w:val="20"/>
                <w:szCs w:val="20"/>
                <w:color w:val="auto"/>
              </w:rPr>
            </w:pPr>
            <w:r>
              <w:rPr>
                <w:rFonts w:ascii="Arial" w:cs="Arial" w:eastAsia="Arial" w:hAnsi="Arial"/>
                <w:sz w:val="14"/>
                <w:szCs w:val="14"/>
                <w:color w:val="FFFFFF"/>
              </w:rPr>
              <w:t>pay-for-performance philosophy</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shd w:val="clear" w:color="auto" w:fill="83AD40"/>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shd w:val="clear" w:color="auto" w:fill="E9F9D8"/>
          </w:tcPr>
          <w:p>
            <w:pPr>
              <w:spacing w:after="0"/>
              <w:rPr>
                <w:sz w:val="16"/>
                <w:szCs w:val="16"/>
                <w:color w:val="auto"/>
              </w:rPr>
            </w:pPr>
          </w:p>
        </w:tc>
        <w:tc>
          <w:tcPr>
            <w:tcW w:w="40" w:type="dxa"/>
            <w:vAlign w:val="bottom"/>
            <w:shd w:val="clear" w:color="auto" w:fill="E9F9D8"/>
          </w:tcPr>
          <w:p>
            <w:pPr>
              <w:spacing w:after="0"/>
              <w:rPr>
                <w:sz w:val="16"/>
                <w:szCs w:val="16"/>
                <w:color w:val="auto"/>
              </w:rPr>
            </w:pPr>
          </w:p>
        </w:tc>
        <w:tc>
          <w:tcPr>
            <w:tcW w:w="840" w:type="dxa"/>
            <w:vAlign w:val="bottom"/>
            <w:shd w:val="clear" w:color="auto" w:fill="E9F9D8"/>
          </w:tcPr>
          <w:p>
            <w:pPr>
              <w:spacing w:after="0"/>
              <w:rPr>
                <w:sz w:val="20"/>
                <w:szCs w:val="20"/>
                <w:color w:val="auto"/>
              </w:rPr>
            </w:pPr>
            <w:r>
              <w:rPr>
                <w:rFonts w:ascii="Arial" w:cs="Arial" w:eastAsia="Arial" w:hAnsi="Arial"/>
                <w:sz w:val="14"/>
                <w:szCs w:val="14"/>
                <w:b w:val="1"/>
                <w:bCs w:val="1"/>
                <w:color w:val="auto"/>
              </w:rPr>
              <w:t>$7,500,000</w:t>
            </w:r>
          </w:p>
        </w:tc>
        <w:tc>
          <w:tcPr>
            <w:tcW w:w="100" w:type="dxa"/>
            <w:vAlign w:val="bottom"/>
            <w:shd w:val="clear" w:color="auto" w:fill="E9F9D8"/>
          </w:tcPr>
          <w:p>
            <w:pPr>
              <w:spacing w:after="0"/>
              <w:rPr>
                <w:sz w:val="16"/>
                <w:szCs w:val="16"/>
                <w:color w:val="auto"/>
              </w:rPr>
            </w:pPr>
          </w:p>
        </w:tc>
        <w:tc>
          <w:tcPr>
            <w:tcW w:w="40" w:type="dxa"/>
            <w:vAlign w:val="bottom"/>
            <w:tcBorders>
              <w:left w:val="single" w:sz="8" w:color="E9F9D8"/>
            </w:tcBorders>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ind w:left="40"/>
              <w:spacing w:after="0"/>
              <w:rPr>
                <w:sz w:val="20"/>
                <w:szCs w:val="20"/>
                <w:color w:val="auto"/>
              </w:rPr>
            </w:pPr>
            <w:r>
              <w:rPr>
                <w:rFonts w:ascii="Arial" w:cs="Arial" w:eastAsia="Arial" w:hAnsi="Arial"/>
                <w:sz w:val="14"/>
                <w:szCs w:val="14"/>
                <w:b w:val="1"/>
                <w:bCs w:val="1"/>
                <w:color w:val="auto"/>
              </w:rPr>
              <w:t>$12,863,855</w:t>
            </w:r>
          </w:p>
        </w:tc>
        <w:tc>
          <w:tcPr>
            <w:tcW w:w="100" w:type="dxa"/>
            <w:vAlign w:val="bottom"/>
          </w:tcPr>
          <w:p>
            <w:pPr>
              <w:spacing w:after="0"/>
              <w:rPr>
                <w:sz w:val="16"/>
                <w:szCs w:val="16"/>
                <w:color w:val="auto"/>
              </w:rPr>
            </w:pPr>
          </w:p>
        </w:tc>
        <w:tc>
          <w:tcPr>
            <w:tcW w:w="4080" w:type="dxa"/>
            <w:vAlign w:val="bottom"/>
            <w:gridSpan w:val="5"/>
          </w:tcPr>
          <w:p>
            <w:pPr>
              <w:ind w:left="80"/>
              <w:spacing w:after="0"/>
              <w:rPr>
                <w:sz w:val="20"/>
                <w:szCs w:val="20"/>
                <w:color w:val="auto"/>
              </w:rPr>
            </w:pPr>
            <w:r>
              <w:rPr>
                <w:rFonts w:ascii="Arial" w:cs="Arial" w:eastAsia="Arial" w:hAnsi="Arial"/>
                <w:sz w:val="14"/>
                <w:szCs w:val="14"/>
                <w:b w:val="1"/>
                <w:bCs w:val="1"/>
                <w:color w:val="auto"/>
              </w:rPr>
              <w:t>$7,500,000</w:t>
            </w:r>
            <w:r>
              <w:rPr>
                <w:rFonts w:ascii="Arial" w:cs="Arial" w:eastAsia="Arial" w:hAnsi="Arial"/>
                <w:sz w:val="14"/>
                <w:szCs w:val="14"/>
                <w:color w:val="auto"/>
              </w:rPr>
              <w:t>, consistent with the target amount set forth in</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820" w:type="dxa"/>
            <w:vAlign w:val="bottom"/>
          </w:tcPr>
          <w:p>
            <w:pPr>
              <w:spacing w:after="0"/>
              <w:rPr>
                <w:sz w:val="10"/>
                <w:szCs w:val="10"/>
                <w:color w:val="auto"/>
              </w:rPr>
            </w:pPr>
          </w:p>
        </w:tc>
        <w:tc>
          <w:tcPr>
            <w:tcW w:w="2380" w:type="dxa"/>
            <w:vAlign w:val="bottom"/>
            <w:gridSpan w:val="3"/>
            <w:shd w:val="clear" w:color="auto" w:fill="1F2668"/>
          </w:tcPr>
          <w:p>
            <w:pPr>
              <w:ind w:left="140"/>
              <w:spacing w:after="0" w:line="126" w:lineRule="exact"/>
              <w:rPr>
                <w:sz w:val="20"/>
                <w:szCs w:val="20"/>
                <w:color w:val="auto"/>
              </w:rPr>
            </w:pPr>
            <w:r>
              <w:rPr>
                <w:rFonts w:ascii="Arial" w:cs="Arial" w:eastAsia="Arial" w:hAnsi="Arial"/>
                <w:sz w:val="14"/>
                <w:szCs w:val="14"/>
                <w:color w:val="FFFFFF"/>
              </w:rPr>
              <w:t>and recognizes the key role</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shd w:val="clear" w:color="auto" w:fill="83AD40"/>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shd w:val="clear" w:color="auto" w:fill="E9F9D8"/>
          </w:tcPr>
          <w:p>
            <w:pPr>
              <w:spacing w:after="0"/>
              <w:rPr>
                <w:sz w:val="10"/>
                <w:szCs w:val="10"/>
                <w:color w:val="auto"/>
              </w:rPr>
            </w:pPr>
          </w:p>
        </w:tc>
        <w:tc>
          <w:tcPr>
            <w:tcW w:w="40" w:type="dxa"/>
            <w:vAlign w:val="bottom"/>
            <w:shd w:val="clear" w:color="auto" w:fill="E9F9D8"/>
          </w:tcPr>
          <w:p>
            <w:pPr>
              <w:spacing w:after="0"/>
              <w:rPr>
                <w:sz w:val="10"/>
                <w:szCs w:val="10"/>
                <w:color w:val="auto"/>
              </w:rPr>
            </w:pPr>
          </w:p>
        </w:tc>
        <w:tc>
          <w:tcPr>
            <w:tcW w:w="840" w:type="dxa"/>
            <w:vAlign w:val="bottom"/>
            <w:shd w:val="clear" w:color="auto" w:fill="E9F9D8"/>
          </w:tcPr>
          <w:p>
            <w:pPr>
              <w:spacing w:after="0"/>
              <w:rPr>
                <w:sz w:val="10"/>
                <w:szCs w:val="10"/>
                <w:color w:val="auto"/>
              </w:rPr>
            </w:pPr>
          </w:p>
        </w:tc>
        <w:tc>
          <w:tcPr>
            <w:tcW w:w="100" w:type="dxa"/>
            <w:vAlign w:val="bottom"/>
            <w:shd w:val="clear" w:color="auto" w:fill="E9F9D8"/>
          </w:tcPr>
          <w:p>
            <w:pPr>
              <w:spacing w:after="0"/>
              <w:rPr>
                <w:sz w:val="10"/>
                <w:szCs w:val="10"/>
                <w:color w:val="auto"/>
              </w:rPr>
            </w:pPr>
          </w:p>
        </w:tc>
        <w:tc>
          <w:tcPr>
            <w:tcW w:w="40" w:type="dxa"/>
            <w:vAlign w:val="bottom"/>
            <w:tcBorders>
              <w:left w:val="single" w:sz="8" w:color="E9F9D8"/>
            </w:tcBorders>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80" w:type="dxa"/>
            <w:vAlign w:val="bottom"/>
            <w:gridSpan w:val="5"/>
          </w:tcPr>
          <w:p>
            <w:pPr>
              <w:ind w:left="80"/>
              <w:spacing w:after="0" w:line="126" w:lineRule="exact"/>
              <w:rPr>
                <w:sz w:val="20"/>
                <w:szCs w:val="20"/>
                <w:color w:val="auto"/>
              </w:rPr>
            </w:pPr>
            <w:r>
              <w:rPr>
                <w:rFonts w:ascii="Arial" w:cs="Arial" w:eastAsia="Arial" w:hAnsi="Arial"/>
                <w:sz w:val="14"/>
                <w:szCs w:val="14"/>
                <w:color w:val="auto"/>
              </w:rPr>
              <w:t xml:space="preserve">Mr. Holliday’s prior employment agreement and </w:t>
            </w:r>
            <w:r>
              <w:rPr>
                <w:rFonts w:ascii="Arial" w:cs="Arial" w:eastAsia="Arial" w:hAnsi="Arial"/>
                <w:sz w:val="14"/>
                <w:szCs w:val="14"/>
                <w:b w:val="1"/>
                <w:bCs w:val="1"/>
                <w:color w:val="auto"/>
              </w:rPr>
              <w:t>excludes</w:t>
            </w:r>
            <w:r>
              <w:rPr>
                <w:rFonts w:ascii="Arial" w:cs="Arial" w:eastAsia="Arial" w:hAnsi="Arial"/>
                <w:sz w:val="14"/>
                <w:szCs w:val="14"/>
                <w:color w:val="auto"/>
              </w:rPr>
              <w:t xml:space="preserve"> an</w:t>
            </w: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820" w:type="dxa"/>
            <w:vAlign w:val="bottom"/>
          </w:tcPr>
          <w:p>
            <w:pPr>
              <w:spacing w:after="0"/>
              <w:rPr>
                <w:sz w:val="13"/>
                <w:szCs w:val="13"/>
                <w:color w:val="auto"/>
              </w:rPr>
            </w:pPr>
          </w:p>
        </w:tc>
        <w:tc>
          <w:tcPr>
            <w:tcW w:w="2380" w:type="dxa"/>
            <w:vAlign w:val="bottom"/>
            <w:gridSpan w:val="3"/>
            <w:shd w:val="clear" w:color="auto" w:fill="1F2668"/>
          </w:tcPr>
          <w:p>
            <w:pPr>
              <w:ind w:left="140"/>
              <w:spacing w:after="0" w:line="158" w:lineRule="exact"/>
              <w:rPr>
                <w:sz w:val="20"/>
                <w:szCs w:val="20"/>
                <w:color w:val="auto"/>
              </w:rPr>
            </w:pPr>
            <w:r>
              <w:rPr>
                <w:rFonts w:ascii="Arial" w:cs="Arial" w:eastAsia="Arial" w:hAnsi="Arial"/>
                <w:sz w:val="14"/>
                <w:szCs w:val="14"/>
                <w:color w:val="FFFFFF"/>
              </w:rPr>
              <w:t>played by our CEO in our second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shd w:val="clear" w:color="auto" w:fill="83AD40"/>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shd w:val="clear" w:color="auto" w:fill="E9F9D8"/>
          </w:tcPr>
          <w:p>
            <w:pPr>
              <w:spacing w:after="0"/>
              <w:rPr>
                <w:sz w:val="13"/>
                <w:szCs w:val="13"/>
                <w:color w:val="auto"/>
              </w:rPr>
            </w:pPr>
          </w:p>
        </w:tc>
        <w:tc>
          <w:tcPr>
            <w:tcW w:w="40" w:type="dxa"/>
            <w:vAlign w:val="bottom"/>
            <w:shd w:val="clear" w:color="auto" w:fill="E9F9D8"/>
          </w:tcPr>
          <w:p>
            <w:pPr>
              <w:spacing w:after="0"/>
              <w:rPr>
                <w:sz w:val="13"/>
                <w:szCs w:val="13"/>
                <w:color w:val="auto"/>
              </w:rPr>
            </w:pPr>
          </w:p>
        </w:tc>
        <w:tc>
          <w:tcPr>
            <w:tcW w:w="840" w:type="dxa"/>
            <w:vAlign w:val="bottom"/>
            <w:shd w:val="clear" w:color="auto" w:fill="E9F9D8"/>
          </w:tcPr>
          <w:p>
            <w:pPr>
              <w:spacing w:after="0"/>
              <w:rPr>
                <w:sz w:val="13"/>
                <w:szCs w:val="13"/>
                <w:color w:val="auto"/>
              </w:rPr>
            </w:pPr>
          </w:p>
        </w:tc>
        <w:tc>
          <w:tcPr>
            <w:tcW w:w="100" w:type="dxa"/>
            <w:vAlign w:val="bottom"/>
            <w:shd w:val="clear" w:color="auto" w:fill="E9F9D8"/>
          </w:tcPr>
          <w:p>
            <w:pPr>
              <w:spacing w:after="0"/>
              <w:rPr>
                <w:sz w:val="13"/>
                <w:szCs w:val="13"/>
                <w:color w:val="auto"/>
              </w:rPr>
            </w:pPr>
          </w:p>
        </w:tc>
        <w:tc>
          <w:tcPr>
            <w:tcW w:w="40" w:type="dxa"/>
            <w:vAlign w:val="bottom"/>
            <w:tcBorders>
              <w:left w:val="single" w:sz="8" w:color="E9F9D8"/>
            </w:tcBorders>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80" w:type="dxa"/>
            <w:vAlign w:val="bottom"/>
            <w:gridSpan w:val="5"/>
          </w:tcPr>
          <w:p>
            <w:pPr>
              <w:ind w:left="80"/>
              <w:spacing w:after="0" w:line="158" w:lineRule="exact"/>
              <w:rPr>
                <w:sz w:val="20"/>
                <w:szCs w:val="20"/>
                <w:color w:val="auto"/>
              </w:rPr>
            </w:pPr>
            <w:r>
              <w:rPr>
                <w:rFonts w:ascii="Arial" w:cs="Arial" w:eastAsia="Arial" w:hAnsi="Arial"/>
                <w:sz w:val="14"/>
                <w:szCs w:val="14"/>
                <w:color w:val="auto"/>
              </w:rPr>
              <w:t xml:space="preserve">additional </w:t>
            </w:r>
            <w:r>
              <w:rPr>
                <w:rFonts w:ascii="Arial" w:cs="Arial" w:eastAsia="Arial" w:hAnsi="Arial"/>
                <w:sz w:val="14"/>
                <w:szCs w:val="14"/>
                <w:b w:val="1"/>
                <w:bCs w:val="1"/>
                <w:color w:val="auto"/>
              </w:rPr>
              <w:t>$4,500,000</w:t>
            </w:r>
            <w:r>
              <w:rPr>
                <w:rFonts w:ascii="Arial" w:cs="Arial" w:eastAsia="Arial" w:hAnsi="Arial"/>
                <w:sz w:val="14"/>
                <w:szCs w:val="14"/>
                <w:color w:val="auto"/>
              </w:rPr>
              <w:t xml:space="preserve"> performance-based award in connection</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2380" w:type="dxa"/>
            <w:vAlign w:val="bottom"/>
            <w:gridSpan w:val="3"/>
            <w:shd w:val="clear" w:color="auto" w:fill="1F2668"/>
          </w:tcPr>
          <w:p>
            <w:pPr>
              <w:ind w:left="140"/>
              <w:spacing w:after="0" w:line="149" w:lineRule="exact"/>
              <w:rPr>
                <w:sz w:val="20"/>
                <w:szCs w:val="20"/>
                <w:color w:val="auto"/>
              </w:rPr>
            </w:pPr>
            <w:r>
              <w:rPr>
                <w:rFonts w:ascii="Arial" w:cs="Arial" w:eastAsia="Arial" w:hAnsi="Arial"/>
                <w:sz w:val="14"/>
                <w:szCs w:val="14"/>
                <w:color w:val="FFFFFF"/>
              </w:rPr>
              <w:t>consecutive year of sector-</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shd w:val="clear" w:color="auto" w:fill="83AD40"/>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shd w:val="clear" w:color="auto" w:fill="E9F9D8"/>
          </w:tcPr>
          <w:p>
            <w:pPr>
              <w:spacing w:after="0"/>
              <w:rPr>
                <w:sz w:val="12"/>
                <w:szCs w:val="12"/>
                <w:color w:val="auto"/>
              </w:rPr>
            </w:pPr>
          </w:p>
        </w:tc>
        <w:tc>
          <w:tcPr>
            <w:tcW w:w="40" w:type="dxa"/>
            <w:vAlign w:val="bottom"/>
            <w:shd w:val="clear" w:color="auto" w:fill="E9F9D8"/>
          </w:tcPr>
          <w:p>
            <w:pPr>
              <w:spacing w:after="0"/>
              <w:rPr>
                <w:sz w:val="12"/>
                <w:szCs w:val="12"/>
                <w:color w:val="auto"/>
              </w:rPr>
            </w:pPr>
          </w:p>
        </w:tc>
        <w:tc>
          <w:tcPr>
            <w:tcW w:w="840" w:type="dxa"/>
            <w:vAlign w:val="bottom"/>
            <w:shd w:val="clear" w:color="auto" w:fill="E9F9D8"/>
          </w:tcPr>
          <w:p>
            <w:pPr>
              <w:spacing w:after="0"/>
              <w:rPr>
                <w:sz w:val="12"/>
                <w:szCs w:val="12"/>
                <w:color w:val="auto"/>
              </w:rPr>
            </w:pPr>
          </w:p>
        </w:tc>
        <w:tc>
          <w:tcPr>
            <w:tcW w:w="100" w:type="dxa"/>
            <w:vAlign w:val="bottom"/>
            <w:shd w:val="clear" w:color="auto" w:fill="E9F9D8"/>
          </w:tcPr>
          <w:p>
            <w:pPr>
              <w:spacing w:after="0"/>
              <w:rPr>
                <w:sz w:val="12"/>
                <w:szCs w:val="12"/>
                <w:color w:val="auto"/>
              </w:rPr>
            </w:pPr>
          </w:p>
        </w:tc>
        <w:tc>
          <w:tcPr>
            <w:tcW w:w="40" w:type="dxa"/>
            <w:vAlign w:val="bottom"/>
            <w:tcBorders>
              <w:left w:val="single" w:sz="8" w:color="E9F9D8"/>
            </w:tcBorders>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80" w:type="dxa"/>
            <w:vAlign w:val="bottom"/>
            <w:gridSpan w:val="5"/>
          </w:tcPr>
          <w:p>
            <w:pPr>
              <w:ind w:left="80"/>
              <w:spacing w:after="0" w:line="149" w:lineRule="exact"/>
              <w:rPr>
                <w:sz w:val="20"/>
                <w:szCs w:val="20"/>
                <w:color w:val="auto"/>
              </w:rPr>
            </w:pPr>
            <w:r>
              <w:rPr>
                <w:rFonts w:ascii="Arial" w:cs="Arial" w:eastAsia="Arial" w:hAnsi="Arial"/>
                <w:sz w:val="14"/>
                <w:szCs w:val="14"/>
                <w:color w:val="auto"/>
              </w:rPr>
              <w:t xml:space="preserve">with Mr. Holliday’s new employment agreement. </w:t>
            </w:r>
            <w:r>
              <w:rPr>
                <w:rFonts w:ascii="Arial" w:cs="Arial" w:eastAsia="Arial" w:hAnsi="Arial"/>
                <w:sz w:val="14"/>
                <w:szCs w:val="14"/>
                <w:b w:val="1"/>
                <w:bCs w:val="1"/>
                <w:color w:val="auto"/>
              </w:rPr>
              <w:t>The SCT</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2380" w:type="dxa"/>
            <w:vAlign w:val="bottom"/>
            <w:gridSpan w:val="3"/>
            <w:shd w:val="clear" w:color="auto" w:fill="1F2668"/>
          </w:tcPr>
          <w:p>
            <w:pPr>
              <w:ind w:left="140"/>
              <w:spacing w:after="0"/>
              <w:rPr>
                <w:sz w:val="20"/>
                <w:szCs w:val="20"/>
                <w:color w:val="auto"/>
              </w:rPr>
            </w:pPr>
            <w:r>
              <w:rPr>
                <w:rFonts w:ascii="Arial" w:cs="Arial" w:eastAsia="Arial" w:hAnsi="Arial"/>
                <w:sz w:val="14"/>
                <w:szCs w:val="14"/>
                <w:color w:val="FFFFFF"/>
              </w:rPr>
              <w:t>leading performance.</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shd w:val="clear" w:color="auto" w:fill="83AD40"/>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shd w:val="clear" w:color="auto" w:fill="E9F9D8"/>
          </w:tcPr>
          <w:p>
            <w:pPr>
              <w:spacing w:after="0"/>
              <w:rPr>
                <w:sz w:val="18"/>
                <w:szCs w:val="18"/>
                <w:color w:val="auto"/>
              </w:rPr>
            </w:pPr>
          </w:p>
        </w:tc>
        <w:tc>
          <w:tcPr>
            <w:tcW w:w="40" w:type="dxa"/>
            <w:vAlign w:val="bottom"/>
            <w:shd w:val="clear" w:color="auto" w:fill="E9F9D8"/>
          </w:tcPr>
          <w:p>
            <w:pPr>
              <w:spacing w:after="0"/>
              <w:rPr>
                <w:sz w:val="18"/>
                <w:szCs w:val="18"/>
                <w:color w:val="auto"/>
              </w:rPr>
            </w:pPr>
          </w:p>
        </w:tc>
        <w:tc>
          <w:tcPr>
            <w:tcW w:w="840" w:type="dxa"/>
            <w:vAlign w:val="bottom"/>
            <w:shd w:val="clear" w:color="auto" w:fill="E9F9D8"/>
          </w:tcPr>
          <w:p>
            <w:pPr>
              <w:spacing w:after="0"/>
              <w:rPr>
                <w:sz w:val="18"/>
                <w:szCs w:val="18"/>
                <w:color w:val="auto"/>
              </w:rPr>
            </w:pPr>
          </w:p>
        </w:tc>
        <w:tc>
          <w:tcPr>
            <w:tcW w:w="100" w:type="dxa"/>
            <w:vAlign w:val="bottom"/>
            <w:shd w:val="clear" w:color="auto" w:fill="E9F9D8"/>
          </w:tcPr>
          <w:p>
            <w:pPr>
              <w:spacing w:after="0"/>
              <w:rPr>
                <w:sz w:val="18"/>
                <w:szCs w:val="18"/>
                <w:color w:val="auto"/>
              </w:rPr>
            </w:pPr>
          </w:p>
        </w:tc>
        <w:tc>
          <w:tcPr>
            <w:tcW w:w="40" w:type="dxa"/>
            <w:vAlign w:val="bottom"/>
            <w:tcBorders>
              <w:left w:val="single" w:sz="8" w:color="E9F9D8"/>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80" w:type="dxa"/>
            <w:vAlign w:val="bottom"/>
            <w:gridSpan w:val="5"/>
          </w:tcPr>
          <w:p>
            <w:pPr>
              <w:ind w:left="80"/>
              <w:spacing w:after="0"/>
              <w:rPr>
                <w:sz w:val="20"/>
                <w:szCs w:val="20"/>
                <w:color w:val="auto"/>
              </w:rPr>
            </w:pPr>
            <w:r>
              <w:rPr>
                <w:rFonts w:ascii="Arial" w:cs="Arial" w:eastAsia="Arial" w:hAnsi="Arial"/>
                <w:sz w:val="14"/>
                <w:szCs w:val="14"/>
                <w:b w:val="1"/>
                <w:bCs w:val="1"/>
                <w:color w:val="auto"/>
              </w:rPr>
              <w:t>amount reflects the grant date value of all of these awards</w:t>
            </w:r>
            <w:r>
              <w:rPr>
                <w:rFonts w:ascii="Arial" w:cs="Arial" w:eastAsia="Arial" w:hAnsi="Arial"/>
                <w:sz w:val="14"/>
                <w:szCs w:val="14"/>
                <w:color w:val="auto"/>
              </w:rPr>
              <w:t>.</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820" w:type="dxa"/>
            <w:vAlign w:val="bottom"/>
          </w:tcPr>
          <w:p>
            <w:pPr>
              <w:spacing w:after="0"/>
              <w:rPr>
                <w:sz w:val="14"/>
                <w:szCs w:val="14"/>
                <w:color w:val="auto"/>
              </w:rPr>
            </w:pPr>
          </w:p>
        </w:tc>
        <w:tc>
          <w:tcPr>
            <w:tcW w:w="2380" w:type="dxa"/>
            <w:vAlign w:val="bottom"/>
            <w:gridSpan w:val="3"/>
            <w:shd w:val="clear" w:color="auto" w:fill="1F2668"/>
          </w:tcPr>
          <w:p>
            <w:pPr>
              <w:ind w:left="140"/>
              <w:spacing w:after="0"/>
              <w:rPr>
                <w:sz w:val="20"/>
                <w:szCs w:val="20"/>
                <w:color w:val="auto"/>
              </w:rPr>
            </w:pPr>
            <w:r>
              <w:rPr>
                <w:rFonts w:ascii="Arial" w:cs="Arial" w:eastAsia="Arial" w:hAnsi="Arial"/>
                <w:sz w:val="14"/>
                <w:szCs w:val="14"/>
                <w:color w:val="FFFFFF"/>
              </w:rPr>
              <w:t>The Committee considered not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shd w:val="clear" w:color="auto" w:fill="83AD40"/>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shd w:val="clear" w:color="auto" w:fill="E9F9D8"/>
          </w:tcPr>
          <w:p>
            <w:pPr>
              <w:spacing w:after="0"/>
              <w:rPr>
                <w:sz w:val="14"/>
                <w:szCs w:val="14"/>
                <w:color w:val="auto"/>
              </w:rPr>
            </w:pPr>
          </w:p>
        </w:tc>
        <w:tc>
          <w:tcPr>
            <w:tcW w:w="40" w:type="dxa"/>
            <w:vAlign w:val="bottom"/>
            <w:shd w:val="clear" w:color="auto" w:fill="E9F9D8"/>
          </w:tcPr>
          <w:p>
            <w:pPr>
              <w:spacing w:after="0"/>
              <w:rPr>
                <w:sz w:val="14"/>
                <w:szCs w:val="14"/>
                <w:color w:val="auto"/>
              </w:rPr>
            </w:pPr>
          </w:p>
        </w:tc>
        <w:tc>
          <w:tcPr>
            <w:tcW w:w="840" w:type="dxa"/>
            <w:vAlign w:val="bottom"/>
            <w:shd w:val="clear" w:color="auto" w:fill="E9F9D8"/>
          </w:tcPr>
          <w:p>
            <w:pPr>
              <w:spacing w:after="0"/>
              <w:rPr>
                <w:sz w:val="14"/>
                <w:szCs w:val="14"/>
                <w:color w:val="auto"/>
              </w:rPr>
            </w:pPr>
          </w:p>
        </w:tc>
        <w:tc>
          <w:tcPr>
            <w:tcW w:w="100" w:type="dxa"/>
            <w:vAlign w:val="bottom"/>
            <w:shd w:val="clear" w:color="auto" w:fill="E9F9D8"/>
          </w:tcPr>
          <w:p>
            <w:pPr>
              <w:spacing w:after="0"/>
              <w:rPr>
                <w:sz w:val="14"/>
                <w:szCs w:val="14"/>
                <w:color w:val="auto"/>
              </w:rPr>
            </w:pPr>
          </w:p>
        </w:tc>
        <w:tc>
          <w:tcPr>
            <w:tcW w:w="40" w:type="dxa"/>
            <w:vAlign w:val="bottom"/>
            <w:tcBorders>
              <w:left w:val="single" w:sz="8" w:color="E9F9D8"/>
            </w:tcBorders>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60" w:type="dxa"/>
            <w:vAlign w:val="bottom"/>
            <w:gridSpan w:val="4"/>
          </w:tcPr>
          <w:p>
            <w:pPr>
              <w:ind w:left="80"/>
              <w:spacing w:after="0"/>
              <w:rPr>
                <w:sz w:val="20"/>
                <w:szCs w:val="20"/>
                <w:color w:val="auto"/>
              </w:rPr>
            </w:pPr>
            <w:r>
              <w:rPr>
                <w:rFonts w:ascii="Arial" w:cs="Arial" w:eastAsia="Arial" w:hAnsi="Arial"/>
                <w:sz w:val="14"/>
                <w:szCs w:val="14"/>
                <w:color w:val="auto"/>
              </w:rPr>
              <w:t>The annual performance-based award relates to the</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20" w:type="dxa"/>
            <w:vAlign w:val="bottom"/>
          </w:tcPr>
          <w:p>
            <w:pPr>
              <w:spacing w:after="0"/>
              <w:rPr>
                <w:sz w:val="14"/>
                <w:szCs w:val="14"/>
                <w:color w:val="auto"/>
              </w:rPr>
            </w:pPr>
          </w:p>
        </w:tc>
        <w:tc>
          <w:tcPr>
            <w:tcW w:w="2380" w:type="dxa"/>
            <w:vAlign w:val="bottom"/>
            <w:gridSpan w:val="3"/>
            <w:shd w:val="clear" w:color="auto" w:fill="1F2668"/>
          </w:tcPr>
          <w:p>
            <w:pPr>
              <w:ind w:left="140"/>
              <w:spacing w:after="0"/>
              <w:rPr>
                <w:sz w:val="20"/>
                <w:szCs w:val="20"/>
                <w:color w:val="auto"/>
              </w:rPr>
            </w:pPr>
            <w:r>
              <w:rPr>
                <w:rFonts w:ascii="Arial" w:cs="Arial" w:eastAsia="Arial" w:hAnsi="Arial"/>
                <w:sz w:val="14"/>
                <w:szCs w:val="14"/>
                <w:color w:val="FFFFFF"/>
              </w:rPr>
              <w:t>only our TSR over the short-,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shd w:val="clear" w:color="auto" w:fill="83AD40"/>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shd w:val="clear" w:color="auto" w:fill="E9F9D8"/>
          </w:tcPr>
          <w:p>
            <w:pPr>
              <w:spacing w:after="0"/>
              <w:rPr>
                <w:sz w:val="14"/>
                <w:szCs w:val="14"/>
                <w:color w:val="auto"/>
              </w:rPr>
            </w:pPr>
          </w:p>
        </w:tc>
        <w:tc>
          <w:tcPr>
            <w:tcW w:w="40" w:type="dxa"/>
            <w:vAlign w:val="bottom"/>
            <w:shd w:val="clear" w:color="auto" w:fill="E9F9D8"/>
          </w:tcPr>
          <w:p>
            <w:pPr>
              <w:spacing w:after="0"/>
              <w:rPr>
                <w:sz w:val="14"/>
                <w:szCs w:val="14"/>
                <w:color w:val="auto"/>
              </w:rPr>
            </w:pPr>
          </w:p>
        </w:tc>
        <w:tc>
          <w:tcPr>
            <w:tcW w:w="840" w:type="dxa"/>
            <w:vAlign w:val="bottom"/>
            <w:shd w:val="clear" w:color="auto" w:fill="E9F9D8"/>
          </w:tcPr>
          <w:p>
            <w:pPr>
              <w:spacing w:after="0"/>
              <w:rPr>
                <w:sz w:val="14"/>
                <w:szCs w:val="14"/>
                <w:color w:val="auto"/>
              </w:rPr>
            </w:pPr>
          </w:p>
        </w:tc>
        <w:tc>
          <w:tcPr>
            <w:tcW w:w="100" w:type="dxa"/>
            <w:vAlign w:val="bottom"/>
            <w:shd w:val="clear" w:color="auto" w:fill="E9F9D8"/>
          </w:tcPr>
          <w:p>
            <w:pPr>
              <w:spacing w:after="0"/>
              <w:rPr>
                <w:sz w:val="14"/>
                <w:szCs w:val="14"/>
                <w:color w:val="auto"/>
              </w:rPr>
            </w:pPr>
          </w:p>
        </w:tc>
        <w:tc>
          <w:tcPr>
            <w:tcW w:w="40" w:type="dxa"/>
            <w:vAlign w:val="bottom"/>
            <w:tcBorders>
              <w:left w:val="single" w:sz="8" w:color="E9F9D8"/>
            </w:tcBorders>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60" w:type="dxa"/>
            <w:vAlign w:val="bottom"/>
            <w:gridSpan w:val="4"/>
          </w:tcPr>
          <w:p>
            <w:pPr>
              <w:ind w:left="80"/>
              <w:spacing w:after="0"/>
              <w:rPr>
                <w:sz w:val="20"/>
                <w:szCs w:val="20"/>
                <w:color w:val="auto"/>
              </w:rPr>
            </w:pPr>
            <w:r>
              <w:rPr>
                <w:rFonts w:ascii="Arial" w:cs="Arial" w:eastAsia="Arial" w:hAnsi="Arial"/>
                <w:sz w:val="14"/>
                <w:szCs w:val="14"/>
                <w:color w:val="auto"/>
              </w:rPr>
              <w:t>corresponding number of LTIP units set forth below:</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820" w:type="dxa"/>
            <w:vAlign w:val="bottom"/>
          </w:tcPr>
          <w:p>
            <w:pPr>
              <w:spacing w:after="0"/>
              <w:rPr>
                <w:sz w:val="6"/>
                <w:szCs w:val="6"/>
                <w:color w:val="auto"/>
              </w:rPr>
            </w:pPr>
          </w:p>
        </w:tc>
        <w:tc>
          <w:tcPr>
            <w:tcW w:w="2380" w:type="dxa"/>
            <w:vAlign w:val="bottom"/>
            <w:tcBorders>
              <w:bottom w:val="single" w:sz="8" w:color="1F2668"/>
            </w:tcBorders>
            <w:gridSpan w:val="3"/>
            <w:vMerge w:val="restart"/>
            <w:shd w:val="clear" w:color="auto" w:fill="1F2668"/>
          </w:tcPr>
          <w:p>
            <w:pPr>
              <w:ind w:left="140"/>
              <w:spacing w:after="0" w:line="149" w:lineRule="exact"/>
              <w:rPr>
                <w:sz w:val="20"/>
                <w:szCs w:val="20"/>
                <w:color w:val="auto"/>
              </w:rPr>
            </w:pPr>
            <w:r>
              <w:rPr>
                <w:rFonts w:ascii="Arial" w:cs="Arial" w:eastAsia="Arial" w:hAnsi="Arial"/>
                <w:sz w:val="14"/>
                <w:szCs w:val="14"/>
                <w:color w:val="FFFFFF"/>
              </w:rPr>
              <w:t>medium- and long-term but also</w:t>
            </w: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Borders>
              <w:bottom w:val="single" w:sz="8" w:color="83AD40"/>
            </w:tcBorders>
            <w:shd w:val="clear" w:color="auto" w:fill="83AD40"/>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Borders>
              <w:bottom w:val="single" w:sz="8" w:color="E9F9D8"/>
            </w:tcBorders>
            <w:shd w:val="clear" w:color="auto" w:fill="E9F9D8"/>
          </w:tcPr>
          <w:p>
            <w:pPr>
              <w:spacing w:after="0"/>
              <w:rPr>
                <w:sz w:val="6"/>
                <w:szCs w:val="6"/>
                <w:color w:val="auto"/>
              </w:rPr>
            </w:pPr>
          </w:p>
        </w:tc>
        <w:tc>
          <w:tcPr>
            <w:tcW w:w="40" w:type="dxa"/>
            <w:vAlign w:val="bottom"/>
            <w:tcBorders>
              <w:bottom w:val="single" w:sz="8" w:color="E9F9D8"/>
            </w:tcBorders>
            <w:shd w:val="clear" w:color="auto" w:fill="E9F9D8"/>
          </w:tcPr>
          <w:p>
            <w:pPr>
              <w:spacing w:after="0"/>
              <w:rPr>
                <w:sz w:val="6"/>
                <w:szCs w:val="6"/>
                <w:color w:val="auto"/>
              </w:rPr>
            </w:pPr>
          </w:p>
        </w:tc>
        <w:tc>
          <w:tcPr>
            <w:tcW w:w="840" w:type="dxa"/>
            <w:vAlign w:val="bottom"/>
            <w:tcBorders>
              <w:bottom w:val="single" w:sz="8" w:color="E9F9D8"/>
            </w:tcBorders>
            <w:shd w:val="clear" w:color="auto" w:fill="E9F9D8"/>
          </w:tcPr>
          <w:p>
            <w:pPr>
              <w:spacing w:after="0"/>
              <w:rPr>
                <w:sz w:val="6"/>
                <w:szCs w:val="6"/>
                <w:color w:val="auto"/>
              </w:rPr>
            </w:pPr>
          </w:p>
        </w:tc>
        <w:tc>
          <w:tcPr>
            <w:tcW w:w="100" w:type="dxa"/>
            <w:vAlign w:val="bottom"/>
            <w:tcBorders>
              <w:bottom w:val="single" w:sz="8" w:color="E9F9D8"/>
            </w:tcBorders>
            <w:shd w:val="clear" w:color="auto" w:fill="E9F9D8"/>
          </w:tcPr>
          <w:p>
            <w:pPr>
              <w:spacing w:after="0"/>
              <w:rPr>
                <w:sz w:val="6"/>
                <w:szCs w:val="6"/>
                <w:color w:val="auto"/>
              </w:rPr>
            </w:pPr>
          </w:p>
        </w:tc>
        <w:tc>
          <w:tcPr>
            <w:tcW w:w="40" w:type="dxa"/>
            <w:vAlign w:val="bottom"/>
            <w:tcBorders>
              <w:left w:val="single" w:sz="8" w:color="E9F9D8"/>
            </w:tcBorders>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Borders>
              <w:bottom w:val="single" w:sz="8" w:color="1F2668"/>
            </w:tcBorders>
          </w:tcPr>
          <w:p>
            <w:pPr>
              <w:spacing w:after="0"/>
              <w:rPr>
                <w:sz w:val="6"/>
                <w:szCs w:val="6"/>
                <w:color w:val="auto"/>
              </w:rPr>
            </w:pPr>
          </w:p>
        </w:tc>
        <w:tc>
          <w:tcPr>
            <w:tcW w:w="900" w:type="dxa"/>
            <w:vAlign w:val="bottom"/>
            <w:tcBorders>
              <w:bottom w:val="single" w:sz="8" w:color="1F2668"/>
            </w:tcBorders>
          </w:tcPr>
          <w:p>
            <w:pPr>
              <w:spacing w:after="0"/>
              <w:rPr>
                <w:sz w:val="6"/>
                <w:szCs w:val="6"/>
                <w:color w:val="auto"/>
              </w:rPr>
            </w:pPr>
          </w:p>
        </w:tc>
        <w:tc>
          <w:tcPr>
            <w:tcW w:w="1040" w:type="dxa"/>
            <w:vAlign w:val="bottom"/>
            <w:tcBorders>
              <w:bottom w:val="single" w:sz="8" w:color="1F2668"/>
            </w:tcBorders>
          </w:tcPr>
          <w:p>
            <w:pPr>
              <w:spacing w:after="0"/>
              <w:rPr>
                <w:sz w:val="6"/>
                <w:szCs w:val="6"/>
                <w:color w:val="auto"/>
              </w:rPr>
            </w:pPr>
          </w:p>
        </w:tc>
        <w:tc>
          <w:tcPr>
            <w:tcW w:w="1240" w:type="dxa"/>
            <w:vAlign w:val="bottom"/>
            <w:tcBorders>
              <w:bottom w:val="single" w:sz="8" w:color="1F2668"/>
            </w:tcBorders>
          </w:tcPr>
          <w:p>
            <w:pPr>
              <w:spacing w:after="0"/>
              <w:rPr>
                <w:sz w:val="6"/>
                <w:szCs w:val="6"/>
                <w:color w:val="auto"/>
              </w:rPr>
            </w:pPr>
          </w:p>
        </w:tc>
        <w:tc>
          <w:tcPr>
            <w:tcW w:w="720" w:type="dxa"/>
            <w:vAlign w:val="bottom"/>
            <w:tcBorders>
              <w:bottom w:val="single" w:sz="8" w:color="1F2668"/>
            </w:tcBorders>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820" w:type="dxa"/>
            <w:vAlign w:val="bottom"/>
          </w:tcPr>
          <w:p>
            <w:pPr>
              <w:spacing w:after="0"/>
              <w:rPr>
                <w:sz w:val="5"/>
                <w:szCs w:val="5"/>
                <w:color w:val="auto"/>
              </w:rPr>
            </w:pPr>
          </w:p>
        </w:tc>
        <w:tc>
          <w:tcPr>
            <w:tcW w:w="2380" w:type="dxa"/>
            <w:vAlign w:val="bottom"/>
            <w:gridSpan w:val="3"/>
            <w:vMerge w:val="continue"/>
            <w:shd w:val="clear" w:color="auto" w:fill="1F2668"/>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shd w:val="clear" w:color="auto" w:fill="83AD40"/>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shd w:val="clear" w:color="auto" w:fill="E9F9D8"/>
          </w:tcPr>
          <w:p>
            <w:pPr>
              <w:spacing w:after="0"/>
              <w:rPr>
                <w:sz w:val="5"/>
                <w:szCs w:val="5"/>
                <w:color w:val="auto"/>
              </w:rPr>
            </w:pPr>
          </w:p>
        </w:tc>
        <w:tc>
          <w:tcPr>
            <w:tcW w:w="40" w:type="dxa"/>
            <w:vAlign w:val="bottom"/>
            <w:shd w:val="clear" w:color="auto" w:fill="E9F9D8"/>
          </w:tcPr>
          <w:p>
            <w:pPr>
              <w:spacing w:after="0"/>
              <w:rPr>
                <w:sz w:val="5"/>
                <w:szCs w:val="5"/>
                <w:color w:val="auto"/>
              </w:rPr>
            </w:pPr>
          </w:p>
        </w:tc>
        <w:tc>
          <w:tcPr>
            <w:tcW w:w="840" w:type="dxa"/>
            <w:vAlign w:val="bottom"/>
            <w:shd w:val="clear" w:color="auto" w:fill="E9F9D8"/>
          </w:tcPr>
          <w:p>
            <w:pPr>
              <w:spacing w:after="0"/>
              <w:rPr>
                <w:sz w:val="5"/>
                <w:szCs w:val="5"/>
                <w:color w:val="auto"/>
              </w:rPr>
            </w:pPr>
          </w:p>
        </w:tc>
        <w:tc>
          <w:tcPr>
            <w:tcW w:w="100" w:type="dxa"/>
            <w:vAlign w:val="bottom"/>
            <w:shd w:val="clear" w:color="auto" w:fill="E9F9D8"/>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180" w:type="dxa"/>
            <w:vAlign w:val="bottom"/>
            <w:gridSpan w:val="3"/>
            <w:vMerge w:val="restart"/>
          </w:tcPr>
          <w:p>
            <w:pPr>
              <w:jc w:val="center"/>
              <w:ind w:left="412"/>
              <w:spacing w:after="0"/>
              <w:rPr>
                <w:sz w:val="20"/>
                <w:szCs w:val="20"/>
                <w:color w:val="auto"/>
              </w:rPr>
            </w:pPr>
            <w:r>
              <w:rPr>
                <w:rFonts w:ascii="Arial" w:cs="Arial" w:eastAsia="Arial" w:hAnsi="Arial"/>
                <w:sz w:val="14"/>
                <w:szCs w:val="14"/>
                <w:color w:val="1F2668"/>
              </w:rPr>
              <w:t>2024 Annual Performance-Based Award—</w:t>
            </w: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2380" w:type="dxa"/>
            <w:vAlign w:val="bottom"/>
            <w:gridSpan w:val="3"/>
            <w:shd w:val="clear" w:color="auto" w:fill="1F2668"/>
          </w:tcPr>
          <w:p>
            <w:pPr>
              <w:ind w:left="140"/>
              <w:spacing w:after="0" w:line="145" w:lineRule="exact"/>
              <w:rPr>
                <w:sz w:val="20"/>
                <w:szCs w:val="20"/>
                <w:color w:val="auto"/>
              </w:rPr>
            </w:pPr>
            <w:r>
              <w:rPr>
                <w:rFonts w:ascii="Arial" w:cs="Arial" w:eastAsia="Arial" w:hAnsi="Arial"/>
                <w:sz w:val="14"/>
                <w:szCs w:val="14"/>
                <w:color w:val="FFFFFF"/>
              </w:rPr>
              <w:t>Mr. Holliday’s expanded role as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shd w:val="clear" w:color="auto" w:fill="83AD40"/>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shd w:val="clear" w:color="auto" w:fill="E9F9D8"/>
          </w:tcPr>
          <w:p>
            <w:pPr>
              <w:spacing w:after="0"/>
              <w:rPr>
                <w:sz w:val="12"/>
                <w:szCs w:val="12"/>
                <w:color w:val="auto"/>
              </w:rPr>
            </w:pPr>
          </w:p>
        </w:tc>
        <w:tc>
          <w:tcPr>
            <w:tcW w:w="40" w:type="dxa"/>
            <w:vAlign w:val="bottom"/>
            <w:shd w:val="clear" w:color="auto" w:fill="E9F9D8"/>
          </w:tcPr>
          <w:p>
            <w:pPr>
              <w:spacing w:after="0"/>
              <w:rPr>
                <w:sz w:val="12"/>
                <w:szCs w:val="12"/>
                <w:color w:val="auto"/>
              </w:rPr>
            </w:pPr>
          </w:p>
        </w:tc>
        <w:tc>
          <w:tcPr>
            <w:tcW w:w="840" w:type="dxa"/>
            <w:vAlign w:val="bottom"/>
            <w:shd w:val="clear" w:color="auto" w:fill="E9F9D8"/>
          </w:tcPr>
          <w:p>
            <w:pPr>
              <w:spacing w:after="0"/>
              <w:rPr>
                <w:sz w:val="12"/>
                <w:szCs w:val="12"/>
                <w:color w:val="auto"/>
              </w:rPr>
            </w:pPr>
          </w:p>
        </w:tc>
        <w:tc>
          <w:tcPr>
            <w:tcW w:w="100" w:type="dxa"/>
            <w:vAlign w:val="bottom"/>
            <w:shd w:val="clear" w:color="auto" w:fill="E9F9D8"/>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gridSpan w:val="2"/>
            <w:vMerge w:val="restart"/>
          </w:tcPr>
          <w:p>
            <w:pPr>
              <w:ind w:left="40"/>
              <w:spacing w:after="0"/>
              <w:rPr>
                <w:sz w:val="20"/>
                <w:szCs w:val="20"/>
                <w:color w:val="auto"/>
              </w:rPr>
            </w:pPr>
            <w:r>
              <w:rPr>
                <w:rFonts w:ascii="Arial" w:cs="Arial" w:eastAsia="Arial" w:hAnsi="Arial"/>
                <w:sz w:val="14"/>
                <w:szCs w:val="14"/>
                <w:color w:val="1F2668"/>
              </w:rPr>
              <w:t>​​</w:t>
            </w:r>
          </w:p>
        </w:tc>
        <w:tc>
          <w:tcPr>
            <w:tcW w:w="318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2380" w:type="dxa"/>
            <w:vAlign w:val="bottom"/>
            <w:gridSpan w:val="3"/>
            <w:shd w:val="clear" w:color="auto" w:fill="1F2668"/>
          </w:tcPr>
          <w:p>
            <w:pPr>
              <w:ind w:left="140"/>
              <w:spacing w:after="0"/>
              <w:rPr>
                <w:sz w:val="20"/>
                <w:szCs w:val="20"/>
                <w:color w:val="auto"/>
              </w:rPr>
            </w:pPr>
            <w:r>
              <w:rPr>
                <w:rFonts w:ascii="Arial" w:cs="Arial" w:eastAsia="Arial" w:hAnsi="Arial"/>
                <w:sz w:val="14"/>
                <w:szCs w:val="14"/>
                <w:color w:val="FFFFFF"/>
              </w:rPr>
              <w:t>Interim President during 2024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shd w:val="clear" w:color="auto" w:fill="83AD40"/>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shd w:val="clear" w:color="auto" w:fill="E9F9D8"/>
          </w:tcPr>
          <w:p>
            <w:pPr>
              <w:spacing w:after="0"/>
              <w:rPr>
                <w:sz w:val="20"/>
                <w:szCs w:val="20"/>
                <w:color w:val="auto"/>
              </w:rPr>
            </w:pPr>
            <w:r>
              <w:rPr>
                <w:rFonts w:ascii="Arial" w:cs="Arial" w:eastAsia="Arial" w:hAnsi="Arial"/>
                <w:sz w:val="14"/>
                <w:szCs w:val="14"/>
                <w:color w:val="1F2668"/>
              </w:rPr>
              <w:t>​</w:t>
            </w:r>
          </w:p>
        </w:tc>
        <w:tc>
          <w:tcPr>
            <w:tcW w:w="40" w:type="dxa"/>
            <w:vAlign w:val="bottom"/>
            <w:shd w:val="clear" w:color="auto" w:fill="E9F9D8"/>
          </w:tcPr>
          <w:p>
            <w:pPr>
              <w:spacing w:after="0"/>
              <w:rPr>
                <w:sz w:val="15"/>
                <w:szCs w:val="15"/>
                <w:color w:val="auto"/>
              </w:rPr>
            </w:pPr>
          </w:p>
        </w:tc>
        <w:tc>
          <w:tcPr>
            <w:tcW w:w="840" w:type="dxa"/>
            <w:vAlign w:val="bottom"/>
            <w:shd w:val="clear" w:color="auto" w:fill="E9F9D8"/>
          </w:tcPr>
          <w:p>
            <w:pPr>
              <w:spacing w:after="0"/>
              <w:rPr>
                <w:sz w:val="15"/>
                <w:szCs w:val="15"/>
                <w:color w:val="auto"/>
              </w:rPr>
            </w:pPr>
          </w:p>
        </w:tc>
        <w:tc>
          <w:tcPr>
            <w:tcW w:w="100" w:type="dxa"/>
            <w:vAlign w:val="bottom"/>
            <w:shd w:val="clear" w:color="auto" w:fill="E9F9D8"/>
          </w:tcPr>
          <w:p>
            <w:pPr>
              <w:spacing w:after="0"/>
              <w:rPr>
                <w:sz w:val="15"/>
                <w:szCs w:val="15"/>
                <w:color w:val="auto"/>
              </w:rPr>
            </w:pPr>
          </w:p>
        </w:tc>
        <w:tc>
          <w:tcPr>
            <w:tcW w:w="100" w:type="dxa"/>
            <w:vAlign w:val="bottom"/>
            <w:gridSpan w:val="2"/>
          </w:tcPr>
          <w:p>
            <w:pPr>
              <w:spacing w:after="0"/>
              <w:rPr>
                <w:sz w:val="20"/>
                <w:szCs w:val="20"/>
                <w:color w:val="auto"/>
              </w:rPr>
            </w:pPr>
            <w:r>
              <w:rPr>
                <w:rFonts w:ascii="Arial" w:cs="Arial" w:eastAsia="Arial" w:hAnsi="Arial"/>
                <w:sz w:val="14"/>
                <w:szCs w:val="14"/>
                <w:color w:val="1F2668"/>
              </w:rPr>
              <w:t>​​</w:t>
            </w:r>
          </w:p>
        </w:tc>
        <w:tc>
          <w:tcPr>
            <w:tcW w:w="880" w:type="dxa"/>
            <w:vAlign w:val="bottom"/>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2280" w:type="dxa"/>
            <w:vAlign w:val="bottom"/>
            <w:gridSpan w:val="2"/>
          </w:tcPr>
          <w:p>
            <w:pPr>
              <w:jc w:val="center"/>
              <w:ind w:right="313"/>
              <w:spacing w:after="0"/>
              <w:rPr>
                <w:sz w:val="20"/>
                <w:szCs w:val="20"/>
                <w:color w:val="auto"/>
              </w:rPr>
            </w:pPr>
            <w:r>
              <w:rPr>
                <w:rFonts w:ascii="Arial" w:cs="Arial" w:eastAsia="Arial" w:hAnsi="Arial"/>
                <w:sz w:val="14"/>
                <w:szCs w:val="14"/>
                <w:color w:val="1F2668"/>
              </w:rPr>
              <w:t>Number of LTIP Units Granted</w:t>
            </w:r>
          </w:p>
        </w:tc>
        <w:tc>
          <w:tcPr>
            <w:tcW w:w="720" w:type="dxa"/>
            <w:vAlign w:val="bottom"/>
          </w:tcPr>
          <w:p>
            <w:pPr>
              <w:jc w:val="right"/>
              <w:spacing w:after="0"/>
              <w:rPr>
                <w:sz w:val="20"/>
                <w:szCs w:val="20"/>
                <w:color w:val="auto"/>
              </w:rPr>
            </w:pPr>
            <w:r>
              <w:rPr>
                <w:rFonts w:ascii="Arial" w:cs="Arial" w:eastAsia="Arial" w:hAnsi="Arial"/>
                <w:sz w:val="14"/>
                <w:szCs w:val="14"/>
                <w:color w:val="1F2668"/>
              </w:rPr>
              <w:t>​</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820" w:type="dxa"/>
            <w:vAlign w:val="bottom"/>
          </w:tcPr>
          <w:p>
            <w:pPr>
              <w:spacing w:after="0"/>
              <w:rPr>
                <w:sz w:val="11"/>
                <w:szCs w:val="11"/>
                <w:color w:val="auto"/>
              </w:rPr>
            </w:pPr>
          </w:p>
        </w:tc>
        <w:tc>
          <w:tcPr>
            <w:tcW w:w="2380" w:type="dxa"/>
            <w:vAlign w:val="bottom"/>
            <w:tcBorders>
              <w:top w:val="single" w:sz="8" w:color="1F2668"/>
            </w:tcBorders>
            <w:gridSpan w:val="3"/>
            <w:shd w:val="clear" w:color="auto" w:fill="1F2668"/>
          </w:tcPr>
          <w:p>
            <w:pPr>
              <w:ind w:left="140"/>
              <w:spacing w:after="0" w:line="135" w:lineRule="exact"/>
              <w:rPr>
                <w:sz w:val="20"/>
                <w:szCs w:val="20"/>
                <w:color w:val="auto"/>
              </w:rPr>
            </w:pPr>
            <w:r>
              <w:rPr>
                <w:rFonts w:ascii="Arial" w:cs="Arial" w:eastAsia="Arial" w:hAnsi="Arial"/>
                <w:sz w:val="14"/>
                <w:szCs w:val="14"/>
                <w:color w:val="FFFFFF"/>
              </w:rPr>
              <w:t>and the advancement of multiple,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83AD40"/>
            </w:tcBorders>
            <w:shd w:val="clear" w:color="auto" w:fill="83AD40"/>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top w:val="single" w:sz="8" w:color="E9F9D8"/>
            </w:tcBorders>
            <w:shd w:val="clear" w:color="auto" w:fill="E9F9D8"/>
          </w:tcPr>
          <w:p>
            <w:pPr>
              <w:spacing w:after="0"/>
              <w:rPr>
                <w:sz w:val="11"/>
                <w:szCs w:val="11"/>
                <w:color w:val="auto"/>
              </w:rPr>
            </w:pPr>
          </w:p>
        </w:tc>
        <w:tc>
          <w:tcPr>
            <w:tcW w:w="40" w:type="dxa"/>
            <w:vAlign w:val="bottom"/>
            <w:tcBorders>
              <w:top w:val="single" w:sz="8" w:color="E9F9D8"/>
            </w:tcBorders>
            <w:shd w:val="clear" w:color="auto" w:fill="E9F9D8"/>
          </w:tcPr>
          <w:p>
            <w:pPr>
              <w:spacing w:after="0"/>
              <w:rPr>
                <w:sz w:val="11"/>
                <w:szCs w:val="11"/>
                <w:color w:val="auto"/>
              </w:rPr>
            </w:pPr>
          </w:p>
        </w:tc>
        <w:tc>
          <w:tcPr>
            <w:tcW w:w="840" w:type="dxa"/>
            <w:vAlign w:val="bottom"/>
            <w:tcBorders>
              <w:top w:val="single" w:sz="8" w:color="E9F9D8"/>
            </w:tcBorders>
            <w:shd w:val="clear" w:color="auto" w:fill="E9F9D8"/>
          </w:tcPr>
          <w:p>
            <w:pPr>
              <w:spacing w:after="0"/>
              <w:rPr>
                <w:sz w:val="11"/>
                <w:szCs w:val="11"/>
                <w:color w:val="auto"/>
              </w:rPr>
            </w:pPr>
          </w:p>
        </w:tc>
        <w:tc>
          <w:tcPr>
            <w:tcW w:w="100" w:type="dxa"/>
            <w:vAlign w:val="bottom"/>
            <w:tcBorders>
              <w:top w:val="single" w:sz="8" w:color="E9F9D8"/>
            </w:tcBorders>
            <w:shd w:val="clear" w:color="auto" w:fill="E9F9D8"/>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1F2668"/>
            </w:tcBorders>
          </w:tcPr>
          <w:p>
            <w:pPr>
              <w:spacing w:after="0"/>
              <w:rPr>
                <w:sz w:val="11"/>
                <w:szCs w:val="11"/>
                <w:color w:val="auto"/>
              </w:rPr>
            </w:pPr>
          </w:p>
        </w:tc>
        <w:tc>
          <w:tcPr>
            <w:tcW w:w="900" w:type="dxa"/>
            <w:vAlign w:val="bottom"/>
            <w:tcBorders>
              <w:top w:val="single" w:sz="8" w:color="1F2668"/>
            </w:tcBorders>
          </w:tcPr>
          <w:p>
            <w:pPr>
              <w:spacing w:after="0"/>
              <w:rPr>
                <w:sz w:val="11"/>
                <w:szCs w:val="11"/>
                <w:color w:val="auto"/>
              </w:rPr>
            </w:pPr>
          </w:p>
        </w:tc>
        <w:tc>
          <w:tcPr>
            <w:tcW w:w="1040" w:type="dxa"/>
            <w:vAlign w:val="bottom"/>
            <w:tcBorders>
              <w:top w:val="single" w:sz="8" w:color="1F2668"/>
            </w:tcBorders>
          </w:tcPr>
          <w:p>
            <w:pPr>
              <w:spacing w:after="0"/>
              <w:rPr>
                <w:sz w:val="11"/>
                <w:szCs w:val="11"/>
                <w:color w:val="auto"/>
              </w:rPr>
            </w:pPr>
          </w:p>
        </w:tc>
        <w:tc>
          <w:tcPr>
            <w:tcW w:w="1240" w:type="dxa"/>
            <w:vAlign w:val="bottom"/>
            <w:tcBorders>
              <w:top w:val="single" w:sz="8" w:color="1F2668"/>
            </w:tcBorders>
          </w:tcPr>
          <w:p>
            <w:pPr>
              <w:spacing w:after="0"/>
              <w:rPr>
                <w:sz w:val="11"/>
                <w:szCs w:val="11"/>
                <w:color w:val="auto"/>
              </w:rPr>
            </w:pPr>
          </w:p>
        </w:tc>
        <w:tc>
          <w:tcPr>
            <w:tcW w:w="720" w:type="dxa"/>
            <w:vAlign w:val="bottom"/>
            <w:tcBorders>
              <w:top w:val="single" w:sz="8" w:color="1F2668"/>
            </w:tcBorders>
          </w:tcPr>
          <w:p>
            <w:pPr>
              <w:jc w:val="right"/>
              <w:ind w:right="48"/>
              <w:spacing w:after="0" w:line="135" w:lineRule="exact"/>
              <w:rPr>
                <w:sz w:val="20"/>
                <w:szCs w:val="20"/>
                <w:color w:val="auto"/>
              </w:rPr>
            </w:pPr>
            <w:r>
              <w:rPr>
                <w:rFonts w:ascii="Arial" w:cs="Arial" w:eastAsia="Arial" w:hAnsi="Arial"/>
                <w:sz w:val="14"/>
                <w:szCs w:val="14"/>
                <w:color w:val="1F2668"/>
                <w:w w:val="97"/>
              </w:rPr>
              <w:t>Projected</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820" w:type="dxa"/>
            <w:vAlign w:val="bottom"/>
          </w:tcPr>
          <w:p>
            <w:pPr>
              <w:spacing w:after="0"/>
              <w:rPr>
                <w:sz w:val="10"/>
                <w:szCs w:val="10"/>
                <w:color w:val="auto"/>
              </w:rPr>
            </w:pPr>
          </w:p>
        </w:tc>
        <w:tc>
          <w:tcPr>
            <w:tcW w:w="2380" w:type="dxa"/>
            <w:vAlign w:val="bottom"/>
            <w:gridSpan w:val="3"/>
            <w:shd w:val="clear" w:color="auto" w:fill="1F2668"/>
          </w:tcPr>
          <w:p>
            <w:pPr>
              <w:ind w:left="140"/>
              <w:spacing w:after="0" w:line="126" w:lineRule="exact"/>
              <w:rPr>
                <w:sz w:val="20"/>
                <w:szCs w:val="20"/>
                <w:color w:val="auto"/>
              </w:rPr>
            </w:pPr>
            <w:r>
              <w:rPr>
                <w:rFonts w:ascii="Arial" w:cs="Arial" w:eastAsia="Arial" w:hAnsi="Arial"/>
                <w:sz w:val="14"/>
                <w:szCs w:val="14"/>
                <w:color w:val="FFFFFF"/>
              </w:rPr>
              <w:t>transformational goals, including</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shd w:val="clear" w:color="auto" w:fill="83AD40"/>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shd w:val="clear" w:color="auto" w:fill="E9F9D8"/>
          </w:tcPr>
          <w:p>
            <w:pPr>
              <w:spacing w:after="0"/>
              <w:rPr>
                <w:sz w:val="10"/>
                <w:szCs w:val="10"/>
                <w:color w:val="auto"/>
              </w:rPr>
            </w:pPr>
          </w:p>
        </w:tc>
        <w:tc>
          <w:tcPr>
            <w:tcW w:w="40" w:type="dxa"/>
            <w:vAlign w:val="bottom"/>
            <w:shd w:val="clear" w:color="auto" w:fill="E9F9D8"/>
          </w:tcPr>
          <w:p>
            <w:pPr>
              <w:spacing w:after="0"/>
              <w:rPr>
                <w:sz w:val="10"/>
                <w:szCs w:val="10"/>
                <w:color w:val="auto"/>
              </w:rPr>
            </w:pPr>
          </w:p>
        </w:tc>
        <w:tc>
          <w:tcPr>
            <w:tcW w:w="840" w:type="dxa"/>
            <w:vAlign w:val="bottom"/>
            <w:shd w:val="clear" w:color="auto" w:fill="E9F9D8"/>
          </w:tcPr>
          <w:p>
            <w:pPr>
              <w:spacing w:after="0"/>
              <w:rPr>
                <w:sz w:val="10"/>
                <w:szCs w:val="10"/>
                <w:color w:val="auto"/>
              </w:rPr>
            </w:pPr>
          </w:p>
        </w:tc>
        <w:tc>
          <w:tcPr>
            <w:tcW w:w="100" w:type="dxa"/>
            <w:vAlign w:val="bottom"/>
            <w:shd w:val="clear" w:color="auto" w:fill="E9F9D8"/>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1F2668"/>
              </w:rPr>
              <w:t>Earned</w:t>
            </w: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2380" w:type="dxa"/>
            <w:vAlign w:val="bottom"/>
            <w:gridSpan w:val="3"/>
            <w:vMerge w:val="restart"/>
            <w:shd w:val="clear" w:color="auto" w:fill="1F2668"/>
          </w:tcPr>
          <w:p>
            <w:pPr>
              <w:ind w:left="140"/>
              <w:spacing w:after="0"/>
              <w:rPr>
                <w:sz w:val="20"/>
                <w:szCs w:val="20"/>
                <w:color w:val="auto"/>
              </w:rPr>
            </w:pPr>
            <w:r>
              <w:rPr>
                <w:rFonts w:ascii="Arial" w:cs="Arial" w:eastAsia="Arial" w:hAnsi="Arial"/>
                <w:sz w:val="14"/>
                <w:szCs w:val="14"/>
                <w:color w:val="FFFFFF"/>
              </w:rPr>
              <w:t>the following achievements:</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shd w:val="clear" w:color="auto" w:fill="83AD40"/>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shd w:val="clear" w:color="auto" w:fill="E9F9D8"/>
          </w:tcPr>
          <w:p>
            <w:pPr>
              <w:spacing w:after="0"/>
              <w:rPr>
                <w:sz w:val="4"/>
                <w:szCs w:val="4"/>
                <w:color w:val="auto"/>
              </w:rPr>
            </w:pPr>
          </w:p>
        </w:tc>
        <w:tc>
          <w:tcPr>
            <w:tcW w:w="40" w:type="dxa"/>
            <w:vAlign w:val="bottom"/>
            <w:shd w:val="clear" w:color="auto" w:fill="E9F9D8"/>
          </w:tcPr>
          <w:p>
            <w:pPr>
              <w:spacing w:after="0"/>
              <w:rPr>
                <w:sz w:val="4"/>
                <w:szCs w:val="4"/>
                <w:color w:val="auto"/>
              </w:rPr>
            </w:pPr>
          </w:p>
        </w:tc>
        <w:tc>
          <w:tcPr>
            <w:tcW w:w="840" w:type="dxa"/>
            <w:vAlign w:val="bottom"/>
            <w:shd w:val="clear" w:color="auto" w:fill="E9F9D8"/>
          </w:tcPr>
          <w:p>
            <w:pPr>
              <w:spacing w:after="0"/>
              <w:rPr>
                <w:sz w:val="4"/>
                <w:szCs w:val="4"/>
                <w:color w:val="auto"/>
              </w:rPr>
            </w:pPr>
          </w:p>
        </w:tc>
        <w:tc>
          <w:tcPr>
            <w:tcW w:w="100" w:type="dxa"/>
            <w:vAlign w:val="bottom"/>
            <w:shd w:val="clear" w:color="auto" w:fill="E9F9D8"/>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820" w:type="dxa"/>
            <w:vAlign w:val="bottom"/>
          </w:tcPr>
          <w:p>
            <w:pPr>
              <w:spacing w:after="0"/>
              <w:rPr>
                <w:sz w:val="11"/>
                <w:szCs w:val="11"/>
                <w:color w:val="auto"/>
              </w:rPr>
            </w:pPr>
          </w:p>
        </w:tc>
        <w:tc>
          <w:tcPr>
            <w:tcW w:w="2380" w:type="dxa"/>
            <w:vAlign w:val="bottom"/>
            <w:gridSpan w:val="3"/>
            <w:vMerge w:val="continue"/>
            <w:shd w:val="clear" w:color="auto" w:fill="1F2668"/>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shd w:val="clear" w:color="auto" w:fill="83AD40"/>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vMerge w:val="restart"/>
            <w:shd w:val="clear" w:color="auto" w:fill="E9F9D8"/>
          </w:tcPr>
          <w:p>
            <w:pPr>
              <w:spacing w:after="0"/>
              <w:rPr>
                <w:sz w:val="20"/>
                <w:szCs w:val="20"/>
                <w:color w:val="auto"/>
              </w:rPr>
            </w:pPr>
            <w:r>
              <w:rPr>
                <w:rFonts w:ascii="Arial" w:cs="Arial" w:eastAsia="Arial" w:hAnsi="Arial"/>
                <w:sz w:val="14"/>
                <w:szCs w:val="14"/>
                <w:color w:val="1F2668"/>
              </w:rPr>
              <w:t>​</w:t>
            </w:r>
          </w:p>
        </w:tc>
        <w:tc>
          <w:tcPr>
            <w:tcW w:w="40" w:type="dxa"/>
            <w:vAlign w:val="bottom"/>
            <w:shd w:val="clear" w:color="auto" w:fill="E9F9D8"/>
          </w:tcPr>
          <w:p>
            <w:pPr>
              <w:spacing w:after="0"/>
              <w:rPr>
                <w:sz w:val="11"/>
                <w:szCs w:val="11"/>
                <w:color w:val="auto"/>
              </w:rPr>
            </w:pPr>
          </w:p>
        </w:tc>
        <w:tc>
          <w:tcPr>
            <w:tcW w:w="840" w:type="dxa"/>
            <w:vAlign w:val="bottom"/>
            <w:shd w:val="clear" w:color="auto" w:fill="E9F9D8"/>
          </w:tcPr>
          <w:p>
            <w:pPr>
              <w:spacing w:after="0"/>
              <w:rPr>
                <w:sz w:val="11"/>
                <w:szCs w:val="11"/>
                <w:color w:val="auto"/>
              </w:rPr>
            </w:pPr>
          </w:p>
        </w:tc>
        <w:tc>
          <w:tcPr>
            <w:tcW w:w="100" w:type="dxa"/>
            <w:vAlign w:val="bottom"/>
            <w:shd w:val="clear" w:color="auto" w:fill="E9F9D8"/>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color w:val="1F2668"/>
              </w:rPr>
              <w:t>​​</w:t>
            </w:r>
          </w:p>
        </w:tc>
        <w:tc>
          <w:tcPr>
            <w:tcW w:w="280" w:type="dxa"/>
            <w:vAlign w:val="bottom"/>
            <w:gridSpan w:val="2"/>
            <w:vMerge w:val="restart"/>
          </w:tcPr>
          <w:p>
            <w:pPr>
              <w:ind w:left="40"/>
              <w:spacing w:after="0"/>
              <w:rPr>
                <w:sz w:val="20"/>
                <w:szCs w:val="20"/>
                <w:color w:val="auto"/>
              </w:rPr>
            </w:pPr>
            <w:r>
              <w:rPr>
                <w:rFonts w:ascii="Arial" w:cs="Arial" w:eastAsia="Arial" w:hAnsi="Arial"/>
                <w:sz w:val="14"/>
                <w:szCs w:val="14"/>
                <w:color w:val="1F2668"/>
              </w:rPr>
              <w:t>​ ​​</w:t>
            </w:r>
          </w:p>
        </w:tc>
        <w:tc>
          <w:tcPr>
            <w:tcW w:w="900" w:type="dxa"/>
            <w:vAlign w:val="bottom"/>
            <w:vMerge w:val="restart"/>
          </w:tcPr>
          <w:p>
            <w:pPr>
              <w:jc w:val="right"/>
              <w:spacing w:after="0" w:line="199" w:lineRule="exact"/>
              <w:rPr>
                <w:sz w:val="20"/>
                <w:szCs w:val="20"/>
                <w:color w:val="auto"/>
              </w:rPr>
            </w:pPr>
            <w:r>
              <w:rPr>
                <w:rFonts w:ascii="Arial" w:cs="Arial" w:eastAsia="Arial" w:hAnsi="Arial"/>
                <w:sz w:val="12"/>
                <w:szCs w:val="12"/>
                <w:color w:val="1F2668"/>
              </w:rPr>
              <w:t xml:space="preserve">Threshold </w:t>
            </w:r>
            <w:r>
              <w:rPr>
                <w:rFonts w:ascii="Arial" w:cs="Arial" w:eastAsia="Arial" w:hAnsi="Arial"/>
                <w:sz w:val="22"/>
                <w:szCs w:val="22"/>
                <w:color w:val="1F2668"/>
                <w:vertAlign w:val="subscript"/>
              </w:rPr>
              <w:t>​​</w:t>
            </w:r>
          </w:p>
        </w:tc>
        <w:tc>
          <w:tcPr>
            <w:tcW w:w="1040" w:type="dxa"/>
            <w:vAlign w:val="bottom"/>
            <w:vMerge w:val="restart"/>
          </w:tcPr>
          <w:p>
            <w:pPr>
              <w:jc w:val="right"/>
              <w:ind w:right="72"/>
              <w:spacing w:after="0" w:line="199" w:lineRule="exact"/>
              <w:rPr>
                <w:sz w:val="20"/>
                <w:szCs w:val="20"/>
                <w:color w:val="auto"/>
              </w:rPr>
            </w:pPr>
            <w:r>
              <w:rPr>
                <w:rFonts w:ascii="Arial" w:cs="Arial" w:eastAsia="Arial" w:hAnsi="Arial"/>
                <w:sz w:val="12"/>
                <w:szCs w:val="12"/>
                <w:color w:val="1F2668"/>
              </w:rPr>
              <w:t xml:space="preserve">Target </w:t>
            </w:r>
            <w:r>
              <w:rPr>
                <w:rFonts w:ascii="Arial" w:cs="Arial" w:eastAsia="Arial" w:hAnsi="Arial"/>
                <w:sz w:val="22"/>
                <w:szCs w:val="22"/>
                <w:color w:val="1F2668"/>
                <w:vertAlign w:val="subscript"/>
              </w:rPr>
              <w:t>​​</w:t>
            </w:r>
          </w:p>
        </w:tc>
        <w:tc>
          <w:tcPr>
            <w:tcW w:w="1960" w:type="dxa"/>
            <w:vAlign w:val="bottom"/>
            <w:gridSpan w:val="2"/>
            <w:vMerge w:val="restart"/>
          </w:tcPr>
          <w:p>
            <w:pPr>
              <w:jc w:val="right"/>
              <w:ind w:right="8"/>
              <w:spacing w:after="0" w:line="199" w:lineRule="exact"/>
              <w:rPr>
                <w:sz w:val="20"/>
                <w:szCs w:val="20"/>
                <w:color w:val="auto"/>
              </w:rPr>
            </w:pPr>
            <w:r>
              <w:rPr>
                <w:rFonts w:ascii="Arial" w:cs="Arial" w:eastAsia="Arial" w:hAnsi="Arial"/>
                <w:sz w:val="12"/>
                <w:szCs w:val="12"/>
                <w:color w:val="1F2668"/>
              </w:rPr>
              <w:t xml:space="preserve">Maximum </w:t>
            </w:r>
            <w:r>
              <w:rPr>
                <w:rFonts w:ascii="Arial" w:cs="Arial" w:eastAsia="Arial" w:hAnsi="Arial"/>
                <w:sz w:val="22"/>
                <w:szCs w:val="22"/>
                <w:color w:val="1F2668"/>
                <w:vertAlign w:val="subscript"/>
              </w:rPr>
              <w:t>​​</w:t>
            </w:r>
            <w:r>
              <w:rPr>
                <w:rFonts w:ascii="Arial" w:cs="Arial" w:eastAsia="Arial" w:hAnsi="Arial"/>
                <w:sz w:val="12"/>
                <w:szCs w:val="12"/>
                <w:color w:val="1F2668"/>
              </w:rPr>
              <w:t xml:space="preserve"> as of 12/31/2024</w:t>
            </w:r>
          </w:p>
        </w:tc>
        <w:tc>
          <w:tcPr>
            <w:tcW w:w="880" w:type="dxa"/>
            <w:vAlign w:val="bottom"/>
            <w:vMerge w:val="restart"/>
          </w:tcPr>
          <w:p>
            <w:pPr>
              <w:ind w:left="40"/>
              <w:spacing w:after="0"/>
              <w:rPr>
                <w:sz w:val="20"/>
                <w:szCs w:val="20"/>
                <w:color w:val="auto"/>
              </w:rPr>
            </w:pPr>
            <w:r>
              <w:rPr>
                <w:rFonts w:ascii="Arial" w:cs="Arial" w:eastAsia="Arial" w:hAnsi="Arial"/>
                <w:sz w:val="14"/>
                <w:szCs w:val="14"/>
                <w:color w:val="1F2668"/>
              </w:rPr>
              <w:t>​</w:t>
            </w:r>
          </w:p>
        </w:tc>
        <w:tc>
          <w:tcPr>
            <w:tcW w:w="0" w:type="dxa"/>
            <w:vAlign w:val="bottom"/>
          </w:tcPr>
          <w:p>
            <w:pPr>
              <w:spacing w:after="0"/>
              <w:rPr>
                <w:sz w:val="1"/>
                <w:szCs w:val="1"/>
                <w:color w:val="auto"/>
              </w:rPr>
            </w:pPr>
          </w:p>
        </w:tc>
      </w:tr>
      <w:tr>
        <w:trPr>
          <w:trHeight w:val="69"/>
        </w:trPr>
        <w:tc>
          <w:tcPr>
            <w:tcW w:w="820" w:type="dxa"/>
            <w:vAlign w:val="bottom"/>
          </w:tcPr>
          <w:p>
            <w:pPr>
              <w:spacing w:after="0"/>
              <w:rPr>
                <w:sz w:val="6"/>
                <w:szCs w:val="6"/>
                <w:color w:val="auto"/>
              </w:rPr>
            </w:pPr>
          </w:p>
        </w:tc>
        <w:tc>
          <w:tcPr>
            <w:tcW w:w="280" w:type="dxa"/>
            <w:vAlign w:val="bottom"/>
            <w:gridSpan w:val="2"/>
            <w:vMerge w:val="restart"/>
            <w:shd w:val="clear" w:color="auto" w:fill="1F2668"/>
          </w:tcPr>
          <w:p>
            <w:pPr>
              <w:ind w:left="140"/>
              <w:spacing w:after="0"/>
              <w:rPr>
                <w:sz w:val="20"/>
                <w:szCs w:val="20"/>
                <w:color w:val="auto"/>
              </w:rPr>
            </w:pPr>
            <w:r>
              <w:rPr>
                <w:rFonts w:ascii="Arial" w:cs="Arial" w:eastAsia="Arial" w:hAnsi="Arial"/>
                <w:sz w:val="14"/>
                <w:szCs w:val="14"/>
                <w:color w:val="FFFFFF"/>
              </w:rPr>
              <w:t>•</w:t>
            </w:r>
          </w:p>
        </w:tc>
        <w:tc>
          <w:tcPr>
            <w:tcW w:w="2100" w:type="dxa"/>
            <w:vAlign w:val="bottom"/>
            <w:vMerge w:val="restart"/>
            <w:shd w:val="clear" w:color="auto" w:fill="1F2668"/>
          </w:tcPr>
          <w:p>
            <w:pPr>
              <w:ind w:left="20"/>
              <w:spacing w:after="0"/>
              <w:rPr>
                <w:sz w:val="20"/>
                <w:szCs w:val="20"/>
                <w:color w:val="auto"/>
              </w:rPr>
            </w:pPr>
            <w:r>
              <w:rPr>
                <w:rFonts w:ascii="Arial" w:cs="Arial" w:eastAsia="Arial" w:hAnsi="Arial"/>
                <w:sz w:val="14"/>
                <w:szCs w:val="14"/>
                <w:color w:val="FFFFFF"/>
              </w:rPr>
              <w:t>outstanding operating</w:t>
            </w: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shd w:val="clear" w:color="auto" w:fill="83AD40"/>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vMerge w:val="continue"/>
            <w:shd w:val="clear" w:color="auto" w:fill="E9F9D8"/>
          </w:tcPr>
          <w:p>
            <w:pPr>
              <w:spacing w:after="0"/>
              <w:rPr>
                <w:sz w:val="6"/>
                <w:szCs w:val="6"/>
                <w:color w:val="auto"/>
              </w:rPr>
            </w:pPr>
          </w:p>
        </w:tc>
        <w:tc>
          <w:tcPr>
            <w:tcW w:w="40" w:type="dxa"/>
            <w:vAlign w:val="bottom"/>
            <w:shd w:val="clear" w:color="auto" w:fill="E9F9D8"/>
          </w:tcPr>
          <w:p>
            <w:pPr>
              <w:spacing w:after="0"/>
              <w:rPr>
                <w:sz w:val="6"/>
                <w:szCs w:val="6"/>
                <w:color w:val="auto"/>
              </w:rPr>
            </w:pPr>
          </w:p>
        </w:tc>
        <w:tc>
          <w:tcPr>
            <w:tcW w:w="840" w:type="dxa"/>
            <w:vAlign w:val="bottom"/>
            <w:shd w:val="clear" w:color="auto" w:fill="E9F9D8"/>
          </w:tcPr>
          <w:p>
            <w:pPr>
              <w:spacing w:after="0"/>
              <w:rPr>
                <w:sz w:val="6"/>
                <w:szCs w:val="6"/>
                <w:color w:val="auto"/>
              </w:rPr>
            </w:pPr>
          </w:p>
        </w:tc>
        <w:tc>
          <w:tcPr>
            <w:tcW w:w="100" w:type="dxa"/>
            <w:vAlign w:val="bottom"/>
            <w:shd w:val="clear" w:color="auto" w:fill="E9F9D8"/>
          </w:tcPr>
          <w:p>
            <w:pPr>
              <w:spacing w:after="0"/>
              <w:rPr>
                <w:sz w:val="6"/>
                <w:szCs w:val="6"/>
                <w:color w:val="auto"/>
              </w:rPr>
            </w:pPr>
          </w:p>
        </w:tc>
        <w:tc>
          <w:tcPr>
            <w:tcW w:w="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280" w:type="dxa"/>
            <w:vAlign w:val="bottom"/>
            <w:gridSpan w:val="2"/>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960" w:type="dxa"/>
            <w:vAlign w:val="bottom"/>
            <w:gridSpan w:val="2"/>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820" w:type="dxa"/>
            <w:vAlign w:val="bottom"/>
          </w:tcPr>
          <w:p>
            <w:pPr>
              <w:spacing w:after="0"/>
              <w:rPr>
                <w:sz w:val="10"/>
                <w:szCs w:val="10"/>
                <w:color w:val="auto"/>
              </w:rPr>
            </w:pPr>
          </w:p>
        </w:tc>
        <w:tc>
          <w:tcPr>
            <w:tcW w:w="280" w:type="dxa"/>
            <w:vAlign w:val="bottom"/>
            <w:tcBorders>
              <w:top w:val="single" w:sz="8" w:color="1F2668"/>
            </w:tcBorders>
            <w:gridSpan w:val="2"/>
            <w:vMerge w:val="continue"/>
            <w:shd w:val="clear" w:color="auto" w:fill="1F2668"/>
          </w:tcPr>
          <w:p>
            <w:pPr>
              <w:spacing w:after="0"/>
              <w:rPr>
                <w:sz w:val="10"/>
                <w:szCs w:val="10"/>
                <w:color w:val="auto"/>
              </w:rPr>
            </w:pPr>
          </w:p>
        </w:tc>
        <w:tc>
          <w:tcPr>
            <w:tcW w:w="2100" w:type="dxa"/>
            <w:vAlign w:val="bottom"/>
            <w:tcBorders>
              <w:top w:val="single" w:sz="8" w:color="1F2668"/>
            </w:tcBorders>
            <w:vMerge w:val="continue"/>
            <w:shd w:val="clear" w:color="auto" w:fill="1F2668"/>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83AD40"/>
            </w:tcBorders>
            <w:shd w:val="clear" w:color="auto" w:fill="83AD40"/>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Borders>
              <w:top w:val="single" w:sz="8" w:color="E9F9D8"/>
            </w:tcBorders>
            <w:shd w:val="clear" w:color="auto" w:fill="E9F9D8"/>
          </w:tcPr>
          <w:p>
            <w:pPr>
              <w:spacing w:after="0"/>
              <w:rPr>
                <w:sz w:val="10"/>
                <w:szCs w:val="10"/>
                <w:color w:val="auto"/>
              </w:rPr>
            </w:pPr>
          </w:p>
        </w:tc>
        <w:tc>
          <w:tcPr>
            <w:tcW w:w="40" w:type="dxa"/>
            <w:vAlign w:val="bottom"/>
            <w:tcBorders>
              <w:top w:val="single" w:sz="8" w:color="E9F9D8"/>
            </w:tcBorders>
            <w:shd w:val="clear" w:color="auto" w:fill="E9F9D8"/>
          </w:tcPr>
          <w:p>
            <w:pPr>
              <w:spacing w:after="0"/>
              <w:rPr>
                <w:sz w:val="10"/>
                <w:szCs w:val="10"/>
                <w:color w:val="auto"/>
              </w:rPr>
            </w:pPr>
          </w:p>
        </w:tc>
        <w:tc>
          <w:tcPr>
            <w:tcW w:w="840" w:type="dxa"/>
            <w:vAlign w:val="bottom"/>
            <w:tcBorders>
              <w:top w:val="single" w:sz="8" w:color="E9F9D8"/>
            </w:tcBorders>
            <w:shd w:val="clear" w:color="auto" w:fill="E9F9D8"/>
          </w:tcPr>
          <w:p>
            <w:pPr>
              <w:spacing w:after="0"/>
              <w:rPr>
                <w:sz w:val="10"/>
                <w:szCs w:val="10"/>
                <w:color w:val="auto"/>
              </w:rPr>
            </w:pPr>
          </w:p>
        </w:tc>
        <w:tc>
          <w:tcPr>
            <w:tcW w:w="100" w:type="dxa"/>
            <w:vAlign w:val="bottom"/>
            <w:tcBorders>
              <w:top w:val="single" w:sz="8" w:color="E9F9D8"/>
            </w:tcBorders>
            <w:shd w:val="clear" w:color="auto" w:fill="E9F9D8"/>
          </w:tcPr>
          <w:p>
            <w:pPr>
              <w:spacing w:after="0"/>
              <w:rPr>
                <w:sz w:val="10"/>
                <w:szCs w:val="10"/>
                <w:color w:val="auto"/>
              </w:rPr>
            </w:pPr>
          </w:p>
        </w:tc>
        <w:tc>
          <w:tcPr>
            <w:tcW w:w="40" w:type="dxa"/>
            <w:vAlign w:val="bottom"/>
          </w:tcPr>
          <w:p>
            <w:pPr>
              <w:spacing w:after="0" w:line="122"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20"/>
              <w:spacing w:after="0" w:line="122" w:lineRule="exact"/>
              <w:rPr>
                <w:sz w:val="20"/>
                <w:szCs w:val="20"/>
                <w:color w:val="auto"/>
              </w:rPr>
            </w:pPr>
            <w:r>
              <w:rPr>
                <w:rFonts w:ascii="Arial" w:cs="Arial" w:eastAsia="Arial" w:hAnsi="Arial"/>
                <w:sz w:val="14"/>
                <w:szCs w:val="14"/>
                <w:color w:val="auto"/>
              </w:rPr>
              <w:t>​​</w:t>
            </w:r>
          </w:p>
        </w:tc>
        <w:tc>
          <w:tcPr>
            <w:tcW w:w="100" w:type="dxa"/>
            <w:vAlign w:val="bottom"/>
          </w:tcPr>
          <w:p>
            <w:pPr>
              <w:ind w:left="40"/>
              <w:spacing w:after="0" w:line="12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4B5088"/>
            </w:tcBorders>
          </w:tcPr>
          <w:p>
            <w:pPr>
              <w:spacing w:after="0" w:line="122"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4B5088"/>
            </w:tcBorders>
          </w:tcPr>
          <w:p>
            <w:pPr>
              <w:jc w:val="right"/>
              <w:spacing w:after="0" w:line="122" w:lineRule="exact"/>
              <w:rPr>
                <w:sz w:val="20"/>
                <w:szCs w:val="20"/>
                <w:color w:val="auto"/>
              </w:rPr>
            </w:pPr>
            <w:r>
              <w:rPr>
                <w:rFonts w:ascii="Arial" w:cs="Arial" w:eastAsia="Arial" w:hAnsi="Arial"/>
                <w:sz w:val="14"/>
                <w:szCs w:val="14"/>
                <w:color w:val="auto"/>
              </w:rPr>
              <w:t>75,856 ​​</w:t>
            </w:r>
          </w:p>
        </w:tc>
        <w:tc>
          <w:tcPr>
            <w:tcW w:w="1040" w:type="dxa"/>
            <w:vAlign w:val="bottom"/>
            <w:tcBorders>
              <w:top w:val="single" w:sz="8" w:color="4B5088"/>
            </w:tcBorders>
          </w:tcPr>
          <w:p>
            <w:pPr>
              <w:jc w:val="right"/>
              <w:ind w:right="72"/>
              <w:spacing w:after="0" w:line="122" w:lineRule="exact"/>
              <w:rPr>
                <w:sz w:val="20"/>
                <w:szCs w:val="20"/>
                <w:color w:val="auto"/>
              </w:rPr>
            </w:pPr>
            <w:r>
              <w:rPr>
                <w:rFonts w:ascii="Arial" w:cs="Arial" w:eastAsia="Arial" w:hAnsi="Arial"/>
                <w:sz w:val="14"/>
                <w:szCs w:val="14"/>
                <w:color w:val="auto"/>
              </w:rPr>
              <w:t>161,825 ​​</w:t>
            </w:r>
          </w:p>
        </w:tc>
        <w:tc>
          <w:tcPr>
            <w:tcW w:w="1240" w:type="dxa"/>
            <w:vAlign w:val="bottom"/>
            <w:tcBorders>
              <w:top w:val="single" w:sz="8" w:color="4B5088"/>
            </w:tcBorders>
          </w:tcPr>
          <w:p>
            <w:pPr>
              <w:ind w:left="120"/>
              <w:spacing w:after="0" w:line="122" w:lineRule="exact"/>
              <w:rPr>
                <w:sz w:val="20"/>
                <w:szCs w:val="20"/>
                <w:color w:val="auto"/>
              </w:rPr>
            </w:pPr>
            <w:r>
              <w:rPr>
                <w:rFonts w:ascii="Arial" w:cs="Arial" w:eastAsia="Arial" w:hAnsi="Arial"/>
                <w:sz w:val="14"/>
                <w:szCs w:val="14"/>
                <w:color w:val="auto"/>
              </w:rPr>
              <w:t>364,107 ​​</w:t>
            </w:r>
          </w:p>
        </w:tc>
        <w:tc>
          <w:tcPr>
            <w:tcW w:w="720" w:type="dxa"/>
            <w:vAlign w:val="bottom"/>
            <w:tcBorders>
              <w:top w:val="single" w:sz="8" w:color="4B5088"/>
            </w:tcBorders>
          </w:tcPr>
          <w:p>
            <w:pPr>
              <w:jc w:val="right"/>
              <w:ind w:right="8"/>
              <w:spacing w:after="0" w:line="122" w:lineRule="exact"/>
              <w:rPr>
                <w:sz w:val="20"/>
                <w:szCs w:val="20"/>
                <w:color w:val="auto"/>
              </w:rPr>
            </w:pPr>
            <w:r>
              <w:rPr>
                <w:rFonts w:ascii="Arial" w:cs="Arial" w:eastAsia="Arial" w:hAnsi="Arial"/>
                <w:sz w:val="14"/>
                <w:szCs w:val="14"/>
                <w:color w:val="auto"/>
              </w:rPr>
              <w:t>327,696</w:t>
            </w:r>
          </w:p>
        </w:tc>
        <w:tc>
          <w:tcPr>
            <w:tcW w:w="880" w:type="dxa"/>
            <w:vAlign w:val="bottom"/>
          </w:tcPr>
          <w:p>
            <w:pPr>
              <w:ind w:left="40"/>
              <w:spacing w:after="0" w:line="12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820" w:type="dxa"/>
            <w:vAlign w:val="bottom"/>
          </w:tcPr>
          <w:p>
            <w:pPr>
              <w:spacing w:after="0"/>
              <w:rPr>
                <w:sz w:val="7"/>
                <w:szCs w:val="7"/>
                <w:color w:val="auto"/>
              </w:rPr>
            </w:pPr>
          </w:p>
        </w:tc>
        <w:tc>
          <w:tcPr>
            <w:tcW w:w="200" w:type="dxa"/>
            <w:vAlign w:val="bottom"/>
            <w:tcBorders>
              <w:bottom w:val="single" w:sz="8" w:color="1F2668"/>
              <w:right w:val="single" w:sz="8" w:color="1F2668"/>
            </w:tcBorders>
            <w:shd w:val="clear" w:color="auto" w:fill="1F2668"/>
          </w:tcPr>
          <w:p>
            <w:pPr>
              <w:spacing w:after="0"/>
              <w:rPr>
                <w:sz w:val="7"/>
                <w:szCs w:val="7"/>
                <w:color w:val="auto"/>
              </w:rPr>
            </w:pPr>
          </w:p>
        </w:tc>
        <w:tc>
          <w:tcPr>
            <w:tcW w:w="80" w:type="dxa"/>
            <w:vAlign w:val="bottom"/>
            <w:tcBorders>
              <w:bottom w:val="single" w:sz="8" w:color="1F2668"/>
            </w:tcBorders>
            <w:shd w:val="clear" w:color="auto" w:fill="1F2668"/>
          </w:tcPr>
          <w:p>
            <w:pPr>
              <w:spacing w:after="0"/>
              <w:rPr>
                <w:sz w:val="7"/>
                <w:szCs w:val="7"/>
                <w:color w:val="auto"/>
              </w:rPr>
            </w:pPr>
          </w:p>
        </w:tc>
        <w:tc>
          <w:tcPr>
            <w:tcW w:w="2100" w:type="dxa"/>
            <w:vAlign w:val="bottom"/>
            <w:tcBorders>
              <w:bottom w:val="single" w:sz="8" w:color="1F2668"/>
            </w:tcBorders>
            <w:vMerge w:val="restart"/>
            <w:shd w:val="clear" w:color="auto" w:fill="1F2668"/>
          </w:tcPr>
          <w:p>
            <w:pPr>
              <w:ind w:left="20"/>
              <w:spacing w:after="0"/>
              <w:rPr>
                <w:sz w:val="20"/>
                <w:szCs w:val="20"/>
                <w:color w:val="auto"/>
              </w:rPr>
            </w:pPr>
            <w:r>
              <w:rPr>
                <w:rFonts w:ascii="Arial" w:cs="Arial" w:eastAsia="Arial" w:hAnsi="Arial"/>
                <w:sz w:val="14"/>
                <w:szCs w:val="14"/>
                <w:color w:val="FFFFFF"/>
              </w:rPr>
              <w:t>performance;</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Borders>
              <w:bottom w:val="single" w:sz="8" w:color="83AD40"/>
            </w:tcBorders>
            <w:shd w:val="clear" w:color="auto" w:fill="83AD40"/>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E9F9D8"/>
            </w:tcBorders>
            <w:shd w:val="clear" w:color="auto" w:fill="E9F9D8"/>
          </w:tcPr>
          <w:p>
            <w:pPr>
              <w:spacing w:after="0"/>
              <w:rPr>
                <w:sz w:val="7"/>
                <w:szCs w:val="7"/>
                <w:color w:val="auto"/>
              </w:rPr>
            </w:pPr>
          </w:p>
        </w:tc>
        <w:tc>
          <w:tcPr>
            <w:tcW w:w="40" w:type="dxa"/>
            <w:vAlign w:val="bottom"/>
            <w:tcBorders>
              <w:bottom w:val="single" w:sz="8" w:color="E9F9D8"/>
            </w:tcBorders>
            <w:shd w:val="clear" w:color="auto" w:fill="E9F9D8"/>
          </w:tcPr>
          <w:p>
            <w:pPr>
              <w:spacing w:after="0"/>
              <w:rPr>
                <w:sz w:val="7"/>
                <w:szCs w:val="7"/>
                <w:color w:val="auto"/>
              </w:rPr>
            </w:pPr>
          </w:p>
        </w:tc>
        <w:tc>
          <w:tcPr>
            <w:tcW w:w="840" w:type="dxa"/>
            <w:vAlign w:val="bottom"/>
            <w:tcBorders>
              <w:bottom w:val="single" w:sz="8" w:color="E9F9D8"/>
            </w:tcBorders>
            <w:shd w:val="clear" w:color="auto" w:fill="E9F9D8"/>
          </w:tcPr>
          <w:p>
            <w:pPr>
              <w:spacing w:after="0"/>
              <w:rPr>
                <w:sz w:val="7"/>
                <w:szCs w:val="7"/>
                <w:color w:val="auto"/>
              </w:rPr>
            </w:pPr>
          </w:p>
        </w:tc>
        <w:tc>
          <w:tcPr>
            <w:tcW w:w="100" w:type="dxa"/>
            <w:vAlign w:val="bottom"/>
            <w:tcBorders>
              <w:bottom w:val="single" w:sz="8" w:color="E9F9D8"/>
            </w:tcBorders>
            <w:shd w:val="clear" w:color="auto" w:fill="E9F9D8"/>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bottom w:val="single" w:sz="8" w:color="4B5088"/>
            </w:tcBorders>
          </w:tcPr>
          <w:p>
            <w:pPr>
              <w:spacing w:after="0"/>
              <w:rPr>
                <w:sz w:val="7"/>
                <w:szCs w:val="7"/>
                <w:color w:val="auto"/>
              </w:rPr>
            </w:pPr>
          </w:p>
        </w:tc>
        <w:tc>
          <w:tcPr>
            <w:tcW w:w="900" w:type="dxa"/>
            <w:vAlign w:val="bottom"/>
            <w:tcBorders>
              <w:bottom w:val="single" w:sz="8" w:color="4B5088"/>
            </w:tcBorders>
          </w:tcPr>
          <w:p>
            <w:pPr>
              <w:spacing w:after="0"/>
              <w:rPr>
                <w:sz w:val="7"/>
                <w:szCs w:val="7"/>
                <w:color w:val="auto"/>
              </w:rPr>
            </w:pPr>
          </w:p>
        </w:tc>
        <w:tc>
          <w:tcPr>
            <w:tcW w:w="1040" w:type="dxa"/>
            <w:vAlign w:val="bottom"/>
            <w:tcBorders>
              <w:bottom w:val="single" w:sz="8" w:color="4B5088"/>
            </w:tcBorders>
          </w:tcPr>
          <w:p>
            <w:pPr>
              <w:spacing w:after="0"/>
              <w:rPr>
                <w:sz w:val="7"/>
                <w:szCs w:val="7"/>
                <w:color w:val="auto"/>
              </w:rPr>
            </w:pPr>
          </w:p>
        </w:tc>
        <w:tc>
          <w:tcPr>
            <w:tcW w:w="1240" w:type="dxa"/>
            <w:vAlign w:val="bottom"/>
            <w:tcBorders>
              <w:bottom w:val="single" w:sz="8" w:color="4B5088"/>
            </w:tcBorders>
          </w:tcPr>
          <w:p>
            <w:pPr>
              <w:spacing w:after="0"/>
              <w:rPr>
                <w:sz w:val="7"/>
                <w:szCs w:val="7"/>
                <w:color w:val="auto"/>
              </w:rPr>
            </w:pPr>
          </w:p>
        </w:tc>
        <w:tc>
          <w:tcPr>
            <w:tcW w:w="720" w:type="dxa"/>
            <w:vAlign w:val="bottom"/>
            <w:tcBorders>
              <w:bottom w:val="single" w:sz="8" w:color="4B5088"/>
            </w:tcBorders>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820" w:type="dxa"/>
            <w:vAlign w:val="bottom"/>
          </w:tcPr>
          <w:p>
            <w:pPr>
              <w:spacing w:after="0"/>
              <w:rPr>
                <w:sz w:val="6"/>
                <w:szCs w:val="6"/>
                <w:color w:val="auto"/>
              </w:rPr>
            </w:pPr>
          </w:p>
        </w:tc>
        <w:tc>
          <w:tcPr>
            <w:tcW w:w="200" w:type="dxa"/>
            <w:vAlign w:val="bottom"/>
            <w:tcBorders>
              <w:right w:val="single" w:sz="8" w:color="1F2668"/>
            </w:tcBorders>
            <w:shd w:val="clear" w:color="auto" w:fill="1F2668"/>
          </w:tcPr>
          <w:p>
            <w:pPr>
              <w:spacing w:after="0"/>
              <w:rPr>
                <w:sz w:val="6"/>
                <w:szCs w:val="6"/>
                <w:color w:val="auto"/>
              </w:rPr>
            </w:pPr>
          </w:p>
        </w:tc>
        <w:tc>
          <w:tcPr>
            <w:tcW w:w="80" w:type="dxa"/>
            <w:vAlign w:val="bottom"/>
            <w:shd w:val="clear" w:color="auto" w:fill="1F2668"/>
          </w:tcPr>
          <w:p>
            <w:pPr>
              <w:spacing w:after="0"/>
              <w:rPr>
                <w:sz w:val="6"/>
                <w:szCs w:val="6"/>
                <w:color w:val="auto"/>
              </w:rPr>
            </w:pPr>
          </w:p>
        </w:tc>
        <w:tc>
          <w:tcPr>
            <w:tcW w:w="2100" w:type="dxa"/>
            <w:vAlign w:val="bottom"/>
            <w:vMerge w:val="continue"/>
            <w:shd w:val="clear" w:color="auto" w:fill="1F2668"/>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shd w:val="clear" w:color="auto" w:fill="83AD40"/>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vMerge w:val="restart"/>
            <w:shd w:val="clear" w:color="auto" w:fill="E9F9D8"/>
          </w:tcPr>
          <w:p>
            <w:pPr>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E9F9D8"/>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E9F9D8"/>
          </w:tcPr>
          <w:p>
            <w:pPr>
              <w:spacing w:after="0"/>
              <w:rPr>
                <w:sz w:val="6"/>
                <w:szCs w:val="6"/>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color w:val="auto"/>
              </w:rPr>
              <w:t>​​​</w:t>
            </w:r>
          </w:p>
        </w:tc>
        <w:tc>
          <w:tcPr>
            <w:tcW w:w="4180" w:type="dxa"/>
            <w:vAlign w:val="bottom"/>
            <w:gridSpan w:val="6"/>
            <w:vMerge w:val="restart"/>
          </w:tcPr>
          <w:p>
            <w:pPr>
              <w:ind w:left="4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The actual number of LTIP units earned will be determined</w:t>
            </w:r>
          </w:p>
        </w:tc>
        <w:tc>
          <w:tcPr>
            <w:tcW w:w="8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820" w:type="dxa"/>
            <w:vAlign w:val="bottom"/>
          </w:tcPr>
          <w:p>
            <w:pPr>
              <w:spacing w:after="0"/>
              <w:rPr>
                <w:sz w:val="13"/>
                <w:szCs w:val="13"/>
                <w:color w:val="auto"/>
              </w:rPr>
            </w:pPr>
          </w:p>
        </w:tc>
        <w:tc>
          <w:tcPr>
            <w:tcW w:w="2380" w:type="dxa"/>
            <w:vAlign w:val="bottom"/>
            <w:gridSpan w:val="3"/>
            <w:shd w:val="clear" w:color="auto" w:fill="1F2668"/>
          </w:tcPr>
          <w:p>
            <w:pPr>
              <w:ind w:left="140"/>
              <w:spacing w:after="0" w:line="158" w:lineRule="exact"/>
              <w:rPr>
                <w:sz w:val="20"/>
                <w:szCs w:val="20"/>
                <w:color w:val="auto"/>
              </w:rPr>
            </w:pPr>
            <w:r>
              <w:rPr>
                <w:rFonts w:ascii="Arial" w:cs="Arial" w:eastAsia="Arial" w:hAnsi="Arial"/>
                <w:sz w:val="14"/>
                <w:szCs w:val="14"/>
                <w:color w:val="FFFFFF"/>
              </w:rPr>
              <w:t>•  the launch of our opportunistic</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shd w:val="clear" w:color="auto" w:fill="83AD40"/>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vMerge w:val="continue"/>
            <w:shd w:val="clear" w:color="auto" w:fill="E9F9D8"/>
          </w:tcPr>
          <w:p>
            <w:pPr>
              <w:spacing w:after="0"/>
              <w:rPr>
                <w:sz w:val="13"/>
                <w:szCs w:val="13"/>
                <w:color w:val="auto"/>
              </w:rPr>
            </w:pPr>
          </w:p>
        </w:tc>
        <w:tc>
          <w:tcPr>
            <w:tcW w:w="880" w:type="dxa"/>
            <w:vAlign w:val="bottom"/>
            <w:gridSpan w:val="2"/>
            <w:vMerge w:val="continue"/>
            <w:shd w:val="clear" w:color="auto" w:fill="E9F9D8"/>
          </w:tcPr>
          <w:p>
            <w:pPr>
              <w:spacing w:after="0"/>
              <w:rPr>
                <w:sz w:val="13"/>
                <w:szCs w:val="13"/>
                <w:color w:val="auto"/>
              </w:rPr>
            </w:pPr>
          </w:p>
        </w:tc>
        <w:tc>
          <w:tcPr>
            <w:tcW w:w="100" w:type="dxa"/>
            <w:vAlign w:val="bottom"/>
            <w:shd w:val="clear" w:color="auto" w:fill="E9F9D8"/>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4180" w:type="dxa"/>
            <w:vAlign w:val="bottom"/>
            <w:gridSpan w:val="6"/>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820" w:type="dxa"/>
            <w:vAlign w:val="bottom"/>
          </w:tcPr>
          <w:p>
            <w:pPr>
              <w:spacing w:after="0"/>
              <w:rPr>
                <w:sz w:val="14"/>
                <w:szCs w:val="14"/>
                <w:color w:val="auto"/>
              </w:rPr>
            </w:pPr>
          </w:p>
        </w:tc>
        <w:tc>
          <w:tcPr>
            <w:tcW w:w="200" w:type="dxa"/>
            <w:vAlign w:val="bottom"/>
            <w:tcBorders>
              <w:right w:val="single" w:sz="8" w:color="1F2668"/>
            </w:tcBorders>
            <w:shd w:val="clear" w:color="auto" w:fill="1F2668"/>
          </w:tcPr>
          <w:p>
            <w:pPr>
              <w:spacing w:after="0"/>
              <w:rPr>
                <w:sz w:val="14"/>
                <w:szCs w:val="14"/>
                <w:color w:val="auto"/>
              </w:rPr>
            </w:pPr>
          </w:p>
        </w:tc>
        <w:tc>
          <w:tcPr>
            <w:tcW w:w="80" w:type="dxa"/>
            <w:vAlign w:val="bottom"/>
            <w:shd w:val="clear" w:color="auto" w:fill="1F2668"/>
          </w:tcPr>
          <w:p>
            <w:pPr>
              <w:spacing w:after="0"/>
              <w:rPr>
                <w:sz w:val="14"/>
                <w:szCs w:val="14"/>
                <w:color w:val="auto"/>
              </w:rPr>
            </w:pPr>
          </w:p>
        </w:tc>
        <w:tc>
          <w:tcPr>
            <w:tcW w:w="2100" w:type="dxa"/>
            <w:vAlign w:val="bottom"/>
            <w:shd w:val="clear" w:color="auto" w:fill="1F2668"/>
          </w:tcPr>
          <w:p>
            <w:pPr>
              <w:ind w:left="20"/>
              <w:spacing w:after="0"/>
              <w:rPr>
                <w:sz w:val="20"/>
                <w:szCs w:val="20"/>
                <w:color w:val="auto"/>
              </w:rPr>
            </w:pPr>
            <w:r>
              <w:rPr>
                <w:rFonts w:ascii="Arial" w:cs="Arial" w:eastAsia="Arial" w:hAnsi="Arial"/>
                <w:sz w:val="14"/>
                <w:szCs w:val="14"/>
                <w:color w:val="FFFFFF"/>
              </w:rPr>
              <w:t>debt fund;</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shd w:val="clear" w:color="auto" w:fill="83AD40"/>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shd w:val="clear" w:color="auto" w:fill="E9F9D8"/>
          </w:tcPr>
          <w:p>
            <w:pPr>
              <w:spacing w:after="0"/>
              <w:rPr>
                <w:sz w:val="14"/>
                <w:szCs w:val="14"/>
                <w:color w:val="auto"/>
              </w:rPr>
            </w:pPr>
          </w:p>
        </w:tc>
        <w:tc>
          <w:tcPr>
            <w:tcW w:w="40" w:type="dxa"/>
            <w:vAlign w:val="bottom"/>
            <w:shd w:val="clear" w:color="auto" w:fill="E9F9D8"/>
          </w:tcPr>
          <w:p>
            <w:pPr>
              <w:spacing w:after="0"/>
              <w:rPr>
                <w:sz w:val="14"/>
                <w:szCs w:val="14"/>
                <w:color w:val="auto"/>
              </w:rPr>
            </w:pPr>
          </w:p>
        </w:tc>
        <w:tc>
          <w:tcPr>
            <w:tcW w:w="840" w:type="dxa"/>
            <w:vAlign w:val="bottom"/>
            <w:shd w:val="clear" w:color="auto" w:fill="E9F9D8"/>
          </w:tcPr>
          <w:p>
            <w:pPr>
              <w:spacing w:after="0"/>
              <w:rPr>
                <w:sz w:val="14"/>
                <w:szCs w:val="14"/>
                <w:color w:val="auto"/>
              </w:rPr>
            </w:pPr>
          </w:p>
        </w:tc>
        <w:tc>
          <w:tcPr>
            <w:tcW w:w="100" w:type="dxa"/>
            <w:vAlign w:val="bottom"/>
            <w:shd w:val="clear" w:color="auto" w:fill="E9F9D8"/>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80" w:type="dxa"/>
            <w:vAlign w:val="bottom"/>
            <w:gridSpan w:val="5"/>
          </w:tcPr>
          <w:p>
            <w:pPr>
              <w:ind w:left="60"/>
              <w:spacing w:after="0"/>
              <w:rPr>
                <w:sz w:val="20"/>
                <w:szCs w:val="20"/>
                <w:color w:val="auto"/>
              </w:rPr>
            </w:pPr>
            <w:r>
              <w:rPr>
                <w:rFonts w:ascii="Arial" w:cs="Arial" w:eastAsia="Arial" w:hAnsi="Arial"/>
                <w:sz w:val="14"/>
                <w:szCs w:val="14"/>
                <w:color w:val="auto"/>
              </w:rPr>
              <w:t>based on Company performance measured after the end of the</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20" w:type="dxa"/>
            <w:vAlign w:val="bottom"/>
          </w:tcPr>
          <w:p>
            <w:pPr>
              <w:spacing w:after="0"/>
              <w:rPr>
                <w:sz w:val="16"/>
                <w:szCs w:val="16"/>
                <w:color w:val="auto"/>
              </w:rPr>
            </w:pPr>
          </w:p>
        </w:tc>
        <w:tc>
          <w:tcPr>
            <w:tcW w:w="2380" w:type="dxa"/>
            <w:vAlign w:val="bottom"/>
            <w:gridSpan w:val="3"/>
            <w:shd w:val="clear" w:color="auto" w:fill="1F2668"/>
          </w:tcPr>
          <w:p>
            <w:pPr>
              <w:ind w:left="140"/>
              <w:spacing w:after="0"/>
              <w:rPr>
                <w:sz w:val="20"/>
                <w:szCs w:val="20"/>
                <w:color w:val="auto"/>
              </w:rPr>
            </w:pPr>
            <w:r>
              <w:rPr>
                <w:rFonts w:ascii="Arial" w:cs="Arial" w:eastAsia="Arial" w:hAnsi="Arial"/>
                <w:sz w:val="14"/>
                <w:szCs w:val="14"/>
                <w:color w:val="FFFFFF"/>
              </w:rPr>
              <w:t>•  expanding the global footprint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shd w:val="clear" w:color="auto" w:fill="83AD40"/>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shd w:val="clear" w:color="auto" w:fill="E9F9D8"/>
          </w:tcPr>
          <w:p>
            <w:pPr>
              <w:spacing w:after="0"/>
              <w:rPr>
                <w:sz w:val="16"/>
                <w:szCs w:val="16"/>
                <w:color w:val="auto"/>
              </w:rPr>
            </w:pPr>
          </w:p>
        </w:tc>
        <w:tc>
          <w:tcPr>
            <w:tcW w:w="40" w:type="dxa"/>
            <w:vAlign w:val="bottom"/>
            <w:shd w:val="clear" w:color="auto" w:fill="E9F9D8"/>
          </w:tcPr>
          <w:p>
            <w:pPr>
              <w:spacing w:after="0"/>
              <w:rPr>
                <w:sz w:val="16"/>
                <w:szCs w:val="16"/>
                <w:color w:val="auto"/>
              </w:rPr>
            </w:pPr>
          </w:p>
        </w:tc>
        <w:tc>
          <w:tcPr>
            <w:tcW w:w="840" w:type="dxa"/>
            <w:vAlign w:val="bottom"/>
            <w:shd w:val="clear" w:color="auto" w:fill="E9F9D8"/>
          </w:tcPr>
          <w:p>
            <w:pPr>
              <w:spacing w:after="0"/>
              <w:rPr>
                <w:sz w:val="16"/>
                <w:szCs w:val="16"/>
                <w:color w:val="auto"/>
              </w:rPr>
            </w:pPr>
          </w:p>
        </w:tc>
        <w:tc>
          <w:tcPr>
            <w:tcW w:w="100" w:type="dxa"/>
            <w:vAlign w:val="bottom"/>
            <w:shd w:val="clear" w:color="auto" w:fill="E9F9D8"/>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80" w:type="dxa"/>
            <w:vAlign w:val="bottom"/>
            <w:gridSpan w:val="5"/>
          </w:tcPr>
          <w:p>
            <w:pPr>
              <w:ind w:left="60"/>
              <w:spacing w:after="0"/>
              <w:rPr>
                <w:sz w:val="20"/>
                <w:szCs w:val="20"/>
                <w:color w:val="auto"/>
              </w:rPr>
            </w:pPr>
            <w:r>
              <w:rPr>
                <w:rFonts w:ascii="Arial" w:cs="Arial" w:eastAsia="Arial" w:hAnsi="Arial"/>
                <w:sz w:val="14"/>
                <w:szCs w:val="14"/>
                <w:color w:val="auto"/>
              </w:rPr>
              <w:t>full performance period ending December 31, 2026, based on</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200" w:type="dxa"/>
            <w:vAlign w:val="bottom"/>
            <w:tcBorders>
              <w:right w:val="single" w:sz="8" w:color="1F2668"/>
            </w:tcBorders>
            <w:shd w:val="clear" w:color="auto" w:fill="1F2668"/>
          </w:tcPr>
          <w:p>
            <w:pPr>
              <w:spacing w:after="0"/>
              <w:rPr>
                <w:sz w:val="12"/>
                <w:szCs w:val="12"/>
                <w:color w:val="auto"/>
              </w:rPr>
            </w:pPr>
          </w:p>
        </w:tc>
        <w:tc>
          <w:tcPr>
            <w:tcW w:w="80" w:type="dxa"/>
            <w:vAlign w:val="bottom"/>
            <w:shd w:val="clear" w:color="auto" w:fill="1F2668"/>
          </w:tcPr>
          <w:p>
            <w:pPr>
              <w:spacing w:after="0"/>
              <w:rPr>
                <w:sz w:val="12"/>
                <w:szCs w:val="12"/>
                <w:color w:val="auto"/>
              </w:rPr>
            </w:pPr>
          </w:p>
        </w:tc>
        <w:tc>
          <w:tcPr>
            <w:tcW w:w="2100" w:type="dxa"/>
            <w:vAlign w:val="bottom"/>
            <w:shd w:val="clear" w:color="auto" w:fill="1F2668"/>
          </w:tcPr>
          <w:p>
            <w:pPr>
              <w:ind w:left="20"/>
              <w:spacing w:after="0" w:line="149" w:lineRule="exact"/>
              <w:rPr>
                <w:sz w:val="20"/>
                <w:szCs w:val="20"/>
                <w:color w:val="auto"/>
              </w:rPr>
            </w:pPr>
            <w:r>
              <w:rPr>
                <w:rFonts w:ascii="Arial" w:cs="Arial" w:eastAsia="Arial" w:hAnsi="Arial"/>
                <w:sz w:val="14"/>
                <w:szCs w:val="14"/>
                <w:color w:val="FFFFFF"/>
              </w:rPr>
              <w:t>of SUMMIT;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shd w:val="clear" w:color="auto" w:fill="83AD40"/>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shd w:val="clear" w:color="auto" w:fill="E9F9D8"/>
          </w:tcPr>
          <w:p>
            <w:pPr>
              <w:spacing w:after="0"/>
              <w:rPr>
                <w:sz w:val="12"/>
                <w:szCs w:val="12"/>
                <w:color w:val="auto"/>
              </w:rPr>
            </w:pPr>
          </w:p>
        </w:tc>
        <w:tc>
          <w:tcPr>
            <w:tcW w:w="40" w:type="dxa"/>
            <w:vAlign w:val="bottom"/>
            <w:shd w:val="clear" w:color="auto" w:fill="E9F9D8"/>
          </w:tcPr>
          <w:p>
            <w:pPr>
              <w:spacing w:after="0"/>
              <w:rPr>
                <w:sz w:val="12"/>
                <w:szCs w:val="12"/>
                <w:color w:val="auto"/>
              </w:rPr>
            </w:pPr>
          </w:p>
        </w:tc>
        <w:tc>
          <w:tcPr>
            <w:tcW w:w="840" w:type="dxa"/>
            <w:vAlign w:val="bottom"/>
            <w:shd w:val="clear" w:color="auto" w:fill="E9F9D8"/>
          </w:tcPr>
          <w:p>
            <w:pPr>
              <w:spacing w:after="0"/>
              <w:rPr>
                <w:sz w:val="12"/>
                <w:szCs w:val="12"/>
                <w:color w:val="auto"/>
              </w:rPr>
            </w:pPr>
          </w:p>
        </w:tc>
        <w:tc>
          <w:tcPr>
            <w:tcW w:w="100" w:type="dxa"/>
            <w:vAlign w:val="bottom"/>
            <w:shd w:val="clear" w:color="auto" w:fill="E9F9D8"/>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80" w:type="dxa"/>
            <w:vAlign w:val="bottom"/>
            <w:gridSpan w:val="5"/>
          </w:tcPr>
          <w:p>
            <w:pPr>
              <w:ind w:left="60"/>
              <w:spacing w:after="0" w:line="149" w:lineRule="exact"/>
              <w:rPr>
                <w:sz w:val="20"/>
                <w:szCs w:val="20"/>
                <w:color w:val="auto"/>
              </w:rPr>
            </w:pPr>
            <w:r>
              <w:rPr>
                <w:rFonts w:ascii="Arial" w:cs="Arial" w:eastAsia="Arial" w:hAnsi="Arial"/>
                <w:sz w:val="14"/>
                <w:szCs w:val="14"/>
                <w:color w:val="auto"/>
              </w:rPr>
              <w:t>our absolute and relative TSR, with earned LTIP units vesting in</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20" w:type="dxa"/>
            <w:vAlign w:val="bottom"/>
          </w:tcPr>
          <w:p>
            <w:pPr>
              <w:spacing w:after="0"/>
              <w:rPr>
                <w:sz w:val="16"/>
                <w:szCs w:val="16"/>
                <w:color w:val="auto"/>
              </w:rPr>
            </w:pPr>
          </w:p>
        </w:tc>
        <w:tc>
          <w:tcPr>
            <w:tcW w:w="2380" w:type="dxa"/>
            <w:vAlign w:val="bottom"/>
            <w:gridSpan w:val="3"/>
            <w:vMerge w:val="restart"/>
            <w:shd w:val="clear" w:color="auto" w:fill="1F2668"/>
          </w:tcPr>
          <w:p>
            <w:pPr>
              <w:ind w:left="140"/>
              <w:spacing w:after="0"/>
              <w:rPr>
                <w:sz w:val="20"/>
                <w:szCs w:val="20"/>
                <w:color w:val="auto"/>
              </w:rPr>
            </w:pPr>
            <w:r>
              <w:rPr>
                <w:rFonts w:ascii="Arial" w:cs="Arial" w:eastAsia="Arial" w:hAnsi="Arial"/>
                <w:sz w:val="14"/>
                <w:szCs w:val="14"/>
                <w:color w:val="FFFFFF"/>
              </w:rPr>
              <w:t>•  seeking a Times Square</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shd w:val="clear" w:color="auto" w:fill="83AD40"/>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shd w:val="clear" w:color="auto" w:fill="E9F9D8"/>
          </w:tcPr>
          <w:p>
            <w:pPr>
              <w:spacing w:after="0"/>
              <w:rPr>
                <w:sz w:val="16"/>
                <w:szCs w:val="16"/>
                <w:color w:val="auto"/>
              </w:rPr>
            </w:pPr>
          </w:p>
        </w:tc>
        <w:tc>
          <w:tcPr>
            <w:tcW w:w="40" w:type="dxa"/>
            <w:vAlign w:val="bottom"/>
            <w:shd w:val="clear" w:color="auto" w:fill="E9F9D8"/>
          </w:tcPr>
          <w:p>
            <w:pPr>
              <w:spacing w:after="0"/>
              <w:rPr>
                <w:sz w:val="16"/>
                <w:szCs w:val="16"/>
                <w:color w:val="auto"/>
              </w:rPr>
            </w:pPr>
          </w:p>
        </w:tc>
        <w:tc>
          <w:tcPr>
            <w:tcW w:w="840" w:type="dxa"/>
            <w:vAlign w:val="bottom"/>
            <w:shd w:val="clear" w:color="auto" w:fill="E9F9D8"/>
          </w:tcPr>
          <w:p>
            <w:pPr>
              <w:spacing w:after="0"/>
              <w:rPr>
                <w:sz w:val="16"/>
                <w:szCs w:val="16"/>
                <w:color w:val="auto"/>
              </w:rPr>
            </w:pPr>
          </w:p>
        </w:tc>
        <w:tc>
          <w:tcPr>
            <w:tcW w:w="100" w:type="dxa"/>
            <w:vAlign w:val="bottom"/>
            <w:shd w:val="clear" w:color="auto" w:fill="E9F9D8"/>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4"/>
                <w:szCs w:val="14"/>
                <w:color w:val="auto"/>
              </w:rPr>
              <w:t>full as of December 31, 2026.</w:t>
            </w:r>
          </w:p>
        </w:tc>
        <w:tc>
          <w:tcPr>
            <w:tcW w:w="1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820" w:type="dxa"/>
            <w:vAlign w:val="bottom"/>
          </w:tcPr>
          <w:p>
            <w:pPr>
              <w:spacing w:after="0"/>
              <w:rPr>
                <w:sz w:val="2"/>
                <w:szCs w:val="2"/>
                <w:color w:val="auto"/>
              </w:rPr>
            </w:pPr>
          </w:p>
        </w:tc>
        <w:tc>
          <w:tcPr>
            <w:tcW w:w="2380" w:type="dxa"/>
            <w:vAlign w:val="bottom"/>
            <w:gridSpan w:val="3"/>
            <w:vMerge w:val="continue"/>
            <w:shd w:val="clear" w:color="auto" w:fill="1F2668"/>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shd w:val="clear" w:color="auto" w:fill="83AD4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E9F9D8"/>
          </w:tcPr>
          <w:p>
            <w:pPr>
              <w:spacing w:after="0"/>
              <w:rPr>
                <w:sz w:val="2"/>
                <w:szCs w:val="2"/>
                <w:color w:val="auto"/>
              </w:rPr>
            </w:pPr>
          </w:p>
        </w:tc>
        <w:tc>
          <w:tcPr>
            <w:tcW w:w="40" w:type="dxa"/>
            <w:vAlign w:val="bottom"/>
            <w:shd w:val="clear" w:color="auto" w:fill="E9F9D8"/>
          </w:tcPr>
          <w:p>
            <w:pPr>
              <w:spacing w:after="0"/>
              <w:rPr>
                <w:sz w:val="2"/>
                <w:szCs w:val="2"/>
                <w:color w:val="auto"/>
              </w:rPr>
            </w:pPr>
          </w:p>
        </w:tc>
        <w:tc>
          <w:tcPr>
            <w:tcW w:w="840" w:type="dxa"/>
            <w:vAlign w:val="bottom"/>
            <w:shd w:val="clear" w:color="auto" w:fill="E9F9D8"/>
          </w:tcPr>
          <w:p>
            <w:pPr>
              <w:spacing w:after="0"/>
              <w:rPr>
                <w:sz w:val="2"/>
                <w:szCs w:val="2"/>
                <w:color w:val="auto"/>
              </w:rPr>
            </w:pPr>
          </w:p>
        </w:tc>
        <w:tc>
          <w:tcPr>
            <w:tcW w:w="100" w:type="dxa"/>
            <w:vAlign w:val="bottom"/>
            <w:shd w:val="clear" w:color="auto" w:fill="E9F9D8"/>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80" w:type="dxa"/>
            <w:vAlign w:val="bottom"/>
            <w:gridSpan w:val="5"/>
            <w:vMerge w:val="restart"/>
          </w:tcPr>
          <w:p>
            <w:pPr>
              <w:ind w:left="60"/>
              <w:spacing w:after="0"/>
              <w:rPr>
                <w:sz w:val="20"/>
                <w:szCs w:val="20"/>
                <w:color w:val="auto"/>
              </w:rPr>
            </w:pPr>
            <w:r>
              <w:rPr>
                <w:rFonts w:ascii="Arial" w:cs="Arial" w:eastAsia="Arial" w:hAnsi="Arial"/>
                <w:sz w:val="14"/>
                <w:szCs w:val="14"/>
                <w:color w:val="auto"/>
              </w:rPr>
              <w:t xml:space="preserve">The retention performance incentive relates to </w:t>
            </w:r>
            <w:r>
              <w:rPr>
                <w:rFonts w:ascii="Arial" w:cs="Arial" w:eastAsia="Arial" w:hAnsi="Arial"/>
                <w:sz w:val="14"/>
                <w:szCs w:val="14"/>
                <w:b w:val="1"/>
                <w:bCs w:val="1"/>
                <w:color w:val="auto"/>
              </w:rPr>
              <w:t>217,917 Class O</w:t>
            </w: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820" w:type="dxa"/>
            <w:vAlign w:val="bottom"/>
          </w:tcPr>
          <w:p>
            <w:pPr>
              <w:spacing w:after="0"/>
              <w:rPr>
                <w:sz w:val="12"/>
                <w:szCs w:val="12"/>
                <w:color w:val="auto"/>
              </w:rPr>
            </w:pPr>
          </w:p>
        </w:tc>
        <w:tc>
          <w:tcPr>
            <w:tcW w:w="200" w:type="dxa"/>
            <w:vAlign w:val="bottom"/>
            <w:tcBorders>
              <w:right w:val="single" w:sz="8" w:color="1F2668"/>
            </w:tcBorders>
            <w:shd w:val="clear" w:color="auto" w:fill="1F2668"/>
          </w:tcPr>
          <w:p>
            <w:pPr>
              <w:spacing w:after="0"/>
              <w:rPr>
                <w:sz w:val="12"/>
                <w:szCs w:val="12"/>
                <w:color w:val="auto"/>
              </w:rPr>
            </w:pPr>
          </w:p>
        </w:tc>
        <w:tc>
          <w:tcPr>
            <w:tcW w:w="80" w:type="dxa"/>
            <w:vAlign w:val="bottom"/>
            <w:shd w:val="clear" w:color="auto" w:fill="1F2668"/>
          </w:tcPr>
          <w:p>
            <w:pPr>
              <w:spacing w:after="0"/>
              <w:rPr>
                <w:sz w:val="12"/>
                <w:szCs w:val="12"/>
                <w:color w:val="auto"/>
              </w:rPr>
            </w:pPr>
          </w:p>
        </w:tc>
        <w:tc>
          <w:tcPr>
            <w:tcW w:w="2100" w:type="dxa"/>
            <w:vAlign w:val="bottom"/>
            <w:shd w:val="clear" w:color="auto" w:fill="1F2668"/>
          </w:tcPr>
          <w:p>
            <w:pPr>
              <w:ind w:left="20"/>
              <w:spacing w:after="0" w:line="145" w:lineRule="exact"/>
              <w:rPr>
                <w:sz w:val="20"/>
                <w:szCs w:val="20"/>
                <w:color w:val="auto"/>
              </w:rPr>
            </w:pPr>
            <w:r>
              <w:rPr>
                <w:rFonts w:ascii="Arial" w:cs="Arial" w:eastAsia="Arial" w:hAnsi="Arial"/>
                <w:sz w:val="14"/>
                <w:szCs w:val="14"/>
                <w:color w:val="FFFFFF"/>
              </w:rPr>
              <w:t>casino license;</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shd w:val="clear" w:color="auto" w:fill="83AD40"/>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shd w:val="clear" w:color="auto" w:fill="E9F9D8"/>
          </w:tcPr>
          <w:p>
            <w:pPr>
              <w:spacing w:after="0"/>
              <w:rPr>
                <w:sz w:val="12"/>
                <w:szCs w:val="12"/>
                <w:color w:val="auto"/>
              </w:rPr>
            </w:pPr>
          </w:p>
        </w:tc>
        <w:tc>
          <w:tcPr>
            <w:tcW w:w="40" w:type="dxa"/>
            <w:vAlign w:val="bottom"/>
            <w:shd w:val="clear" w:color="auto" w:fill="E9F9D8"/>
          </w:tcPr>
          <w:p>
            <w:pPr>
              <w:spacing w:after="0"/>
              <w:rPr>
                <w:sz w:val="12"/>
                <w:szCs w:val="12"/>
                <w:color w:val="auto"/>
              </w:rPr>
            </w:pPr>
          </w:p>
        </w:tc>
        <w:tc>
          <w:tcPr>
            <w:tcW w:w="840" w:type="dxa"/>
            <w:vAlign w:val="bottom"/>
            <w:shd w:val="clear" w:color="auto" w:fill="E9F9D8"/>
          </w:tcPr>
          <w:p>
            <w:pPr>
              <w:spacing w:after="0"/>
              <w:rPr>
                <w:sz w:val="12"/>
                <w:szCs w:val="12"/>
                <w:color w:val="auto"/>
              </w:rPr>
            </w:pPr>
          </w:p>
        </w:tc>
        <w:tc>
          <w:tcPr>
            <w:tcW w:w="100" w:type="dxa"/>
            <w:vAlign w:val="bottom"/>
            <w:shd w:val="clear" w:color="auto" w:fill="E9F9D8"/>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80" w:type="dxa"/>
            <w:vAlign w:val="bottom"/>
            <w:gridSpan w:val="5"/>
            <w:vMerge w:val="continue"/>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20" w:type="dxa"/>
            <w:vAlign w:val="bottom"/>
          </w:tcPr>
          <w:p>
            <w:pPr>
              <w:spacing w:after="0"/>
              <w:rPr>
                <w:sz w:val="12"/>
                <w:szCs w:val="12"/>
                <w:color w:val="auto"/>
              </w:rPr>
            </w:pPr>
          </w:p>
        </w:tc>
        <w:tc>
          <w:tcPr>
            <w:tcW w:w="280" w:type="dxa"/>
            <w:vAlign w:val="bottom"/>
            <w:gridSpan w:val="2"/>
            <w:vMerge w:val="restart"/>
            <w:shd w:val="clear" w:color="auto" w:fill="1F2668"/>
          </w:tcPr>
          <w:p>
            <w:pPr>
              <w:ind w:left="140"/>
              <w:spacing w:after="0"/>
              <w:rPr>
                <w:sz w:val="20"/>
                <w:szCs w:val="20"/>
                <w:color w:val="auto"/>
              </w:rPr>
            </w:pPr>
            <w:r>
              <w:rPr>
                <w:rFonts w:ascii="Arial" w:cs="Arial" w:eastAsia="Arial" w:hAnsi="Arial"/>
                <w:sz w:val="14"/>
                <w:szCs w:val="14"/>
                <w:color w:val="FFFFFF"/>
              </w:rPr>
              <w:t>•</w:t>
            </w:r>
          </w:p>
        </w:tc>
        <w:tc>
          <w:tcPr>
            <w:tcW w:w="2100" w:type="dxa"/>
            <w:vAlign w:val="bottom"/>
            <w:vMerge w:val="restart"/>
            <w:shd w:val="clear" w:color="auto" w:fill="1F2668"/>
          </w:tcPr>
          <w:p>
            <w:pPr>
              <w:ind w:left="20"/>
              <w:spacing w:after="0"/>
              <w:rPr>
                <w:sz w:val="20"/>
                <w:szCs w:val="20"/>
                <w:color w:val="auto"/>
              </w:rPr>
            </w:pPr>
            <w:r>
              <w:rPr>
                <w:rFonts w:ascii="Arial" w:cs="Arial" w:eastAsia="Arial" w:hAnsi="Arial"/>
                <w:sz w:val="14"/>
                <w:szCs w:val="14"/>
                <w:color w:val="FFFFFF"/>
              </w:rPr>
              <w:t>expanding the special</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shd w:val="clear" w:color="auto" w:fill="83AD40"/>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shd w:val="clear" w:color="auto" w:fill="E9F9D8"/>
          </w:tcPr>
          <w:p>
            <w:pPr>
              <w:spacing w:after="0"/>
              <w:rPr>
                <w:sz w:val="12"/>
                <w:szCs w:val="12"/>
                <w:color w:val="auto"/>
              </w:rPr>
            </w:pPr>
          </w:p>
        </w:tc>
        <w:tc>
          <w:tcPr>
            <w:tcW w:w="40" w:type="dxa"/>
            <w:vAlign w:val="bottom"/>
            <w:shd w:val="clear" w:color="auto" w:fill="E9F9D8"/>
          </w:tcPr>
          <w:p>
            <w:pPr>
              <w:spacing w:after="0"/>
              <w:rPr>
                <w:sz w:val="12"/>
                <w:szCs w:val="12"/>
                <w:color w:val="auto"/>
              </w:rPr>
            </w:pPr>
          </w:p>
        </w:tc>
        <w:tc>
          <w:tcPr>
            <w:tcW w:w="840" w:type="dxa"/>
            <w:vAlign w:val="bottom"/>
            <w:shd w:val="clear" w:color="auto" w:fill="E9F9D8"/>
          </w:tcPr>
          <w:p>
            <w:pPr>
              <w:spacing w:after="0"/>
              <w:rPr>
                <w:sz w:val="12"/>
                <w:szCs w:val="12"/>
                <w:color w:val="auto"/>
              </w:rPr>
            </w:pPr>
          </w:p>
        </w:tc>
        <w:tc>
          <w:tcPr>
            <w:tcW w:w="100" w:type="dxa"/>
            <w:vAlign w:val="bottom"/>
            <w:shd w:val="clear" w:color="auto" w:fill="E9F9D8"/>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80" w:type="dxa"/>
            <w:vAlign w:val="bottom"/>
            <w:gridSpan w:val="5"/>
          </w:tcPr>
          <w:p>
            <w:pPr>
              <w:ind w:left="60"/>
              <w:spacing w:after="0" w:line="139" w:lineRule="exact"/>
              <w:rPr>
                <w:sz w:val="20"/>
                <w:szCs w:val="20"/>
                <w:color w:val="auto"/>
              </w:rPr>
            </w:pPr>
            <w:r>
              <w:rPr>
                <w:rFonts w:ascii="Arial" w:cs="Arial" w:eastAsia="Arial" w:hAnsi="Arial"/>
                <w:sz w:val="14"/>
                <w:szCs w:val="14"/>
                <w:b w:val="1"/>
                <w:bCs w:val="1"/>
                <w:color w:val="auto"/>
              </w:rPr>
              <w:t xml:space="preserve">LTIP units </w:t>
            </w:r>
            <w:r>
              <w:rPr>
                <w:rFonts w:ascii="Arial" w:cs="Arial" w:eastAsia="Arial" w:hAnsi="Arial"/>
                <w:sz w:val="14"/>
                <w:szCs w:val="14"/>
                <w:color w:val="auto"/>
              </w:rPr>
              <w:t>that will only be earned if the performance-based</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820" w:type="dxa"/>
            <w:vAlign w:val="bottom"/>
          </w:tcPr>
          <w:p>
            <w:pPr>
              <w:spacing w:after="0"/>
              <w:rPr>
                <w:sz w:val="7"/>
                <w:szCs w:val="7"/>
                <w:color w:val="auto"/>
              </w:rPr>
            </w:pPr>
          </w:p>
        </w:tc>
        <w:tc>
          <w:tcPr>
            <w:tcW w:w="280" w:type="dxa"/>
            <w:vAlign w:val="bottom"/>
            <w:gridSpan w:val="2"/>
            <w:vMerge w:val="continue"/>
            <w:shd w:val="clear" w:color="auto" w:fill="1F2668"/>
          </w:tcPr>
          <w:p>
            <w:pPr>
              <w:spacing w:after="0"/>
              <w:rPr>
                <w:sz w:val="7"/>
                <w:szCs w:val="7"/>
                <w:color w:val="auto"/>
              </w:rPr>
            </w:pPr>
          </w:p>
        </w:tc>
        <w:tc>
          <w:tcPr>
            <w:tcW w:w="2100" w:type="dxa"/>
            <w:vAlign w:val="bottom"/>
            <w:vMerge w:val="continue"/>
            <w:shd w:val="clear" w:color="auto" w:fill="1F2668"/>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shd w:val="clear" w:color="auto" w:fill="83AD40"/>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shd w:val="clear" w:color="auto" w:fill="E9F9D8"/>
          </w:tcPr>
          <w:p>
            <w:pPr>
              <w:spacing w:after="0"/>
              <w:rPr>
                <w:sz w:val="7"/>
                <w:szCs w:val="7"/>
                <w:color w:val="auto"/>
              </w:rPr>
            </w:pPr>
          </w:p>
        </w:tc>
        <w:tc>
          <w:tcPr>
            <w:tcW w:w="40" w:type="dxa"/>
            <w:vAlign w:val="bottom"/>
            <w:shd w:val="clear" w:color="auto" w:fill="E9F9D8"/>
          </w:tcPr>
          <w:p>
            <w:pPr>
              <w:spacing w:after="0"/>
              <w:rPr>
                <w:sz w:val="7"/>
                <w:szCs w:val="7"/>
                <w:color w:val="auto"/>
              </w:rPr>
            </w:pPr>
          </w:p>
        </w:tc>
        <w:tc>
          <w:tcPr>
            <w:tcW w:w="840" w:type="dxa"/>
            <w:vAlign w:val="bottom"/>
            <w:shd w:val="clear" w:color="auto" w:fill="E9F9D8"/>
          </w:tcPr>
          <w:p>
            <w:pPr>
              <w:spacing w:after="0"/>
              <w:rPr>
                <w:sz w:val="7"/>
                <w:szCs w:val="7"/>
                <w:color w:val="auto"/>
              </w:rPr>
            </w:pPr>
          </w:p>
        </w:tc>
        <w:tc>
          <w:tcPr>
            <w:tcW w:w="100" w:type="dxa"/>
            <w:vAlign w:val="bottom"/>
            <w:shd w:val="clear" w:color="auto" w:fill="E9F9D8"/>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80" w:type="dxa"/>
            <w:vAlign w:val="bottom"/>
            <w:gridSpan w:val="5"/>
            <w:vMerge w:val="restart"/>
          </w:tcPr>
          <w:p>
            <w:pPr>
              <w:ind w:left="60"/>
              <w:spacing w:after="0"/>
              <w:rPr>
                <w:sz w:val="20"/>
                <w:szCs w:val="20"/>
                <w:color w:val="auto"/>
              </w:rPr>
            </w:pPr>
            <w:r>
              <w:rPr>
                <w:rFonts w:ascii="Arial" w:cs="Arial" w:eastAsia="Arial" w:hAnsi="Arial"/>
                <w:sz w:val="14"/>
                <w:szCs w:val="14"/>
                <w:color w:val="auto"/>
              </w:rPr>
              <w:t>conditions are satisfied, and are further subject to pro rata time-</w:t>
            </w: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820" w:type="dxa"/>
            <w:vAlign w:val="bottom"/>
          </w:tcPr>
          <w:p>
            <w:pPr>
              <w:spacing w:after="0"/>
              <w:rPr>
                <w:sz w:val="7"/>
                <w:szCs w:val="7"/>
                <w:color w:val="auto"/>
              </w:rPr>
            </w:pPr>
          </w:p>
        </w:tc>
        <w:tc>
          <w:tcPr>
            <w:tcW w:w="200" w:type="dxa"/>
            <w:vAlign w:val="bottom"/>
            <w:tcBorders>
              <w:right w:val="single" w:sz="8" w:color="1F2668"/>
            </w:tcBorders>
            <w:shd w:val="clear" w:color="auto" w:fill="1F2668"/>
          </w:tcPr>
          <w:p>
            <w:pPr>
              <w:spacing w:after="0"/>
              <w:rPr>
                <w:sz w:val="7"/>
                <w:szCs w:val="7"/>
                <w:color w:val="auto"/>
              </w:rPr>
            </w:pPr>
          </w:p>
        </w:tc>
        <w:tc>
          <w:tcPr>
            <w:tcW w:w="80" w:type="dxa"/>
            <w:vAlign w:val="bottom"/>
            <w:shd w:val="clear" w:color="auto" w:fill="1F2668"/>
          </w:tcPr>
          <w:p>
            <w:pPr>
              <w:spacing w:after="0"/>
              <w:rPr>
                <w:sz w:val="7"/>
                <w:szCs w:val="7"/>
                <w:color w:val="auto"/>
              </w:rPr>
            </w:pPr>
          </w:p>
        </w:tc>
        <w:tc>
          <w:tcPr>
            <w:tcW w:w="2100" w:type="dxa"/>
            <w:vAlign w:val="bottom"/>
            <w:vMerge w:val="restart"/>
            <w:shd w:val="clear" w:color="auto" w:fill="1F2668"/>
          </w:tcPr>
          <w:p>
            <w:pPr>
              <w:ind w:left="20"/>
              <w:spacing w:after="0"/>
              <w:rPr>
                <w:sz w:val="20"/>
                <w:szCs w:val="20"/>
                <w:color w:val="auto"/>
              </w:rPr>
            </w:pPr>
            <w:r>
              <w:rPr>
                <w:rFonts w:ascii="Arial" w:cs="Arial" w:eastAsia="Arial" w:hAnsi="Arial"/>
                <w:sz w:val="14"/>
                <w:szCs w:val="14"/>
                <w:color w:val="FFFFFF"/>
              </w:rPr>
              <w:t>servicing business; and</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shd w:val="clear" w:color="auto" w:fill="83AD40"/>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shd w:val="clear" w:color="auto" w:fill="E9F9D8"/>
          </w:tcPr>
          <w:p>
            <w:pPr>
              <w:spacing w:after="0"/>
              <w:rPr>
                <w:sz w:val="7"/>
                <w:szCs w:val="7"/>
                <w:color w:val="auto"/>
              </w:rPr>
            </w:pPr>
          </w:p>
        </w:tc>
        <w:tc>
          <w:tcPr>
            <w:tcW w:w="40" w:type="dxa"/>
            <w:vAlign w:val="bottom"/>
            <w:shd w:val="clear" w:color="auto" w:fill="E9F9D8"/>
          </w:tcPr>
          <w:p>
            <w:pPr>
              <w:spacing w:after="0"/>
              <w:rPr>
                <w:sz w:val="7"/>
                <w:szCs w:val="7"/>
                <w:color w:val="auto"/>
              </w:rPr>
            </w:pPr>
          </w:p>
        </w:tc>
        <w:tc>
          <w:tcPr>
            <w:tcW w:w="840" w:type="dxa"/>
            <w:vAlign w:val="bottom"/>
            <w:shd w:val="clear" w:color="auto" w:fill="E9F9D8"/>
          </w:tcPr>
          <w:p>
            <w:pPr>
              <w:spacing w:after="0"/>
              <w:rPr>
                <w:sz w:val="7"/>
                <w:szCs w:val="7"/>
                <w:color w:val="auto"/>
              </w:rPr>
            </w:pPr>
          </w:p>
        </w:tc>
        <w:tc>
          <w:tcPr>
            <w:tcW w:w="100" w:type="dxa"/>
            <w:vAlign w:val="bottom"/>
            <w:shd w:val="clear" w:color="auto" w:fill="E9F9D8"/>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80" w:type="dxa"/>
            <w:vAlign w:val="bottom"/>
            <w:gridSpan w:val="5"/>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820" w:type="dxa"/>
            <w:vAlign w:val="bottom"/>
          </w:tcPr>
          <w:p>
            <w:pPr>
              <w:spacing w:after="0"/>
              <w:rPr>
                <w:sz w:val="9"/>
                <w:szCs w:val="9"/>
                <w:color w:val="auto"/>
              </w:rPr>
            </w:pPr>
          </w:p>
        </w:tc>
        <w:tc>
          <w:tcPr>
            <w:tcW w:w="200" w:type="dxa"/>
            <w:vAlign w:val="bottom"/>
            <w:tcBorders>
              <w:right w:val="single" w:sz="8" w:color="1F2668"/>
            </w:tcBorders>
            <w:shd w:val="clear" w:color="auto" w:fill="1F2668"/>
          </w:tcPr>
          <w:p>
            <w:pPr>
              <w:spacing w:after="0"/>
              <w:rPr>
                <w:sz w:val="9"/>
                <w:szCs w:val="9"/>
                <w:color w:val="auto"/>
              </w:rPr>
            </w:pPr>
          </w:p>
        </w:tc>
        <w:tc>
          <w:tcPr>
            <w:tcW w:w="80" w:type="dxa"/>
            <w:vAlign w:val="bottom"/>
            <w:shd w:val="clear" w:color="auto" w:fill="1F2668"/>
          </w:tcPr>
          <w:p>
            <w:pPr>
              <w:spacing w:after="0"/>
              <w:rPr>
                <w:sz w:val="9"/>
                <w:szCs w:val="9"/>
                <w:color w:val="auto"/>
              </w:rPr>
            </w:pPr>
          </w:p>
        </w:tc>
        <w:tc>
          <w:tcPr>
            <w:tcW w:w="2100" w:type="dxa"/>
            <w:vAlign w:val="bottom"/>
            <w:vMerge w:val="continue"/>
            <w:shd w:val="clear" w:color="auto" w:fill="1F2668"/>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shd w:val="clear" w:color="auto" w:fill="83AD40"/>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shd w:val="clear" w:color="auto" w:fill="E9F9D8"/>
          </w:tcPr>
          <w:p>
            <w:pPr>
              <w:spacing w:after="0"/>
              <w:rPr>
                <w:sz w:val="9"/>
                <w:szCs w:val="9"/>
                <w:color w:val="auto"/>
              </w:rPr>
            </w:pPr>
          </w:p>
        </w:tc>
        <w:tc>
          <w:tcPr>
            <w:tcW w:w="40" w:type="dxa"/>
            <w:vAlign w:val="bottom"/>
            <w:shd w:val="clear" w:color="auto" w:fill="E9F9D8"/>
          </w:tcPr>
          <w:p>
            <w:pPr>
              <w:spacing w:after="0"/>
              <w:rPr>
                <w:sz w:val="9"/>
                <w:szCs w:val="9"/>
                <w:color w:val="auto"/>
              </w:rPr>
            </w:pPr>
          </w:p>
        </w:tc>
        <w:tc>
          <w:tcPr>
            <w:tcW w:w="840" w:type="dxa"/>
            <w:vAlign w:val="bottom"/>
            <w:shd w:val="clear" w:color="auto" w:fill="E9F9D8"/>
          </w:tcPr>
          <w:p>
            <w:pPr>
              <w:spacing w:after="0"/>
              <w:rPr>
                <w:sz w:val="9"/>
                <w:szCs w:val="9"/>
                <w:color w:val="auto"/>
              </w:rPr>
            </w:pPr>
          </w:p>
        </w:tc>
        <w:tc>
          <w:tcPr>
            <w:tcW w:w="100" w:type="dxa"/>
            <w:vAlign w:val="bottom"/>
            <w:shd w:val="clear" w:color="auto" w:fill="E9F9D8"/>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80" w:type="dxa"/>
            <w:vAlign w:val="bottom"/>
            <w:gridSpan w:val="5"/>
            <w:vMerge w:val="restart"/>
          </w:tcPr>
          <w:p>
            <w:pPr>
              <w:ind w:left="60"/>
              <w:spacing w:after="0" w:line="149" w:lineRule="exact"/>
              <w:rPr>
                <w:sz w:val="20"/>
                <w:szCs w:val="20"/>
                <w:color w:val="auto"/>
              </w:rPr>
            </w:pPr>
            <w:r>
              <w:rPr>
                <w:rFonts w:ascii="Arial" w:cs="Arial" w:eastAsia="Arial" w:hAnsi="Arial"/>
                <w:sz w:val="14"/>
                <w:szCs w:val="14"/>
                <w:color w:val="auto"/>
                <w:w w:val="99"/>
              </w:rPr>
              <w:t xml:space="preserve">based vesting over a three-year period. </w:t>
            </w:r>
            <w:r>
              <w:rPr>
                <w:rFonts w:ascii="Arial" w:cs="Arial" w:eastAsia="Arial" w:hAnsi="Arial"/>
                <w:sz w:val="14"/>
                <w:szCs w:val="14"/>
                <w:b w:val="1"/>
                <w:bCs w:val="1"/>
                <w:color w:val="auto"/>
                <w:w w:val="99"/>
              </w:rPr>
              <w:t>The grant date value of</w:t>
            </w: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820" w:type="dxa"/>
            <w:vAlign w:val="bottom"/>
          </w:tcPr>
          <w:p>
            <w:pPr>
              <w:spacing w:after="0"/>
              <w:rPr>
                <w:sz w:val="3"/>
                <w:szCs w:val="3"/>
                <w:color w:val="auto"/>
              </w:rPr>
            </w:pPr>
          </w:p>
        </w:tc>
        <w:tc>
          <w:tcPr>
            <w:tcW w:w="280" w:type="dxa"/>
            <w:vAlign w:val="bottom"/>
            <w:gridSpan w:val="2"/>
            <w:vMerge w:val="restart"/>
            <w:shd w:val="clear" w:color="auto" w:fill="1F2668"/>
          </w:tcPr>
          <w:p>
            <w:pPr>
              <w:ind w:left="140"/>
              <w:spacing w:after="0"/>
              <w:rPr>
                <w:sz w:val="20"/>
                <w:szCs w:val="20"/>
                <w:color w:val="auto"/>
              </w:rPr>
            </w:pPr>
            <w:r>
              <w:rPr>
                <w:rFonts w:ascii="Arial" w:cs="Arial" w:eastAsia="Arial" w:hAnsi="Arial"/>
                <w:sz w:val="14"/>
                <w:szCs w:val="14"/>
                <w:color w:val="FFFFFF"/>
              </w:rPr>
              <w:t>•</w:t>
            </w:r>
          </w:p>
        </w:tc>
        <w:tc>
          <w:tcPr>
            <w:tcW w:w="2100" w:type="dxa"/>
            <w:vAlign w:val="bottom"/>
            <w:vMerge w:val="restart"/>
            <w:shd w:val="clear" w:color="auto" w:fill="1F2668"/>
          </w:tcPr>
          <w:p>
            <w:pPr>
              <w:ind w:left="20"/>
              <w:spacing w:after="0"/>
              <w:rPr>
                <w:sz w:val="20"/>
                <w:szCs w:val="20"/>
                <w:color w:val="auto"/>
              </w:rPr>
            </w:pPr>
            <w:r>
              <w:rPr>
                <w:rFonts w:ascii="Arial" w:cs="Arial" w:eastAsia="Arial" w:hAnsi="Arial"/>
                <w:sz w:val="14"/>
                <w:szCs w:val="14"/>
                <w:color w:val="FFFFFF"/>
              </w:rPr>
              <w:t>delivering exceptional returns</w:t>
            </w: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shd w:val="clear" w:color="auto" w:fill="83AD40"/>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shd w:val="clear" w:color="auto" w:fill="E9F9D8"/>
          </w:tcPr>
          <w:p>
            <w:pPr>
              <w:spacing w:after="0"/>
              <w:rPr>
                <w:sz w:val="3"/>
                <w:szCs w:val="3"/>
                <w:color w:val="auto"/>
              </w:rPr>
            </w:pPr>
          </w:p>
        </w:tc>
        <w:tc>
          <w:tcPr>
            <w:tcW w:w="40" w:type="dxa"/>
            <w:vAlign w:val="bottom"/>
            <w:shd w:val="clear" w:color="auto" w:fill="E9F9D8"/>
          </w:tcPr>
          <w:p>
            <w:pPr>
              <w:spacing w:after="0"/>
              <w:rPr>
                <w:sz w:val="3"/>
                <w:szCs w:val="3"/>
                <w:color w:val="auto"/>
              </w:rPr>
            </w:pPr>
          </w:p>
        </w:tc>
        <w:tc>
          <w:tcPr>
            <w:tcW w:w="840" w:type="dxa"/>
            <w:vAlign w:val="bottom"/>
            <w:shd w:val="clear" w:color="auto" w:fill="E9F9D8"/>
          </w:tcPr>
          <w:p>
            <w:pPr>
              <w:spacing w:after="0"/>
              <w:rPr>
                <w:sz w:val="3"/>
                <w:szCs w:val="3"/>
                <w:color w:val="auto"/>
              </w:rPr>
            </w:pPr>
          </w:p>
        </w:tc>
        <w:tc>
          <w:tcPr>
            <w:tcW w:w="100" w:type="dxa"/>
            <w:vAlign w:val="bottom"/>
            <w:shd w:val="clear" w:color="auto" w:fill="E9F9D8"/>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80" w:type="dxa"/>
            <w:vAlign w:val="bottom"/>
            <w:gridSpan w:val="5"/>
            <w:vMerge w:val="continue"/>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820" w:type="dxa"/>
            <w:vAlign w:val="bottom"/>
          </w:tcPr>
          <w:p>
            <w:pPr>
              <w:spacing w:after="0"/>
              <w:rPr>
                <w:sz w:val="12"/>
                <w:szCs w:val="12"/>
                <w:color w:val="auto"/>
              </w:rPr>
            </w:pPr>
          </w:p>
        </w:tc>
        <w:tc>
          <w:tcPr>
            <w:tcW w:w="280" w:type="dxa"/>
            <w:vAlign w:val="bottom"/>
            <w:gridSpan w:val="2"/>
            <w:vMerge w:val="continue"/>
            <w:shd w:val="clear" w:color="auto" w:fill="1F2668"/>
          </w:tcPr>
          <w:p>
            <w:pPr>
              <w:spacing w:after="0"/>
              <w:rPr>
                <w:sz w:val="12"/>
                <w:szCs w:val="12"/>
                <w:color w:val="auto"/>
              </w:rPr>
            </w:pPr>
          </w:p>
        </w:tc>
        <w:tc>
          <w:tcPr>
            <w:tcW w:w="2100" w:type="dxa"/>
            <w:vAlign w:val="bottom"/>
            <w:vMerge w:val="continue"/>
            <w:shd w:val="clear" w:color="auto" w:fill="1F2668"/>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shd w:val="clear" w:color="auto" w:fill="83AD40"/>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shd w:val="clear" w:color="auto" w:fill="E9F9D8"/>
          </w:tcPr>
          <w:p>
            <w:pPr>
              <w:spacing w:after="0"/>
              <w:rPr>
                <w:sz w:val="12"/>
                <w:szCs w:val="12"/>
                <w:color w:val="auto"/>
              </w:rPr>
            </w:pPr>
          </w:p>
        </w:tc>
        <w:tc>
          <w:tcPr>
            <w:tcW w:w="40" w:type="dxa"/>
            <w:vAlign w:val="bottom"/>
            <w:shd w:val="clear" w:color="auto" w:fill="E9F9D8"/>
          </w:tcPr>
          <w:p>
            <w:pPr>
              <w:spacing w:after="0"/>
              <w:rPr>
                <w:sz w:val="12"/>
                <w:szCs w:val="12"/>
                <w:color w:val="auto"/>
              </w:rPr>
            </w:pPr>
          </w:p>
        </w:tc>
        <w:tc>
          <w:tcPr>
            <w:tcW w:w="840" w:type="dxa"/>
            <w:vAlign w:val="bottom"/>
            <w:shd w:val="clear" w:color="auto" w:fill="E9F9D8"/>
          </w:tcPr>
          <w:p>
            <w:pPr>
              <w:spacing w:after="0"/>
              <w:rPr>
                <w:sz w:val="12"/>
                <w:szCs w:val="12"/>
                <w:color w:val="auto"/>
              </w:rPr>
            </w:pPr>
          </w:p>
        </w:tc>
        <w:tc>
          <w:tcPr>
            <w:tcW w:w="100" w:type="dxa"/>
            <w:vAlign w:val="bottom"/>
            <w:shd w:val="clear" w:color="auto" w:fill="E9F9D8"/>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8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w w:val="99"/>
              </w:rPr>
              <w:t>this award is included in the SCT, but the Committee did not</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820" w:type="dxa"/>
            <w:vAlign w:val="bottom"/>
          </w:tcPr>
          <w:p>
            <w:pPr>
              <w:spacing w:after="0"/>
              <w:rPr>
                <w:sz w:val="13"/>
                <w:szCs w:val="13"/>
                <w:color w:val="auto"/>
              </w:rPr>
            </w:pPr>
          </w:p>
        </w:tc>
        <w:tc>
          <w:tcPr>
            <w:tcW w:w="200" w:type="dxa"/>
            <w:vAlign w:val="bottom"/>
            <w:tcBorders>
              <w:right w:val="single" w:sz="8" w:color="1F2668"/>
            </w:tcBorders>
            <w:shd w:val="clear" w:color="auto" w:fill="1F2668"/>
          </w:tcPr>
          <w:p>
            <w:pPr>
              <w:spacing w:after="0"/>
              <w:rPr>
                <w:sz w:val="13"/>
                <w:szCs w:val="13"/>
                <w:color w:val="auto"/>
              </w:rPr>
            </w:pPr>
          </w:p>
        </w:tc>
        <w:tc>
          <w:tcPr>
            <w:tcW w:w="80" w:type="dxa"/>
            <w:vAlign w:val="bottom"/>
            <w:shd w:val="clear" w:color="auto" w:fill="1F2668"/>
          </w:tcPr>
          <w:p>
            <w:pPr>
              <w:spacing w:after="0"/>
              <w:rPr>
                <w:sz w:val="13"/>
                <w:szCs w:val="13"/>
                <w:color w:val="auto"/>
              </w:rPr>
            </w:pPr>
          </w:p>
        </w:tc>
        <w:tc>
          <w:tcPr>
            <w:tcW w:w="2100" w:type="dxa"/>
            <w:vAlign w:val="bottom"/>
            <w:shd w:val="clear" w:color="auto" w:fill="1F2668"/>
          </w:tcPr>
          <w:p>
            <w:pPr>
              <w:ind w:left="20"/>
              <w:spacing w:after="0" w:line="158" w:lineRule="exact"/>
              <w:rPr>
                <w:sz w:val="20"/>
                <w:szCs w:val="20"/>
                <w:color w:val="auto"/>
              </w:rPr>
            </w:pPr>
            <w:r>
              <w:rPr>
                <w:rFonts w:ascii="Arial" w:cs="Arial" w:eastAsia="Arial" w:hAnsi="Arial"/>
                <w:sz w:val="14"/>
                <w:szCs w:val="14"/>
                <w:color w:val="FFFFFF"/>
              </w:rPr>
              <w:t>on an absolute and relative</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shd w:val="clear" w:color="auto" w:fill="83AD40"/>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shd w:val="clear" w:color="auto" w:fill="E9F9D8"/>
          </w:tcPr>
          <w:p>
            <w:pPr>
              <w:spacing w:after="0"/>
              <w:rPr>
                <w:sz w:val="13"/>
                <w:szCs w:val="13"/>
                <w:color w:val="auto"/>
              </w:rPr>
            </w:pPr>
          </w:p>
        </w:tc>
        <w:tc>
          <w:tcPr>
            <w:tcW w:w="40" w:type="dxa"/>
            <w:vAlign w:val="bottom"/>
            <w:shd w:val="clear" w:color="auto" w:fill="E9F9D8"/>
          </w:tcPr>
          <w:p>
            <w:pPr>
              <w:spacing w:after="0"/>
              <w:rPr>
                <w:sz w:val="13"/>
                <w:szCs w:val="13"/>
                <w:color w:val="auto"/>
              </w:rPr>
            </w:pPr>
          </w:p>
        </w:tc>
        <w:tc>
          <w:tcPr>
            <w:tcW w:w="840" w:type="dxa"/>
            <w:vAlign w:val="bottom"/>
            <w:shd w:val="clear" w:color="auto" w:fill="E9F9D8"/>
          </w:tcPr>
          <w:p>
            <w:pPr>
              <w:spacing w:after="0"/>
              <w:rPr>
                <w:sz w:val="13"/>
                <w:szCs w:val="13"/>
                <w:color w:val="auto"/>
              </w:rPr>
            </w:pPr>
          </w:p>
        </w:tc>
        <w:tc>
          <w:tcPr>
            <w:tcW w:w="100" w:type="dxa"/>
            <w:vAlign w:val="bottom"/>
            <w:shd w:val="clear" w:color="auto" w:fill="E9F9D8"/>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360" w:type="dxa"/>
            <w:vAlign w:val="bottom"/>
            <w:gridSpan w:val="4"/>
          </w:tcPr>
          <w:p>
            <w:pPr>
              <w:ind w:left="60"/>
              <w:spacing w:after="0" w:line="158" w:lineRule="exact"/>
              <w:rPr>
                <w:sz w:val="20"/>
                <w:szCs w:val="20"/>
                <w:color w:val="auto"/>
              </w:rPr>
            </w:pPr>
            <w:r>
              <w:rPr>
                <w:rFonts w:ascii="Arial" w:cs="Arial" w:eastAsia="Arial" w:hAnsi="Arial"/>
                <w:sz w:val="14"/>
                <w:szCs w:val="14"/>
                <w:b w:val="1"/>
                <w:bCs w:val="1"/>
                <w:color w:val="auto"/>
              </w:rPr>
              <w:t>consider this award to be part of 2024 TDC.</w:t>
            </w: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820" w:type="dxa"/>
            <w:vAlign w:val="bottom"/>
          </w:tcPr>
          <w:p>
            <w:pPr>
              <w:spacing w:after="0"/>
              <w:rPr>
                <w:sz w:val="8"/>
                <w:szCs w:val="8"/>
                <w:color w:val="auto"/>
              </w:rPr>
            </w:pPr>
          </w:p>
        </w:tc>
        <w:tc>
          <w:tcPr>
            <w:tcW w:w="200" w:type="dxa"/>
            <w:vAlign w:val="bottom"/>
            <w:tcBorders>
              <w:bottom w:val="single" w:sz="8" w:color="1F2668"/>
              <w:right w:val="single" w:sz="8" w:color="1F2668"/>
            </w:tcBorders>
            <w:shd w:val="clear" w:color="auto" w:fill="1F2668"/>
          </w:tcPr>
          <w:p>
            <w:pPr>
              <w:spacing w:after="0"/>
              <w:rPr>
                <w:sz w:val="8"/>
                <w:szCs w:val="8"/>
                <w:color w:val="auto"/>
              </w:rPr>
            </w:pPr>
          </w:p>
        </w:tc>
        <w:tc>
          <w:tcPr>
            <w:tcW w:w="80" w:type="dxa"/>
            <w:vAlign w:val="bottom"/>
            <w:tcBorders>
              <w:bottom w:val="single" w:sz="8" w:color="1F2668"/>
            </w:tcBorders>
            <w:shd w:val="clear" w:color="auto" w:fill="1F2668"/>
          </w:tcPr>
          <w:p>
            <w:pPr>
              <w:spacing w:after="0"/>
              <w:rPr>
                <w:sz w:val="8"/>
                <w:szCs w:val="8"/>
                <w:color w:val="auto"/>
              </w:rPr>
            </w:pPr>
          </w:p>
        </w:tc>
        <w:tc>
          <w:tcPr>
            <w:tcW w:w="2100" w:type="dxa"/>
            <w:vAlign w:val="bottom"/>
            <w:tcBorders>
              <w:bottom w:val="single" w:sz="8" w:color="1F2668"/>
            </w:tcBorders>
            <w:vMerge w:val="restart"/>
            <w:shd w:val="clear" w:color="auto" w:fill="1F2668"/>
          </w:tcPr>
          <w:p>
            <w:pPr>
              <w:ind w:left="20"/>
              <w:spacing w:after="0"/>
              <w:rPr>
                <w:sz w:val="20"/>
                <w:szCs w:val="20"/>
                <w:color w:val="auto"/>
              </w:rPr>
            </w:pPr>
            <w:r>
              <w:rPr>
                <w:rFonts w:ascii="Arial" w:cs="Arial" w:eastAsia="Arial" w:hAnsi="Arial"/>
                <w:sz w:val="14"/>
                <w:szCs w:val="14"/>
                <w:color w:val="FFFFFF"/>
              </w:rPr>
              <w:t>basis.</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bottom w:val="single" w:sz="8" w:color="83AD40"/>
            </w:tcBorders>
            <w:shd w:val="clear" w:color="auto" w:fill="83AD40"/>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bottom w:val="single" w:sz="8" w:color="4B5088"/>
            </w:tcBorders>
            <w:shd w:val="clear" w:color="auto" w:fill="E9F9D8"/>
          </w:tcPr>
          <w:p>
            <w:pPr>
              <w:spacing w:after="0"/>
              <w:rPr>
                <w:sz w:val="8"/>
                <w:szCs w:val="8"/>
                <w:color w:val="auto"/>
              </w:rPr>
            </w:pPr>
          </w:p>
        </w:tc>
        <w:tc>
          <w:tcPr>
            <w:tcW w:w="40" w:type="dxa"/>
            <w:vAlign w:val="bottom"/>
            <w:tcBorders>
              <w:bottom w:val="single" w:sz="8" w:color="4B5088"/>
            </w:tcBorders>
            <w:shd w:val="clear" w:color="auto" w:fill="E9F9D8"/>
          </w:tcPr>
          <w:p>
            <w:pPr>
              <w:spacing w:after="0"/>
              <w:rPr>
                <w:sz w:val="8"/>
                <w:szCs w:val="8"/>
                <w:color w:val="auto"/>
              </w:rPr>
            </w:pPr>
          </w:p>
        </w:tc>
        <w:tc>
          <w:tcPr>
            <w:tcW w:w="840" w:type="dxa"/>
            <w:vAlign w:val="bottom"/>
            <w:tcBorders>
              <w:bottom w:val="single" w:sz="8" w:color="4B5088"/>
            </w:tcBorders>
            <w:shd w:val="clear" w:color="auto" w:fill="E9F9D8"/>
          </w:tcPr>
          <w:p>
            <w:pPr>
              <w:spacing w:after="0"/>
              <w:rPr>
                <w:sz w:val="8"/>
                <w:szCs w:val="8"/>
                <w:color w:val="auto"/>
              </w:rPr>
            </w:pPr>
          </w:p>
        </w:tc>
        <w:tc>
          <w:tcPr>
            <w:tcW w:w="100" w:type="dxa"/>
            <w:vAlign w:val="bottom"/>
            <w:tcBorders>
              <w:bottom w:val="single" w:sz="8" w:color="4B5088"/>
            </w:tcBorders>
            <w:shd w:val="clear" w:color="auto" w:fill="E9F9D8"/>
          </w:tcPr>
          <w:p>
            <w:pPr>
              <w:spacing w:after="0"/>
              <w:rPr>
                <w:sz w:val="8"/>
                <w:szCs w:val="8"/>
                <w:color w:val="auto"/>
              </w:rPr>
            </w:pPr>
          </w:p>
        </w:tc>
        <w:tc>
          <w:tcPr>
            <w:tcW w:w="40" w:type="dxa"/>
            <w:vAlign w:val="bottom"/>
            <w:tcBorders>
              <w:bottom w:val="single" w:sz="8" w:color="4B5088"/>
            </w:tcBorders>
          </w:tcPr>
          <w:p>
            <w:pPr>
              <w:spacing w:after="0"/>
              <w:rPr>
                <w:sz w:val="8"/>
                <w:szCs w:val="8"/>
                <w:color w:val="auto"/>
              </w:rPr>
            </w:pPr>
          </w:p>
        </w:tc>
        <w:tc>
          <w:tcPr>
            <w:tcW w:w="60" w:type="dxa"/>
            <w:vAlign w:val="bottom"/>
            <w:tcBorders>
              <w:bottom w:val="single" w:sz="8" w:color="4B5088"/>
            </w:tcBorders>
          </w:tcPr>
          <w:p>
            <w:pPr>
              <w:spacing w:after="0"/>
              <w:rPr>
                <w:sz w:val="8"/>
                <w:szCs w:val="8"/>
                <w:color w:val="auto"/>
              </w:rPr>
            </w:pPr>
          </w:p>
        </w:tc>
        <w:tc>
          <w:tcPr>
            <w:tcW w:w="880" w:type="dxa"/>
            <w:vAlign w:val="bottom"/>
            <w:tcBorders>
              <w:bottom w:val="single" w:sz="8" w:color="4B5088"/>
            </w:tcBorders>
          </w:tcPr>
          <w:p>
            <w:pPr>
              <w:spacing w:after="0"/>
              <w:rPr>
                <w:sz w:val="8"/>
                <w:szCs w:val="8"/>
                <w:color w:val="auto"/>
              </w:rPr>
            </w:pPr>
          </w:p>
        </w:tc>
        <w:tc>
          <w:tcPr>
            <w:tcW w:w="100" w:type="dxa"/>
            <w:vAlign w:val="bottom"/>
            <w:tcBorders>
              <w:bottom w:val="single" w:sz="8" w:color="4B5088"/>
            </w:tcBorders>
          </w:tcPr>
          <w:p>
            <w:pPr>
              <w:spacing w:after="0"/>
              <w:rPr>
                <w:sz w:val="8"/>
                <w:szCs w:val="8"/>
                <w:color w:val="auto"/>
              </w:rPr>
            </w:pPr>
          </w:p>
        </w:tc>
        <w:tc>
          <w:tcPr>
            <w:tcW w:w="180" w:type="dxa"/>
            <w:vAlign w:val="bottom"/>
            <w:tcBorders>
              <w:bottom w:val="single" w:sz="8" w:color="4B5088"/>
            </w:tcBorders>
          </w:tcPr>
          <w:p>
            <w:pPr>
              <w:spacing w:after="0"/>
              <w:rPr>
                <w:sz w:val="8"/>
                <w:szCs w:val="8"/>
                <w:color w:val="auto"/>
              </w:rPr>
            </w:pPr>
          </w:p>
        </w:tc>
        <w:tc>
          <w:tcPr>
            <w:tcW w:w="900" w:type="dxa"/>
            <w:vAlign w:val="bottom"/>
            <w:tcBorders>
              <w:bottom w:val="single" w:sz="8" w:color="4B5088"/>
            </w:tcBorders>
          </w:tcPr>
          <w:p>
            <w:pPr>
              <w:spacing w:after="0"/>
              <w:rPr>
                <w:sz w:val="8"/>
                <w:szCs w:val="8"/>
                <w:color w:val="auto"/>
              </w:rPr>
            </w:pPr>
          </w:p>
        </w:tc>
        <w:tc>
          <w:tcPr>
            <w:tcW w:w="1040" w:type="dxa"/>
            <w:vAlign w:val="bottom"/>
            <w:tcBorders>
              <w:bottom w:val="single" w:sz="8" w:color="4B5088"/>
            </w:tcBorders>
          </w:tcPr>
          <w:p>
            <w:pPr>
              <w:spacing w:after="0"/>
              <w:rPr>
                <w:sz w:val="8"/>
                <w:szCs w:val="8"/>
                <w:color w:val="auto"/>
              </w:rPr>
            </w:pPr>
          </w:p>
        </w:tc>
        <w:tc>
          <w:tcPr>
            <w:tcW w:w="1240" w:type="dxa"/>
            <w:vAlign w:val="bottom"/>
            <w:tcBorders>
              <w:bottom w:val="single" w:sz="8" w:color="4B5088"/>
            </w:tcBorders>
          </w:tcPr>
          <w:p>
            <w:pPr>
              <w:spacing w:after="0"/>
              <w:rPr>
                <w:sz w:val="8"/>
                <w:szCs w:val="8"/>
                <w:color w:val="auto"/>
              </w:rPr>
            </w:pPr>
          </w:p>
        </w:tc>
        <w:tc>
          <w:tcPr>
            <w:tcW w:w="720" w:type="dxa"/>
            <w:vAlign w:val="bottom"/>
            <w:tcBorders>
              <w:bottom w:val="single" w:sz="8" w:color="4B5088"/>
            </w:tcBorders>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820" w:type="dxa"/>
            <w:vAlign w:val="bottom"/>
          </w:tcPr>
          <w:p>
            <w:pPr>
              <w:spacing w:after="0"/>
              <w:rPr>
                <w:sz w:val="6"/>
                <w:szCs w:val="6"/>
                <w:color w:val="auto"/>
              </w:rPr>
            </w:pPr>
          </w:p>
        </w:tc>
        <w:tc>
          <w:tcPr>
            <w:tcW w:w="200" w:type="dxa"/>
            <w:vAlign w:val="bottom"/>
            <w:tcBorders>
              <w:right w:val="single" w:sz="8" w:color="1F2668"/>
            </w:tcBorders>
            <w:shd w:val="clear" w:color="auto" w:fill="1F2668"/>
          </w:tcPr>
          <w:p>
            <w:pPr>
              <w:spacing w:after="0"/>
              <w:rPr>
                <w:sz w:val="6"/>
                <w:szCs w:val="6"/>
                <w:color w:val="auto"/>
              </w:rPr>
            </w:pPr>
          </w:p>
        </w:tc>
        <w:tc>
          <w:tcPr>
            <w:tcW w:w="80" w:type="dxa"/>
            <w:vAlign w:val="bottom"/>
            <w:shd w:val="clear" w:color="auto" w:fill="1F2668"/>
          </w:tcPr>
          <w:p>
            <w:pPr>
              <w:spacing w:after="0"/>
              <w:rPr>
                <w:sz w:val="6"/>
                <w:szCs w:val="6"/>
                <w:color w:val="auto"/>
              </w:rPr>
            </w:pPr>
          </w:p>
        </w:tc>
        <w:tc>
          <w:tcPr>
            <w:tcW w:w="2100" w:type="dxa"/>
            <w:vAlign w:val="bottom"/>
            <w:vMerge w:val="continue"/>
            <w:shd w:val="clear" w:color="auto" w:fill="1F2668"/>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shd w:val="clear" w:color="auto" w:fill="83AD40"/>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vMerge w:val="restart"/>
            <w:shd w:val="clear" w:color="auto" w:fill="E9F9D8"/>
          </w:tcPr>
          <w:p>
            <w:pPr>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E9F9D8"/>
          </w:tcPr>
          <w:p>
            <w:pPr>
              <w:spacing w:after="0" w:line="335" w:lineRule="exact"/>
              <w:rPr>
                <w:sz w:val="20"/>
                <w:szCs w:val="20"/>
                <w:color w:val="auto"/>
              </w:rPr>
            </w:pPr>
            <w:r>
              <w:rPr>
                <w:rFonts w:ascii="Arial" w:cs="Arial" w:eastAsia="Arial" w:hAnsi="Arial"/>
                <w:sz w:val="32"/>
                <w:szCs w:val="32"/>
                <w:color w:val="1F2668"/>
              </w:rPr>
              <w:t>40%</w:t>
            </w:r>
          </w:p>
        </w:tc>
        <w:tc>
          <w:tcPr>
            <w:tcW w:w="100" w:type="dxa"/>
            <w:vAlign w:val="bottom"/>
            <w:shd w:val="clear" w:color="auto" w:fill="E9F9D8"/>
          </w:tcPr>
          <w:p>
            <w:pPr>
              <w:spacing w:after="0"/>
              <w:rPr>
                <w:sz w:val="6"/>
                <w:szCs w:val="6"/>
                <w:color w:val="auto"/>
              </w:rPr>
            </w:pPr>
          </w:p>
        </w:tc>
        <w:tc>
          <w:tcPr>
            <w:tcW w:w="10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spacing w:after="0" w:line="335" w:lineRule="exact"/>
              <w:rPr>
                <w:sz w:val="20"/>
                <w:szCs w:val="20"/>
                <w:color w:val="auto"/>
              </w:rPr>
            </w:pPr>
            <w:r>
              <w:rPr>
                <w:rFonts w:ascii="Arial" w:cs="Arial" w:eastAsia="Arial" w:hAnsi="Arial"/>
                <w:sz w:val="32"/>
                <w:szCs w:val="32"/>
                <w:color w:val="1F2668"/>
              </w:rPr>
              <w:t>20%</w:t>
            </w:r>
          </w:p>
        </w:tc>
        <w:tc>
          <w:tcPr>
            <w:tcW w:w="2220" w:type="dxa"/>
            <w:vAlign w:val="bottom"/>
            <w:gridSpan w:val="4"/>
            <w:vMerge w:val="restart"/>
          </w:tcPr>
          <w:p>
            <w:pPr>
              <w:ind w:left="40"/>
              <w:spacing w:after="0" w:line="26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6"/>
                <w:szCs w:val="16"/>
                <w:b w:val="1"/>
                <w:bCs w:val="1"/>
                <w:color w:val="auto"/>
              </w:rPr>
              <w:t>Time-Based Equity Awards</w:t>
            </w:r>
          </w:p>
        </w:tc>
        <w:tc>
          <w:tcPr>
            <w:tcW w:w="1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2380" w:type="dxa"/>
            <w:vAlign w:val="bottom"/>
            <w:gridSpan w:val="3"/>
            <w:shd w:val="clear" w:color="auto" w:fill="1F2668"/>
          </w:tcPr>
          <w:p>
            <w:pPr>
              <w:ind w:left="140"/>
              <w:spacing w:after="0"/>
              <w:rPr>
                <w:sz w:val="20"/>
                <w:szCs w:val="20"/>
                <w:color w:val="auto"/>
              </w:rPr>
            </w:pPr>
            <w:r>
              <w:rPr>
                <w:rFonts w:ascii="Arial" w:cs="Arial" w:eastAsia="Arial" w:hAnsi="Arial"/>
                <w:sz w:val="14"/>
                <w:szCs w:val="14"/>
                <w:color w:val="FFFFFF"/>
              </w:rPr>
              <w:t>In recognition of our sustained</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shd w:val="clear" w:color="auto" w:fill="83AD40"/>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vMerge w:val="continue"/>
            <w:shd w:val="clear" w:color="auto" w:fill="E9F9D8"/>
          </w:tcPr>
          <w:p>
            <w:pPr>
              <w:spacing w:after="0"/>
              <w:rPr>
                <w:sz w:val="16"/>
                <w:szCs w:val="16"/>
                <w:color w:val="auto"/>
              </w:rPr>
            </w:pPr>
          </w:p>
        </w:tc>
        <w:tc>
          <w:tcPr>
            <w:tcW w:w="880" w:type="dxa"/>
            <w:vAlign w:val="bottom"/>
            <w:gridSpan w:val="2"/>
            <w:vMerge w:val="continue"/>
            <w:shd w:val="clear" w:color="auto" w:fill="E9F9D8"/>
          </w:tcPr>
          <w:p>
            <w:pPr>
              <w:spacing w:after="0"/>
              <w:rPr>
                <w:sz w:val="16"/>
                <w:szCs w:val="16"/>
                <w:color w:val="auto"/>
              </w:rPr>
            </w:pPr>
          </w:p>
        </w:tc>
        <w:tc>
          <w:tcPr>
            <w:tcW w:w="100" w:type="dxa"/>
            <w:vAlign w:val="bottom"/>
            <w:shd w:val="clear" w:color="auto" w:fill="E9F9D8"/>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2220" w:type="dxa"/>
            <w:vAlign w:val="bottom"/>
            <w:gridSpan w:val="4"/>
            <w:vMerge w:val="continue"/>
          </w:tcPr>
          <w:p>
            <w:pPr>
              <w:spacing w:after="0"/>
              <w:rPr>
                <w:sz w:val="16"/>
                <w:szCs w:val="16"/>
                <w:color w:val="auto"/>
              </w:rPr>
            </w:pPr>
          </w:p>
        </w:tc>
        <w:tc>
          <w:tcPr>
            <w:tcW w:w="1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820" w:type="dxa"/>
            <w:vAlign w:val="bottom"/>
          </w:tcPr>
          <w:p>
            <w:pPr>
              <w:spacing w:after="0"/>
              <w:rPr>
                <w:sz w:val="6"/>
                <w:szCs w:val="6"/>
                <w:color w:val="auto"/>
              </w:rPr>
            </w:pPr>
          </w:p>
        </w:tc>
        <w:tc>
          <w:tcPr>
            <w:tcW w:w="2380" w:type="dxa"/>
            <w:vAlign w:val="bottom"/>
            <w:gridSpan w:val="3"/>
            <w:vMerge w:val="restart"/>
            <w:shd w:val="clear" w:color="auto" w:fill="1F2668"/>
          </w:tcPr>
          <w:p>
            <w:pPr>
              <w:ind w:left="140"/>
              <w:spacing w:after="0"/>
              <w:rPr>
                <w:sz w:val="20"/>
                <w:szCs w:val="20"/>
                <w:color w:val="auto"/>
              </w:rPr>
            </w:pPr>
            <w:r>
              <w:rPr>
                <w:rFonts w:ascii="Arial" w:cs="Arial" w:eastAsia="Arial" w:hAnsi="Arial"/>
                <w:sz w:val="14"/>
                <w:szCs w:val="14"/>
                <w:color w:val="FFFFFF"/>
              </w:rPr>
              <w:t>outperformance, Total Direct</w:t>
            </w: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shd w:val="clear" w:color="auto" w:fill="83AD40"/>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shd w:val="clear" w:color="auto" w:fill="E9F9D8"/>
          </w:tcPr>
          <w:p>
            <w:pPr>
              <w:spacing w:after="0"/>
              <w:rPr>
                <w:sz w:val="6"/>
                <w:szCs w:val="6"/>
                <w:color w:val="auto"/>
              </w:rPr>
            </w:pPr>
          </w:p>
        </w:tc>
        <w:tc>
          <w:tcPr>
            <w:tcW w:w="880" w:type="dxa"/>
            <w:vAlign w:val="bottom"/>
            <w:gridSpan w:val="2"/>
            <w:vMerge w:val="continue"/>
            <w:shd w:val="clear" w:color="auto" w:fill="E9F9D8"/>
          </w:tcPr>
          <w:p>
            <w:pPr>
              <w:spacing w:after="0"/>
              <w:rPr>
                <w:sz w:val="6"/>
                <w:szCs w:val="6"/>
                <w:color w:val="auto"/>
              </w:rPr>
            </w:pPr>
          </w:p>
        </w:tc>
        <w:tc>
          <w:tcPr>
            <w:tcW w:w="100" w:type="dxa"/>
            <w:vAlign w:val="bottom"/>
            <w:shd w:val="clear" w:color="auto" w:fill="E9F9D8"/>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80" w:type="dxa"/>
            <w:vAlign w:val="bottom"/>
            <w:gridSpan w:val="5"/>
          </w:tcPr>
          <w:p>
            <w:pPr>
              <w:ind w:left="60"/>
              <w:spacing w:after="0" w:line="72" w:lineRule="exact"/>
              <w:rPr>
                <w:sz w:val="20"/>
                <w:szCs w:val="20"/>
                <w:color w:val="auto"/>
              </w:rPr>
            </w:pPr>
            <w:r>
              <w:rPr>
                <w:rFonts w:ascii="Arial" w:cs="Arial" w:eastAsia="Arial" w:hAnsi="Arial"/>
                <w:sz w:val="8"/>
                <w:szCs w:val="8"/>
                <w:color w:val="auto"/>
              </w:rPr>
              <w:t>The Committee granted time-based awards in January 2025</w:t>
            </w: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820" w:type="dxa"/>
            <w:vAlign w:val="bottom"/>
          </w:tcPr>
          <w:p>
            <w:pPr>
              <w:spacing w:after="0"/>
              <w:rPr>
                <w:sz w:val="8"/>
                <w:szCs w:val="8"/>
                <w:color w:val="auto"/>
              </w:rPr>
            </w:pPr>
          </w:p>
        </w:tc>
        <w:tc>
          <w:tcPr>
            <w:tcW w:w="2380" w:type="dxa"/>
            <w:vAlign w:val="bottom"/>
            <w:gridSpan w:val="3"/>
            <w:vMerge w:val="continue"/>
            <w:shd w:val="clear" w:color="auto" w:fill="1F2668"/>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shd w:val="clear" w:color="auto" w:fill="83AD40"/>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shd w:val="clear" w:color="auto" w:fill="E9F9D8"/>
          </w:tcPr>
          <w:p>
            <w:pPr>
              <w:spacing w:after="0"/>
              <w:rPr>
                <w:sz w:val="8"/>
                <w:szCs w:val="8"/>
                <w:color w:val="auto"/>
              </w:rPr>
            </w:pPr>
          </w:p>
        </w:tc>
        <w:tc>
          <w:tcPr>
            <w:tcW w:w="880" w:type="dxa"/>
            <w:vAlign w:val="bottom"/>
            <w:gridSpan w:val="2"/>
            <w:vMerge w:val="restart"/>
            <w:shd w:val="clear" w:color="auto" w:fill="E9F9D8"/>
          </w:tcPr>
          <w:p>
            <w:pPr>
              <w:spacing w:after="0"/>
              <w:rPr>
                <w:sz w:val="20"/>
                <w:szCs w:val="20"/>
                <w:color w:val="auto"/>
              </w:rPr>
            </w:pPr>
            <w:r>
              <w:rPr>
                <w:rFonts w:ascii="Arial" w:cs="Arial" w:eastAsia="Arial" w:hAnsi="Arial"/>
                <w:sz w:val="14"/>
                <w:szCs w:val="14"/>
                <w:b w:val="1"/>
                <w:bCs w:val="1"/>
                <w:color w:val="auto"/>
              </w:rPr>
              <w:t>$7,875,000</w:t>
            </w:r>
          </w:p>
        </w:tc>
        <w:tc>
          <w:tcPr>
            <w:tcW w:w="100" w:type="dxa"/>
            <w:vAlign w:val="bottom"/>
            <w:shd w:val="clear" w:color="auto" w:fill="E9F9D8"/>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rPr>
              <w:t>$4,044,048</w:t>
            </w:r>
          </w:p>
        </w:tc>
        <w:tc>
          <w:tcPr>
            <w:tcW w:w="100" w:type="dxa"/>
            <w:vAlign w:val="bottom"/>
          </w:tcPr>
          <w:p>
            <w:pPr>
              <w:spacing w:after="0"/>
              <w:rPr>
                <w:sz w:val="8"/>
                <w:szCs w:val="8"/>
                <w:color w:val="auto"/>
              </w:rPr>
            </w:pPr>
          </w:p>
        </w:tc>
        <w:tc>
          <w:tcPr>
            <w:tcW w:w="4080" w:type="dxa"/>
            <w:vAlign w:val="bottom"/>
            <w:gridSpan w:val="5"/>
            <w:vMerge w:val="restart"/>
          </w:tcPr>
          <w:p>
            <w:pPr>
              <w:ind w:left="60"/>
              <w:spacing w:after="0"/>
              <w:rPr>
                <w:sz w:val="20"/>
                <w:szCs w:val="20"/>
                <w:color w:val="auto"/>
              </w:rPr>
            </w:pPr>
            <w:r>
              <w:rPr>
                <w:rFonts w:ascii="Arial" w:cs="Arial" w:eastAsia="Arial" w:hAnsi="Arial"/>
                <w:sz w:val="14"/>
                <w:szCs w:val="14"/>
                <w:color w:val="auto"/>
              </w:rPr>
              <w:t>based on the Company’s 2024 performance. The awards had a</w:t>
            </w: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820" w:type="dxa"/>
            <w:vAlign w:val="bottom"/>
          </w:tcPr>
          <w:p>
            <w:pPr>
              <w:spacing w:after="0"/>
              <w:rPr>
                <w:sz w:val="6"/>
                <w:szCs w:val="6"/>
                <w:color w:val="auto"/>
              </w:rPr>
            </w:pPr>
          </w:p>
        </w:tc>
        <w:tc>
          <w:tcPr>
            <w:tcW w:w="2380" w:type="dxa"/>
            <w:vAlign w:val="bottom"/>
            <w:gridSpan w:val="3"/>
            <w:vMerge w:val="restart"/>
            <w:shd w:val="clear" w:color="auto" w:fill="1F2668"/>
          </w:tcPr>
          <w:p>
            <w:pPr>
              <w:ind w:left="140"/>
              <w:spacing w:after="0" w:line="149" w:lineRule="exact"/>
              <w:rPr>
                <w:sz w:val="20"/>
                <w:szCs w:val="20"/>
                <w:color w:val="auto"/>
              </w:rPr>
            </w:pPr>
            <w:r>
              <w:rPr>
                <w:rFonts w:ascii="Arial" w:cs="Arial" w:eastAsia="Arial" w:hAnsi="Arial"/>
                <w:sz w:val="14"/>
                <w:szCs w:val="14"/>
                <w:color w:val="FFFFFF"/>
              </w:rPr>
              <w:t>Compensation increased year-</w:t>
            </w: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shd w:val="clear" w:color="auto" w:fill="83AD40"/>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shd w:val="clear" w:color="auto" w:fill="E9F9D8"/>
          </w:tcPr>
          <w:p>
            <w:pPr>
              <w:spacing w:after="0"/>
              <w:rPr>
                <w:sz w:val="6"/>
                <w:szCs w:val="6"/>
                <w:color w:val="auto"/>
              </w:rPr>
            </w:pPr>
          </w:p>
        </w:tc>
        <w:tc>
          <w:tcPr>
            <w:tcW w:w="880" w:type="dxa"/>
            <w:vAlign w:val="bottom"/>
            <w:gridSpan w:val="2"/>
            <w:vMerge w:val="continue"/>
            <w:shd w:val="clear" w:color="auto" w:fill="E9F9D8"/>
          </w:tcPr>
          <w:p>
            <w:pPr>
              <w:spacing w:after="0"/>
              <w:rPr>
                <w:sz w:val="6"/>
                <w:szCs w:val="6"/>
                <w:color w:val="auto"/>
              </w:rPr>
            </w:pPr>
          </w:p>
        </w:tc>
        <w:tc>
          <w:tcPr>
            <w:tcW w:w="100" w:type="dxa"/>
            <w:vAlign w:val="bottom"/>
            <w:shd w:val="clear" w:color="auto" w:fill="E9F9D8"/>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80" w:type="dxa"/>
            <w:vAlign w:val="bottom"/>
            <w:gridSpan w:val="5"/>
            <w:vMerge w:val="continue"/>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820" w:type="dxa"/>
            <w:vAlign w:val="bottom"/>
          </w:tcPr>
          <w:p>
            <w:pPr>
              <w:spacing w:after="0"/>
              <w:rPr>
                <w:sz w:val="6"/>
                <w:szCs w:val="6"/>
                <w:color w:val="auto"/>
              </w:rPr>
            </w:pPr>
          </w:p>
        </w:tc>
        <w:tc>
          <w:tcPr>
            <w:tcW w:w="2380" w:type="dxa"/>
            <w:vAlign w:val="bottom"/>
            <w:gridSpan w:val="3"/>
            <w:vMerge w:val="continue"/>
            <w:shd w:val="clear" w:color="auto" w:fill="1F2668"/>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shd w:val="clear" w:color="auto" w:fill="83AD40"/>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shd w:val="clear" w:color="auto" w:fill="E9F9D8"/>
          </w:tcPr>
          <w:p>
            <w:pPr>
              <w:spacing w:after="0"/>
              <w:rPr>
                <w:sz w:val="6"/>
                <w:szCs w:val="6"/>
                <w:color w:val="auto"/>
              </w:rPr>
            </w:pPr>
          </w:p>
        </w:tc>
        <w:tc>
          <w:tcPr>
            <w:tcW w:w="40" w:type="dxa"/>
            <w:vAlign w:val="bottom"/>
            <w:shd w:val="clear" w:color="auto" w:fill="E9F9D8"/>
          </w:tcPr>
          <w:p>
            <w:pPr>
              <w:spacing w:after="0"/>
              <w:rPr>
                <w:sz w:val="6"/>
                <w:szCs w:val="6"/>
                <w:color w:val="auto"/>
              </w:rPr>
            </w:pPr>
          </w:p>
        </w:tc>
        <w:tc>
          <w:tcPr>
            <w:tcW w:w="840" w:type="dxa"/>
            <w:vAlign w:val="bottom"/>
            <w:shd w:val="clear" w:color="auto" w:fill="E9F9D8"/>
          </w:tcPr>
          <w:p>
            <w:pPr>
              <w:spacing w:after="0"/>
              <w:rPr>
                <w:sz w:val="6"/>
                <w:szCs w:val="6"/>
                <w:color w:val="auto"/>
              </w:rPr>
            </w:pPr>
          </w:p>
        </w:tc>
        <w:tc>
          <w:tcPr>
            <w:tcW w:w="100" w:type="dxa"/>
            <w:vAlign w:val="bottom"/>
            <w:shd w:val="clear" w:color="auto" w:fill="E9F9D8"/>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80" w:type="dxa"/>
            <w:vAlign w:val="bottom"/>
            <w:gridSpan w:val="5"/>
            <w:vMerge w:val="restart"/>
          </w:tcPr>
          <w:p>
            <w:pPr>
              <w:ind w:left="60"/>
              <w:spacing w:after="0" w:line="139" w:lineRule="exact"/>
              <w:rPr>
                <w:sz w:val="20"/>
                <w:szCs w:val="20"/>
                <w:color w:val="auto"/>
              </w:rPr>
            </w:pPr>
            <w:r>
              <w:rPr>
                <w:rFonts w:ascii="Arial" w:cs="Arial" w:eastAsia="Arial" w:hAnsi="Arial"/>
                <w:sz w:val="14"/>
                <w:szCs w:val="14"/>
                <w:color w:val="auto"/>
                <w:w w:val="99"/>
              </w:rPr>
              <w:t xml:space="preserve">target value of </w:t>
            </w:r>
            <w:r>
              <w:rPr>
                <w:rFonts w:ascii="Arial" w:cs="Arial" w:eastAsia="Arial" w:hAnsi="Arial"/>
                <w:sz w:val="14"/>
                <w:szCs w:val="14"/>
                <w:b w:val="1"/>
                <w:bCs w:val="1"/>
                <w:color w:val="auto"/>
                <w:w w:val="99"/>
              </w:rPr>
              <w:t>$7,875,000</w:t>
            </w:r>
            <w:r>
              <w:rPr>
                <w:rFonts w:ascii="Arial" w:cs="Arial" w:eastAsia="Arial" w:hAnsi="Arial"/>
                <w:sz w:val="14"/>
                <w:szCs w:val="14"/>
                <w:color w:val="auto"/>
                <w:w w:val="99"/>
              </w:rPr>
              <w:t xml:space="preserve">, with the corresponding </w:t>
            </w:r>
            <w:r>
              <w:rPr>
                <w:rFonts w:ascii="Arial" w:cs="Arial" w:eastAsia="Arial" w:hAnsi="Arial"/>
                <w:sz w:val="14"/>
                <w:szCs w:val="14"/>
                <w:b w:val="1"/>
                <w:bCs w:val="1"/>
                <w:color w:val="auto"/>
                <w:w w:val="99"/>
              </w:rPr>
              <w:t>115,418</w:t>
            </w:r>
            <w:r>
              <w:rPr>
                <w:rFonts w:ascii="Arial" w:cs="Arial" w:eastAsia="Arial" w:hAnsi="Arial"/>
                <w:sz w:val="14"/>
                <w:szCs w:val="14"/>
                <w:color w:val="auto"/>
                <w:w w:val="99"/>
              </w:rPr>
              <w:t xml:space="preserve"> LTIP</w:t>
            </w: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820" w:type="dxa"/>
            <w:vAlign w:val="bottom"/>
          </w:tcPr>
          <w:p>
            <w:pPr>
              <w:spacing w:after="0"/>
              <w:rPr>
                <w:sz w:val="5"/>
                <w:szCs w:val="5"/>
                <w:color w:val="auto"/>
              </w:rPr>
            </w:pPr>
          </w:p>
        </w:tc>
        <w:tc>
          <w:tcPr>
            <w:tcW w:w="2380" w:type="dxa"/>
            <w:vAlign w:val="bottom"/>
            <w:gridSpan w:val="3"/>
            <w:vMerge w:val="restart"/>
            <w:shd w:val="clear" w:color="auto" w:fill="1F2668"/>
          </w:tcPr>
          <w:p>
            <w:pPr>
              <w:ind w:left="140"/>
              <w:spacing w:after="0" w:line="149" w:lineRule="exact"/>
              <w:rPr>
                <w:sz w:val="20"/>
                <w:szCs w:val="20"/>
                <w:color w:val="auto"/>
              </w:rPr>
            </w:pPr>
            <w:r>
              <w:rPr>
                <w:rFonts w:ascii="Arial" w:cs="Arial" w:eastAsia="Arial" w:hAnsi="Arial"/>
                <w:sz w:val="14"/>
                <w:szCs w:val="14"/>
                <w:color w:val="FFFFFF"/>
              </w:rPr>
              <w:t>over-year. However, t</w:t>
            </w:r>
            <w:r>
              <w:rPr>
                <w:rFonts w:ascii="Arial" w:cs="Arial" w:eastAsia="Arial" w:hAnsi="Arial"/>
                <w:sz w:val="14"/>
                <w:szCs w:val="14"/>
                <w:b w:val="1"/>
                <w:bCs w:val="1"/>
                <w:color w:val="FFFFFF"/>
              </w:rPr>
              <w:t>he Total</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shd w:val="clear" w:color="auto" w:fill="83AD40"/>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shd w:val="clear" w:color="auto" w:fill="E9F9D8"/>
          </w:tcPr>
          <w:p>
            <w:pPr>
              <w:spacing w:after="0"/>
              <w:rPr>
                <w:sz w:val="5"/>
                <w:szCs w:val="5"/>
                <w:color w:val="auto"/>
              </w:rPr>
            </w:pPr>
          </w:p>
        </w:tc>
        <w:tc>
          <w:tcPr>
            <w:tcW w:w="40" w:type="dxa"/>
            <w:vAlign w:val="bottom"/>
            <w:shd w:val="clear" w:color="auto" w:fill="E9F9D8"/>
          </w:tcPr>
          <w:p>
            <w:pPr>
              <w:spacing w:after="0"/>
              <w:rPr>
                <w:sz w:val="5"/>
                <w:szCs w:val="5"/>
                <w:color w:val="auto"/>
              </w:rPr>
            </w:pPr>
          </w:p>
        </w:tc>
        <w:tc>
          <w:tcPr>
            <w:tcW w:w="840" w:type="dxa"/>
            <w:vAlign w:val="bottom"/>
            <w:shd w:val="clear" w:color="auto" w:fill="E9F9D8"/>
          </w:tcPr>
          <w:p>
            <w:pPr>
              <w:spacing w:after="0"/>
              <w:rPr>
                <w:sz w:val="5"/>
                <w:szCs w:val="5"/>
                <w:color w:val="auto"/>
              </w:rPr>
            </w:pPr>
          </w:p>
        </w:tc>
        <w:tc>
          <w:tcPr>
            <w:tcW w:w="100" w:type="dxa"/>
            <w:vAlign w:val="bottom"/>
            <w:shd w:val="clear" w:color="auto" w:fill="E9F9D8"/>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80" w:type="dxa"/>
            <w:vAlign w:val="bottom"/>
            <w:gridSpan w:val="5"/>
            <w:vMerge w:val="continue"/>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820" w:type="dxa"/>
            <w:vAlign w:val="bottom"/>
          </w:tcPr>
          <w:p>
            <w:pPr>
              <w:spacing w:after="0"/>
              <w:rPr>
                <w:sz w:val="7"/>
                <w:szCs w:val="7"/>
                <w:color w:val="auto"/>
              </w:rPr>
            </w:pPr>
          </w:p>
        </w:tc>
        <w:tc>
          <w:tcPr>
            <w:tcW w:w="2380" w:type="dxa"/>
            <w:vAlign w:val="bottom"/>
            <w:gridSpan w:val="3"/>
            <w:vMerge w:val="continue"/>
            <w:shd w:val="clear" w:color="auto" w:fill="1F2668"/>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shd w:val="clear" w:color="auto" w:fill="83AD40"/>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shd w:val="clear" w:color="auto" w:fill="E9F9D8"/>
          </w:tcPr>
          <w:p>
            <w:pPr>
              <w:spacing w:after="0"/>
              <w:rPr>
                <w:sz w:val="7"/>
                <w:szCs w:val="7"/>
                <w:color w:val="auto"/>
              </w:rPr>
            </w:pPr>
          </w:p>
        </w:tc>
        <w:tc>
          <w:tcPr>
            <w:tcW w:w="40" w:type="dxa"/>
            <w:vAlign w:val="bottom"/>
            <w:shd w:val="clear" w:color="auto" w:fill="E9F9D8"/>
          </w:tcPr>
          <w:p>
            <w:pPr>
              <w:spacing w:after="0"/>
              <w:rPr>
                <w:sz w:val="7"/>
                <w:szCs w:val="7"/>
                <w:color w:val="auto"/>
              </w:rPr>
            </w:pPr>
          </w:p>
        </w:tc>
        <w:tc>
          <w:tcPr>
            <w:tcW w:w="840" w:type="dxa"/>
            <w:vAlign w:val="bottom"/>
            <w:shd w:val="clear" w:color="auto" w:fill="E9F9D8"/>
          </w:tcPr>
          <w:p>
            <w:pPr>
              <w:spacing w:after="0"/>
              <w:rPr>
                <w:sz w:val="7"/>
                <w:szCs w:val="7"/>
                <w:color w:val="auto"/>
              </w:rPr>
            </w:pPr>
          </w:p>
        </w:tc>
        <w:tc>
          <w:tcPr>
            <w:tcW w:w="100" w:type="dxa"/>
            <w:vAlign w:val="bottom"/>
            <w:shd w:val="clear" w:color="auto" w:fill="E9F9D8"/>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80" w:type="dxa"/>
            <w:vAlign w:val="bottom"/>
            <w:gridSpan w:val="5"/>
            <w:vMerge w:val="restart"/>
          </w:tcPr>
          <w:p>
            <w:pPr>
              <w:ind w:left="60"/>
              <w:spacing w:after="0" w:line="149" w:lineRule="exact"/>
              <w:rPr>
                <w:sz w:val="20"/>
                <w:szCs w:val="20"/>
                <w:color w:val="auto"/>
              </w:rPr>
            </w:pPr>
            <w:r>
              <w:rPr>
                <w:rFonts w:ascii="Arial" w:cs="Arial" w:eastAsia="Arial" w:hAnsi="Arial"/>
                <w:sz w:val="14"/>
                <w:szCs w:val="14"/>
                <w:color w:val="auto"/>
              </w:rPr>
              <w:t>units vesting in three equal installments on January 1, 2026,</w:t>
            </w: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820" w:type="dxa"/>
            <w:vAlign w:val="bottom"/>
          </w:tcPr>
          <w:p>
            <w:pPr>
              <w:spacing w:after="0"/>
              <w:rPr>
                <w:sz w:val="5"/>
                <w:szCs w:val="5"/>
                <w:color w:val="auto"/>
              </w:rPr>
            </w:pPr>
          </w:p>
        </w:tc>
        <w:tc>
          <w:tcPr>
            <w:tcW w:w="2380" w:type="dxa"/>
            <w:vAlign w:val="bottom"/>
            <w:gridSpan w:val="3"/>
            <w:vMerge w:val="restart"/>
            <w:shd w:val="clear" w:color="auto" w:fill="1F2668"/>
          </w:tcPr>
          <w:p>
            <w:pPr>
              <w:ind w:left="140"/>
              <w:spacing w:after="0" w:line="149" w:lineRule="exact"/>
              <w:rPr>
                <w:sz w:val="20"/>
                <w:szCs w:val="20"/>
                <w:color w:val="auto"/>
              </w:rPr>
            </w:pPr>
            <w:r>
              <w:rPr>
                <w:rFonts w:ascii="Arial" w:cs="Arial" w:eastAsia="Arial" w:hAnsi="Arial"/>
                <w:sz w:val="14"/>
                <w:szCs w:val="14"/>
                <w:b w:val="1"/>
                <w:bCs w:val="1"/>
                <w:color w:val="FFFFFF"/>
              </w:rPr>
              <w:t>Direct Compensation for</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shd w:val="clear" w:color="auto" w:fill="83AD40"/>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shd w:val="clear" w:color="auto" w:fill="E9F9D8"/>
          </w:tcPr>
          <w:p>
            <w:pPr>
              <w:spacing w:after="0"/>
              <w:rPr>
                <w:sz w:val="5"/>
                <w:szCs w:val="5"/>
                <w:color w:val="auto"/>
              </w:rPr>
            </w:pPr>
          </w:p>
        </w:tc>
        <w:tc>
          <w:tcPr>
            <w:tcW w:w="40" w:type="dxa"/>
            <w:vAlign w:val="bottom"/>
            <w:shd w:val="clear" w:color="auto" w:fill="E9F9D8"/>
          </w:tcPr>
          <w:p>
            <w:pPr>
              <w:spacing w:after="0"/>
              <w:rPr>
                <w:sz w:val="5"/>
                <w:szCs w:val="5"/>
                <w:color w:val="auto"/>
              </w:rPr>
            </w:pPr>
          </w:p>
        </w:tc>
        <w:tc>
          <w:tcPr>
            <w:tcW w:w="840" w:type="dxa"/>
            <w:vAlign w:val="bottom"/>
            <w:shd w:val="clear" w:color="auto" w:fill="E9F9D8"/>
          </w:tcPr>
          <w:p>
            <w:pPr>
              <w:spacing w:after="0"/>
              <w:rPr>
                <w:sz w:val="5"/>
                <w:szCs w:val="5"/>
                <w:color w:val="auto"/>
              </w:rPr>
            </w:pPr>
          </w:p>
        </w:tc>
        <w:tc>
          <w:tcPr>
            <w:tcW w:w="100" w:type="dxa"/>
            <w:vAlign w:val="bottom"/>
            <w:shd w:val="clear" w:color="auto" w:fill="E9F9D8"/>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80" w:type="dxa"/>
            <w:vAlign w:val="bottom"/>
            <w:gridSpan w:val="5"/>
            <w:vMerge w:val="continue"/>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820" w:type="dxa"/>
            <w:vAlign w:val="bottom"/>
          </w:tcPr>
          <w:p>
            <w:pPr>
              <w:spacing w:after="0"/>
              <w:rPr>
                <w:sz w:val="7"/>
                <w:szCs w:val="7"/>
                <w:color w:val="auto"/>
              </w:rPr>
            </w:pPr>
          </w:p>
        </w:tc>
        <w:tc>
          <w:tcPr>
            <w:tcW w:w="2380" w:type="dxa"/>
            <w:vAlign w:val="bottom"/>
            <w:gridSpan w:val="3"/>
            <w:vMerge w:val="continue"/>
            <w:shd w:val="clear" w:color="auto" w:fill="1F2668"/>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shd w:val="clear" w:color="auto" w:fill="83AD40"/>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shd w:val="clear" w:color="auto" w:fill="E9F9D8"/>
          </w:tcPr>
          <w:p>
            <w:pPr>
              <w:spacing w:after="0"/>
              <w:rPr>
                <w:sz w:val="7"/>
                <w:szCs w:val="7"/>
                <w:color w:val="auto"/>
              </w:rPr>
            </w:pPr>
          </w:p>
        </w:tc>
        <w:tc>
          <w:tcPr>
            <w:tcW w:w="40" w:type="dxa"/>
            <w:vAlign w:val="bottom"/>
            <w:shd w:val="clear" w:color="auto" w:fill="E9F9D8"/>
          </w:tcPr>
          <w:p>
            <w:pPr>
              <w:spacing w:after="0"/>
              <w:rPr>
                <w:sz w:val="7"/>
                <w:szCs w:val="7"/>
                <w:color w:val="auto"/>
              </w:rPr>
            </w:pPr>
          </w:p>
        </w:tc>
        <w:tc>
          <w:tcPr>
            <w:tcW w:w="840" w:type="dxa"/>
            <w:vAlign w:val="bottom"/>
            <w:shd w:val="clear" w:color="auto" w:fill="E9F9D8"/>
          </w:tcPr>
          <w:p>
            <w:pPr>
              <w:spacing w:after="0"/>
              <w:rPr>
                <w:sz w:val="7"/>
                <w:szCs w:val="7"/>
                <w:color w:val="auto"/>
              </w:rPr>
            </w:pPr>
          </w:p>
        </w:tc>
        <w:tc>
          <w:tcPr>
            <w:tcW w:w="100" w:type="dxa"/>
            <w:vAlign w:val="bottom"/>
            <w:shd w:val="clear" w:color="auto" w:fill="E9F9D8"/>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80" w:type="dxa"/>
            <w:vAlign w:val="bottom"/>
            <w:gridSpan w:val="5"/>
            <w:vMerge w:val="restart"/>
          </w:tcPr>
          <w:p>
            <w:pPr>
              <w:ind w:left="60"/>
              <w:spacing w:after="0"/>
              <w:rPr>
                <w:sz w:val="20"/>
                <w:szCs w:val="20"/>
                <w:color w:val="auto"/>
              </w:rPr>
            </w:pPr>
            <w:r>
              <w:rPr>
                <w:rFonts w:ascii="Arial" w:cs="Arial" w:eastAsia="Arial" w:hAnsi="Arial"/>
                <w:sz w:val="14"/>
                <w:szCs w:val="14"/>
                <w:color w:val="auto"/>
              </w:rPr>
              <w:t>January 1, 2027 and January 1, 2028, subject to continued</w:t>
            </w: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820" w:type="dxa"/>
            <w:vAlign w:val="bottom"/>
          </w:tcPr>
          <w:p>
            <w:pPr>
              <w:spacing w:after="0"/>
              <w:rPr>
                <w:sz w:val="7"/>
                <w:szCs w:val="7"/>
                <w:color w:val="auto"/>
              </w:rPr>
            </w:pPr>
          </w:p>
        </w:tc>
        <w:tc>
          <w:tcPr>
            <w:tcW w:w="2380" w:type="dxa"/>
            <w:vAlign w:val="bottom"/>
            <w:gridSpan w:val="3"/>
            <w:vMerge w:val="restart"/>
            <w:shd w:val="clear" w:color="auto" w:fill="1F2668"/>
          </w:tcPr>
          <w:p>
            <w:pPr>
              <w:ind w:left="140"/>
              <w:spacing w:after="0" w:line="149" w:lineRule="exact"/>
              <w:rPr>
                <w:sz w:val="20"/>
                <w:szCs w:val="20"/>
                <w:color w:val="auto"/>
              </w:rPr>
            </w:pPr>
            <w:r>
              <w:rPr>
                <w:rFonts w:ascii="Arial" w:cs="Arial" w:eastAsia="Arial" w:hAnsi="Arial"/>
                <w:sz w:val="14"/>
                <w:szCs w:val="14"/>
                <w:b w:val="1"/>
                <w:bCs w:val="1"/>
                <w:color w:val="FFFFFF"/>
              </w:rPr>
              <w:t>Mr. Holliday in 2024 is</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shd w:val="clear" w:color="auto" w:fill="83AD40"/>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shd w:val="clear" w:color="auto" w:fill="E9F9D8"/>
          </w:tcPr>
          <w:p>
            <w:pPr>
              <w:spacing w:after="0"/>
              <w:rPr>
                <w:sz w:val="7"/>
                <w:szCs w:val="7"/>
                <w:color w:val="auto"/>
              </w:rPr>
            </w:pPr>
          </w:p>
        </w:tc>
        <w:tc>
          <w:tcPr>
            <w:tcW w:w="40" w:type="dxa"/>
            <w:vAlign w:val="bottom"/>
            <w:shd w:val="clear" w:color="auto" w:fill="E9F9D8"/>
          </w:tcPr>
          <w:p>
            <w:pPr>
              <w:spacing w:after="0"/>
              <w:rPr>
                <w:sz w:val="7"/>
                <w:szCs w:val="7"/>
                <w:color w:val="auto"/>
              </w:rPr>
            </w:pPr>
          </w:p>
        </w:tc>
        <w:tc>
          <w:tcPr>
            <w:tcW w:w="840" w:type="dxa"/>
            <w:vAlign w:val="bottom"/>
            <w:shd w:val="clear" w:color="auto" w:fill="E9F9D8"/>
          </w:tcPr>
          <w:p>
            <w:pPr>
              <w:spacing w:after="0"/>
              <w:rPr>
                <w:sz w:val="7"/>
                <w:szCs w:val="7"/>
                <w:color w:val="auto"/>
              </w:rPr>
            </w:pPr>
          </w:p>
        </w:tc>
        <w:tc>
          <w:tcPr>
            <w:tcW w:w="100" w:type="dxa"/>
            <w:vAlign w:val="bottom"/>
            <w:shd w:val="clear" w:color="auto" w:fill="E9F9D8"/>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80" w:type="dxa"/>
            <w:vAlign w:val="bottom"/>
            <w:gridSpan w:val="5"/>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820" w:type="dxa"/>
            <w:vAlign w:val="bottom"/>
          </w:tcPr>
          <w:p>
            <w:pPr>
              <w:spacing w:after="0"/>
              <w:rPr>
                <w:sz w:val="5"/>
                <w:szCs w:val="5"/>
                <w:color w:val="auto"/>
              </w:rPr>
            </w:pPr>
          </w:p>
        </w:tc>
        <w:tc>
          <w:tcPr>
            <w:tcW w:w="2380" w:type="dxa"/>
            <w:vAlign w:val="bottom"/>
            <w:gridSpan w:val="3"/>
            <w:vMerge w:val="continue"/>
            <w:shd w:val="clear" w:color="auto" w:fill="1F2668"/>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shd w:val="clear" w:color="auto" w:fill="83AD40"/>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shd w:val="clear" w:color="auto" w:fill="E9F9D8"/>
          </w:tcPr>
          <w:p>
            <w:pPr>
              <w:spacing w:after="0"/>
              <w:rPr>
                <w:sz w:val="5"/>
                <w:szCs w:val="5"/>
                <w:color w:val="auto"/>
              </w:rPr>
            </w:pPr>
          </w:p>
        </w:tc>
        <w:tc>
          <w:tcPr>
            <w:tcW w:w="40" w:type="dxa"/>
            <w:vAlign w:val="bottom"/>
            <w:shd w:val="clear" w:color="auto" w:fill="E9F9D8"/>
          </w:tcPr>
          <w:p>
            <w:pPr>
              <w:spacing w:after="0"/>
              <w:rPr>
                <w:sz w:val="5"/>
                <w:szCs w:val="5"/>
                <w:color w:val="auto"/>
              </w:rPr>
            </w:pPr>
          </w:p>
        </w:tc>
        <w:tc>
          <w:tcPr>
            <w:tcW w:w="840" w:type="dxa"/>
            <w:vAlign w:val="bottom"/>
            <w:shd w:val="clear" w:color="auto" w:fill="E9F9D8"/>
          </w:tcPr>
          <w:p>
            <w:pPr>
              <w:spacing w:after="0"/>
              <w:rPr>
                <w:sz w:val="5"/>
                <w:szCs w:val="5"/>
                <w:color w:val="auto"/>
              </w:rPr>
            </w:pPr>
          </w:p>
        </w:tc>
        <w:tc>
          <w:tcPr>
            <w:tcW w:w="100" w:type="dxa"/>
            <w:vAlign w:val="bottom"/>
            <w:shd w:val="clear" w:color="auto" w:fill="E9F9D8"/>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color w:val="auto"/>
              </w:rPr>
              <w:t>employment.</w:t>
            </w:r>
          </w:p>
        </w:tc>
        <w:tc>
          <w:tcPr>
            <w:tcW w:w="10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820" w:type="dxa"/>
            <w:vAlign w:val="bottom"/>
          </w:tcPr>
          <w:p>
            <w:pPr>
              <w:spacing w:after="0"/>
              <w:rPr>
                <w:sz w:val="10"/>
                <w:szCs w:val="10"/>
                <w:color w:val="auto"/>
              </w:rPr>
            </w:pPr>
          </w:p>
        </w:tc>
        <w:tc>
          <w:tcPr>
            <w:tcW w:w="2380" w:type="dxa"/>
            <w:vAlign w:val="bottom"/>
            <w:gridSpan w:val="3"/>
            <w:vMerge w:val="restart"/>
            <w:shd w:val="clear" w:color="auto" w:fill="1F2668"/>
          </w:tcPr>
          <w:p>
            <w:pPr>
              <w:ind w:left="140"/>
              <w:spacing w:after="0" w:line="149" w:lineRule="exact"/>
              <w:rPr>
                <w:sz w:val="20"/>
                <w:szCs w:val="20"/>
                <w:color w:val="auto"/>
              </w:rPr>
            </w:pPr>
            <w:r>
              <w:rPr>
                <w:rFonts w:ascii="Arial" w:cs="Arial" w:eastAsia="Arial" w:hAnsi="Arial"/>
                <w:sz w:val="14"/>
                <w:szCs w:val="14"/>
                <w:b w:val="1"/>
                <w:bCs w:val="1"/>
                <w:color w:val="FFFFFF"/>
              </w:rPr>
              <w:t>approximately 4% lower than</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shd w:val="clear" w:color="auto" w:fill="83AD40"/>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shd w:val="clear" w:color="auto" w:fill="E9F9D8"/>
          </w:tcPr>
          <w:p>
            <w:pPr>
              <w:spacing w:after="0"/>
              <w:rPr>
                <w:sz w:val="10"/>
                <w:szCs w:val="10"/>
                <w:color w:val="auto"/>
              </w:rPr>
            </w:pPr>
          </w:p>
        </w:tc>
        <w:tc>
          <w:tcPr>
            <w:tcW w:w="40" w:type="dxa"/>
            <w:vAlign w:val="bottom"/>
            <w:shd w:val="clear" w:color="auto" w:fill="E9F9D8"/>
          </w:tcPr>
          <w:p>
            <w:pPr>
              <w:spacing w:after="0"/>
              <w:rPr>
                <w:sz w:val="10"/>
                <w:szCs w:val="10"/>
                <w:color w:val="auto"/>
              </w:rPr>
            </w:pPr>
          </w:p>
        </w:tc>
        <w:tc>
          <w:tcPr>
            <w:tcW w:w="840" w:type="dxa"/>
            <w:vAlign w:val="bottom"/>
            <w:shd w:val="clear" w:color="auto" w:fill="E9F9D8"/>
          </w:tcPr>
          <w:p>
            <w:pPr>
              <w:spacing w:after="0"/>
              <w:rPr>
                <w:sz w:val="10"/>
                <w:szCs w:val="10"/>
                <w:color w:val="auto"/>
              </w:rPr>
            </w:pPr>
          </w:p>
        </w:tc>
        <w:tc>
          <w:tcPr>
            <w:tcW w:w="100" w:type="dxa"/>
            <w:vAlign w:val="bottom"/>
            <w:shd w:val="clear" w:color="auto" w:fill="E9F9D8"/>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820" w:type="dxa"/>
            <w:vAlign w:val="bottom"/>
          </w:tcPr>
          <w:p>
            <w:pPr>
              <w:spacing w:after="0"/>
              <w:rPr>
                <w:sz w:val="2"/>
                <w:szCs w:val="2"/>
                <w:color w:val="auto"/>
              </w:rPr>
            </w:pPr>
          </w:p>
        </w:tc>
        <w:tc>
          <w:tcPr>
            <w:tcW w:w="2380" w:type="dxa"/>
            <w:vAlign w:val="bottom"/>
            <w:gridSpan w:val="3"/>
            <w:vMerge w:val="continue"/>
            <w:shd w:val="clear" w:color="auto" w:fill="1F2668"/>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shd w:val="clear" w:color="auto" w:fill="83AD4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E9F9D8"/>
          </w:tcPr>
          <w:p>
            <w:pPr>
              <w:spacing w:after="0"/>
              <w:rPr>
                <w:sz w:val="2"/>
                <w:szCs w:val="2"/>
                <w:color w:val="auto"/>
              </w:rPr>
            </w:pPr>
          </w:p>
        </w:tc>
        <w:tc>
          <w:tcPr>
            <w:tcW w:w="40" w:type="dxa"/>
            <w:vAlign w:val="bottom"/>
            <w:shd w:val="clear" w:color="auto" w:fill="E9F9D8"/>
          </w:tcPr>
          <w:p>
            <w:pPr>
              <w:spacing w:after="0"/>
              <w:rPr>
                <w:sz w:val="2"/>
                <w:szCs w:val="2"/>
                <w:color w:val="auto"/>
              </w:rPr>
            </w:pPr>
          </w:p>
        </w:tc>
        <w:tc>
          <w:tcPr>
            <w:tcW w:w="840" w:type="dxa"/>
            <w:vAlign w:val="bottom"/>
            <w:shd w:val="clear" w:color="auto" w:fill="E9F9D8"/>
          </w:tcPr>
          <w:p>
            <w:pPr>
              <w:spacing w:after="0"/>
              <w:rPr>
                <w:sz w:val="2"/>
                <w:szCs w:val="2"/>
                <w:color w:val="auto"/>
              </w:rPr>
            </w:pPr>
          </w:p>
        </w:tc>
        <w:tc>
          <w:tcPr>
            <w:tcW w:w="100" w:type="dxa"/>
            <w:vAlign w:val="bottom"/>
            <w:shd w:val="clear" w:color="auto" w:fill="E9F9D8"/>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8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The SCT amount reflects the grant date value of the awards</w:t>
            </w: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820" w:type="dxa"/>
            <w:vAlign w:val="bottom"/>
          </w:tcPr>
          <w:p>
            <w:pPr>
              <w:spacing w:after="0"/>
              <w:rPr>
                <w:sz w:val="12"/>
                <w:szCs w:val="12"/>
                <w:color w:val="auto"/>
              </w:rPr>
            </w:pPr>
          </w:p>
        </w:tc>
        <w:tc>
          <w:tcPr>
            <w:tcW w:w="2380" w:type="dxa"/>
            <w:vAlign w:val="bottom"/>
            <w:gridSpan w:val="3"/>
            <w:shd w:val="clear" w:color="auto" w:fill="1F2668"/>
          </w:tcPr>
          <w:p>
            <w:pPr>
              <w:ind w:left="140"/>
              <w:spacing w:after="0" w:line="145" w:lineRule="exact"/>
              <w:rPr>
                <w:sz w:val="20"/>
                <w:szCs w:val="20"/>
                <w:color w:val="auto"/>
              </w:rPr>
            </w:pPr>
            <w:r>
              <w:rPr>
                <w:rFonts w:ascii="Arial" w:cs="Arial" w:eastAsia="Arial" w:hAnsi="Arial"/>
                <w:sz w:val="14"/>
                <w:szCs w:val="14"/>
                <w:b w:val="1"/>
                <w:bCs w:val="1"/>
                <w:color w:val="FFFFFF"/>
              </w:rPr>
              <w:t>the SCT amount, with the</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shd w:val="clear" w:color="auto" w:fill="83AD40"/>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shd w:val="clear" w:color="auto" w:fill="E9F9D8"/>
          </w:tcPr>
          <w:p>
            <w:pPr>
              <w:spacing w:after="0"/>
              <w:rPr>
                <w:sz w:val="12"/>
                <w:szCs w:val="12"/>
                <w:color w:val="auto"/>
              </w:rPr>
            </w:pPr>
          </w:p>
        </w:tc>
        <w:tc>
          <w:tcPr>
            <w:tcW w:w="40" w:type="dxa"/>
            <w:vAlign w:val="bottom"/>
            <w:shd w:val="clear" w:color="auto" w:fill="E9F9D8"/>
          </w:tcPr>
          <w:p>
            <w:pPr>
              <w:spacing w:after="0"/>
              <w:rPr>
                <w:sz w:val="12"/>
                <w:szCs w:val="12"/>
                <w:color w:val="auto"/>
              </w:rPr>
            </w:pPr>
          </w:p>
        </w:tc>
        <w:tc>
          <w:tcPr>
            <w:tcW w:w="840" w:type="dxa"/>
            <w:vAlign w:val="bottom"/>
            <w:shd w:val="clear" w:color="auto" w:fill="E9F9D8"/>
          </w:tcPr>
          <w:p>
            <w:pPr>
              <w:spacing w:after="0"/>
              <w:rPr>
                <w:sz w:val="12"/>
                <w:szCs w:val="12"/>
                <w:color w:val="auto"/>
              </w:rPr>
            </w:pPr>
          </w:p>
        </w:tc>
        <w:tc>
          <w:tcPr>
            <w:tcW w:w="100" w:type="dxa"/>
            <w:vAlign w:val="bottom"/>
            <w:shd w:val="clear" w:color="auto" w:fill="E9F9D8"/>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80" w:type="dxa"/>
            <w:vAlign w:val="bottom"/>
            <w:gridSpan w:val="5"/>
            <w:vMerge w:val="continue"/>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2380" w:type="dxa"/>
            <w:vAlign w:val="bottom"/>
            <w:gridSpan w:val="3"/>
            <w:shd w:val="clear" w:color="auto" w:fill="1F2668"/>
          </w:tcPr>
          <w:p>
            <w:pPr>
              <w:ind w:left="140"/>
              <w:spacing w:after="0"/>
              <w:rPr>
                <w:sz w:val="20"/>
                <w:szCs w:val="20"/>
                <w:color w:val="auto"/>
              </w:rPr>
            </w:pPr>
            <w:r>
              <w:rPr>
                <w:rFonts w:ascii="Arial" w:cs="Arial" w:eastAsia="Arial" w:hAnsi="Arial"/>
                <w:sz w:val="14"/>
                <w:szCs w:val="14"/>
                <w:b w:val="1"/>
                <w:bCs w:val="1"/>
                <w:color w:val="FFFFFF"/>
              </w:rPr>
              <w:t>difference driven primarily by: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shd w:val="clear" w:color="auto" w:fill="83AD40"/>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shd w:val="clear" w:color="auto" w:fill="E9F9D8"/>
          </w:tcPr>
          <w:p>
            <w:pPr>
              <w:spacing w:after="0"/>
              <w:rPr>
                <w:sz w:val="14"/>
                <w:szCs w:val="14"/>
                <w:color w:val="auto"/>
              </w:rPr>
            </w:pPr>
          </w:p>
        </w:tc>
        <w:tc>
          <w:tcPr>
            <w:tcW w:w="40" w:type="dxa"/>
            <w:vAlign w:val="bottom"/>
            <w:shd w:val="clear" w:color="auto" w:fill="E9F9D8"/>
          </w:tcPr>
          <w:p>
            <w:pPr>
              <w:spacing w:after="0"/>
              <w:rPr>
                <w:sz w:val="14"/>
                <w:szCs w:val="14"/>
                <w:color w:val="auto"/>
              </w:rPr>
            </w:pPr>
          </w:p>
        </w:tc>
        <w:tc>
          <w:tcPr>
            <w:tcW w:w="840" w:type="dxa"/>
            <w:vAlign w:val="bottom"/>
            <w:shd w:val="clear" w:color="auto" w:fill="E9F9D8"/>
          </w:tcPr>
          <w:p>
            <w:pPr>
              <w:spacing w:after="0"/>
              <w:rPr>
                <w:sz w:val="14"/>
                <w:szCs w:val="14"/>
                <w:color w:val="auto"/>
              </w:rPr>
            </w:pPr>
          </w:p>
        </w:tc>
        <w:tc>
          <w:tcPr>
            <w:tcW w:w="100" w:type="dxa"/>
            <w:vAlign w:val="bottom"/>
            <w:shd w:val="clear" w:color="auto" w:fill="E9F9D8"/>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80" w:type="dxa"/>
            <w:vAlign w:val="bottom"/>
            <w:gridSpan w:val="5"/>
          </w:tcPr>
          <w:p>
            <w:pPr>
              <w:ind w:left="60"/>
              <w:spacing w:after="0"/>
              <w:rPr>
                <w:sz w:val="20"/>
                <w:szCs w:val="20"/>
                <w:color w:val="auto"/>
              </w:rPr>
            </w:pPr>
            <w:r>
              <w:rPr>
                <w:rFonts w:ascii="Arial" w:cs="Arial" w:eastAsia="Arial" w:hAnsi="Arial"/>
                <w:sz w:val="14"/>
                <w:szCs w:val="14"/>
                <w:b w:val="1"/>
                <w:bCs w:val="1"/>
                <w:color w:val="auto"/>
              </w:rPr>
              <w:t>granted retrospectively in January 2024 based on the</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820" w:type="dxa"/>
            <w:vAlign w:val="bottom"/>
          </w:tcPr>
          <w:p>
            <w:pPr>
              <w:spacing w:after="0"/>
              <w:rPr>
                <w:sz w:val="12"/>
                <w:szCs w:val="12"/>
                <w:color w:val="auto"/>
              </w:rPr>
            </w:pPr>
          </w:p>
        </w:tc>
        <w:tc>
          <w:tcPr>
            <w:tcW w:w="2380" w:type="dxa"/>
            <w:vAlign w:val="bottom"/>
            <w:gridSpan w:val="3"/>
            <w:vMerge w:val="restart"/>
            <w:shd w:val="clear" w:color="auto" w:fill="1F2668"/>
          </w:tcPr>
          <w:p>
            <w:pPr>
              <w:ind w:left="140"/>
              <w:spacing w:after="0"/>
              <w:rPr>
                <w:sz w:val="20"/>
                <w:szCs w:val="20"/>
                <w:color w:val="auto"/>
              </w:rPr>
            </w:pPr>
            <w:r>
              <w:rPr>
                <w:rFonts w:ascii="Arial" w:cs="Arial" w:eastAsia="Arial" w:hAnsi="Arial"/>
                <w:sz w:val="14"/>
                <w:szCs w:val="14"/>
                <w:color w:val="FFFFFF"/>
              </w:rPr>
              <w:t xml:space="preserve">•  </w:t>
            </w:r>
            <w:r>
              <w:rPr>
                <w:rFonts w:ascii="Arial" w:cs="Arial" w:eastAsia="Arial" w:hAnsi="Arial"/>
                <w:sz w:val="14"/>
                <w:szCs w:val="14"/>
                <w:b w:val="1"/>
                <w:bCs w:val="1"/>
                <w:color w:val="FFFFFF"/>
              </w:rPr>
              <w:t>the inclusion of the value of</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shd w:val="clear" w:color="auto" w:fill="83AD40"/>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shd w:val="clear" w:color="auto" w:fill="E9F9D8"/>
          </w:tcPr>
          <w:p>
            <w:pPr>
              <w:spacing w:after="0"/>
              <w:rPr>
                <w:sz w:val="12"/>
                <w:szCs w:val="12"/>
                <w:color w:val="auto"/>
              </w:rPr>
            </w:pPr>
          </w:p>
        </w:tc>
        <w:tc>
          <w:tcPr>
            <w:tcW w:w="40" w:type="dxa"/>
            <w:vAlign w:val="bottom"/>
            <w:shd w:val="clear" w:color="auto" w:fill="E9F9D8"/>
          </w:tcPr>
          <w:p>
            <w:pPr>
              <w:spacing w:after="0"/>
              <w:rPr>
                <w:sz w:val="12"/>
                <w:szCs w:val="12"/>
                <w:color w:val="auto"/>
              </w:rPr>
            </w:pPr>
          </w:p>
        </w:tc>
        <w:tc>
          <w:tcPr>
            <w:tcW w:w="840" w:type="dxa"/>
            <w:vAlign w:val="bottom"/>
            <w:shd w:val="clear" w:color="auto" w:fill="E9F9D8"/>
          </w:tcPr>
          <w:p>
            <w:pPr>
              <w:spacing w:after="0"/>
              <w:rPr>
                <w:sz w:val="12"/>
                <w:szCs w:val="12"/>
                <w:color w:val="auto"/>
              </w:rPr>
            </w:pPr>
          </w:p>
        </w:tc>
        <w:tc>
          <w:tcPr>
            <w:tcW w:w="100" w:type="dxa"/>
            <w:vAlign w:val="bottom"/>
            <w:shd w:val="clear" w:color="auto" w:fill="E9F9D8"/>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80" w:type="dxa"/>
            <w:vAlign w:val="bottom"/>
            <w:gridSpan w:val="5"/>
          </w:tcPr>
          <w:p>
            <w:pPr>
              <w:ind w:left="60"/>
              <w:spacing w:after="0" w:line="139" w:lineRule="exact"/>
              <w:rPr>
                <w:sz w:val="20"/>
                <w:szCs w:val="20"/>
                <w:color w:val="auto"/>
              </w:rPr>
            </w:pPr>
            <w:r>
              <w:rPr>
                <w:rFonts w:ascii="Arial" w:cs="Arial" w:eastAsia="Arial" w:hAnsi="Arial"/>
                <w:sz w:val="14"/>
                <w:szCs w:val="14"/>
                <w:b w:val="1"/>
                <w:bCs w:val="1"/>
                <w:color w:val="auto"/>
              </w:rPr>
              <w:t>Company’s 2023 performance, which was based on the</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820" w:type="dxa"/>
            <w:vAlign w:val="bottom"/>
          </w:tcPr>
          <w:p>
            <w:pPr>
              <w:spacing w:after="0"/>
              <w:rPr>
                <w:sz w:val="7"/>
                <w:szCs w:val="7"/>
                <w:color w:val="auto"/>
              </w:rPr>
            </w:pPr>
          </w:p>
        </w:tc>
        <w:tc>
          <w:tcPr>
            <w:tcW w:w="2380" w:type="dxa"/>
            <w:vAlign w:val="bottom"/>
            <w:gridSpan w:val="3"/>
            <w:vMerge w:val="continue"/>
            <w:shd w:val="clear" w:color="auto" w:fill="1F2668"/>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shd w:val="clear" w:color="auto" w:fill="83AD40"/>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shd w:val="clear" w:color="auto" w:fill="E9F9D8"/>
          </w:tcPr>
          <w:p>
            <w:pPr>
              <w:spacing w:after="0"/>
              <w:rPr>
                <w:sz w:val="7"/>
                <w:szCs w:val="7"/>
                <w:color w:val="auto"/>
              </w:rPr>
            </w:pPr>
          </w:p>
        </w:tc>
        <w:tc>
          <w:tcPr>
            <w:tcW w:w="40" w:type="dxa"/>
            <w:vAlign w:val="bottom"/>
            <w:shd w:val="clear" w:color="auto" w:fill="E9F9D8"/>
          </w:tcPr>
          <w:p>
            <w:pPr>
              <w:spacing w:after="0"/>
              <w:rPr>
                <w:sz w:val="7"/>
                <w:szCs w:val="7"/>
                <w:color w:val="auto"/>
              </w:rPr>
            </w:pPr>
          </w:p>
        </w:tc>
        <w:tc>
          <w:tcPr>
            <w:tcW w:w="840" w:type="dxa"/>
            <w:vAlign w:val="bottom"/>
            <w:shd w:val="clear" w:color="auto" w:fill="E9F9D8"/>
          </w:tcPr>
          <w:p>
            <w:pPr>
              <w:spacing w:after="0"/>
              <w:rPr>
                <w:sz w:val="7"/>
                <w:szCs w:val="7"/>
                <w:color w:val="auto"/>
              </w:rPr>
            </w:pPr>
          </w:p>
        </w:tc>
        <w:tc>
          <w:tcPr>
            <w:tcW w:w="100" w:type="dxa"/>
            <w:vAlign w:val="bottom"/>
            <w:shd w:val="clear" w:color="auto" w:fill="E9F9D8"/>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8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minimum target amount in Mr. Holliday’s prior employment</w:t>
            </w: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820" w:type="dxa"/>
            <w:vAlign w:val="bottom"/>
          </w:tcPr>
          <w:p>
            <w:pPr>
              <w:spacing w:after="0"/>
              <w:rPr>
                <w:sz w:val="7"/>
                <w:szCs w:val="7"/>
                <w:color w:val="auto"/>
              </w:rPr>
            </w:pPr>
          </w:p>
        </w:tc>
        <w:tc>
          <w:tcPr>
            <w:tcW w:w="200" w:type="dxa"/>
            <w:vAlign w:val="bottom"/>
            <w:tcBorders>
              <w:right w:val="single" w:sz="8" w:color="1F2668"/>
            </w:tcBorders>
            <w:shd w:val="clear" w:color="auto" w:fill="1F2668"/>
          </w:tcPr>
          <w:p>
            <w:pPr>
              <w:spacing w:after="0"/>
              <w:rPr>
                <w:sz w:val="7"/>
                <w:szCs w:val="7"/>
                <w:color w:val="auto"/>
              </w:rPr>
            </w:pPr>
          </w:p>
        </w:tc>
        <w:tc>
          <w:tcPr>
            <w:tcW w:w="80" w:type="dxa"/>
            <w:vAlign w:val="bottom"/>
            <w:shd w:val="clear" w:color="auto" w:fill="1F2668"/>
          </w:tcPr>
          <w:p>
            <w:pPr>
              <w:spacing w:after="0"/>
              <w:rPr>
                <w:sz w:val="7"/>
                <w:szCs w:val="7"/>
                <w:color w:val="auto"/>
              </w:rPr>
            </w:pPr>
          </w:p>
        </w:tc>
        <w:tc>
          <w:tcPr>
            <w:tcW w:w="2100" w:type="dxa"/>
            <w:vAlign w:val="bottom"/>
            <w:vMerge w:val="restart"/>
            <w:shd w:val="clear" w:color="auto" w:fill="1F2668"/>
          </w:tcPr>
          <w:p>
            <w:pPr>
              <w:ind w:left="20"/>
              <w:spacing w:after="0" w:line="149" w:lineRule="exact"/>
              <w:rPr>
                <w:sz w:val="20"/>
                <w:szCs w:val="20"/>
                <w:color w:val="auto"/>
              </w:rPr>
            </w:pPr>
            <w:r>
              <w:rPr>
                <w:rFonts w:ascii="Arial" w:cs="Arial" w:eastAsia="Arial" w:hAnsi="Arial"/>
                <w:sz w:val="14"/>
                <w:szCs w:val="14"/>
                <w:b w:val="1"/>
                <w:bCs w:val="1"/>
                <w:color w:val="FFFFFF"/>
              </w:rPr>
              <w:t>the retention award in this</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shd w:val="clear" w:color="auto" w:fill="83AD40"/>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shd w:val="clear" w:color="auto" w:fill="E9F9D8"/>
          </w:tcPr>
          <w:p>
            <w:pPr>
              <w:spacing w:after="0"/>
              <w:rPr>
                <w:sz w:val="7"/>
                <w:szCs w:val="7"/>
                <w:color w:val="auto"/>
              </w:rPr>
            </w:pPr>
          </w:p>
        </w:tc>
        <w:tc>
          <w:tcPr>
            <w:tcW w:w="40" w:type="dxa"/>
            <w:vAlign w:val="bottom"/>
            <w:shd w:val="clear" w:color="auto" w:fill="E9F9D8"/>
          </w:tcPr>
          <w:p>
            <w:pPr>
              <w:spacing w:after="0"/>
              <w:rPr>
                <w:sz w:val="7"/>
                <w:szCs w:val="7"/>
                <w:color w:val="auto"/>
              </w:rPr>
            </w:pPr>
          </w:p>
        </w:tc>
        <w:tc>
          <w:tcPr>
            <w:tcW w:w="840" w:type="dxa"/>
            <w:vAlign w:val="bottom"/>
            <w:shd w:val="clear" w:color="auto" w:fill="E9F9D8"/>
          </w:tcPr>
          <w:p>
            <w:pPr>
              <w:spacing w:after="0"/>
              <w:rPr>
                <w:sz w:val="7"/>
                <w:szCs w:val="7"/>
                <w:color w:val="auto"/>
              </w:rPr>
            </w:pPr>
          </w:p>
        </w:tc>
        <w:tc>
          <w:tcPr>
            <w:tcW w:w="100" w:type="dxa"/>
            <w:vAlign w:val="bottom"/>
            <w:shd w:val="clear" w:color="auto" w:fill="E9F9D8"/>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80" w:type="dxa"/>
            <w:vAlign w:val="bottom"/>
            <w:gridSpan w:val="5"/>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820" w:type="dxa"/>
            <w:vAlign w:val="bottom"/>
          </w:tcPr>
          <w:p>
            <w:pPr>
              <w:spacing w:after="0"/>
              <w:rPr>
                <w:sz w:val="5"/>
                <w:szCs w:val="5"/>
                <w:color w:val="auto"/>
              </w:rPr>
            </w:pPr>
          </w:p>
        </w:tc>
        <w:tc>
          <w:tcPr>
            <w:tcW w:w="200" w:type="dxa"/>
            <w:vAlign w:val="bottom"/>
            <w:tcBorders>
              <w:right w:val="single" w:sz="8" w:color="1F2668"/>
            </w:tcBorders>
            <w:shd w:val="clear" w:color="auto" w:fill="1F2668"/>
          </w:tcPr>
          <w:p>
            <w:pPr>
              <w:spacing w:after="0"/>
              <w:rPr>
                <w:sz w:val="5"/>
                <w:szCs w:val="5"/>
                <w:color w:val="auto"/>
              </w:rPr>
            </w:pPr>
          </w:p>
        </w:tc>
        <w:tc>
          <w:tcPr>
            <w:tcW w:w="80" w:type="dxa"/>
            <w:vAlign w:val="bottom"/>
            <w:shd w:val="clear" w:color="auto" w:fill="1F2668"/>
          </w:tcPr>
          <w:p>
            <w:pPr>
              <w:spacing w:after="0"/>
              <w:rPr>
                <w:sz w:val="5"/>
                <w:szCs w:val="5"/>
                <w:color w:val="auto"/>
              </w:rPr>
            </w:pPr>
          </w:p>
        </w:tc>
        <w:tc>
          <w:tcPr>
            <w:tcW w:w="2100" w:type="dxa"/>
            <w:vAlign w:val="bottom"/>
            <w:vMerge w:val="continue"/>
            <w:shd w:val="clear" w:color="auto" w:fill="1F2668"/>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shd w:val="clear" w:color="auto" w:fill="83AD40"/>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shd w:val="clear" w:color="auto" w:fill="E9F9D8"/>
          </w:tcPr>
          <w:p>
            <w:pPr>
              <w:spacing w:after="0"/>
              <w:rPr>
                <w:sz w:val="5"/>
                <w:szCs w:val="5"/>
                <w:color w:val="auto"/>
              </w:rPr>
            </w:pPr>
          </w:p>
        </w:tc>
        <w:tc>
          <w:tcPr>
            <w:tcW w:w="40" w:type="dxa"/>
            <w:vAlign w:val="bottom"/>
            <w:shd w:val="clear" w:color="auto" w:fill="E9F9D8"/>
          </w:tcPr>
          <w:p>
            <w:pPr>
              <w:spacing w:after="0"/>
              <w:rPr>
                <w:sz w:val="5"/>
                <w:szCs w:val="5"/>
                <w:color w:val="auto"/>
              </w:rPr>
            </w:pPr>
          </w:p>
        </w:tc>
        <w:tc>
          <w:tcPr>
            <w:tcW w:w="840" w:type="dxa"/>
            <w:vAlign w:val="bottom"/>
            <w:shd w:val="clear" w:color="auto" w:fill="E9F9D8"/>
          </w:tcPr>
          <w:p>
            <w:pPr>
              <w:spacing w:after="0"/>
              <w:rPr>
                <w:sz w:val="5"/>
                <w:szCs w:val="5"/>
                <w:color w:val="auto"/>
              </w:rPr>
            </w:pPr>
          </w:p>
        </w:tc>
        <w:tc>
          <w:tcPr>
            <w:tcW w:w="100" w:type="dxa"/>
            <w:vAlign w:val="bottom"/>
            <w:shd w:val="clear" w:color="auto" w:fill="E9F9D8"/>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agreement</w:t>
            </w:r>
            <w:r>
              <w:rPr>
                <w:rFonts w:ascii="Arial" w:cs="Arial" w:eastAsia="Arial" w:hAnsi="Arial"/>
                <w:sz w:val="14"/>
                <w:szCs w:val="14"/>
                <w:color w:val="auto"/>
              </w:rPr>
              <w:t>.</w:t>
            </w:r>
          </w:p>
        </w:tc>
        <w:tc>
          <w:tcPr>
            <w:tcW w:w="10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820" w:type="dxa"/>
            <w:vAlign w:val="bottom"/>
          </w:tcPr>
          <w:p>
            <w:pPr>
              <w:spacing w:after="0"/>
              <w:rPr>
                <w:sz w:val="13"/>
                <w:szCs w:val="13"/>
                <w:color w:val="auto"/>
              </w:rPr>
            </w:pPr>
          </w:p>
        </w:tc>
        <w:tc>
          <w:tcPr>
            <w:tcW w:w="200" w:type="dxa"/>
            <w:vAlign w:val="bottom"/>
            <w:tcBorders>
              <w:bottom w:val="single" w:sz="8" w:color="1F2668"/>
              <w:right w:val="single" w:sz="8" w:color="1F2668"/>
            </w:tcBorders>
            <w:shd w:val="clear" w:color="auto" w:fill="1F2668"/>
          </w:tcPr>
          <w:p>
            <w:pPr>
              <w:spacing w:after="0"/>
              <w:rPr>
                <w:sz w:val="13"/>
                <w:szCs w:val="13"/>
                <w:color w:val="auto"/>
              </w:rPr>
            </w:pPr>
          </w:p>
        </w:tc>
        <w:tc>
          <w:tcPr>
            <w:tcW w:w="80" w:type="dxa"/>
            <w:vAlign w:val="bottom"/>
            <w:tcBorders>
              <w:bottom w:val="single" w:sz="8" w:color="1F2668"/>
            </w:tcBorders>
            <w:shd w:val="clear" w:color="auto" w:fill="1F2668"/>
          </w:tcPr>
          <w:p>
            <w:pPr>
              <w:spacing w:after="0"/>
              <w:rPr>
                <w:sz w:val="13"/>
                <w:szCs w:val="13"/>
                <w:color w:val="auto"/>
              </w:rPr>
            </w:pPr>
          </w:p>
        </w:tc>
        <w:tc>
          <w:tcPr>
            <w:tcW w:w="2100" w:type="dxa"/>
            <w:vAlign w:val="bottom"/>
            <w:tcBorders>
              <w:bottom w:val="single" w:sz="8" w:color="1F2668"/>
            </w:tcBorders>
            <w:shd w:val="clear" w:color="auto" w:fill="1F2668"/>
          </w:tcPr>
          <w:p>
            <w:pPr>
              <w:ind w:left="20"/>
              <w:spacing w:after="0" w:line="151" w:lineRule="exact"/>
              <w:rPr>
                <w:sz w:val="20"/>
                <w:szCs w:val="20"/>
                <w:color w:val="auto"/>
              </w:rPr>
            </w:pPr>
            <w:r>
              <w:rPr>
                <w:rFonts w:ascii="Arial" w:cs="Arial" w:eastAsia="Arial" w:hAnsi="Arial"/>
                <w:sz w:val="14"/>
                <w:szCs w:val="14"/>
                <w:b w:val="1"/>
                <w:bCs w:val="1"/>
                <w:color w:val="FFFFFF"/>
              </w:rPr>
              <w:t>year’s SCT; and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bottom w:val="single" w:sz="8" w:color="83AD40"/>
            </w:tcBorders>
            <w:shd w:val="clear" w:color="auto" w:fill="83AD40"/>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Borders>
              <w:bottom w:val="single" w:sz="8" w:color="E9F9D8"/>
            </w:tcBorders>
            <w:shd w:val="clear" w:color="auto" w:fill="E9F9D8"/>
          </w:tcPr>
          <w:p>
            <w:pPr>
              <w:spacing w:after="0"/>
              <w:rPr>
                <w:sz w:val="13"/>
                <w:szCs w:val="13"/>
                <w:color w:val="auto"/>
              </w:rPr>
            </w:pPr>
          </w:p>
        </w:tc>
        <w:tc>
          <w:tcPr>
            <w:tcW w:w="40" w:type="dxa"/>
            <w:vAlign w:val="bottom"/>
            <w:tcBorders>
              <w:bottom w:val="single" w:sz="8" w:color="E9F9D8"/>
            </w:tcBorders>
            <w:shd w:val="clear" w:color="auto" w:fill="E9F9D8"/>
          </w:tcPr>
          <w:p>
            <w:pPr>
              <w:spacing w:after="0"/>
              <w:rPr>
                <w:sz w:val="13"/>
                <w:szCs w:val="13"/>
                <w:color w:val="auto"/>
              </w:rPr>
            </w:pPr>
          </w:p>
        </w:tc>
        <w:tc>
          <w:tcPr>
            <w:tcW w:w="840" w:type="dxa"/>
            <w:vAlign w:val="bottom"/>
            <w:tcBorders>
              <w:bottom w:val="single" w:sz="8" w:color="E9F9D8"/>
            </w:tcBorders>
            <w:shd w:val="clear" w:color="auto" w:fill="E9F9D8"/>
          </w:tcPr>
          <w:p>
            <w:pPr>
              <w:spacing w:after="0"/>
              <w:rPr>
                <w:sz w:val="13"/>
                <w:szCs w:val="13"/>
                <w:color w:val="auto"/>
              </w:rPr>
            </w:pPr>
          </w:p>
        </w:tc>
        <w:tc>
          <w:tcPr>
            <w:tcW w:w="100" w:type="dxa"/>
            <w:vAlign w:val="bottom"/>
            <w:tcBorders>
              <w:bottom w:val="single" w:sz="8" w:color="E9F9D8"/>
            </w:tcBorders>
            <w:shd w:val="clear" w:color="auto" w:fill="E9F9D8"/>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380" w:type="dxa"/>
            <w:vAlign w:val="bottom"/>
            <w:gridSpan w:val="3"/>
            <w:shd w:val="clear" w:color="auto" w:fill="1F266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83AD4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4B5088"/>
          </w:tcPr>
          <w:p>
            <w:pPr>
              <w:spacing w:after="0" w:line="20" w:lineRule="exact"/>
              <w:rPr>
                <w:sz w:val="1"/>
                <w:szCs w:val="1"/>
                <w:color w:val="auto"/>
              </w:rPr>
            </w:pPr>
          </w:p>
        </w:tc>
        <w:tc>
          <w:tcPr>
            <w:tcW w:w="40" w:type="dxa"/>
            <w:vAlign w:val="bottom"/>
            <w:shd w:val="clear" w:color="auto" w:fill="4B5088"/>
          </w:tcPr>
          <w:p>
            <w:pPr>
              <w:spacing w:after="0" w:line="20" w:lineRule="exact"/>
              <w:rPr>
                <w:sz w:val="1"/>
                <w:szCs w:val="1"/>
                <w:color w:val="auto"/>
              </w:rPr>
            </w:pPr>
          </w:p>
        </w:tc>
        <w:tc>
          <w:tcPr>
            <w:tcW w:w="840" w:type="dxa"/>
            <w:vAlign w:val="bottom"/>
            <w:shd w:val="clear" w:color="auto" w:fill="4B5088"/>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40" w:type="dxa"/>
            <w:vAlign w:val="bottom"/>
            <w:tcBorders>
              <w:left w:val="single" w:sz="8" w:color="4B5088"/>
            </w:tcBorders>
            <w:shd w:val="clear" w:color="auto" w:fill="4B5088"/>
          </w:tcPr>
          <w:p>
            <w:pPr>
              <w:spacing w:after="0" w:line="20" w:lineRule="exact"/>
              <w:rPr>
                <w:sz w:val="1"/>
                <w:szCs w:val="1"/>
                <w:color w:val="auto"/>
              </w:rPr>
            </w:pPr>
          </w:p>
        </w:tc>
        <w:tc>
          <w:tcPr>
            <w:tcW w:w="60" w:type="dxa"/>
            <w:vAlign w:val="bottom"/>
            <w:shd w:val="clear" w:color="auto" w:fill="4B5088"/>
          </w:tcPr>
          <w:p>
            <w:pPr>
              <w:spacing w:after="0" w:line="20" w:lineRule="exact"/>
              <w:rPr>
                <w:sz w:val="1"/>
                <w:szCs w:val="1"/>
                <w:color w:val="auto"/>
              </w:rPr>
            </w:pPr>
          </w:p>
        </w:tc>
        <w:tc>
          <w:tcPr>
            <w:tcW w:w="880" w:type="dxa"/>
            <w:vAlign w:val="bottom"/>
            <w:shd w:val="clear" w:color="auto" w:fill="4B5088"/>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4080" w:type="dxa"/>
            <w:vAlign w:val="bottom"/>
            <w:gridSpan w:val="5"/>
            <w:shd w:val="clear" w:color="auto" w:fill="4B5088"/>
          </w:tcPr>
          <w:p>
            <w:pPr>
              <w:spacing w:after="0" w:line="20" w:lineRule="exact"/>
              <w:rPr>
                <w:sz w:val="1"/>
                <w:szCs w:val="1"/>
                <w:color w:val="auto"/>
              </w:rPr>
            </w:pPr>
          </w:p>
        </w:tc>
        <w:tc>
          <w:tcPr>
            <w:tcW w:w="880" w:type="dxa"/>
            <w:vAlign w:val="bottom"/>
            <w:tcBorders>
              <w:left w:val="single" w:sz="8" w:color="4B50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2380" w:type="dxa"/>
            <w:vAlign w:val="bottom"/>
            <w:gridSpan w:val="3"/>
            <w:shd w:val="clear" w:color="auto" w:fill="1F2668"/>
          </w:tcPr>
          <w:p>
            <w:pPr>
              <w:ind w:left="140"/>
              <w:spacing w:after="0"/>
              <w:rPr>
                <w:sz w:val="20"/>
                <w:szCs w:val="20"/>
                <w:color w:val="auto"/>
              </w:rPr>
            </w:pPr>
            <w:r>
              <w:rPr>
                <w:rFonts w:ascii="Arial" w:cs="Arial" w:eastAsia="Arial" w:hAnsi="Arial"/>
                <w:sz w:val="14"/>
                <w:szCs w:val="14"/>
                <w:color w:val="FFFFFF"/>
              </w:rPr>
              <w:t xml:space="preserve">•  </w:t>
            </w:r>
            <w:r>
              <w:rPr>
                <w:rFonts w:ascii="Arial" w:cs="Arial" w:eastAsia="Arial" w:hAnsi="Arial"/>
                <w:sz w:val="14"/>
                <w:szCs w:val="14"/>
                <w:b w:val="1"/>
                <w:bCs w:val="1"/>
                <w:color w:val="FFFFFF"/>
              </w:rPr>
              <w:t>the increased value 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shd w:val="clear" w:color="auto" w:fill="83AD40"/>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vMerge w:val="restart"/>
            <w:shd w:val="clear" w:color="auto" w:fill="E9F9D8"/>
          </w:tcPr>
          <w:p>
            <w:pPr>
              <w:spacing w:after="0"/>
              <w:rPr>
                <w:sz w:val="20"/>
                <w:szCs w:val="20"/>
                <w:color w:val="auto"/>
              </w:rPr>
            </w:pPr>
            <w:r>
              <w:rPr>
                <w:rFonts w:ascii="Arial" w:cs="Arial" w:eastAsia="Arial" w:hAnsi="Arial"/>
                <w:sz w:val="14"/>
                <w:szCs w:val="14"/>
                <w:color w:val="auto"/>
              </w:rPr>
              <w:t>​</w:t>
            </w:r>
          </w:p>
        </w:tc>
        <w:tc>
          <w:tcPr>
            <w:tcW w:w="980" w:type="dxa"/>
            <w:vAlign w:val="bottom"/>
            <w:gridSpan w:val="3"/>
            <w:vMerge w:val="restart"/>
            <w:shd w:val="clear" w:color="auto" w:fill="E9F9D8"/>
          </w:tcPr>
          <w:p>
            <w:pPr>
              <w:spacing w:after="0" w:line="321" w:lineRule="exact"/>
              <w:rPr>
                <w:sz w:val="20"/>
                <w:szCs w:val="20"/>
                <w:color w:val="auto"/>
              </w:rPr>
            </w:pPr>
            <w:r>
              <w:rPr>
                <w:rFonts w:ascii="Arial" w:cs="Arial" w:eastAsia="Arial" w:hAnsi="Arial"/>
                <w:sz w:val="32"/>
                <w:szCs w:val="32"/>
                <w:color w:val="1F2668"/>
              </w:rPr>
              <w:t>100%</w:t>
            </w:r>
          </w:p>
        </w:tc>
        <w:tc>
          <w:tcPr>
            <w:tcW w:w="980" w:type="dxa"/>
            <w:vAlign w:val="bottom"/>
            <w:gridSpan w:val="3"/>
            <w:vMerge w:val="restart"/>
          </w:tcPr>
          <w:p>
            <w:pPr>
              <w:spacing w:after="0" w:line="321" w:lineRule="exact"/>
              <w:rPr>
                <w:sz w:val="20"/>
                <w:szCs w:val="20"/>
                <w:color w:val="auto"/>
              </w:rPr>
            </w:pPr>
            <w:r>
              <w:rPr>
                <w:rFonts w:ascii="Arial" w:cs="Arial" w:eastAsia="Arial" w:hAnsi="Arial"/>
                <w:sz w:val="14"/>
                <w:szCs w:val="14"/>
                <w:color w:val="auto"/>
              </w:rPr>
              <w:t>​​</w:t>
            </w:r>
            <w:r>
              <w:rPr>
                <w:rFonts w:ascii="Arial" w:cs="Arial" w:eastAsia="Arial" w:hAnsi="Arial"/>
                <w:sz w:val="32"/>
                <w:szCs w:val="32"/>
                <w:color w:val="1F2668"/>
              </w:rPr>
              <w:t>100%</w:t>
            </w:r>
          </w:p>
        </w:tc>
        <w:tc>
          <w:tcPr>
            <w:tcW w:w="100" w:type="dxa"/>
            <w:vAlign w:val="bottom"/>
          </w:tcPr>
          <w:p>
            <w:pPr>
              <w:spacing w:after="0"/>
              <w:rPr>
                <w:sz w:val="14"/>
                <w:szCs w:val="14"/>
                <w:color w:val="auto"/>
              </w:rPr>
            </w:pPr>
          </w:p>
        </w:tc>
        <w:tc>
          <w:tcPr>
            <w:tcW w:w="4080" w:type="dxa"/>
            <w:vAlign w:val="bottom"/>
            <w:gridSpan w:val="5"/>
          </w:tcPr>
          <w:p>
            <w:pPr>
              <w:ind w:left="60"/>
              <w:spacing w:after="0"/>
              <w:rPr>
                <w:sz w:val="20"/>
                <w:szCs w:val="20"/>
                <w:color w:val="auto"/>
              </w:rPr>
            </w:pPr>
            <w:r>
              <w:rPr>
                <w:rFonts w:ascii="Arial" w:cs="Arial" w:eastAsia="Arial" w:hAnsi="Arial"/>
                <w:sz w:val="14"/>
                <w:szCs w:val="14"/>
                <w:color w:val="auto"/>
              </w:rPr>
              <w:t>Both totals include $40,940 of “Other Compensation,” as</w:t>
            </w:r>
          </w:p>
        </w:tc>
        <w:tc>
          <w:tcPr>
            <w:tcW w:w="8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820" w:type="dxa"/>
            <w:vAlign w:val="bottom"/>
          </w:tcPr>
          <w:p>
            <w:pPr>
              <w:spacing w:after="0"/>
              <w:rPr>
                <w:sz w:val="13"/>
                <w:szCs w:val="13"/>
                <w:color w:val="auto"/>
              </w:rPr>
            </w:pPr>
          </w:p>
        </w:tc>
        <w:tc>
          <w:tcPr>
            <w:tcW w:w="200" w:type="dxa"/>
            <w:vAlign w:val="bottom"/>
            <w:tcBorders>
              <w:right w:val="single" w:sz="8" w:color="1F2668"/>
            </w:tcBorders>
            <w:shd w:val="clear" w:color="auto" w:fill="1F2668"/>
          </w:tcPr>
          <w:p>
            <w:pPr>
              <w:spacing w:after="0"/>
              <w:rPr>
                <w:sz w:val="13"/>
                <w:szCs w:val="13"/>
                <w:color w:val="auto"/>
              </w:rPr>
            </w:pPr>
          </w:p>
        </w:tc>
        <w:tc>
          <w:tcPr>
            <w:tcW w:w="80" w:type="dxa"/>
            <w:vAlign w:val="bottom"/>
            <w:shd w:val="clear" w:color="auto" w:fill="1F2668"/>
          </w:tcPr>
          <w:p>
            <w:pPr>
              <w:spacing w:after="0"/>
              <w:rPr>
                <w:sz w:val="13"/>
                <w:szCs w:val="13"/>
                <w:color w:val="auto"/>
              </w:rPr>
            </w:pPr>
          </w:p>
        </w:tc>
        <w:tc>
          <w:tcPr>
            <w:tcW w:w="2100" w:type="dxa"/>
            <w:vAlign w:val="bottom"/>
            <w:shd w:val="clear" w:color="auto" w:fill="1F2668"/>
          </w:tcPr>
          <w:p>
            <w:pPr>
              <w:ind w:left="20"/>
              <w:spacing w:after="0" w:line="153" w:lineRule="exact"/>
              <w:rPr>
                <w:sz w:val="20"/>
                <w:szCs w:val="20"/>
                <w:color w:val="auto"/>
              </w:rPr>
            </w:pPr>
            <w:r>
              <w:rPr>
                <w:rFonts w:ascii="Arial" w:cs="Arial" w:eastAsia="Arial" w:hAnsi="Arial"/>
                <w:sz w:val="14"/>
                <w:szCs w:val="14"/>
                <w:b w:val="1"/>
                <w:bCs w:val="1"/>
                <w:color w:val="FFFFFF"/>
              </w:rPr>
              <w:t>Mr. Holliday’s annual time-</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shd w:val="clear" w:color="auto" w:fill="83AD40"/>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vMerge w:val="continue"/>
            <w:shd w:val="clear" w:color="auto" w:fill="E9F9D8"/>
          </w:tcPr>
          <w:p>
            <w:pPr>
              <w:spacing w:after="0"/>
              <w:rPr>
                <w:sz w:val="13"/>
                <w:szCs w:val="13"/>
                <w:color w:val="auto"/>
              </w:rPr>
            </w:pPr>
          </w:p>
        </w:tc>
        <w:tc>
          <w:tcPr>
            <w:tcW w:w="980" w:type="dxa"/>
            <w:vAlign w:val="bottom"/>
            <w:gridSpan w:val="3"/>
            <w:vMerge w:val="continue"/>
            <w:shd w:val="clear" w:color="auto" w:fill="E9F9D8"/>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3460" w:type="dxa"/>
            <w:vAlign w:val="bottom"/>
            <w:gridSpan w:val="5"/>
          </w:tcPr>
          <w:p>
            <w:pPr>
              <w:ind w:left="40"/>
              <w:spacing w:after="0" w:line="153"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11"/>
                <w:szCs w:val="11"/>
                <w:color w:val="auto"/>
              </w:rPr>
              <w:t>reflected in the Summary Compensation Table.</w:t>
            </w:r>
          </w:p>
        </w:tc>
        <w:tc>
          <w:tcPr>
            <w:tcW w:w="72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820" w:type="dxa"/>
            <w:vAlign w:val="bottom"/>
          </w:tcPr>
          <w:p>
            <w:pPr>
              <w:spacing w:after="0"/>
              <w:rPr>
                <w:sz w:val="16"/>
                <w:szCs w:val="16"/>
                <w:color w:val="auto"/>
              </w:rPr>
            </w:pPr>
          </w:p>
        </w:tc>
        <w:tc>
          <w:tcPr>
            <w:tcW w:w="200" w:type="dxa"/>
            <w:vAlign w:val="bottom"/>
            <w:tcBorders>
              <w:right w:val="single" w:sz="8" w:color="1F2668"/>
            </w:tcBorders>
            <w:shd w:val="clear" w:color="auto" w:fill="1F2668"/>
          </w:tcPr>
          <w:p>
            <w:pPr>
              <w:spacing w:after="0"/>
              <w:rPr>
                <w:sz w:val="16"/>
                <w:szCs w:val="16"/>
                <w:color w:val="auto"/>
              </w:rPr>
            </w:pPr>
          </w:p>
        </w:tc>
        <w:tc>
          <w:tcPr>
            <w:tcW w:w="80" w:type="dxa"/>
            <w:vAlign w:val="bottom"/>
            <w:shd w:val="clear" w:color="auto" w:fill="1F2668"/>
          </w:tcPr>
          <w:p>
            <w:pPr>
              <w:spacing w:after="0"/>
              <w:rPr>
                <w:sz w:val="16"/>
                <w:szCs w:val="16"/>
                <w:color w:val="auto"/>
              </w:rPr>
            </w:pPr>
          </w:p>
        </w:tc>
        <w:tc>
          <w:tcPr>
            <w:tcW w:w="2100" w:type="dxa"/>
            <w:vAlign w:val="bottom"/>
            <w:shd w:val="clear" w:color="auto" w:fill="1F2668"/>
          </w:tcPr>
          <w:p>
            <w:pPr>
              <w:ind w:left="20"/>
              <w:spacing w:after="0"/>
              <w:rPr>
                <w:sz w:val="20"/>
                <w:szCs w:val="20"/>
                <w:color w:val="auto"/>
              </w:rPr>
            </w:pPr>
            <w:r>
              <w:rPr>
                <w:rFonts w:ascii="Arial" w:cs="Arial" w:eastAsia="Arial" w:hAnsi="Arial"/>
                <w:sz w:val="14"/>
                <w:szCs w:val="14"/>
                <w:b w:val="1"/>
                <w:bCs w:val="1"/>
                <w:color w:val="FFFFFF"/>
              </w:rPr>
              <w:t>based equity award, which</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shd w:val="clear" w:color="auto" w:fill="83AD40"/>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shd w:val="clear" w:color="auto" w:fill="E9F9D8"/>
          </w:tcPr>
          <w:p>
            <w:pPr>
              <w:spacing w:after="0"/>
              <w:rPr>
                <w:sz w:val="16"/>
                <w:szCs w:val="16"/>
                <w:color w:val="auto"/>
              </w:rPr>
            </w:pPr>
          </w:p>
        </w:tc>
        <w:tc>
          <w:tcPr>
            <w:tcW w:w="880" w:type="dxa"/>
            <w:vAlign w:val="bottom"/>
            <w:gridSpan w:val="2"/>
            <w:shd w:val="clear" w:color="auto" w:fill="E9F9D8"/>
          </w:tcPr>
          <w:p>
            <w:pPr>
              <w:spacing w:after="0"/>
              <w:rPr>
                <w:sz w:val="20"/>
                <w:szCs w:val="20"/>
                <w:color w:val="auto"/>
              </w:rPr>
            </w:pPr>
            <w:r>
              <w:rPr>
                <w:rFonts w:ascii="Arial" w:cs="Arial" w:eastAsia="Arial" w:hAnsi="Arial"/>
                <w:sz w:val="14"/>
                <w:szCs w:val="14"/>
                <w:b w:val="1"/>
                <w:bCs w:val="1"/>
                <w:color w:val="auto"/>
              </w:rPr>
              <w:t>$19,834,273</w:t>
            </w:r>
          </w:p>
        </w:tc>
        <w:tc>
          <w:tcPr>
            <w:tcW w:w="100" w:type="dxa"/>
            <w:vAlign w:val="bottom"/>
            <w:shd w:val="clear" w:color="auto" w:fill="E9F9D8"/>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20"/>
                <w:szCs w:val="20"/>
                <w:color w:val="auto"/>
              </w:rPr>
            </w:pPr>
            <w:r>
              <w:rPr>
                <w:rFonts w:ascii="Arial" w:cs="Arial" w:eastAsia="Arial" w:hAnsi="Arial"/>
                <w:sz w:val="14"/>
                <w:szCs w:val="14"/>
                <w:b w:val="1"/>
                <w:bCs w:val="1"/>
                <w:color w:val="auto"/>
              </w:rPr>
              <w:t>$20,685,756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6"/>
        </w:trPr>
        <w:tc>
          <w:tcPr>
            <w:tcW w:w="820" w:type="dxa"/>
            <w:vAlign w:val="bottom"/>
          </w:tcPr>
          <w:p>
            <w:pPr>
              <w:spacing w:after="0"/>
              <w:rPr>
                <w:sz w:val="9"/>
                <w:szCs w:val="9"/>
                <w:color w:val="auto"/>
              </w:rPr>
            </w:pPr>
          </w:p>
        </w:tc>
        <w:tc>
          <w:tcPr>
            <w:tcW w:w="200" w:type="dxa"/>
            <w:vAlign w:val="bottom"/>
            <w:tcBorders>
              <w:bottom w:val="single" w:sz="8" w:color="1F2668"/>
              <w:right w:val="single" w:sz="8" w:color="1F2668"/>
            </w:tcBorders>
            <w:shd w:val="clear" w:color="auto" w:fill="1F2668"/>
          </w:tcPr>
          <w:p>
            <w:pPr>
              <w:spacing w:after="0"/>
              <w:rPr>
                <w:sz w:val="9"/>
                <w:szCs w:val="9"/>
                <w:color w:val="auto"/>
              </w:rPr>
            </w:pPr>
          </w:p>
        </w:tc>
        <w:tc>
          <w:tcPr>
            <w:tcW w:w="80" w:type="dxa"/>
            <w:vAlign w:val="bottom"/>
            <w:tcBorders>
              <w:bottom w:val="single" w:sz="8" w:color="1F2668"/>
            </w:tcBorders>
            <w:shd w:val="clear" w:color="auto" w:fill="1F2668"/>
          </w:tcPr>
          <w:p>
            <w:pPr>
              <w:spacing w:after="0"/>
              <w:rPr>
                <w:sz w:val="9"/>
                <w:szCs w:val="9"/>
                <w:color w:val="auto"/>
              </w:rPr>
            </w:pPr>
          </w:p>
        </w:tc>
        <w:tc>
          <w:tcPr>
            <w:tcW w:w="2100" w:type="dxa"/>
            <w:vAlign w:val="bottom"/>
            <w:tcBorders>
              <w:bottom w:val="single" w:sz="8" w:color="1F2668"/>
            </w:tcBorders>
            <w:shd w:val="clear" w:color="auto" w:fill="1F2668"/>
          </w:tcPr>
          <w:p>
            <w:pPr>
              <w:ind w:left="20"/>
              <w:spacing w:after="0" w:line="106" w:lineRule="exact"/>
              <w:rPr>
                <w:sz w:val="20"/>
                <w:szCs w:val="20"/>
                <w:color w:val="auto"/>
              </w:rPr>
            </w:pPr>
            <w:r>
              <w:rPr>
                <w:rFonts w:ascii="Arial" w:cs="Arial" w:eastAsia="Arial" w:hAnsi="Arial"/>
                <w:sz w:val="12"/>
                <w:szCs w:val="12"/>
                <w:b w:val="1"/>
                <w:bCs w:val="1"/>
                <w:color w:val="FFFFFF"/>
              </w:rPr>
              <w:t>was granted in January 2025</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bottom w:val="single" w:sz="8" w:color="83AD40"/>
            </w:tcBorders>
            <w:shd w:val="clear" w:color="auto" w:fill="83AD40"/>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1F2668"/>
            </w:tcBorders>
            <w:shd w:val="clear" w:color="auto" w:fill="E9F9D8"/>
          </w:tcPr>
          <w:p>
            <w:pPr>
              <w:spacing w:after="0"/>
              <w:rPr>
                <w:sz w:val="9"/>
                <w:szCs w:val="9"/>
                <w:color w:val="auto"/>
              </w:rPr>
            </w:pPr>
          </w:p>
        </w:tc>
        <w:tc>
          <w:tcPr>
            <w:tcW w:w="40" w:type="dxa"/>
            <w:vAlign w:val="bottom"/>
            <w:tcBorders>
              <w:bottom w:val="single" w:sz="8" w:color="1F2668"/>
            </w:tcBorders>
            <w:shd w:val="clear" w:color="auto" w:fill="E9F9D8"/>
          </w:tcPr>
          <w:p>
            <w:pPr>
              <w:spacing w:after="0"/>
              <w:rPr>
                <w:sz w:val="9"/>
                <w:szCs w:val="9"/>
                <w:color w:val="auto"/>
              </w:rPr>
            </w:pPr>
          </w:p>
        </w:tc>
        <w:tc>
          <w:tcPr>
            <w:tcW w:w="840" w:type="dxa"/>
            <w:vAlign w:val="bottom"/>
            <w:tcBorders>
              <w:bottom w:val="single" w:sz="8" w:color="1F2668"/>
            </w:tcBorders>
            <w:shd w:val="clear" w:color="auto" w:fill="E9F9D8"/>
          </w:tcPr>
          <w:p>
            <w:pPr>
              <w:spacing w:after="0"/>
              <w:rPr>
                <w:sz w:val="9"/>
                <w:szCs w:val="9"/>
                <w:color w:val="auto"/>
              </w:rPr>
            </w:pPr>
          </w:p>
        </w:tc>
        <w:tc>
          <w:tcPr>
            <w:tcW w:w="100" w:type="dxa"/>
            <w:vAlign w:val="bottom"/>
            <w:tcBorders>
              <w:bottom w:val="single" w:sz="8" w:color="1F2668"/>
            </w:tcBorders>
            <w:shd w:val="clear" w:color="auto" w:fill="E9F9D8"/>
          </w:tcPr>
          <w:p>
            <w:pPr>
              <w:spacing w:after="0"/>
              <w:rPr>
                <w:sz w:val="9"/>
                <w:szCs w:val="9"/>
                <w:color w:val="auto"/>
              </w:rPr>
            </w:pPr>
          </w:p>
        </w:tc>
        <w:tc>
          <w:tcPr>
            <w:tcW w:w="40" w:type="dxa"/>
            <w:vAlign w:val="bottom"/>
            <w:tcBorders>
              <w:bottom w:val="single" w:sz="8" w:color="1F2668"/>
            </w:tcBorders>
          </w:tcPr>
          <w:p>
            <w:pPr>
              <w:spacing w:after="0"/>
              <w:rPr>
                <w:sz w:val="9"/>
                <w:szCs w:val="9"/>
                <w:color w:val="auto"/>
              </w:rPr>
            </w:pPr>
          </w:p>
        </w:tc>
        <w:tc>
          <w:tcPr>
            <w:tcW w:w="60" w:type="dxa"/>
            <w:vAlign w:val="bottom"/>
            <w:tcBorders>
              <w:bottom w:val="single" w:sz="8" w:color="1F2668"/>
            </w:tcBorders>
          </w:tcPr>
          <w:p>
            <w:pPr>
              <w:spacing w:after="0"/>
              <w:rPr>
                <w:sz w:val="9"/>
                <w:szCs w:val="9"/>
                <w:color w:val="auto"/>
              </w:rPr>
            </w:pPr>
          </w:p>
        </w:tc>
        <w:tc>
          <w:tcPr>
            <w:tcW w:w="880" w:type="dxa"/>
            <w:vAlign w:val="bottom"/>
            <w:tcBorders>
              <w:bottom w:val="single" w:sz="8" w:color="1F2668"/>
            </w:tcBorders>
          </w:tcPr>
          <w:p>
            <w:pPr>
              <w:spacing w:after="0"/>
              <w:rPr>
                <w:sz w:val="9"/>
                <w:szCs w:val="9"/>
                <w:color w:val="auto"/>
              </w:rPr>
            </w:pPr>
          </w:p>
        </w:tc>
        <w:tc>
          <w:tcPr>
            <w:tcW w:w="100" w:type="dxa"/>
            <w:vAlign w:val="bottom"/>
            <w:tcBorders>
              <w:bottom w:val="single" w:sz="8" w:color="1F2668"/>
            </w:tcBorders>
          </w:tcPr>
          <w:p>
            <w:pPr>
              <w:spacing w:after="0"/>
              <w:rPr>
                <w:sz w:val="9"/>
                <w:szCs w:val="9"/>
                <w:color w:val="auto"/>
              </w:rPr>
            </w:pPr>
          </w:p>
        </w:tc>
        <w:tc>
          <w:tcPr>
            <w:tcW w:w="180" w:type="dxa"/>
            <w:vAlign w:val="bottom"/>
            <w:tcBorders>
              <w:bottom w:val="single" w:sz="8" w:color="1F2668"/>
            </w:tcBorders>
          </w:tcPr>
          <w:p>
            <w:pPr>
              <w:spacing w:after="0"/>
              <w:rPr>
                <w:sz w:val="9"/>
                <w:szCs w:val="9"/>
                <w:color w:val="auto"/>
              </w:rPr>
            </w:pPr>
          </w:p>
        </w:tc>
        <w:tc>
          <w:tcPr>
            <w:tcW w:w="900" w:type="dxa"/>
            <w:vAlign w:val="bottom"/>
            <w:tcBorders>
              <w:bottom w:val="single" w:sz="8" w:color="1F2668"/>
            </w:tcBorders>
          </w:tcPr>
          <w:p>
            <w:pPr>
              <w:spacing w:after="0"/>
              <w:rPr>
                <w:sz w:val="9"/>
                <w:szCs w:val="9"/>
                <w:color w:val="auto"/>
              </w:rPr>
            </w:pPr>
          </w:p>
        </w:tc>
        <w:tc>
          <w:tcPr>
            <w:tcW w:w="1040" w:type="dxa"/>
            <w:vAlign w:val="bottom"/>
            <w:tcBorders>
              <w:bottom w:val="single" w:sz="8" w:color="1F2668"/>
            </w:tcBorders>
          </w:tcPr>
          <w:p>
            <w:pPr>
              <w:spacing w:after="0"/>
              <w:rPr>
                <w:sz w:val="9"/>
                <w:szCs w:val="9"/>
                <w:color w:val="auto"/>
              </w:rPr>
            </w:pPr>
          </w:p>
        </w:tc>
        <w:tc>
          <w:tcPr>
            <w:tcW w:w="1240" w:type="dxa"/>
            <w:vAlign w:val="bottom"/>
            <w:tcBorders>
              <w:bottom w:val="single" w:sz="8" w:color="1F2668"/>
            </w:tcBorders>
          </w:tcPr>
          <w:p>
            <w:pPr>
              <w:spacing w:after="0"/>
              <w:rPr>
                <w:sz w:val="9"/>
                <w:szCs w:val="9"/>
                <w:color w:val="auto"/>
              </w:rPr>
            </w:pPr>
          </w:p>
        </w:tc>
        <w:tc>
          <w:tcPr>
            <w:tcW w:w="720" w:type="dxa"/>
            <w:vAlign w:val="bottom"/>
            <w:tcBorders>
              <w:bottom w:val="single" w:sz="8" w:color="1F2668"/>
            </w:tcBorders>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200" w:type="dxa"/>
            <w:vAlign w:val="bottom"/>
            <w:tcBorders>
              <w:right w:val="single" w:sz="8" w:color="1F2668"/>
            </w:tcBorders>
            <w:shd w:val="clear" w:color="auto" w:fill="1F2668"/>
          </w:tcPr>
          <w:p>
            <w:pPr>
              <w:spacing w:after="0"/>
              <w:rPr>
                <w:sz w:val="12"/>
                <w:szCs w:val="12"/>
                <w:color w:val="auto"/>
              </w:rPr>
            </w:pPr>
          </w:p>
        </w:tc>
        <w:tc>
          <w:tcPr>
            <w:tcW w:w="80" w:type="dxa"/>
            <w:vAlign w:val="bottom"/>
            <w:shd w:val="clear" w:color="auto" w:fill="1F2668"/>
          </w:tcPr>
          <w:p>
            <w:pPr>
              <w:spacing w:after="0"/>
              <w:rPr>
                <w:sz w:val="12"/>
                <w:szCs w:val="12"/>
                <w:color w:val="auto"/>
              </w:rPr>
            </w:pPr>
          </w:p>
        </w:tc>
        <w:tc>
          <w:tcPr>
            <w:tcW w:w="2100" w:type="dxa"/>
            <w:vAlign w:val="bottom"/>
            <w:shd w:val="clear" w:color="auto" w:fill="1F2668"/>
          </w:tcPr>
          <w:p>
            <w:pPr>
              <w:ind w:left="20"/>
              <w:spacing w:after="0" w:line="149" w:lineRule="exact"/>
              <w:rPr>
                <w:sz w:val="20"/>
                <w:szCs w:val="20"/>
                <w:color w:val="auto"/>
              </w:rPr>
            </w:pPr>
            <w:r>
              <w:rPr>
                <w:rFonts w:ascii="Arial" w:cs="Arial" w:eastAsia="Arial" w:hAnsi="Arial"/>
                <w:sz w:val="14"/>
                <w:szCs w:val="14"/>
                <w:b w:val="1"/>
                <w:bCs w:val="1"/>
                <w:color w:val="FFFFFF"/>
              </w:rPr>
              <w:t>and will appear in next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shd w:val="clear" w:color="auto" w:fill="83AD40"/>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00" w:type="dxa"/>
            <w:vAlign w:val="bottom"/>
            <w:tcBorders>
              <w:right w:val="single" w:sz="8" w:color="1F2668"/>
            </w:tcBorders>
            <w:shd w:val="clear" w:color="auto" w:fill="1F2668"/>
          </w:tcPr>
          <w:p>
            <w:pPr>
              <w:spacing w:after="0"/>
              <w:rPr>
                <w:sz w:val="17"/>
                <w:szCs w:val="17"/>
                <w:color w:val="auto"/>
              </w:rPr>
            </w:pPr>
          </w:p>
        </w:tc>
        <w:tc>
          <w:tcPr>
            <w:tcW w:w="80" w:type="dxa"/>
            <w:vAlign w:val="bottom"/>
            <w:shd w:val="clear" w:color="auto" w:fill="1F2668"/>
          </w:tcPr>
          <w:p>
            <w:pPr>
              <w:spacing w:after="0"/>
              <w:rPr>
                <w:sz w:val="17"/>
                <w:szCs w:val="17"/>
                <w:color w:val="auto"/>
              </w:rPr>
            </w:pPr>
          </w:p>
        </w:tc>
        <w:tc>
          <w:tcPr>
            <w:tcW w:w="2100" w:type="dxa"/>
            <w:vAlign w:val="bottom"/>
            <w:shd w:val="clear" w:color="auto" w:fill="1F2668"/>
          </w:tcPr>
          <w:p>
            <w:pPr>
              <w:ind w:left="20"/>
              <w:spacing w:after="0"/>
              <w:rPr>
                <w:sz w:val="20"/>
                <w:szCs w:val="20"/>
                <w:color w:val="auto"/>
              </w:rPr>
            </w:pPr>
            <w:r>
              <w:rPr>
                <w:rFonts w:ascii="Arial" w:cs="Arial" w:eastAsia="Arial" w:hAnsi="Arial"/>
                <w:sz w:val="14"/>
                <w:szCs w:val="14"/>
                <w:b w:val="1"/>
                <w:bCs w:val="1"/>
                <w:color w:val="FFFFFF"/>
              </w:rPr>
              <w:t>year’s SCT.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shd w:val="clear" w:color="auto" w:fill="83AD40"/>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0"/>
        </w:trPr>
        <w:tc>
          <w:tcPr>
            <w:tcW w:w="820" w:type="dxa"/>
            <w:vAlign w:val="bottom"/>
          </w:tcPr>
          <w:p>
            <w:pPr>
              <w:spacing w:after="0"/>
              <w:rPr>
                <w:sz w:val="24"/>
                <w:szCs w:val="24"/>
                <w:color w:val="auto"/>
              </w:rPr>
            </w:pPr>
          </w:p>
        </w:tc>
        <w:tc>
          <w:tcPr>
            <w:tcW w:w="200" w:type="dxa"/>
            <w:vAlign w:val="bottom"/>
            <w:tcBorders>
              <w:right w:val="single" w:sz="8" w:color="1F2668"/>
            </w:tcBorders>
            <w:shd w:val="clear" w:color="auto" w:fill="1F2668"/>
          </w:tcPr>
          <w:p>
            <w:pPr>
              <w:spacing w:after="0"/>
              <w:rPr>
                <w:sz w:val="24"/>
                <w:szCs w:val="24"/>
                <w:color w:val="auto"/>
              </w:rPr>
            </w:pPr>
          </w:p>
        </w:tc>
        <w:tc>
          <w:tcPr>
            <w:tcW w:w="80" w:type="dxa"/>
            <w:vAlign w:val="bottom"/>
            <w:shd w:val="clear" w:color="auto" w:fill="1F2668"/>
          </w:tcPr>
          <w:p>
            <w:pPr>
              <w:spacing w:after="0"/>
              <w:rPr>
                <w:sz w:val="24"/>
                <w:szCs w:val="24"/>
                <w:color w:val="auto"/>
              </w:rPr>
            </w:pPr>
          </w:p>
        </w:tc>
        <w:tc>
          <w:tcPr>
            <w:tcW w:w="2100" w:type="dxa"/>
            <w:vAlign w:val="bottom"/>
            <w:shd w:val="clear" w:color="auto" w:fill="1F2668"/>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vMerge w:val="restart"/>
          </w:tcPr>
          <w:p>
            <w:pPr>
              <w:spacing w:after="0"/>
              <w:rPr>
                <w:sz w:val="24"/>
                <w:szCs w:val="24"/>
                <w:color w:val="auto"/>
              </w:rPr>
            </w:pPr>
          </w:p>
        </w:tc>
        <w:tc>
          <w:tcPr>
            <w:tcW w:w="60" w:type="dxa"/>
            <w:vAlign w:val="bottom"/>
            <w:vMerge w:val="restart"/>
            <w:shd w:val="clear" w:color="auto" w:fill="83AD40"/>
          </w:tcPr>
          <w:p>
            <w:pPr>
              <w:spacing w:after="0"/>
              <w:rPr>
                <w:sz w:val="20"/>
                <w:szCs w:val="20"/>
                <w:color w:val="auto"/>
              </w:rPr>
            </w:pPr>
            <w:r>
              <w:rPr>
                <w:rFonts w:ascii="Arial" w:cs="Arial" w:eastAsia="Arial" w:hAnsi="Arial"/>
                <w:sz w:val="22"/>
                <w:szCs w:val="22"/>
                <w:color w:val="auto"/>
              </w:rPr>
              <w:t>​</w:t>
            </w:r>
          </w:p>
        </w:tc>
        <w:tc>
          <w:tcPr>
            <w:tcW w:w="2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20" w:type="dxa"/>
            <w:vAlign w:val="bottom"/>
          </w:tcPr>
          <w:p>
            <w:pPr>
              <w:spacing w:after="0"/>
              <w:rPr>
                <w:sz w:val="24"/>
                <w:szCs w:val="24"/>
                <w:color w:val="auto"/>
              </w:rPr>
            </w:pPr>
          </w:p>
        </w:tc>
        <w:tc>
          <w:tcPr>
            <w:tcW w:w="200" w:type="dxa"/>
            <w:vAlign w:val="bottom"/>
            <w:tcBorders>
              <w:right w:val="single" w:sz="8" w:color="83AD40"/>
            </w:tcBorders>
          </w:tcPr>
          <w:p>
            <w:pPr>
              <w:spacing w:after="0"/>
              <w:rPr>
                <w:sz w:val="24"/>
                <w:szCs w:val="24"/>
                <w:color w:val="auto"/>
              </w:rPr>
            </w:pPr>
          </w:p>
        </w:tc>
        <w:tc>
          <w:tcPr>
            <w:tcW w:w="80" w:type="dxa"/>
            <w:vAlign w:val="bottom"/>
            <w:tcBorders>
              <w:bottom w:val="single" w:sz="8" w:color="83AD40"/>
            </w:tcBorders>
          </w:tcPr>
          <w:p>
            <w:pPr>
              <w:jc w:val="right"/>
              <w:spacing w:after="0" w:line="243" w:lineRule="exact"/>
              <w:rPr>
                <w:sz w:val="20"/>
                <w:szCs w:val="20"/>
                <w:color w:val="auto"/>
              </w:rPr>
            </w:pPr>
            <w:r>
              <w:rPr>
                <w:rFonts w:ascii="Arial" w:cs="Arial" w:eastAsia="Arial" w:hAnsi="Arial"/>
                <w:sz w:val="22"/>
                <w:szCs w:val="22"/>
                <w:color w:val="auto"/>
              </w:rPr>
              <w:t>​</w:t>
            </w:r>
          </w:p>
        </w:tc>
        <w:tc>
          <w:tcPr>
            <w:tcW w:w="2100" w:type="dxa"/>
            <w:vAlign w:val="bottom"/>
            <w:tcBorders>
              <w:bottom w:val="single" w:sz="8" w:color="83AD40"/>
            </w:tcBorders>
          </w:tcPr>
          <w:p>
            <w:pPr>
              <w:spacing w:after="0"/>
              <w:rPr>
                <w:sz w:val="24"/>
                <w:szCs w:val="24"/>
                <w:color w:val="auto"/>
              </w:rPr>
            </w:pPr>
          </w:p>
        </w:tc>
        <w:tc>
          <w:tcPr>
            <w:tcW w:w="60" w:type="dxa"/>
            <w:vAlign w:val="bottom"/>
            <w:tcBorders>
              <w:bottom w:val="single" w:sz="8" w:color="83AD40"/>
            </w:tcBorders>
          </w:tcPr>
          <w:p>
            <w:pPr>
              <w:spacing w:after="0"/>
              <w:rPr>
                <w:sz w:val="24"/>
                <w:szCs w:val="24"/>
                <w:color w:val="auto"/>
              </w:rPr>
            </w:pPr>
          </w:p>
        </w:tc>
        <w:tc>
          <w:tcPr>
            <w:tcW w:w="40" w:type="dxa"/>
            <w:vAlign w:val="bottom"/>
            <w:tcBorders>
              <w:bottom w:val="single" w:sz="8" w:color="83AD40"/>
            </w:tcBorders>
            <w:vMerge w:val="continue"/>
          </w:tcPr>
          <w:p>
            <w:pPr>
              <w:spacing w:after="0"/>
              <w:rPr>
                <w:sz w:val="24"/>
                <w:szCs w:val="24"/>
                <w:color w:val="auto"/>
              </w:rPr>
            </w:pPr>
          </w:p>
        </w:tc>
        <w:tc>
          <w:tcPr>
            <w:tcW w:w="60" w:type="dxa"/>
            <w:vAlign w:val="bottom"/>
            <w:tcBorders>
              <w:bottom w:val="single" w:sz="8" w:color="83AD40"/>
            </w:tcBorders>
            <w:vMerge w:val="continue"/>
            <w:shd w:val="clear" w:color="auto" w:fill="83AD40"/>
          </w:tcPr>
          <w:p>
            <w:pPr>
              <w:spacing w:after="0"/>
              <w:rPr>
                <w:sz w:val="24"/>
                <w:szCs w:val="24"/>
                <w:color w:val="auto"/>
              </w:rPr>
            </w:pPr>
          </w:p>
        </w:tc>
        <w:tc>
          <w:tcPr>
            <w:tcW w:w="2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8"/>
        </w:trPr>
        <w:tc>
          <w:tcPr>
            <w:tcW w:w="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722630</wp:posOffset>
            </wp:positionH>
            <wp:positionV relativeFrom="paragraph">
              <wp:posOffset>-7911465</wp:posOffset>
            </wp:positionV>
            <wp:extent cx="2297430" cy="660908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297430" cy="6609080"/>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71"/>
        </w:trPr>
        <w:tc>
          <w:tcPr>
            <w:tcW w:w="3200" w:type="dxa"/>
            <w:vAlign w:val="bottom"/>
            <w:gridSpan w:val="3"/>
          </w:tcPr>
          <w:p>
            <w:pPr>
              <w:spacing w:after="0"/>
              <w:rPr>
                <w:sz w:val="20"/>
                <w:szCs w:val="20"/>
                <w:color w:val="auto"/>
              </w:rPr>
            </w:pPr>
            <w:r>
              <w:rPr>
                <w:rFonts w:ascii="Calibri" w:cs="Calibri" w:eastAsia="Calibri" w:hAnsi="Calibri"/>
                <w:sz w:val="14"/>
                <w:szCs w:val="14"/>
                <w:color w:val="003366"/>
              </w:rPr>
              <w:t>TABLE OF CONTENTS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2"/>
        </w:trPr>
        <w:tc>
          <w:tcPr>
            <w:tcW w:w="820" w:type="dxa"/>
            <w:vAlign w:val="bottom"/>
          </w:tcPr>
          <w:p>
            <w:pPr>
              <w:spacing w:after="0"/>
              <w:rPr>
                <w:sz w:val="24"/>
                <w:szCs w:val="24"/>
                <w:color w:val="auto"/>
              </w:rPr>
            </w:pPr>
          </w:p>
        </w:tc>
        <w:tc>
          <w:tcPr>
            <w:tcW w:w="238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ind w:left="1220"/>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200" w:type="dxa"/>
            <w:vAlign w:val="bottom"/>
            <w:vMerge w:val="restart"/>
          </w:tcPr>
          <w:p>
            <w:pPr>
              <w:jc w:val="right"/>
              <w:spacing w:after="0"/>
              <w:rPr>
                <w:sz w:val="20"/>
                <w:szCs w:val="20"/>
                <w:color w:val="auto"/>
              </w:rPr>
            </w:pPr>
            <w:r>
              <w:rPr>
                <w:rFonts w:ascii="Arial" w:cs="Arial" w:eastAsia="Arial" w:hAnsi="Arial"/>
                <w:sz w:val="22"/>
                <w:szCs w:val="22"/>
                <w:b w:val="1"/>
                <w:bCs w:val="1"/>
                <w:color w:val="1F2668"/>
                <w:w w:val="89"/>
              </w:rPr>
              <w:t>59</w:t>
            </w:r>
          </w:p>
        </w:tc>
        <w:tc>
          <w:tcPr>
            <w:tcW w:w="880" w:type="dxa"/>
            <w:vAlign w:val="bottom"/>
          </w:tcPr>
          <w:p>
            <w:pPr>
              <w:jc w:val="right"/>
              <w:ind w:right="72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380" w:type="dxa"/>
            <w:vAlign w:val="bottom"/>
            <w:gridSpan w:val="2"/>
          </w:tcPr>
          <w:p>
            <w:pPr>
              <w:spacing w:after="0"/>
              <w:rPr>
                <w:sz w:val="20"/>
                <w:szCs w:val="20"/>
                <w:color w:val="auto"/>
              </w:rPr>
            </w:pPr>
            <w:r>
              <w:rPr>
                <w:rFonts w:ascii="Arial" w:cs="Arial" w:eastAsia="Arial" w:hAnsi="Arial"/>
                <w:sz w:val="14"/>
                <w:szCs w:val="14"/>
                <w:b w:val="1"/>
                <w:bCs w:val="1"/>
                <w:color w:val="auto"/>
              </w:rPr>
              <w:t>EXECUTIVE COMPENSATION</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3"/>
        </w:trPr>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200" w:type="dxa"/>
            <w:vAlign w:val="bottom"/>
            <w:tcBorders>
              <w:right w:val="single" w:sz="8" w:color="83AD40"/>
            </w:tcBorders>
          </w:tcPr>
          <w:p>
            <w:pPr>
              <w:spacing w:after="0"/>
              <w:rPr>
                <w:sz w:val="21"/>
                <w:szCs w:val="21"/>
                <w:color w:val="auto"/>
              </w:rPr>
            </w:pPr>
          </w:p>
        </w:tc>
        <w:tc>
          <w:tcPr>
            <w:tcW w:w="2180" w:type="dxa"/>
            <w:vAlign w:val="bottom"/>
            <w:tcBorders>
              <w:top w:val="single" w:sz="8" w:color="83AD40"/>
            </w:tcBorders>
          </w:tcPr>
          <w:p>
            <w:pPr>
              <w:spacing w:after="0" w:line="243" w:lineRule="exact"/>
              <w:rPr>
                <w:sz w:val="20"/>
                <w:szCs w:val="20"/>
                <w:color w:val="auto"/>
              </w:rPr>
            </w:pPr>
            <w:r>
              <w:rPr>
                <w:rFonts w:ascii="Arial" w:cs="Arial" w:eastAsia="Arial" w:hAnsi="Arial"/>
                <w:sz w:val="22"/>
                <w:szCs w:val="22"/>
                <w:color w:val="auto"/>
              </w:rPr>
              <w:t>​</w:t>
            </w:r>
          </w:p>
        </w:tc>
        <w:tc>
          <w:tcPr>
            <w:tcW w:w="60" w:type="dxa"/>
            <w:vAlign w:val="bottom"/>
            <w:tcBorders>
              <w:top w:val="single" w:sz="8" w:color="83AD40"/>
            </w:tcBorders>
            <w:vMerge w:val="restart"/>
          </w:tcPr>
          <w:p>
            <w:pPr>
              <w:spacing w:after="0"/>
              <w:rPr>
                <w:sz w:val="20"/>
                <w:szCs w:val="20"/>
                <w:color w:val="auto"/>
              </w:rPr>
            </w:pPr>
            <w:r>
              <w:rPr>
                <w:rFonts w:ascii="Arial" w:cs="Arial" w:eastAsia="Arial" w:hAnsi="Arial"/>
                <w:sz w:val="14"/>
                <w:szCs w:val="14"/>
                <w:color w:val="FFFFFF"/>
              </w:rPr>
              <w:t>​</w:t>
            </w:r>
          </w:p>
        </w:tc>
        <w:tc>
          <w:tcPr>
            <w:tcW w:w="40" w:type="dxa"/>
            <w:vAlign w:val="bottom"/>
            <w:tcBorders>
              <w:top w:val="single" w:sz="8" w:color="83AD40"/>
            </w:tcBorders>
          </w:tcPr>
          <w:p>
            <w:pPr>
              <w:spacing w:after="0"/>
              <w:rPr>
                <w:sz w:val="21"/>
                <w:szCs w:val="21"/>
                <w:color w:val="auto"/>
              </w:rPr>
            </w:pPr>
          </w:p>
        </w:tc>
        <w:tc>
          <w:tcPr>
            <w:tcW w:w="60" w:type="dxa"/>
            <w:vAlign w:val="bottom"/>
            <w:tcBorders>
              <w:top w:val="single" w:sz="8" w:color="83AD40"/>
            </w:tcBorders>
            <w:shd w:val="clear" w:color="auto" w:fill="83AD40"/>
          </w:tcPr>
          <w:p>
            <w:pPr>
              <w:spacing w:after="0" w:line="243" w:lineRule="exact"/>
              <w:rPr>
                <w:sz w:val="20"/>
                <w:szCs w:val="20"/>
                <w:color w:val="auto"/>
              </w:rPr>
            </w:pPr>
            <w:r>
              <w:rPr>
                <w:rFonts w:ascii="Arial" w:cs="Arial" w:eastAsia="Arial" w:hAnsi="Arial"/>
                <w:sz w:val="22"/>
                <w:szCs w:val="22"/>
                <w:color w:val="auto"/>
              </w:rPr>
              <w:t>​</w:t>
            </w:r>
          </w:p>
        </w:tc>
        <w:tc>
          <w:tcPr>
            <w:tcW w:w="280" w:type="dxa"/>
            <w:vAlign w:val="bottom"/>
          </w:tcPr>
          <w:p>
            <w:pPr>
              <w:spacing w:after="0"/>
              <w:rPr>
                <w:sz w:val="21"/>
                <w:szCs w:val="21"/>
                <w:color w:val="auto"/>
              </w:rPr>
            </w:pPr>
          </w:p>
        </w:tc>
        <w:tc>
          <w:tcPr>
            <w:tcW w:w="4160" w:type="dxa"/>
            <w:vAlign w:val="bottom"/>
            <w:gridSpan w:val="10"/>
            <w:vMerge w:val="restart"/>
          </w:tcPr>
          <w:p>
            <w:pPr>
              <w:spacing w:after="0"/>
              <w:rPr>
                <w:sz w:val="20"/>
                <w:szCs w:val="20"/>
                <w:color w:val="auto"/>
              </w:rPr>
            </w:pPr>
            <w:r>
              <w:rPr>
                <w:rFonts w:ascii="Arial" w:cs="Arial" w:eastAsia="Arial" w:hAnsi="Arial"/>
                <w:sz w:val="20"/>
                <w:szCs w:val="20"/>
                <w:b w:val="1"/>
                <w:bCs w:val="1"/>
                <w:color w:val="83AD40"/>
              </w:rPr>
              <w:t>2024 Performance and Compensation—</w:t>
            </w:r>
          </w:p>
        </w:tc>
        <w:tc>
          <w:tcPr>
            <w:tcW w:w="1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820" w:type="dxa"/>
            <w:vAlign w:val="bottom"/>
          </w:tcPr>
          <w:p>
            <w:pPr>
              <w:spacing w:after="0"/>
              <w:rPr>
                <w:sz w:val="15"/>
                <w:szCs w:val="15"/>
                <w:color w:val="auto"/>
              </w:rPr>
            </w:pPr>
          </w:p>
        </w:tc>
        <w:tc>
          <w:tcPr>
            <w:tcW w:w="200" w:type="dxa"/>
            <w:vAlign w:val="bottom"/>
            <w:tcBorders>
              <w:right w:val="single" w:sz="8" w:color="1F2668"/>
            </w:tcBorders>
            <w:shd w:val="clear" w:color="auto" w:fill="1F2668"/>
          </w:tcPr>
          <w:p>
            <w:pPr>
              <w:ind w:left="140"/>
              <w:spacing w:after="0"/>
              <w:rPr>
                <w:sz w:val="20"/>
                <w:szCs w:val="20"/>
                <w:color w:val="auto"/>
              </w:rPr>
            </w:pPr>
            <w:r>
              <w:rPr>
                <w:rFonts w:ascii="Arial" w:cs="Arial" w:eastAsia="Arial" w:hAnsi="Arial"/>
                <w:sz w:val="14"/>
                <w:szCs w:val="14"/>
                <w:color w:val="FFFFFF"/>
              </w:rPr>
              <w:t>​</w:t>
            </w:r>
          </w:p>
        </w:tc>
        <w:tc>
          <w:tcPr>
            <w:tcW w:w="2180" w:type="dxa"/>
            <w:vAlign w:val="bottom"/>
            <w:shd w:val="clear" w:color="auto" w:fill="1F2668"/>
          </w:tcPr>
          <w:p>
            <w:pPr>
              <w:spacing w:after="0"/>
              <w:rPr>
                <w:sz w:val="15"/>
                <w:szCs w:val="15"/>
                <w:color w:val="auto"/>
              </w:rPr>
            </w:pPr>
          </w:p>
        </w:tc>
        <w:tc>
          <w:tcPr>
            <w:tcW w:w="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shd w:val="clear" w:color="auto" w:fill="83AD40"/>
          </w:tcPr>
          <w:p>
            <w:pPr>
              <w:spacing w:after="0"/>
              <w:rPr>
                <w:sz w:val="15"/>
                <w:szCs w:val="15"/>
                <w:color w:val="auto"/>
              </w:rPr>
            </w:pPr>
          </w:p>
        </w:tc>
        <w:tc>
          <w:tcPr>
            <w:tcW w:w="280" w:type="dxa"/>
            <w:vAlign w:val="bottom"/>
          </w:tcPr>
          <w:p>
            <w:pPr>
              <w:spacing w:after="0"/>
              <w:rPr>
                <w:sz w:val="15"/>
                <w:szCs w:val="15"/>
                <w:color w:val="auto"/>
              </w:rPr>
            </w:pPr>
          </w:p>
        </w:tc>
        <w:tc>
          <w:tcPr>
            <w:tcW w:w="4160" w:type="dxa"/>
            <w:vAlign w:val="bottom"/>
            <w:gridSpan w:val="10"/>
            <w:vMerge w:val="continue"/>
          </w:tcPr>
          <w:p>
            <w:pPr>
              <w:spacing w:after="0"/>
              <w:rPr>
                <w:sz w:val="15"/>
                <w:szCs w:val="15"/>
                <w:color w:val="auto"/>
              </w:rPr>
            </w:pP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7"/>
        </w:trPr>
        <w:tc>
          <w:tcPr>
            <w:tcW w:w="820" w:type="dxa"/>
            <w:vAlign w:val="bottom"/>
          </w:tcPr>
          <w:p>
            <w:pPr>
              <w:spacing w:after="0"/>
              <w:rPr>
                <w:sz w:val="24"/>
                <w:szCs w:val="24"/>
                <w:color w:val="auto"/>
              </w:rPr>
            </w:pPr>
          </w:p>
        </w:tc>
        <w:tc>
          <w:tcPr>
            <w:tcW w:w="2380" w:type="dxa"/>
            <w:vAlign w:val="bottom"/>
            <w:gridSpan w:val="2"/>
            <w:shd w:val="clear" w:color="auto" w:fill="1F2668"/>
          </w:tcPr>
          <w:p>
            <w:pPr>
              <w:ind w:left="140"/>
              <w:spacing w:after="0"/>
              <w:rPr>
                <w:sz w:val="20"/>
                <w:szCs w:val="20"/>
                <w:color w:val="auto"/>
              </w:rPr>
            </w:pPr>
            <w:r>
              <w:rPr>
                <w:rFonts w:ascii="Arial" w:cs="Arial" w:eastAsia="Arial" w:hAnsi="Arial"/>
                <w:sz w:val="23"/>
                <w:szCs w:val="23"/>
                <w:b w:val="1"/>
                <w:bCs w:val="1"/>
                <w:color w:val="FFFFFF"/>
              </w:rPr>
              <w:t>MATTHEW J.</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shd w:val="clear" w:color="auto" w:fill="83AD40"/>
          </w:tcPr>
          <w:p>
            <w:pPr>
              <w:spacing w:after="0"/>
              <w:rPr>
                <w:sz w:val="24"/>
                <w:szCs w:val="24"/>
                <w:color w:val="auto"/>
              </w:rPr>
            </w:pPr>
          </w:p>
        </w:tc>
        <w:tc>
          <w:tcPr>
            <w:tcW w:w="280" w:type="dxa"/>
            <w:vAlign w:val="bottom"/>
          </w:tcPr>
          <w:p>
            <w:pPr>
              <w:spacing w:after="0"/>
              <w:rPr>
                <w:sz w:val="24"/>
                <w:szCs w:val="24"/>
                <w:color w:val="auto"/>
              </w:rPr>
            </w:pPr>
          </w:p>
        </w:tc>
        <w:tc>
          <w:tcPr>
            <w:tcW w:w="6000" w:type="dxa"/>
            <w:vAlign w:val="bottom"/>
            <w:gridSpan w:val="12"/>
          </w:tcPr>
          <w:p>
            <w:pPr>
              <w:spacing w:after="0"/>
              <w:rPr>
                <w:sz w:val="20"/>
                <w:szCs w:val="20"/>
                <w:color w:val="auto"/>
              </w:rPr>
            </w:pPr>
            <w:r>
              <w:rPr>
                <w:rFonts w:ascii="Arial" w:cs="Arial" w:eastAsia="Arial" w:hAnsi="Arial"/>
                <w:sz w:val="20"/>
                <w:szCs w:val="20"/>
                <w:b w:val="1"/>
                <w:bCs w:val="1"/>
                <w:color w:val="83AD40"/>
              </w:rPr>
              <w:t>Total Direct Compensation vs. Summary Compensation Table</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820" w:type="dxa"/>
            <w:vAlign w:val="bottom"/>
          </w:tcPr>
          <w:p>
            <w:pPr>
              <w:spacing w:after="0"/>
              <w:rPr>
                <w:sz w:val="8"/>
                <w:szCs w:val="8"/>
                <w:color w:val="auto"/>
              </w:rPr>
            </w:pPr>
          </w:p>
        </w:tc>
        <w:tc>
          <w:tcPr>
            <w:tcW w:w="2380" w:type="dxa"/>
            <w:vAlign w:val="bottom"/>
            <w:gridSpan w:val="2"/>
            <w:vMerge w:val="restart"/>
            <w:shd w:val="clear" w:color="auto" w:fill="1F2668"/>
          </w:tcPr>
          <w:p>
            <w:pPr>
              <w:ind w:left="140"/>
              <w:spacing w:after="0"/>
              <w:rPr>
                <w:sz w:val="20"/>
                <w:szCs w:val="20"/>
                <w:color w:val="auto"/>
              </w:rPr>
            </w:pPr>
            <w:r>
              <w:rPr>
                <w:rFonts w:ascii="Arial" w:cs="Arial" w:eastAsia="Arial" w:hAnsi="Arial"/>
                <w:sz w:val="23"/>
                <w:szCs w:val="23"/>
                <w:b w:val="1"/>
                <w:bCs w:val="1"/>
                <w:color w:val="FFFFFF"/>
              </w:rPr>
              <w:t>DILIBERTO</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shd w:val="clear" w:color="auto" w:fill="83AD40"/>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vMerge w:val="restart"/>
          </w:tcPr>
          <w:p>
            <w:pPr>
              <w:spacing w:after="0"/>
              <w:rPr>
                <w:sz w:val="20"/>
                <w:szCs w:val="20"/>
                <w:color w:val="auto"/>
              </w:rPr>
            </w:pPr>
            <w:r>
              <w:rPr>
                <w:rFonts w:ascii="Arial" w:cs="Arial" w:eastAsia="Arial" w:hAnsi="Arial"/>
                <w:sz w:val="14"/>
                <w:szCs w:val="14"/>
                <w:b w:val="1"/>
                <w:bCs w:val="1"/>
                <w:color w:val="1F2668"/>
              </w:rPr>
              <w:t>TDC</w:t>
            </w:r>
          </w:p>
        </w:tc>
        <w:tc>
          <w:tcPr>
            <w:tcW w:w="80" w:type="dxa"/>
            <w:vAlign w:val="bottom"/>
          </w:tcPr>
          <w:p>
            <w:pPr>
              <w:spacing w:after="0"/>
              <w:rPr>
                <w:sz w:val="8"/>
                <w:szCs w:val="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28"/>
                <w:szCs w:val="28"/>
                <w:b w:val="1"/>
                <w:bCs w:val="1"/>
                <w:color w:val="1F2668"/>
                <w:vertAlign w:val="subscript"/>
              </w:rPr>
              <w:t>​​</w:t>
            </w:r>
            <w:r>
              <w:rPr>
                <w:rFonts w:ascii="Arial" w:cs="Arial" w:eastAsia="Arial" w:hAnsi="Arial"/>
                <w:sz w:val="14"/>
                <w:szCs w:val="14"/>
                <w:b w:val="1"/>
                <w:bCs w:val="1"/>
                <w:color w:val="1F2668"/>
              </w:rPr>
              <w:t>SCT</w:t>
            </w:r>
          </w:p>
        </w:tc>
        <w:tc>
          <w:tcPr>
            <w:tcW w:w="2140" w:type="dxa"/>
            <w:vAlign w:val="bottom"/>
            <w:gridSpan w:val="4"/>
            <w:vMerge w:val="restart"/>
          </w:tcPr>
          <w:p>
            <w:pPr>
              <w:ind w:left="80"/>
              <w:spacing w:after="0"/>
              <w:rPr>
                <w:sz w:val="20"/>
                <w:szCs w:val="20"/>
                <w:color w:val="auto"/>
              </w:rPr>
            </w:pPr>
            <w:r>
              <w:rPr>
                <w:rFonts w:ascii="Arial" w:cs="Arial" w:eastAsia="Arial" w:hAnsi="Arial"/>
                <w:sz w:val="28"/>
                <w:szCs w:val="28"/>
                <w:b w:val="1"/>
                <w:bCs w:val="1"/>
                <w:color w:val="1F2668"/>
                <w:vertAlign w:val="subscript"/>
              </w:rPr>
              <w:t>​​</w:t>
            </w:r>
            <w:r>
              <w:rPr>
                <w:rFonts w:ascii="Arial" w:cs="Arial" w:eastAsia="Arial" w:hAnsi="Arial"/>
                <w:sz w:val="14"/>
                <w:szCs w:val="14"/>
                <w:b w:val="1"/>
                <w:bCs w:val="1"/>
                <w:color w:val="1F2668"/>
              </w:rPr>
              <w:t>Element of Compensation</w:t>
            </w:r>
          </w:p>
        </w:tc>
        <w:tc>
          <w:tcPr>
            <w:tcW w:w="1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820" w:type="dxa"/>
            <w:vAlign w:val="bottom"/>
          </w:tcPr>
          <w:p>
            <w:pPr>
              <w:spacing w:after="0"/>
              <w:rPr>
                <w:sz w:val="19"/>
                <w:szCs w:val="19"/>
                <w:color w:val="auto"/>
              </w:rPr>
            </w:pPr>
          </w:p>
        </w:tc>
        <w:tc>
          <w:tcPr>
            <w:tcW w:w="2380" w:type="dxa"/>
            <w:vAlign w:val="bottom"/>
            <w:gridSpan w:val="2"/>
            <w:vMerge w:val="continue"/>
            <w:shd w:val="clear" w:color="auto" w:fill="1F2668"/>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shd w:val="clear" w:color="auto" w:fill="83AD40"/>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gridSpan w:val="2"/>
            <w:vMerge w:val="restart"/>
            <w:shd w:val="clear" w:color="auto" w:fill="E9F9D8"/>
          </w:tcPr>
          <w:p>
            <w:pPr>
              <w:spacing w:after="0"/>
              <w:rPr>
                <w:sz w:val="20"/>
                <w:szCs w:val="20"/>
                <w:color w:val="auto"/>
              </w:rPr>
            </w:pPr>
            <w:r>
              <w:rPr>
                <w:rFonts w:ascii="Arial" w:cs="Arial" w:eastAsia="Arial" w:hAnsi="Arial"/>
                <w:sz w:val="14"/>
                <w:szCs w:val="14"/>
                <w:b w:val="1"/>
                <w:bCs w:val="1"/>
                <w:color w:val="1F2668"/>
              </w:rPr>
              <w:t>​</w:t>
            </w: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140" w:type="dxa"/>
            <w:vAlign w:val="bottom"/>
            <w:gridSpan w:val="4"/>
            <w:vMerge w:val="continue"/>
          </w:tcPr>
          <w:p>
            <w:pPr>
              <w:spacing w:after="0"/>
              <w:rPr>
                <w:sz w:val="19"/>
                <w:szCs w:val="19"/>
                <w:color w:val="auto"/>
              </w:rPr>
            </w:pPr>
          </w:p>
        </w:tc>
        <w:tc>
          <w:tcPr>
            <w:tcW w:w="1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vMerge w:val="restart"/>
          </w:tcPr>
          <w:p>
            <w:pPr>
              <w:jc w:val="right"/>
              <w:ind w:right="724"/>
              <w:spacing w:after="0"/>
              <w:rPr>
                <w:sz w:val="20"/>
                <w:szCs w:val="20"/>
                <w:color w:val="auto"/>
              </w:rPr>
            </w:pPr>
            <w:r>
              <w:rPr>
                <w:rFonts w:ascii="Arial" w:cs="Arial" w:eastAsia="Arial" w:hAnsi="Arial"/>
                <w:sz w:val="14"/>
                <w:szCs w:val="14"/>
                <w:b w:val="1"/>
                <w:bCs w:val="1"/>
                <w:color w:val="1F2668"/>
              </w:rPr>
              <w:t>​</w:t>
            </w:r>
          </w:p>
        </w:tc>
        <w:tc>
          <w:tcPr>
            <w:tcW w:w="0" w:type="dxa"/>
            <w:vAlign w:val="bottom"/>
          </w:tcPr>
          <w:p>
            <w:pPr>
              <w:spacing w:after="0"/>
              <w:rPr>
                <w:sz w:val="1"/>
                <w:szCs w:val="1"/>
                <w:color w:val="auto"/>
              </w:rPr>
            </w:pPr>
          </w:p>
        </w:tc>
      </w:tr>
      <w:tr>
        <w:trPr>
          <w:trHeight w:val="49"/>
        </w:trPr>
        <w:tc>
          <w:tcPr>
            <w:tcW w:w="820" w:type="dxa"/>
            <w:vAlign w:val="bottom"/>
          </w:tcPr>
          <w:p>
            <w:pPr>
              <w:spacing w:after="0"/>
              <w:rPr>
                <w:sz w:val="4"/>
                <w:szCs w:val="4"/>
                <w:color w:val="auto"/>
              </w:rPr>
            </w:pPr>
          </w:p>
        </w:tc>
        <w:tc>
          <w:tcPr>
            <w:tcW w:w="200" w:type="dxa"/>
            <w:vAlign w:val="bottom"/>
            <w:tcBorders>
              <w:bottom w:val="single" w:sz="8" w:color="1F2668"/>
              <w:right w:val="single" w:sz="8" w:color="1F2668"/>
            </w:tcBorders>
            <w:shd w:val="clear" w:color="auto" w:fill="1F2668"/>
          </w:tcPr>
          <w:p>
            <w:pPr>
              <w:spacing w:after="0"/>
              <w:rPr>
                <w:sz w:val="4"/>
                <w:szCs w:val="4"/>
                <w:color w:val="auto"/>
              </w:rPr>
            </w:pPr>
          </w:p>
        </w:tc>
        <w:tc>
          <w:tcPr>
            <w:tcW w:w="2180" w:type="dxa"/>
            <w:vAlign w:val="bottom"/>
            <w:tcBorders>
              <w:bottom w:val="single" w:sz="8" w:color="1F2668"/>
            </w:tcBorders>
            <w:shd w:val="clear" w:color="auto" w:fill="1F2668"/>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Borders>
              <w:bottom w:val="single" w:sz="8" w:color="83AD40"/>
            </w:tcBorders>
            <w:shd w:val="clear" w:color="auto" w:fill="83AD40"/>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Borders>
              <w:bottom w:val="single" w:sz="8" w:color="1F2668"/>
            </w:tcBorders>
            <w:gridSpan w:val="2"/>
            <w:vMerge w:val="continue"/>
            <w:shd w:val="clear" w:color="auto" w:fill="E9F9D8"/>
          </w:tcPr>
          <w:p>
            <w:pPr>
              <w:spacing w:after="0"/>
              <w:rPr>
                <w:sz w:val="4"/>
                <w:szCs w:val="4"/>
                <w:color w:val="auto"/>
              </w:rPr>
            </w:pPr>
          </w:p>
        </w:tc>
        <w:tc>
          <w:tcPr>
            <w:tcW w:w="860" w:type="dxa"/>
            <w:vAlign w:val="bottom"/>
            <w:tcBorders>
              <w:bottom w:val="single" w:sz="8" w:color="1F2668"/>
            </w:tcBorders>
            <w:vMerge w:val="continue"/>
          </w:tcPr>
          <w:p>
            <w:pPr>
              <w:spacing w:after="0"/>
              <w:rPr>
                <w:sz w:val="4"/>
                <w:szCs w:val="4"/>
                <w:color w:val="auto"/>
              </w:rPr>
            </w:pPr>
          </w:p>
        </w:tc>
        <w:tc>
          <w:tcPr>
            <w:tcW w:w="80" w:type="dxa"/>
            <w:vAlign w:val="bottom"/>
            <w:tcBorders>
              <w:bottom w:val="single" w:sz="8" w:color="1F2668"/>
            </w:tcBorders>
          </w:tcPr>
          <w:p>
            <w:pPr>
              <w:spacing w:after="0"/>
              <w:rPr>
                <w:sz w:val="4"/>
                <w:szCs w:val="4"/>
                <w:color w:val="auto"/>
              </w:rPr>
            </w:pPr>
          </w:p>
        </w:tc>
        <w:tc>
          <w:tcPr>
            <w:tcW w:w="980" w:type="dxa"/>
            <w:vAlign w:val="bottom"/>
            <w:tcBorders>
              <w:bottom w:val="single" w:sz="8" w:color="1F2668"/>
            </w:tcBorders>
            <w:gridSpan w:val="2"/>
            <w:vMerge w:val="continue"/>
          </w:tcPr>
          <w:p>
            <w:pPr>
              <w:spacing w:after="0"/>
              <w:rPr>
                <w:sz w:val="4"/>
                <w:szCs w:val="4"/>
                <w:color w:val="auto"/>
              </w:rPr>
            </w:pPr>
          </w:p>
        </w:tc>
        <w:tc>
          <w:tcPr>
            <w:tcW w:w="2140" w:type="dxa"/>
            <w:vAlign w:val="bottom"/>
            <w:tcBorders>
              <w:bottom w:val="single" w:sz="8" w:color="1F2668"/>
            </w:tcBorders>
            <w:gridSpan w:val="4"/>
            <w:vMerge w:val="continue"/>
          </w:tcPr>
          <w:p>
            <w:pPr>
              <w:spacing w:after="0"/>
              <w:rPr>
                <w:sz w:val="4"/>
                <w:szCs w:val="4"/>
                <w:color w:val="auto"/>
              </w:rPr>
            </w:pPr>
          </w:p>
        </w:tc>
        <w:tc>
          <w:tcPr>
            <w:tcW w:w="1280" w:type="dxa"/>
            <w:vAlign w:val="bottom"/>
            <w:tcBorders>
              <w:bottom w:val="single" w:sz="8" w:color="1F2668"/>
            </w:tcBorders>
          </w:tcPr>
          <w:p>
            <w:pPr>
              <w:spacing w:after="0"/>
              <w:rPr>
                <w:sz w:val="4"/>
                <w:szCs w:val="4"/>
                <w:color w:val="auto"/>
              </w:rPr>
            </w:pPr>
          </w:p>
        </w:tc>
        <w:tc>
          <w:tcPr>
            <w:tcW w:w="560" w:type="dxa"/>
            <w:vAlign w:val="bottom"/>
            <w:tcBorders>
              <w:bottom w:val="single" w:sz="8" w:color="1F2668"/>
            </w:tcBorders>
          </w:tcPr>
          <w:p>
            <w:pPr>
              <w:spacing w:after="0"/>
              <w:rPr>
                <w:sz w:val="4"/>
                <w:szCs w:val="4"/>
                <w:color w:val="auto"/>
              </w:rPr>
            </w:pPr>
          </w:p>
        </w:tc>
        <w:tc>
          <w:tcPr>
            <w:tcW w:w="200" w:type="dxa"/>
            <w:vAlign w:val="bottom"/>
            <w:tcBorders>
              <w:bottom w:val="single" w:sz="8" w:color="1F2668"/>
            </w:tcBorders>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200" w:type="dxa"/>
            <w:vAlign w:val="bottom"/>
            <w:tcBorders>
              <w:right w:val="single" w:sz="8" w:color="1F2668"/>
            </w:tcBorders>
            <w:shd w:val="clear" w:color="auto" w:fill="1F2668"/>
          </w:tcPr>
          <w:p>
            <w:pPr>
              <w:spacing w:after="0"/>
              <w:rPr>
                <w:sz w:val="17"/>
                <w:szCs w:val="17"/>
                <w:color w:val="auto"/>
              </w:rPr>
            </w:pPr>
          </w:p>
        </w:tc>
        <w:tc>
          <w:tcPr>
            <w:tcW w:w="2180" w:type="dxa"/>
            <w:vAlign w:val="bottom"/>
            <w:shd w:val="clear" w:color="auto" w:fill="1F2668"/>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shd w:val="clear" w:color="auto" w:fill="83AD40"/>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gridSpan w:val="2"/>
            <w:vMerge w:val="restart"/>
            <w:shd w:val="clear" w:color="auto" w:fill="E9F9D8"/>
          </w:tcPr>
          <w:p>
            <w:pPr>
              <w:spacing w:after="0"/>
              <w:rPr>
                <w:sz w:val="20"/>
                <w:szCs w:val="20"/>
                <w:color w:val="auto"/>
              </w:rPr>
            </w:pPr>
            <w:r>
              <w:rPr>
                <w:rFonts w:ascii="Arial" w:cs="Arial" w:eastAsia="Arial" w:hAnsi="Arial"/>
                <w:sz w:val="16"/>
                <w:szCs w:val="16"/>
                <w:b w:val="1"/>
                <w:bCs w:val="1"/>
                <w:color w:val="auto"/>
              </w:rPr>
              <w:t>​</w:t>
            </w:r>
          </w:p>
        </w:tc>
        <w:tc>
          <w:tcPr>
            <w:tcW w:w="860" w:type="dxa"/>
            <w:vAlign w:val="bottom"/>
            <w:vMerge w:val="restart"/>
            <w:shd w:val="clear" w:color="auto" w:fill="E9F9D8"/>
          </w:tcPr>
          <w:p>
            <w:pPr>
              <w:spacing w:after="0" w:line="358" w:lineRule="exact"/>
              <w:rPr>
                <w:sz w:val="20"/>
                <w:szCs w:val="20"/>
                <w:color w:val="auto"/>
              </w:rPr>
            </w:pPr>
            <w:r>
              <w:rPr>
                <w:rFonts w:ascii="Arial" w:cs="Arial" w:eastAsia="Arial" w:hAnsi="Arial"/>
                <w:sz w:val="32"/>
                <w:szCs w:val="32"/>
                <w:color w:val="1F2668"/>
              </w:rPr>
              <w:t>11%</w:t>
            </w:r>
          </w:p>
        </w:tc>
        <w:tc>
          <w:tcPr>
            <w:tcW w:w="80" w:type="dxa"/>
            <w:vAlign w:val="bottom"/>
            <w:shd w:val="clear" w:color="auto" w:fill="E9F9D8"/>
          </w:tcPr>
          <w:p>
            <w:pPr>
              <w:spacing w:after="0"/>
              <w:rPr>
                <w:sz w:val="17"/>
                <w:szCs w:val="17"/>
                <w:color w:val="auto"/>
              </w:rPr>
            </w:pPr>
          </w:p>
        </w:tc>
        <w:tc>
          <w:tcPr>
            <w:tcW w:w="980" w:type="dxa"/>
            <w:vAlign w:val="bottom"/>
            <w:tcBorders>
              <w:left w:val="single" w:sz="8" w:color="E9F9D8"/>
            </w:tcBorders>
            <w:gridSpan w:val="2"/>
            <w:vMerge w:val="restart"/>
          </w:tcPr>
          <w:p>
            <w:pPr>
              <w:ind w:left="20"/>
              <w:spacing w:after="0" w:line="358"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1F2668"/>
              </w:rPr>
              <w:t>15%</w:t>
            </w:r>
          </w:p>
        </w:tc>
        <w:tc>
          <w:tcPr>
            <w:tcW w:w="18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w:t>
            </w:r>
          </w:p>
        </w:tc>
        <w:tc>
          <w:tcPr>
            <w:tcW w:w="1960" w:type="dxa"/>
            <w:vAlign w:val="bottom"/>
            <w:gridSpan w:val="3"/>
          </w:tcPr>
          <w:p>
            <w:pPr>
              <w:spacing w:after="0"/>
              <w:rPr>
                <w:sz w:val="20"/>
                <w:szCs w:val="20"/>
                <w:color w:val="auto"/>
              </w:rPr>
            </w:pPr>
            <w:r>
              <w:rPr>
                <w:rFonts w:ascii="Arial" w:cs="Arial" w:eastAsia="Arial" w:hAnsi="Arial"/>
                <w:sz w:val="16"/>
                <w:szCs w:val="16"/>
                <w:b w:val="1"/>
                <w:bCs w:val="1"/>
                <w:color w:val="auto"/>
              </w:rPr>
              <w:t>Annual Base Salary</w:t>
            </w: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vMerge w:val="restart"/>
          </w:tcPr>
          <w:p>
            <w:pPr>
              <w:jc w:val="right"/>
              <w:ind w:right="724"/>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200" w:type="dxa"/>
            <w:vAlign w:val="bottom"/>
            <w:tcBorders>
              <w:right w:val="single" w:sz="8" w:color="1F2668"/>
            </w:tcBorders>
            <w:shd w:val="clear" w:color="auto" w:fill="1F2668"/>
          </w:tcPr>
          <w:p>
            <w:pPr>
              <w:spacing w:after="0"/>
              <w:rPr>
                <w:sz w:val="13"/>
                <w:szCs w:val="13"/>
                <w:color w:val="auto"/>
              </w:rPr>
            </w:pPr>
          </w:p>
        </w:tc>
        <w:tc>
          <w:tcPr>
            <w:tcW w:w="2180" w:type="dxa"/>
            <w:vAlign w:val="bottom"/>
            <w:shd w:val="clear" w:color="auto" w:fill="1F2668"/>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shd w:val="clear" w:color="auto" w:fill="83AD40"/>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gridSpan w:val="2"/>
            <w:vMerge w:val="continue"/>
            <w:shd w:val="clear" w:color="auto" w:fill="E9F9D8"/>
          </w:tcPr>
          <w:p>
            <w:pPr>
              <w:spacing w:after="0"/>
              <w:rPr>
                <w:sz w:val="13"/>
                <w:szCs w:val="13"/>
                <w:color w:val="auto"/>
              </w:rPr>
            </w:pPr>
          </w:p>
        </w:tc>
        <w:tc>
          <w:tcPr>
            <w:tcW w:w="860" w:type="dxa"/>
            <w:vAlign w:val="bottom"/>
            <w:vMerge w:val="continue"/>
            <w:shd w:val="clear" w:color="auto" w:fill="E9F9D8"/>
          </w:tcPr>
          <w:p>
            <w:pPr>
              <w:spacing w:after="0"/>
              <w:rPr>
                <w:sz w:val="13"/>
                <w:szCs w:val="13"/>
                <w:color w:val="auto"/>
              </w:rPr>
            </w:pPr>
          </w:p>
        </w:tc>
        <w:tc>
          <w:tcPr>
            <w:tcW w:w="80" w:type="dxa"/>
            <w:vAlign w:val="bottom"/>
            <w:shd w:val="clear" w:color="auto" w:fill="E9F9D8"/>
          </w:tcPr>
          <w:p>
            <w:pPr>
              <w:spacing w:after="0"/>
              <w:rPr>
                <w:sz w:val="13"/>
                <w:szCs w:val="13"/>
                <w:color w:val="auto"/>
              </w:rPr>
            </w:pPr>
          </w:p>
        </w:tc>
        <w:tc>
          <w:tcPr>
            <w:tcW w:w="980" w:type="dxa"/>
            <w:vAlign w:val="bottom"/>
            <w:tcBorders>
              <w:left w:val="single" w:sz="8" w:color="E9F9D8"/>
            </w:tcBorders>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3800" w:type="dxa"/>
            <w:vAlign w:val="bottom"/>
            <w:gridSpan w:val="5"/>
          </w:tcPr>
          <w:p>
            <w:pPr>
              <w:spacing w:after="0" w:line="153" w:lineRule="exact"/>
              <w:rPr>
                <w:sz w:val="20"/>
                <w:szCs w:val="20"/>
                <w:color w:val="auto"/>
              </w:rPr>
            </w:pPr>
            <w:r>
              <w:rPr>
                <w:rFonts w:ascii="Arial" w:cs="Arial" w:eastAsia="Arial" w:hAnsi="Arial"/>
                <w:sz w:val="15"/>
                <w:szCs w:val="15"/>
                <w:color w:val="auto"/>
              </w:rPr>
              <w:t>Mr. DiLiberto’s base salary was equal to the minimum</w:t>
            </w:r>
          </w:p>
        </w:tc>
        <w:tc>
          <w:tcPr>
            <w:tcW w:w="20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820" w:type="dxa"/>
            <w:vAlign w:val="bottom"/>
          </w:tcPr>
          <w:p>
            <w:pPr>
              <w:spacing w:after="0"/>
              <w:rPr>
                <w:sz w:val="22"/>
                <w:szCs w:val="22"/>
                <w:color w:val="auto"/>
              </w:rPr>
            </w:pPr>
          </w:p>
        </w:tc>
        <w:tc>
          <w:tcPr>
            <w:tcW w:w="200" w:type="dxa"/>
            <w:vAlign w:val="bottom"/>
            <w:tcBorders>
              <w:bottom w:val="single" w:sz="8" w:color="1F2668"/>
              <w:right w:val="single" w:sz="8" w:color="1F2668"/>
            </w:tcBorders>
            <w:shd w:val="clear" w:color="auto" w:fill="1F2668"/>
          </w:tcPr>
          <w:p>
            <w:pPr>
              <w:spacing w:after="0"/>
              <w:rPr>
                <w:sz w:val="22"/>
                <w:szCs w:val="22"/>
                <w:color w:val="auto"/>
              </w:rPr>
            </w:pPr>
          </w:p>
        </w:tc>
        <w:tc>
          <w:tcPr>
            <w:tcW w:w="2180" w:type="dxa"/>
            <w:vAlign w:val="bottom"/>
            <w:tcBorders>
              <w:bottom w:val="single" w:sz="8" w:color="1F2668"/>
            </w:tcBorders>
            <w:shd w:val="clear" w:color="auto" w:fill="1F2668"/>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Borders>
              <w:bottom w:val="single" w:sz="8" w:color="83AD40"/>
            </w:tcBorders>
            <w:shd w:val="clear" w:color="auto" w:fill="83AD40"/>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Borders>
              <w:bottom w:val="single" w:sz="8" w:color="E9F9D8"/>
            </w:tcBorders>
            <w:shd w:val="clear" w:color="auto" w:fill="E9F9D8"/>
          </w:tcPr>
          <w:p>
            <w:pPr>
              <w:spacing w:after="0"/>
              <w:rPr>
                <w:sz w:val="22"/>
                <w:szCs w:val="22"/>
                <w:color w:val="auto"/>
              </w:rPr>
            </w:pPr>
          </w:p>
        </w:tc>
        <w:tc>
          <w:tcPr>
            <w:tcW w:w="40" w:type="dxa"/>
            <w:vAlign w:val="bottom"/>
            <w:tcBorders>
              <w:bottom w:val="single" w:sz="8" w:color="E9F9D8"/>
            </w:tcBorders>
            <w:shd w:val="clear" w:color="auto" w:fill="E9F9D8"/>
          </w:tcPr>
          <w:p>
            <w:pPr>
              <w:spacing w:after="0"/>
              <w:rPr>
                <w:sz w:val="22"/>
                <w:szCs w:val="22"/>
                <w:color w:val="auto"/>
              </w:rPr>
            </w:pPr>
          </w:p>
        </w:tc>
        <w:tc>
          <w:tcPr>
            <w:tcW w:w="860" w:type="dxa"/>
            <w:vAlign w:val="bottom"/>
            <w:tcBorders>
              <w:bottom w:val="single" w:sz="8" w:color="E9F9D8"/>
            </w:tcBorders>
            <w:shd w:val="clear" w:color="auto" w:fill="E9F9D8"/>
          </w:tcPr>
          <w:p>
            <w:pPr>
              <w:spacing w:after="0"/>
              <w:rPr>
                <w:sz w:val="20"/>
                <w:szCs w:val="20"/>
                <w:color w:val="auto"/>
              </w:rPr>
            </w:pPr>
            <w:r>
              <w:rPr>
                <w:rFonts w:ascii="Arial" w:cs="Arial" w:eastAsia="Arial" w:hAnsi="Arial"/>
                <w:sz w:val="16"/>
                <w:szCs w:val="16"/>
                <w:b w:val="1"/>
                <w:bCs w:val="1"/>
                <w:color w:val="auto"/>
              </w:rPr>
              <w:t>$600,000</w:t>
            </w:r>
          </w:p>
        </w:tc>
        <w:tc>
          <w:tcPr>
            <w:tcW w:w="80" w:type="dxa"/>
            <w:vAlign w:val="bottom"/>
            <w:tcBorders>
              <w:bottom w:val="single" w:sz="8" w:color="E9F9D8"/>
            </w:tcBorders>
            <w:shd w:val="clear" w:color="auto" w:fill="E9F9D8"/>
          </w:tcPr>
          <w:p>
            <w:pPr>
              <w:spacing w:after="0"/>
              <w:rPr>
                <w:sz w:val="22"/>
                <w:szCs w:val="22"/>
                <w:color w:val="auto"/>
              </w:rPr>
            </w:pPr>
          </w:p>
        </w:tc>
        <w:tc>
          <w:tcPr>
            <w:tcW w:w="140" w:type="dxa"/>
            <w:vAlign w:val="bottom"/>
            <w:tcBorders>
              <w:left w:val="single" w:sz="8" w:color="E9F9D8"/>
            </w:tcBorders>
          </w:tcPr>
          <w:p>
            <w:pPr>
              <w:spacing w:after="0"/>
              <w:rPr>
                <w:sz w:val="22"/>
                <w:szCs w:val="22"/>
                <w:color w:val="auto"/>
              </w:rPr>
            </w:pPr>
          </w:p>
        </w:tc>
        <w:tc>
          <w:tcPr>
            <w:tcW w:w="840" w:type="dxa"/>
            <w:vAlign w:val="bottom"/>
          </w:tcPr>
          <w:p>
            <w:pPr>
              <w:spacing w:after="0"/>
              <w:rPr>
                <w:sz w:val="20"/>
                <w:szCs w:val="20"/>
                <w:color w:val="auto"/>
              </w:rPr>
            </w:pPr>
            <w:r>
              <w:rPr>
                <w:rFonts w:ascii="Arial" w:cs="Arial" w:eastAsia="Arial" w:hAnsi="Arial"/>
                <w:sz w:val="16"/>
                <w:szCs w:val="16"/>
                <w:b w:val="1"/>
                <w:bCs w:val="1"/>
                <w:color w:val="auto"/>
              </w:rPr>
              <w:t>$600,000</w:t>
            </w:r>
          </w:p>
        </w:tc>
        <w:tc>
          <w:tcPr>
            <w:tcW w:w="180" w:type="dxa"/>
            <w:vAlign w:val="bottom"/>
          </w:tcPr>
          <w:p>
            <w:pPr>
              <w:spacing w:after="0"/>
              <w:rPr>
                <w:sz w:val="22"/>
                <w:szCs w:val="22"/>
                <w:color w:val="auto"/>
              </w:rPr>
            </w:pPr>
          </w:p>
        </w:tc>
        <w:tc>
          <w:tcPr>
            <w:tcW w:w="3240" w:type="dxa"/>
            <w:vAlign w:val="bottom"/>
            <w:gridSpan w:val="4"/>
          </w:tcPr>
          <w:p>
            <w:pPr>
              <w:spacing w:after="0"/>
              <w:rPr>
                <w:sz w:val="20"/>
                <w:szCs w:val="20"/>
                <w:color w:val="auto"/>
              </w:rPr>
            </w:pPr>
            <w:r>
              <w:rPr>
                <w:rFonts w:ascii="Arial" w:cs="Arial" w:eastAsia="Arial" w:hAnsi="Arial"/>
                <w:sz w:val="15"/>
                <w:szCs w:val="15"/>
                <w:color w:val="auto"/>
              </w:rPr>
              <w:t>amount set forth in his employment agreement.</w:t>
            </w: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200" w:type="dxa"/>
            <w:vAlign w:val="bottom"/>
            <w:tcBorders>
              <w:top w:val="single" w:sz="8" w:color="1F2668"/>
              <w:right w:val="single" w:sz="8" w:color="1F2668"/>
            </w:tcBorders>
            <w:shd w:val="clear" w:color="auto" w:fill="1F2668"/>
          </w:tcPr>
          <w:p>
            <w:pPr>
              <w:spacing w:after="0"/>
              <w:rPr>
                <w:sz w:val="17"/>
                <w:szCs w:val="17"/>
                <w:color w:val="auto"/>
              </w:rPr>
            </w:pPr>
          </w:p>
        </w:tc>
        <w:tc>
          <w:tcPr>
            <w:tcW w:w="2180" w:type="dxa"/>
            <w:vAlign w:val="bottom"/>
            <w:tcBorders>
              <w:top w:val="single" w:sz="8" w:color="1F2668"/>
            </w:tcBorders>
            <w:shd w:val="clear" w:color="auto" w:fill="1F2668"/>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top w:val="single" w:sz="8" w:color="83AD40"/>
            </w:tcBorders>
            <w:shd w:val="clear" w:color="auto" w:fill="83AD40"/>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top w:val="single" w:sz="8" w:color="4B5088"/>
            </w:tcBorders>
            <w:gridSpan w:val="2"/>
            <w:vMerge w:val="restart"/>
            <w:shd w:val="clear" w:color="auto" w:fill="E9F9D8"/>
          </w:tcPr>
          <w:p>
            <w:pPr>
              <w:spacing w:after="0"/>
              <w:rPr>
                <w:sz w:val="20"/>
                <w:szCs w:val="20"/>
                <w:color w:val="auto"/>
              </w:rPr>
            </w:pPr>
            <w:r>
              <w:rPr>
                <w:rFonts w:ascii="Arial" w:cs="Arial" w:eastAsia="Arial" w:hAnsi="Arial"/>
                <w:sz w:val="15"/>
                <w:szCs w:val="15"/>
                <w:color w:val="auto"/>
              </w:rPr>
              <w:t>​</w:t>
            </w:r>
          </w:p>
        </w:tc>
        <w:tc>
          <w:tcPr>
            <w:tcW w:w="860" w:type="dxa"/>
            <w:vAlign w:val="bottom"/>
            <w:tcBorders>
              <w:top w:val="single" w:sz="8" w:color="4B5088"/>
            </w:tcBorders>
            <w:vMerge w:val="restart"/>
            <w:shd w:val="clear" w:color="auto" w:fill="E9F9D8"/>
          </w:tcPr>
          <w:p>
            <w:pPr>
              <w:spacing w:after="0" w:line="358" w:lineRule="exact"/>
              <w:rPr>
                <w:sz w:val="20"/>
                <w:szCs w:val="20"/>
                <w:color w:val="auto"/>
              </w:rPr>
            </w:pPr>
            <w:r>
              <w:rPr>
                <w:rFonts w:ascii="Arial" w:cs="Arial" w:eastAsia="Arial" w:hAnsi="Arial"/>
                <w:sz w:val="32"/>
                <w:szCs w:val="32"/>
                <w:color w:val="1F2668"/>
              </w:rPr>
              <w:t>41%</w:t>
            </w:r>
          </w:p>
        </w:tc>
        <w:tc>
          <w:tcPr>
            <w:tcW w:w="80" w:type="dxa"/>
            <w:vAlign w:val="bottom"/>
            <w:tcBorders>
              <w:top w:val="single" w:sz="8" w:color="4B5088"/>
            </w:tcBorders>
            <w:shd w:val="clear" w:color="auto" w:fill="E9F9D8"/>
          </w:tcPr>
          <w:p>
            <w:pPr>
              <w:spacing w:after="0"/>
              <w:rPr>
                <w:sz w:val="17"/>
                <w:szCs w:val="17"/>
                <w:color w:val="auto"/>
              </w:rPr>
            </w:pPr>
          </w:p>
        </w:tc>
        <w:tc>
          <w:tcPr>
            <w:tcW w:w="980" w:type="dxa"/>
            <w:vAlign w:val="bottom"/>
            <w:tcBorders>
              <w:top w:val="single" w:sz="8" w:color="4B5088"/>
              <w:left w:val="single" w:sz="8" w:color="E9F9D8"/>
            </w:tcBorders>
            <w:gridSpan w:val="2"/>
            <w:vMerge w:val="restart"/>
          </w:tcPr>
          <w:p>
            <w:pPr>
              <w:ind w:left="20"/>
              <w:spacing w:after="0" w:line="358" w:lineRule="exact"/>
              <w:rPr>
                <w:sz w:val="20"/>
                <w:szCs w:val="20"/>
                <w:color w:val="auto"/>
              </w:rPr>
            </w:pPr>
            <w:r>
              <w:rPr>
                <w:rFonts w:ascii="Arial" w:cs="Arial" w:eastAsia="Arial" w:hAnsi="Arial"/>
                <w:sz w:val="15"/>
                <w:szCs w:val="15"/>
                <w:color w:val="auto"/>
              </w:rPr>
              <w:t>​​</w:t>
            </w:r>
            <w:r>
              <w:rPr>
                <w:rFonts w:ascii="Arial" w:cs="Arial" w:eastAsia="Arial" w:hAnsi="Arial"/>
                <w:sz w:val="32"/>
                <w:szCs w:val="32"/>
                <w:color w:val="1F2668"/>
              </w:rPr>
              <w:t>39%</w:t>
            </w:r>
          </w:p>
        </w:tc>
        <w:tc>
          <w:tcPr>
            <w:tcW w:w="180" w:type="dxa"/>
            <w:vAlign w:val="bottom"/>
            <w:tcBorders>
              <w:top w:val="single" w:sz="8" w:color="4B5088"/>
            </w:tcBorders>
            <w:vMerge w:val="restart"/>
          </w:tcPr>
          <w:p>
            <w:pPr>
              <w:ind w:left="80"/>
              <w:spacing w:after="0"/>
              <w:rPr>
                <w:sz w:val="20"/>
                <w:szCs w:val="20"/>
                <w:color w:val="auto"/>
              </w:rPr>
            </w:pPr>
            <w:r>
              <w:rPr>
                <w:rFonts w:ascii="Arial" w:cs="Arial" w:eastAsia="Arial" w:hAnsi="Arial"/>
                <w:sz w:val="15"/>
                <w:szCs w:val="15"/>
                <w:color w:val="auto"/>
              </w:rPr>
              <w:t>​​</w:t>
            </w:r>
          </w:p>
        </w:tc>
        <w:tc>
          <w:tcPr>
            <w:tcW w:w="1200" w:type="dxa"/>
            <w:vAlign w:val="bottom"/>
            <w:tcBorders>
              <w:top w:val="single" w:sz="8" w:color="4B5088"/>
            </w:tcBorders>
            <w:gridSpan w:val="2"/>
          </w:tcPr>
          <w:p>
            <w:pPr>
              <w:spacing w:after="0"/>
              <w:rPr>
                <w:sz w:val="20"/>
                <w:szCs w:val="20"/>
                <w:color w:val="auto"/>
              </w:rPr>
            </w:pPr>
            <w:r>
              <w:rPr>
                <w:rFonts w:ascii="Arial" w:cs="Arial" w:eastAsia="Arial" w:hAnsi="Arial"/>
                <w:sz w:val="16"/>
                <w:szCs w:val="16"/>
                <w:b w:val="1"/>
                <w:bCs w:val="1"/>
                <w:color w:val="auto"/>
              </w:rPr>
              <w:t>Annual Bonus</w:t>
            </w:r>
          </w:p>
        </w:tc>
        <w:tc>
          <w:tcPr>
            <w:tcW w:w="760" w:type="dxa"/>
            <w:vAlign w:val="bottom"/>
            <w:tcBorders>
              <w:top w:val="single" w:sz="8" w:color="4B5088"/>
            </w:tcBorders>
          </w:tcPr>
          <w:p>
            <w:pPr>
              <w:spacing w:after="0"/>
              <w:rPr>
                <w:sz w:val="17"/>
                <w:szCs w:val="17"/>
                <w:color w:val="auto"/>
              </w:rPr>
            </w:pPr>
          </w:p>
        </w:tc>
        <w:tc>
          <w:tcPr>
            <w:tcW w:w="1280" w:type="dxa"/>
            <w:vAlign w:val="bottom"/>
            <w:tcBorders>
              <w:top w:val="single" w:sz="8" w:color="4B5088"/>
            </w:tcBorders>
          </w:tcPr>
          <w:p>
            <w:pPr>
              <w:spacing w:after="0"/>
              <w:rPr>
                <w:sz w:val="17"/>
                <w:szCs w:val="17"/>
                <w:color w:val="auto"/>
              </w:rPr>
            </w:pPr>
          </w:p>
        </w:tc>
        <w:tc>
          <w:tcPr>
            <w:tcW w:w="560" w:type="dxa"/>
            <w:vAlign w:val="bottom"/>
            <w:tcBorders>
              <w:top w:val="single" w:sz="8" w:color="4B5088"/>
            </w:tcBorders>
          </w:tcPr>
          <w:p>
            <w:pPr>
              <w:spacing w:after="0"/>
              <w:rPr>
                <w:sz w:val="17"/>
                <w:szCs w:val="17"/>
                <w:color w:val="auto"/>
              </w:rPr>
            </w:pPr>
          </w:p>
        </w:tc>
        <w:tc>
          <w:tcPr>
            <w:tcW w:w="200" w:type="dxa"/>
            <w:vAlign w:val="bottom"/>
            <w:tcBorders>
              <w:top w:val="single" w:sz="8" w:color="4B5088"/>
            </w:tcBorders>
          </w:tcPr>
          <w:p>
            <w:pPr>
              <w:spacing w:after="0"/>
              <w:rPr>
                <w:sz w:val="17"/>
                <w:szCs w:val="17"/>
                <w:color w:val="auto"/>
              </w:rPr>
            </w:pPr>
          </w:p>
        </w:tc>
        <w:tc>
          <w:tcPr>
            <w:tcW w:w="880" w:type="dxa"/>
            <w:vAlign w:val="bottom"/>
            <w:vMerge w:val="restart"/>
          </w:tcPr>
          <w:p>
            <w:pPr>
              <w:jc w:val="right"/>
              <w:ind w:right="7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200" w:type="dxa"/>
            <w:vAlign w:val="bottom"/>
            <w:tcBorders>
              <w:right w:val="single" w:sz="8" w:color="1F2668"/>
            </w:tcBorders>
            <w:shd w:val="clear" w:color="auto" w:fill="1F2668"/>
          </w:tcPr>
          <w:p>
            <w:pPr>
              <w:spacing w:after="0"/>
              <w:rPr>
                <w:sz w:val="13"/>
                <w:szCs w:val="13"/>
                <w:color w:val="auto"/>
              </w:rPr>
            </w:pPr>
          </w:p>
        </w:tc>
        <w:tc>
          <w:tcPr>
            <w:tcW w:w="2180" w:type="dxa"/>
            <w:vAlign w:val="bottom"/>
            <w:shd w:val="clear" w:color="auto" w:fill="1F2668"/>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shd w:val="clear" w:color="auto" w:fill="83AD40"/>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gridSpan w:val="2"/>
            <w:vMerge w:val="continue"/>
            <w:shd w:val="clear" w:color="auto" w:fill="E9F9D8"/>
          </w:tcPr>
          <w:p>
            <w:pPr>
              <w:spacing w:after="0"/>
              <w:rPr>
                <w:sz w:val="13"/>
                <w:szCs w:val="13"/>
                <w:color w:val="auto"/>
              </w:rPr>
            </w:pPr>
          </w:p>
        </w:tc>
        <w:tc>
          <w:tcPr>
            <w:tcW w:w="860" w:type="dxa"/>
            <w:vAlign w:val="bottom"/>
            <w:vMerge w:val="continue"/>
            <w:shd w:val="clear" w:color="auto" w:fill="E9F9D8"/>
          </w:tcPr>
          <w:p>
            <w:pPr>
              <w:spacing w:after="0"/>
              <w:rPr>
                <w:sz w:val="13"/>
                <w:szCs w:val="13"/>
                <w:color w:val="auto"/>
              </w:rPr>
            </w:pPr>
          </w:p>
        </w:tc>
        <w:tc>
          <w:tcPr>
            <w:tcW w:w="80" w:type="dxa"/>
            <w:vAlign w:val="bottom"/>
            <w:shd w:val="clear" w:color="auto" w:fill="E9F9D8"/>
          </w:tcPr>
          <w:p>
            <w:pPr>
              <w:spacing w:after="0"/>
              <w:rPr>
                <w:sz w:val="13"/>
                <w:szCs w:val="13"/>
                <w:color w:val="auto"/>
              </w:rPr>
            </w:pPr>
          </w:p>
        </w:tc>
        <w:tc>
          <w:tcPr>
            <w:tcW w:w="980" w:type="dxa"/>
            <w:vAlign w:val="bottom"/>
            <w:tcBorders>
              <w:left w:val="single" w:sz="8" w:color="E9F9D8"/>
            </w:tcBorders>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3800" w:type="dxa"/>
            <w:vAlign w:val="bottom"/>
            <w:gridSpan w:val="5"/>
          </w:tcPr>
          <w:p>
            <w:pPr>
              <w:spacing w:after="0" w:line="153" w:lineRule="exact"/>
              <w:rPr>
                <w:sz w:val="20"/>
                <w:szCs w:val="20"/>
                <w:color w:val="auto"/>
              </w:rPr>
            </w:pPr>
            <w:r>
              <w:rPr>
                <w:rFonts w:ascii="Arial" w:cs="Arial" w:eastAsia="Arial" w:hAnsi="Arial"/>
                <w:sz w:val="15"/>
                <w:szCs w:val="15"/>
                <w:color w:val="auto"/>
              </w:rPr>
              <w:t>Determined 60% formulaically, with the remaining 40%</w:t>
            </w:r>
          </w:p>
        </w:tc>
        <w:tc>
          <w:tcPr>
            <w:tcW w:w="20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200" w:type="dxa"/>
            <w:vAlign w:val="bottom"/>
            <w:tcBorders>
              <w:right w:val="single" w:sz="8" w:color="1F2668"/>
            </w:tcBorders>
            <w:shd w:val="clear" w:color="auto" w:fill="1F2668"/>
          </w:tcPr>
          <w:p>
            <w:pPr>
              <w:spacing w:after="0"/>
              <w:rPr>
                <w:sz w:val="15"/>
                <w:szCs w:val="15"/>
                <w:color w:val="auto"/>
              </w:rPr>
            </w:pPr>
          </w:p>
        </w:tc>
        <w:tc>
          <w:tcPr>
            <w:tcW w:w="2180" w:type="dxa"/>
            <w:vAlign w:val="bottom"/>
            <w:shd w:val="clear" w:color="auto" w:fill="1F2668"/>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shd w:val="clear" w:color="auto" w:fill="83AD40"/>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shd w:val="clear" w:color="auto" w:fill="E9F9D8"/>
          </w:tcPr>
          <w:p>
            <w:pPr>
              <w:spacing w:after="0"/>
              <w:rPr>
                <w:sz w:val="15"/>
                <w:szCs w:val="15"/>
                <w:color w:val="auto"/>
              </w:rPr>
            </w:pPr>
          </w:p>
        </w:tc>
        <w:tc>
          <w:tcPr>
            <w:tcW w:w="40" w:type="dxa"/>
            <w:vAlign w:val="bottom"/>
            <w:shd w:val="clear" w:color="auto" w:fill="E9F9D8"/>
          </w:tcPr>
          <w:p>
            <w:pPr>
              <w:spacing w:after="0"/>
              <w:rPr>
                <w:sz w:val="15"/>
                <w:szCs w:val="15"/>
                <w:color w:val="auto"/>
              </w:rPr>
            </w:pPr>
          </w:p>
        </w:tc>
        <w:tc>
          <w:tcPr>
            <w:tcW w:w="860" w:type="dxa"/>
            <w:vAlign w:val="bottom"/>
            <w:shd w:val="clear" w:color="auto" w:fill="E9F9D8"/>
          </w:tcPr>
          <w:p>
            <w:pPr>
              <w:spacing w:after="0"/>
              <w:rPr>
                <w:sz w:val="20"/>
                <w:szCs w:val="20"/>
                <w:color w:val="auto"/>
              </w:rPr>
            </w:pPr>
            <w:r>
              <w:rPr>
                <w:rFonts w:ascii="Arial" w:cs="Arial" w:eastAsia="Arial" w:hAnsi="Arial"/>
                <w:sz w:val="16"/>
                <w:szCs w:val="16"/>
                <w:b w:val="1"/>
                <w:bCs w:val="1"/>
                <w:color w:val="auto"/>
              </w:rPr>
              <w:t>$2,226,100</w:t>
            </w:r>
          </w:p>
        </w:tc>
        <w:tc>
          <w:tcPr>
            <w:tcW w:w="80" w:type="dxa"/>
            <w:vAlign w:val="bottom"/>
            <w:shd w:val="clear" w:color="auto" w:fill="E9F9D8"/>
          </w:tcPr>
          <w:p>
            <w:pPr>
              <w:spacing w:after="0"/>
              <w:rPr>
                <w:sz w:val="15"/>
                <w:szCs w:val="15"/>
                <w:color w:val="auto"/>
              </w:rPr>
            </w:pPr>
          </w:p>
        </w:tc>
        <w:tc>
          <w:tcPr>
            <w:tcW w:w="140" w:type="dxa"/>
            <w:vAlign w:val="bottom"/>
            <w:tcBorders>
              <w:left w:val="single" w:sz="8" w:color="E9F9D8"/>
            </w:tcBorders>
          </w:tcPr>
          <w:p>
            <w:pPr>
              <w:spacing w:after="0"/>
              <w:rPr>
                <w:sz w:val="15"/>
                <w:szCs w:val="15"/>
                <w:color w:val="auto"/>
              </w:rPr>
            </w:pPr>
          </w:p>
        </w:tc>
        <w:tc>
          <w:tcPr>
            <w:tcW w:w="5020" w:type="dxa"/>
            <w:vAlign w:val="bottom"/>
            <w:gridSpan w:val="8"/>
          </w:tcPr>
          <w:p>
            <w:pPr>
              <w:jc w:val="right"/>
              <w:spacing w:after="0"/>
              <w:rPr>
                <w:sz w:val="20"/>
                <w:szCs w:val="20"/>
                <w:color w:val="auto"/>
              </w:rPr>
            </w:pPr>
            <w:r>
              <w:rPr>
                <w:rFonts w:ascii="Arial" w:cs="Arial" w:eastAsia="Arial" w:hAnsi="Arial"/>
                <w:sz w:val="16"/>
                <w:szCs w:val="16"/>
                <w:b w:val="1"/>
                <w:bCs w:val="1"/>
                <w:color w:val="auto"/>
              </w:rPr>
              <w:t xml:space="preserve">$1,526,916   </w:t>
            </w:r>
            <w:r>
              <w:rPr>
                <w:rFonts w:ascii="Arial" w:cs="Arial" w:eastAsia="Arial" w:hAnsi="Arial"/>
                <w:sz w:val="15"/>
                <w:szCs w:val="15"/>
                <w:color w:val="auto"/>
              </w:rPr>
              <w:t>discretionary. For 2024, Mr. DiLiberto earned a total bonus of</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200" w:type="dxa"/>
            <w:vAlign w:val="bottom"/>
            <w:tcBorders>
              <w:right w:val="single" w:sz="8" w:color="1F2668"/>
            </w:tcBorders>
            <w:shd w:val="clear" w:color="auto" w:fill="1F2668"/>
          </w:tcPr>
          <w:p>
            <w:pPr>
              <w:spacing w:after="0"/>
              <w:rPr>
                <w:sz w:val="15"/>
                <w:szCs w:val="15"/>
                <w:color w:val="auto"/>
              </w:rPr>
            </w:pPr>
          </w:p>
        </w:tc>
        <w:tc>
          <w:tcPr>
            <w:tcW w:w="2180" w:type="dxa"/>
            <w:vAlign w:val="bottom"/>
            <w:shd w:val="clear" w:color="auto" w:fill="1F2668"/>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shd w:val="clear" w:color="auto" w:fill="83AD40"/>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shd w:val="clear" w:color="auto" w:fill="E9F9D8"/>
          </w:tcPr>
          <w:p>
            <w:pPr>
              <w:spacing w:after="0"/>
              <w:rPr>
                <w:sz w:val="15"/>
                <w:szCs w:val="15"/>
                <w:color w:val="auto"/>
              </w:rPr>
            </w:pPr>
          </w:p>
        </w:tc>
        <w:tc>
          <w:tcPr>
            <w:tcW w:w="40" w:type="dxa"/>
            <w:vAlign w:val="bottom"/>
            <w:shd w:val="clear" w:color="auto" w:fill="E9F9D8"/>
          </w:tcPr>
          <w:p>
            <w:pPr>
              <w:spacing w:after="0"/>
              <w:rPr>
                <w:sz w:val="15"/>
                <w:szCs w:val="15"/>
                <w:color w:val="auto"/>
              </w:rPr>
            </w:pPr>
          </w:p>
        </w:tc>
        <w:tc>
          <w:tcPr>
            <w:tcW w:w="860" w:type="dxa"/>
            <w:vAlign w:val="bottom"/>
            <w:shd w:val="clear" w:color="auto" w:fill="E9F9D8"/>
          </w:tcPr>
          <w:p>
            <w:pPr>
              <w:spacing w:after="0"/>
              <w:rPr>
                <w:sz w:val="15"/>
                <w:szCs w:val="15"/>
                <w:color w:val="auto"/>
              </w:rPr>
            </w:pPr>
          </w:p>
        </w:tc>
        <w:tc>
          <w:tcPr>
            <w:tcW w:w="80" w:type="dxa"/>
            <w:vAlign w:val="bottom"/>
            <w:shd w:val="clear" w:color="auto" w:fill="E9F9D8"/>
          </w:tcPr>
          <w:p>
            <w:pPr>
              <w:spacing w:after="0"/>
              <w:rPr>
                <w:sz w:val="15"/>
                <w:szCs w:val="15"/>
                <w:color w:val="auto"/>
              </w:rPr>
            </w:pPr>
          </w:p>
        </w:tc>
        <w:tc>
          <w:tcPr>
            <w:tcW w:w="140" w:type="dxa"/>
            <w:vAlign w:val="bottom"/>
            <w:tcBorders>
              <w:left w:val="single" w:sz="8" w:color="E9F9D8"/>
            </w:tcBorders>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0" w:type="dxa"/>
            <w:vAlign w:val="bottom"/>
            <w:gridSpan w:val="6"/>
          </w:tcPr>
          <w:p>
            <w:pPr>
              <w:spacing w:after="0"/>
              <w:rPr>
                <w:sz w:val="20"/>
                <w:szCs w:val="20"/>
                <w:color w:val="auto"/>
              </w:rPr>
            </w:pPr>
            <w:r>
              <w:rPr>
                <w:rFonts w:ascii="Arial" w:cs="Arial" w:eastAsia="Arial" w:hAnsi="Arial"/>
                <w:sz w:val="15"/>
                <w:szCs w:val="15"/>
                <w:b w:val="1"/>
                <w:bCs w:val="1"/>
                <w:color w:val="auto"/>
                <w:w w:val="97"/>
              </w:rPr>
              <w:t>$2,226,100</w:t>
            </w:r>
            <w:r>
              <w:rPr>
                <w:rFonts w:ascii="Arial" w:cs="Arial" w:eastAsia="Arial" w:hAnsi="Arial"/>
                <w:sz w:val="15"/>
                <w:szCs w:val="15"/>
                <w:color w:val="auto"/>
                <w:w w:val="97"/>
              </w:rPr>
              <w:t>. This amount consists of</w:t>
            </w:r>
            <w:r>
              <w:rPr>
                <w:rFonts w:ascii="Arial" w:cs="Arial" w:eastAsia="Arial" w:hAnsi="Arial"/>
                <w:sz w:val="15"/>
                <w:szCs w:val="15"/>
                <w:b w:val="1"/>
                <w:bCs w:val="1"/>
                <w:color w:val="auto"/>
                <w:w w:val="97"/>
              </w:rPr>
              <w:t xml:space="preserve"> $1,342,500 </w:t>
            </w:r>
            <w:r>
              <w:rPr>
                <w:rFonts w:ascii="Arial" w:cs="Arial" w:eastAsia="Arial" w:hAnsi="Arial"/>
                <w:sz w:val="15"/>
                <w:szCs w:val="15"/>
                <w:color w:val="auto"/>
                <w:w w:val="97"/>
              </w:rPr>
              <w:t>earned on a</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200" w:type="dxa"/>
            <w:vAlign w:val="bottom"/>
            <w:tcBorders>
              <w:right w:val="single" w:sz="8" w:color="1F2668"/>
            </w:tcBorders>
            <w:shd w:val="clear" w:color="auto" w:fill="1F2668"/>
          </w:tcPr>
          <w:p>
            <w:pPr>
              <w:spacing w:after="0"/>
              <w:rPr>
                <w:sz w:val="14"/>
                <w:szCs w:val="14"/>
                <w:color w:val="auto"/>
              </w:rPr>
            </w:pPr>
          </w:p>
        </w:tc>
        <w:tc>
          <w:tcPr>
            <w:tcW w:w="2180" w:type="dxa"/>
            <w:vAlign w:val="bottom"/>
            <w:shd w:val="clear" w:color="auto" w:fill="1F2668"/>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shd w:val="clear" w:color="auto" w:fill="83AD40"/>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shd w:val="clear" w:color="auto" w:fill="E9F9D8"/>
          </w:tcPr>
          <w:p>
            <w:pPr>
              <w:spacing w:after="0"/>
              <w:rPr>
                <w:sz w:val="14"/>
                <w:szCs w:val="14"/>
                <w:color w:val="auto"/>
              </w:rPr>
            </w:pPr>
          </w:p>
        </w:tc>
        <w:tc>
          <w:tcPr>
            <w:tcW w:w="40" w:type="dxa"/>
            <w:vAlign w:val="bottom"/>
            <w:shd w:val="clear" w:color="auto" w:fill="E9F9D8"/>
          </w:tcPr>
          <w:p>
            <w:pPr>
              <w:spacing w:after="0"/>
              <w:rPr>
                <w:sz w:val="14"/>
                <w:szCs w:val="14"/>
                <w:color w:val="auto"/>
              </w:rPr>
            </w:pPr>
          </w:p>
        </w:tc>
        <w:tc>
          <w:tcPr>
            <w:tcW w:w="860" w:type="dxa"/>
            <w:vAlign w:val="bottom"/>
            <w:shd w:val="clear" w:color="auto" w:fill="E9F9D8"/>
          </w:tcPr>
          <w:p>
            <w:pPr>
              <w:spacing w:after="0"/>
              <w:rPr>
                <w:sz w:val="14"/>
                <w:szCs w:val="14"/>
                <w:color w:val="auto"/>
              </w:rPr>
            </w:pPr>
          </w:p>
        </w:tc>
        <w:tc>
          <w:tcPr>
            <w:tcW w:w="80" w:type="dxa"/>
            <w:vAlign w:val="bottom"/>
            <w:shd w:val="clear" w:color="auto" w:fill="E9F9D8"/>
          </w:tcPr>
          <w:p>
            <w:pPr>
              <w:spacing w:after="0"/>
              <w:rPr>
                <w:sz w:val="14"/>
                <w:szCs w:val="14"/>
                <w:color w:val="auto"/>
              </w:rPr>
            </w:pPr>
          </w:p>
        </w:tc>
        <w:tc>
          <w:tcPr>
            <w:tcW w:w="140" w:type="dxa"/>
            <w:vAlign w:val="bottom"/>
            <w:tcBorders>
              <w:left w:val="single" w:sz="8" w:color="E9F9D8"/>
            </w:tcBorders>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0" w:type="dxa"/>
            <w:vAlign w:val="bottom"/>
            <w:gridSpan w:val="6"/>
          </w:tcPr>
          <w:p>
            <w:pPr>
              <w:spacing w:after="0" w:line="162" w:lineRule="exact"/>
              <w:rPr>
                <w:sz w:val="20"/>
                <w:szCs w:val="20"/>
                <w:color w:val="auto"/>
              </w:rPr>
            </w:pPr>
            <w:r>
              <w:rPr>
                <w:rFonts w:ascii="Arial" w:cs="Arial" w:eastAsia="Arial" w:hAnsi="Arial"/>
                <w:sz w:val="15"/>
                <w:szCs w:val="15"/>
                <w:color w:val="auto"/>
              </w:rPr>
              <w:t xml:space="preserve">formulaic basis (approximately </w:t>
            </w:r>
            <w:r>
              <w:rPr>
                <w:rFonts w:ascii="Arial" w:cs="Arial" w:eastAsia="Arial" w:hAnsi="Arial"/>
                <w:sz w:val="15"/>
                <w:szCs w:val="15"/>
                <w:b w:val="1"/>
                <w:bCs w:val="1"/>
                <w:color w:val="auto"/>
              </w:rPr>
              <w:t>128%</w:t>
            </w:r>
            <w:r>
              <w:rPr>
                <w:rFonts w:ascii="Arial" w:cs="Arial" w:eastAsia="Arial" w:hAnsi="Arial"/>
                <w:sz w:val="15"/>
                <w:szCs w:val="15"/>
                <w:color w:val="auto"/>
              </w:rPr>
              <w:t xml:space="preserve"> of the target amount),</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200" w:type="dxa"/>
            <w:vAlign w:val="bottom"/>
            <w:tcBorders>
              <w:right w:val="single" w:sz="8" w:color="1F2668"/>
            </w:tcBorders>
            <w:shd w:val="clear" w:color="auto" w:fill="1F2668"/>
          </w:tcPr>
          <w:p>
            <w:pPr>
              <w:spacing w:after="0"/>
              <w:rPr>
                <w:sz w:val="15"/>
                <w:szCs w:val="15"/>
                <w:color w:val="auto"/>
              </w:rPr>
            </w:pPr>
          </w:p>
        </w:tc>
        <w:tc>
          <w:tcPr>
            <w:tcW w:w="2180" w:type="dxa"/>
            <w:vAlign w:val="bottom"/>
            <w:shd w:val="clear" w:color="auto" w:fill="1F2668"/>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shd w:val="clear" w:color="auto" w:fill="83AD40"/>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shd w:val="clear" w:color="auto" w:fill="E9F9D8"/>
          </w:tcPr>
          <w:p>
            <w:pPr>
              <w:spacing w:after="0"/>
              <w:rPr>
                <w:sz w:val="15"/>
                <w:szCs w:val="15"/>
                <w:color w:val="auto"/>
              </w:rPr>
            </w:pPr>
          </w:p>
        </w:tc>
        <w:tc>
          <w:tcPr>
            <w:tcW w:w="40" w:type="dxa"/>
            <w:vAlign w:val="bottom"/>
            <w:shd w:val="clear" w:color="auto" w:fill="E9F9D8"/>
          </w:tcPr>
          <w:p>
            <w:pPr>
              <w:spacing w:after="0"/>
              <w:rPr>
                <w:sz w:val="15"/>
                <w:szCs w:val="15"/>
                <w:color w:val="auto"/>
              </w:rPr>
            </w:pPr>
          </w:p>
        </w:tc>
        <w:tc>
          <w:tcPr>
            <w:tcW w:w="860" w:type="dxa"/>
            <w:vAlign w:val="bottom"/>
            <w:shd w:val="clear" w:color="auto" w:fill="E9F9D8"/>
          </w:tcPr>
          <w:p>
            <w:pPr>
              <w:spacing w:after="0"/>
              <w:rPr>
                <w:sz w:val="15"/>
                <w:szCs w:val="15"/>
                <w:color w:val="auto"/>
              </w:rPr>
            </w:pPr>
          </w:p>
        </w:tc>
        <w:tc>
          <w:tcPr>
            <w:tcW w:w="80" w:type="dxa"/>
            <w:vAlign w:val="bottom"/>
            <w:shd w:val="clear" w:color="auto" w:fill="E9F9D8"/>
          </w:tcPr>
          <w:p>
            <w:pPr>
              <w:spacing w:after="0"/>
              <w:rPr>
                <w:sz w:val="15"/>
                <w:szCs w:val="15"/>
                <w:color w:val="auto"/>
              </w:rPr>
            </w:pPr>
          </w:p>
        </w:tc>
        <w:tc>
          <w:tcPr>
            <w:tcW w:w="140" w:type="dxa"/>
            <w:vAlign w:val="bottom"/>
            <w:tcBorders>
              <w:left w:val="single" w:sz="8" w:color="E9F9D8"/>
            </w:tcBorders>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0" w:type="dxa"/>
            <w:vAlign w:val="bottom"/>
            <w:gridSpan w:val="6"/>
          </w:tcPr>
          <w:p>
            <w:pPr>
              <w:spacing w:after="0"/>
              <w:rPr>
                <w:sz w:val="20"/>
                <w:szCs w:val="20"/>
                <w:color w:val="auto"/>
              </w:rPr>
            </w:pPr>
            <w:r>
              <w:rPr>
                <w:rFonts w:ascii="Arial" w:cs="Arial" w:eastAsia="Arial" w:hAnsi="Arial"/>
                <w:sz w:val="15"/>
                <w:szCs w:val="15"/>
                <w:color w:val="auto"/>
                <w:w w:val="97"/>
              </w:rPr>
              <w:t xml:space="preserve">a discretionary award of </w:t>
            </w:r>
            <w:r>
              <w:rPr>
                <w:rFonts w:ascii="Arial" w:cs="Arial" w:eastAsia="Arial" w:hAnsi="Arial"/>
                <w:sz w:val="15"/>
                <w:szCs w:val="15"/>
                <w:b w:val="1"/>
                <w:bCs w:val="1"/>
                <w:color w:val="auto"/>
                <w:w w:val="97"/>
              </w:rPr>
              <w:t>$895,000</w:t>
            </w:r>
            <w:r>
              <w:rPr>
                <w:rFonts w:ascii="Arial" w:cs="Arial" w:eastAsia="Arial" w:hAnsi="Arial"/>
                <w:sz w:val="15"/>
                <w:szCs w:val="15"/>
                <w:color w:val="auto"/>
                <w:w w:val="97"/>
              </w:rPr>
              <w:t>, reduced by a final true-up</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20" w:type="dxa"/>
            <w:vAlign w:val="bottom"/>
          </w:tcPr>
          <w:p>
            <w:pPr>
              <w:spacing w:after="0"/>
              <w:rPr>
                <w:sz w:val="15"/>
                <w:szCs w:val="15"/>
                <w:color w:val="auto"/>
              </w:rPr>
            </w:pPr>
          </w:p>
        </w:tc>
        <w:tc>
          <w:tcPr>
            <w:tcW w:w="200" w:type="dxa"/>
            <w:vAlign w:val="bottom"/>
            <w:tcBorders>
              <w:right w:val="single" w:sz="8" w:color="1F2668"/>
            </w:tcBorders>
            <w:shd w:val="clear" w:color="auto" w:fill="1F2668"/>
          </w:tcPr>
          <w:p>
            <w:pPr>
              <w:spacing w:after="0"/>
              <w:rPr>
                <w:sz w:val="15"/>
                <w:szCs w:val="15"/>
                <w:color w:val="auto"/>
              </w:rPr>
            </w:pPr>
          </w:p>
        </w:tc>
        <w:tc>
          <w:tcPr>
            <w:tcW w:w="2180" w:type="dxa"/>
            <w:vAlign w:val="bottom"/>
            <w:shd w:val="clear" w:color="auto" w:fill="1F2668"/>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shd w:val="clear" w:color="auto" w:fill="83AD40"/>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shd w:val="clear" w:color="auto" w:fill="E9F9D8"/>
          </w:tcPr>
          <w:p>
            <w:pPr>
              <w:spacing w:after="0"/>
              <w:rPr>
                <w:sz w:val="15"/>
                <w:szCs w:val="15"/>
                <w:color w:val="auto"/>
              </w:rPr>
            </w:pPr>
          </w:p>
        </w:tc>
        <w:tc>
          <w:tcPr>
            <w:tcW w:w="40" w:type="dxa"/>
            <w:vAlign w:val="bottom"/>
            <w:shd w:val="clear" w:color="auto" w:fill="E9F9D8"/>
          </w:tcPr>
          <w:p>
            <w:pPr>
              <w:spacing w:after="0"/>
              <w:rPr>
                <w:sz w:val="15"/>
                <w:szCs w:val="15"/>
                <w:color w:val="auto"/>
              </w:rPr>
            </w:pPr>
          </w:p>
        </w:tc>
        <w:tc>
          <w:tcPr>
            <w:tcW w:w="860" w:type="dxa"/>
            <w:vAlign w:val="bottom"/>
            <w:shd w:val="clear" w:color="auto" w:fill="E9F9D8"/>
          </w:tcPr>
          <w:p>
            <w:pPr>
              <w:spacing w:after="0"/>
              <w:rPr>
                <w:sz w:val="15"/>
                <w:szCs w:val="15"/>
                <w:color w:val="auto"/>
              </w:rPr>
            </w:pPr>
          </w:p>
        </w:tc>
        <w:tc>
          <w:tcPr>
            <w:tcW w:w="80" w:type="dxa"/>
            <w:vAlign w:val="bottom"/>
            <w:shd w:val="clear" w:color="auto" w:fill="E9F9D8"/>
          </w:tcPr>
          <w:p>
            <w:pPr>
              <w:spacing w:after="0"/>
              <w:rPr>
                <w:sz w:val="15"/>
                <w:szCs w:val="15"/>
                <w:color w:val="auto"/>
              </w:rPr>
            </w:pPr>
          </w:p>
        </w:tc>
        <w:tc>
          <w:tcPr>
            <w:tcW w:w="140" w:type="dxa"/>
            <w:vAlign w:val="bottom"/>
            <w:tcBorders>
              <w:left w:val="single" w:sz="8" w:color="E9F9D8"/>
            </w:tcBorders>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40" w:type="dxa"/>
            <w:vAlign w:val="bottom"/>
            <w:gridSpan w:val="4"/>
          </w:tcPr>
          <w:p>
            <w:pPr>
              <w:spacing w:after="0"/>
              <w:rPr>
                <w:sz w:val="20"/>
                <w:szCs w:val="20"/>
                <w:color w:val="auto"/>
              </w:rPr>
            </w:pPr>
            <w:r>
              <w:rPr>
                <w:rFonts w:ascii="Arial" w:cs="Arial" w:eastAsia="Arial" w:hAnsi="Arial"/>
                <w:sz w:val="15"/>
                <w:szCs w:val="15"/>
                <w:color w:val="auto"/>
                <w:w w:val="99"/>
              </w:rPr>
              <w:t xml:space="preserve">adjustment of </w:t>
            </w:r>
            <w:r>
              <w:rPr>
                <w:rFonts w:ascii="Arial" w:cs="Arial" w:eastAsia="Arial" w:hAnsi="Arial"/>
                <w:sz w:val="15"/>
                <w:szCs w:val="15"/>
                <w:b w:val="1"/>
                <w:bCs w:val="1"/>
                <w:color w:val="auto"/>
                <w:w w:val="99"/>
              </w:rPr>
              <w:t>$11,400</w:t>
            </w:r>
            <w:r>
              <w:rPr>
                <w:rFonts w:ascii="Arial" w:cs="Arial" w:eastAsia="Arial" w:hAnsi="Arial"/>
                <w:sz w:val="15"/>
                <w:szCs w:val="15"/>
                <w:color w:val="auto"/>
                <w:w w:val="99"/>
              </w:rPr>
              <w:t xml:space="preserve"> on account of 2023 actual</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820" w:type="dxa"/>
            <w:vAlign w:val="bottom"/>
          </w:tcPr>
          <w:p>
            <w:pPr>
              <w:spacing w:after="0"/>
              <w:rPr>
                <w:sz w:val="17"/>
                <w:szCs w:val="17"/>
                <w:color w:val="auto"/>
              </w:rPr>
            </w:pPr>
          </w:p>
        </w:tc>
        <w:tc>
          <w:tcPr>
            <w:tcW w:w="200" w:type="dxa"/>
            <w:vAlign w:val="bottom"/>
            <w:tcBorders>
              <w:right w:val="single" w:sz="8" w:color="1F2668"/>
            </w:tcBorders>
            <w:shd w:val="clear" w:color="auto" w:fill="1F2668"/>
          </w:tcPr>
          <w:p>
            <w:pPr>
              <w:spacing w:after="0"/>
              <w:rPr>
                <w:sz w:val="17"/>
                <w:szCs w:val="17"/>
                <w:color w:val="auto"/>
              </w:rPr>
            </w:pPr>
          </w:p>
        </w:tc>
        <w:tc>
          <w:tcPr>
            <w:tcW w:w="2180" w:type="dxa"/>
            <w:vAlign w:val="bottom"/>
            <w:shd w:val="clear" w:color="auto" w:fill="1F2668"/>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shd w:val="clear" w:color="auto" w:fill="83AD40"/>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shd w:val="clear" w:color="auto" w:fill="E9F9D8"/>
          </w:tcPr>
          <w:p>
            <w:pPr>
              <w:spacing w:after="0"/>
              <w:rPr>
                <w:sz w:val="17"/>
                <w:szCs w:val="17"/>
                <w:color w:val="auto"/>
              </w:rPr>
            </w:pPr>
          </w:p>
        </w:tc>
        <w:tc>
          <w:tcPr>
            <w:tcW w:w="40" w:type="dxa"/>
            <w:vAlign w:val="bottom"/>
            <w:shd w:val="clear" w:color="auto" w:fill="E9F9D8"/>
          </w:tcPr>
          <w:p>
            <w:pPr>
              <w:spacing w:after="0"/>
              <w:rPr>
                <w:sz w:val="17"/>
                <w:szCs w:val="17"/>
                <w:color w:val="auto"/>
              </w:rPr>
            </w:pPr>
          </w:p>
        </w:tc>
        <w:tc>
          <w:tcPr>
            <w:tcW w:w="860" w:type="dxa"/>
            <w:vAlign w:val="bottom"/>
            <w:shd w:val="clear" w:color="auto" w:fill="E9F9D8"/>
          </w:tcPr>
          <w:p>
            <w:pPr>
              <w:spacing w:after="0"/>
              <w:rPr>
                <w:sz w:val="17"/>
                <w:szCs w:val="17"/>
                <w:color w:val="auto"/>
              </w:rPr>
            </w:pPr>
          </w:p>
        </w:tc>
        <w:tc>
          <w:tcPr>
            <w:tcW w:w="80" w:type="dxa"/>
            <w:vAlign w:val="bottom"/>
            <w:shd w:val="clear" w:color="auto" w:fill="E9F9D8"/>
          </w:tcPr>
          <w:p>
            <w:pPr>
              <w:spacing w:after="0"/>
              <w:rPr>
                <w:sz w:val="17"/>
                <w:szCs w:val="17"/>
                <w:color w:val="auto"/>
              </w:rPr>
            </w:pPr>
          </w:p>
        </w:tc>
        <w:tc>
          <w:tcPr>
            <w:tcW w:w="140" w:type="dxa"/>
            <w:vAlign w:val="bottom"/>
            <w:tcBorders>
              <w:left w:val="single" w:sz="8" w:color="E9F9D8"/>
            </w:tcBorders>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Arial" w:cs="Arial" w:eastAsia="Arial" w:hAnsi="Arial"/>
                <w:sz w:val="15"/>
                <w:szCs w:val="15"/>
                <w:color w:val="auto"/>
              </w:rPr>
              <w:t>performance.</w:t>
            </w:r>
          </w:p>
        </w:tc>
        <w:tc>
          <w:tcPr>
            <w:tcW w:w="7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20" w:type="dxa"/>
            <w:vAlign w:val="bottom"/>
          </w:tcPr>
          <w:p>
            <w:pPr>
              <w:spacing w:after="0"/>
              <w:rPr>
                <w:sz w:val="15"/>
                <w:szCs w:val="15"/>
                <w:color w:val="auto"/>
              </w:rPr>
            </w:pPr>
          </w:p>
        </w:tc>
        <w:tc>
          <w:tcPr>
            <w:tcW w:w="200" w:type="dxa"/>
            <w:vAlign w:val="bottom"/>
            <w:tcBorders>
              <w:right w:val="single" w:sz="8" w:color="1F2668"/>
            </w:tcBorders>
            <w:shd w:val="clear" w:color="auto" w:fill="1F2668"/>
          </w:tcPr>
          <w:p>
            <w:pPr>
              <w:spacing w:after="0"/>
              <w:rPr>
                <w:sz w:val="15"/>
                <w:szCs w:val="15"/>
                <w:color w:val="auto"/>
              </w:rPr>
            </w:pPr>
          </w:p>
        </w:tc>
        <w:tc>
          <w:tcPr>
            <w:tcW w:w="2180" w:type="dxa"/>
            <w:vAlign w:val="bottom"/>
            <w:shd w:val="clear" w:color="auto" w:fill="1F2668"/>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shd w:val="clear" w:color="auto" w:fill="83AD40"/>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shd w:val="clear" w:color="auto" w:fill="E9F9D8"/>
          </w:tcPr>
          <w:p>
            <w:pPr>
              <w:spacing w:after="0"/>
              <w:rPr>
                <w:sz w:val="15"/>
                <w:szCs w:val="15"/>
                <w:color w:val="auto"/>
              </w:rPr>
            </w:pPr>
          </w:p>
        </w:tc>
        <w:tc>
          <w:tcPr>
            <w:tcW w:w="40" w:type="dxa"/>
            <w:vAlign w:val="bottom"/>
            <w:shd w:val="clear" w:color="auto" w:fill="E9F9D8"/>
          </w:tcPr>
          <w:p>
            <w:pPr>
              <w:spacing w:after="0"/>
              <w:rPr>
                <w:sz w:val="15"/>
                <w:szCs w:val="15"/>
                <w:color w:val="auto"/>
              </w:rPr>
            </w:pPr>
          </w:p>
        </w:tc>
        <w:tc>
          <w:tcPr>
            <w:tcW w:w="860" w:type="dxa"/>
            <w:vAlign w:val="bottom"/>
            <w:shd w:val="clear" w:color="auto" w:fill="E9F9D8"/>
          </w:tcPr>
          <w:p>
            <w:pPr>
              <w:spacing w:after="0"/>
              <w:rPr>
                <w:sz w:val="15"/>
                <w:szCs w:val="15"/>
                <w:color w:val="auto"/>
              </w:rPr>
            </w:pPr>
          </w:p>
        </w:tc>
        <w:tc>
          <w:tcPr>
            <w:tcW w:w="80" w:type="dxa"/>
            <w:vAlign w:val="bottom"/>
            <w:shd w:val="clear" w:color="auto" w:fill="E9F9D8"/>
          </w:tcPr>
          <w:p>
            <w:pPr>
              <w:spacing w:after="0"/>
              <w:rPr>
                <w:sz w:val="15"/>
                <w:szCs w:val="15"/>
                <w:color w:val="auto"/>
              </w:rPr>
            </w:pPr>
          </w:p>
        </w:tc>
        <w:tc>
          <w:tcPr>
            <w:tcW w:w="140" w:type="dxa"/>
            <w:vAlign w:val="bottom"/>
            <w:tcBorders>
              <w:left w:val="single" w:sz="8" w:color="E9F9D8"/>
            </w:tcBorders>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0" w:type="dxa"/>
            <w:vAlign w:val="bottom"/>
            <w:gridSpan w:val="5"/>
          </w:tcPr>
          <w:p>
            <w:pPr>
              <w:spacing w:after="0"/>
              <w:rPr>
                <w:sz w:val="20"/>
                <w:szCs w:val="20"/>
                <w:color w:val="auto"/>
              </w:rPr>
            </w:pPr>
            <w:r>
              <w:rPr>
                <w:rFonts w:ascii="Arial" w:cs="Arial" w:eastAsia="Arial" w:hAnsi="Arial"/>
                <w:sz w:val="15"/>
                <w:szCs w:val="15"/>
                <w:color w:val="auto"/>
              </w:rPr>
              <w:t xml:space="preserve">Mr. DiLiberto received </w:t>
            </w:r>
            <w:r>
              <w:rPr>
                <w:rFonts w:ascii="Arial" w:cs="Arial" w:eastAsia="Arial" w:hAnsi="Arial"/>
                <w:sz w:val="15"/>
                <w:szCs w:val="15"/>
                <w:b w:val="1"/>
                <w:bCs w:val="1"/>
                <w:color w:val="auto"/>
              </w:rPr>
              <w:t>100%</w:t>
            </w:r>
            <w:r>
              <w:rPr>
                <w:rFonts w:ascii="Arial" w:cs="Arial" w:eastAsia="Arial" w:hAnsi="Arial"/>
                <w:sz w:val="15"/>
                <w:szCs w:val="15"/>
                <w:color w:val="auto"/>
              </w:rPr>
              <w:t xml:space="preserve"> of the bonus in the form of</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2380" w:type="dxa"/>
            <w:vAlign w:val="bottom"/>
            <w:gridSpan w:val="2"/>
            <w:vMerge w:val="restart"/>
            <w:shd w:val="clear" w:color="auto" w:fill="1F2668"/>
          </w:tcPr>
          <w:p>
            <w:pPr>
              <w:ind w:left="140"/>
              <w:spacing w:after="0"/>
              <w:rPr>
                <w:sz w:val="20"/>
                <w:szCs w:val="20"/>
                <w:color w:val="auto"/>
              </w:rPr>
            </w:pPr>
            <w:r>
              <w:rPr>
                <w:rFonts w:ascii="Arial" w:cs="Arial" w:eastAsia="Arial" w:hAnsi="Arial"/>
                <w:sz w:val="14"/>
                <w:szCs w:val="14"/>
                <w:b w:val="1"/>
                <w:bCs w:val="1"/>
                <w:color w:val="FFFFFF"/>
              </w:rPr>
              <w:t>Chief Financial Officer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shd w:val="clear" w:color="auto" w:fill="83AD40"/>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shd w:val="clear" w:color="auto" w:fill="E9F9D8"/>
          </w:tcPr>
          <w:p>
            <w:pPr>
              <w:spacing w:after="0"/>
              <w:rPr>
                <w:sz w:val="14"/>
                <w:szCs w:val="14"/>
                <w:color w:val="auto"/>
              </w:rPr>
            </w:pPr>
          </w:p>
        </w:tc>
        <w:tc>
          <w:tcPr>
            <w:tcW w:w="40" w:type="dxa"/>
            <w:vAlign w:val="bottom"/>
            <w:shd w:val="clear" w:color="auto" w:fill="E9F9D8"/>
          </w:tcPr>
          <w:p>
            <w:pPr>
              <w:spacing w:after="0"/>
              <w:rPr>
                <w:sz w:val="14"/>
                <w:szCs w:val="14"/>
                <w:color w:val="auto"/>
              </w:rPr>
            </w:pPr>
          </w:p>
        </w:tc>
        <w:tc>
          <w:tcPr>
            <w:tcW w:w="860" w:type="dxa"/>
            <w:vAlign w:val="bottom"/>
            <w:shd w:val="clear" w:color="auto" w:fill="E9F9D8"/>
          </w:tcPr>
          <w:p>
            <w:pPr>
              <w:spacing w:after="0"/>
              <w:rPr>
                <w:sz w:val="14"/>
                <w:szCs w:val="14"/>
                <w:color w:val="auto"/>
              </w:rPr>
            </w:pPr>
          </w:p>
        </w:tc>
        <w:tc>
          <w:tcPr>
            <w:tcW w:w="80" w:type="dxa"/>
            <w:vAlign w:val="bottom"/>
            <w:shd w:val="clear" w:color="auto" w:fill="E9F9D8"/>
          </w:tcPr>
          <w:p>
            <w:pPr>
              <w:spacing w:after="0"/>
              <w:rPr>
                <w:sz w:val="14"/>
                <w:szCs w:val="14"/>
                <w:color w:val="auto"/>
              </w:rPr>
            </w:pPr>
          </w:p>
        </w:tc>
        <w:tc>
          <w:tcPr>
            <w:tcW w:w="140" w:type="dxa"/>
            <w:vAlign w:val="bottom"/>
            <w:tcBorders>
              <w:left w:val="single" w:sz="8" w:color="E9F9D8"/>
            </w:tcBorders>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0" w:type="dxa"/>
            <w:vAlign w:val="bottom"/>
            <w:gridSpan w:val="5"/>
          </w:tcPr>
          <w:p>
            <w:pPr>
              <w:spacing w:after="0" w:line="162" w:lineRule="exact"/>
              <w:rPr>
                <w:sz w:val="20"/>
                <w:szCs w:val="20"/>
                <w:color w:val="auto"/>
              </w:rPr>
            </w:pPr>
            <w:r>
              <w:rPr>
                <w:rFonts w:ascii="Arial" w:cs="Arial" w:eastAsia="Arial" w:hAnsi="Arial"/>
                <w:sz w:val="15"/>
                <w:szCs w:val="15"/>
                <w:color w:val="auto"/>
              </w:rPr>
              <w:t xml:space="preserve">equity. The corresponding </w:t>
            </w:r>
            <w:r>
              <w:rPr>
                <w:rFonts w:ascii="Arial" w:cs="Arial" w:eastAsia="Arial" w:hAnsi="Arial"/>
                <w:sz w:val="15"/>
                <w:szCs w:val="15"/>
                <w:b w:val="1"/>
                <w:bCs w:val="1"/>
                <w:color w:val="auto"/>
              </w:rPr>
              <w:t>32,360</w:t>
            </w:r>
            <w:r>
              <w:rPr>
                <w:rFonts w:ascii="Arial" w:cs="Arial" w:eastAsia="Arial" w:hAnsi="Arial"/>
                <w:sz w:val="15"/>
                <w:szCs w:val="15"/>
                <w:color w:val="auto"/>
              </w:rPr>
              <w:t xml:space="preserve"> LTIP units granted in</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820" w:type="dxa"/>
            <w:vAlign w:val="bottom"/>
          </w:tcPr>
          <w:p>
            <w:pPr>
              <w:spacing w:after="0"/>
              <w:rPr>
                <w:sz w:val="12"/>
                <w:szCs w:val="12"/>
                <w:color w:val="auto"/>
              </w:rPr>
            </w:pPr>
          </w:p>
        </w:tc>
        <w:tc>
          <w:tcPr>
            <w:tcW w:w="2380" w:type="dxa"/>
            <w:vAlign w:val="bottom"/>
            <w:gridSpan w:val="2"/>
            <w:vMerge w:val="continue"/>
            <w:shd w:val="clear" w:color="auto" w:fill="1F2668"/>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shd w:val="clear" w:color="auto" w:fill="83AD40"/>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shd w:val="clear" w:color="auto" w:fill="E9F9D8"/>
          </w:tcPr>
          <w:p>
            <w:pPr>
              <w:spacing w:after="0"/>
              <w:rPr>
                <w:sz w:val="12"/>
                <w:szCs w:val="12"/>
                <w:color w:val="auto"/>
              </w:rPr>
            </w:pPr>
          </w:p>
        </w:tc>
        <w:tc>
          <w:tcPr>
            <w:tcW w:w="40" w:type="dxa"/>
            <w:vAlign w:val="bottom"/>
            <w:shd w:val="clear" w:color="auto" w:fill="E9F9D8"/>
          </w:tcPr>
          <w:p>
            <w:pPr>
              <w:spacing w:after="0"/>
              <w:rPr>
                <w:sz w:val="12"/>
                <w:szCs w:val="12"/>
                <w:color w:val="auto"/>
              </w:rPr>
            </w:pPr>
          </w:p>
        </w:tc>
        <w:tc>
          <w:tcPr>
            <w:tcW w:w="860" w:type="dxa"/>
            <w:vAlign w:val="bottom"/>
            <w:shd w:val="clear" w:color="auto" w:fill="E9F9D8"/>
          </w:tcPr>
          <w:p>
            <w:pPr>
              <w:spacing w:after="0"/>
              <w:rPr>
                <w:sz w:val="12"/>
                <w:szCs w:val="12"/>
                <w:color w:val="auto"/>
              </w:rPr>
            </w:pPr>
          </w:p>
        </w:tc>
        <w:tc>
          <w:tcPr>
            <w:tcW w:w="80" w:type="dxa"/>
            <w:vAlign w:val="bottom"/>
            <w:shd w:val="clear" w:color="auto" w:fill="E9F9D8"/>
          </w:tcPr>
          <w:p>
            <w:pPr>
              <w:spacing w:after="0"/>
              <w:rPr>
                <w:sz w:val="12"/>
                <w:szCs w:val="12"/>
                <w:color w:val="auto"/>
              </w:rPr>
            </w:pPr>
          </w:p>
        </w:tc>
        <w:tc>
          <w:tcPr>
            <w:tcW w:w="140" w:type="dxa"/>
            <w:vAlign w:val="bottom"/>
            <w:tcBorders>
              <w:left w:val="single" w:sz="8" w:color="E9F9D8"/>
            </w:tcBorders>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0" w:type="dxa"/>
            <w:vAlign w:val="bottom"/>
            <w:gridSpan w:val="5"/>
            <w:vMerge w:val="restart"/>
          </w:tcPr>
          <w:p>
            <w:pPr>
              <w:spacing w:after="0"/>
              <w:rPr>
                <w:sz w:val="20"/>
                <w:szCs w:val="20"/>
                <w:color w:val="auto"/>
              </w:rPr>
            </w:pPr>
            <w:r>
              <w:rPr>
                <w:rFonts w:ascii="Arial" w:cs="Arial" w:eastAsia="Arial" w:hAnsi="Arial"/>
                <w:sz w:val="15"/>
                <w:szCs w:val="15"/>
                <w:b w:val="1"/>
                <w:bCs w:val="1"/>
                <w:color w:val="auto"/>
              </w:rPr>
              <w:t xml:space="preserve">January 2025 </w:t>
            </w:r>
            <w:r>
              <w:rPr>
                <w:rFonts w:ascii="Arial" w:cs="Arial" w:eastAsia="Arial" w:hAnsi="Arial"/>
                <w:sz w:val="15"/>
                <w:szCs w:val="15"/>
                <w:color w:val="auto"/>
              </w:rPr>
              <w:t>were fully vested upon grant, but remain</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820" w:type="dxa"/>
            <w:vAlign w:val="bottom"/>
          </w:tcPr>
          <w:p>
            <w:pPr>
              <w:spacing w:after="0"/>
              <w:rPr>
                <w:sz w:val="3"/>
                <w:szCs w:val="3"/>
                <w:color w:val="auto"/>
              </w:rPr>
            </w:pPr>
          </w:p>
        </w:tc>
        <w:tc>
          <w:tcPr>
            <w:tcW w:w="200" w:type="dxa"/>
            <w:vAlign w:val="bottom"/>
            <w:tcBorders>
              <w:right w:val="single" w:sz="8" w:color="1F2668"/>
            </w:tcBorders>
            <w:shd w:val="clear" w:color="auto" w:fill="1F2668"/>
          </w:tcPr>
          <w:p>
            <w:pPr>
              <w:spacing w:after="0"/>
              <w:rPr>
                <w:sz w:val="3"/>
                <w:szCs w:val="3"/>
                <w:color w:val="auto"/>
              </w:rPr>
            </w:pPr>
          </w:p>
        </w:tc>
        <w:tc>
          <w:tcPr>
            <w:tcW w:w="2180" w:type="dxa"/>
            <w:vAlign w:val="bottom"/>
            <w:shd w:val="clear" w:color="auto" w:fill="1F2668"/>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shd w:val="clear" w:color="auto" w:fill="83AD40"/>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shd w:val="clear" w:color="auto" w:fill="E9F9D8"/>
          </w:tcPr>
          <w:p>
            <w:pPr>
              <w:spacing w:after="0"/>
              <w:rPr>
                <w:sz w:val="3"/>
                <w:szCs w:val="3"/>
                <w:color w:val="auto"/>
              </w:rPr>
            </w:pPr>
          </w:p>
        </w:tc>
        <w:tc>
          <w:tcPr>
            <w:tcW w:w="40" w:type="dxa"/>
            <w:vAlign w:val="bottom"/>
            <w:shd w:val="clear" w:color="auto" w:fill="E9F9D8"/>
          </w:tcPr>
          <w:p>
            <w:pPr>
              <w:spacing w:after="0"/>
              <w:rPr>
                <w:sz w:val="3"/>
                <w:szCs w:val="3"/>
                <w:color w:val="auto"/>
              </w:rPr>
            </w:pPr>
          </w:p>
        </w:tc>
        <w:tc>
          <w:tcPr>
            <w:tcW w:w="860" w:type="dxa"/>
            <w:vAlign w:val="bottom"/>
            <w:shd w:val="clear" w:color="auto" w:fill="E9F9D8"/>
          </w:tcPr>
          <w:p>
            <w:pPr>
              <w:spacing w:after="0"/>
              <w:rPr>
                <w:sz w:val="3"/>
                <w:szCs w:val="3"/>
                <w:color w:val="auto"/>
              </w:rPr>
            </w:pPr>
          </w:p>
        </w:tc>
        <w:tc>
          <w:tcPr>
            <w:tcW w:w="80" w:type="dxa"/>
            <w:vAlign w:val="bottom"/>
            <w:shd w:val="clear" w:color="auto" w:fill="E9F9D8"/>
          </w:tcPr>
          <w:p>
            <w:pPr>
              <w:spacing w:after="0"/>
              <w:rPr>
                <w:sz w:val="3"/>
                <w:szCs w:val="3"/>
                <w:color w:val="auto"/>
              </w:rPr>
            </w:pPr>
          </w:p>
        </w:tc>
        <w:tc>
          <w:tcPr>
            <w:tcW w:w="140" w:type="dxa"/>
            <w:vAlign w:val="bottom"/>
            <w:tcBorders>
              <w:left w:val="single" w:sz="8" w:color="E9F9D8"/>
            </w:tcBorders>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0" w:type="dxa"/>
            <w:vAlign w:val="bottom"/>
            <w:gridSpan w:val="5"/>
            <w:vMerge w:val="continue"/>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820" w:type="dxa"/>
            <w:vAlign w:val="bottom"/>
          </w:tcPr>
          <w:p>
            <w:pPr>
              <w:spacing w:after="0"/>
              <w:rPr>
                <w:sz w:val="14"/>
                <w:szCs w:val="14"/>
                <w:color w:val="auto"/>
              </w:rPr>
            </w:pPr>
          </w:p>
        </w:tc>
        <w:tc>
          <w:tcPr>
            <w:tcW w:w="2380" w:type="dxa"/>
            <w:vAlign w:val="bottom"/>
            <w:gridSpan w:val="2"/>
            <w:shd w:val="clear" w:color="auto" w:fill="1F2668"/>
          </w:tcPr>
          <w:p>
            <w:pPr>
              <w:ind w:left="140"/>
              <w:spacing w:after="0"/>
              <w:rPr>
                <w:sz w:val="20"/>
                <w:szCs w:val="20"/>
                <w:color w:val="auto"/>
              </w:rPr>
            </w:pPr>
            <w:r>
              <w:rPr>
                <w:rFonts w:ascii="Arial" w:cs="Arial" w:eastAsia="Arial" w:hAnsi="Arial"/>
                <w:sz w:val="14"/>
                <w:szCs w:val="14"/>
                <w:color w:val="FFFFFF"/>
              </w:rPr>
              <w:t>Mr. DiLiberto’s 2024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shd w:val="clear" w:color="auto" w:fill="83AD40"/>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shd w:val="clear" w:color="auto" w:fill="E9F9D8"/>
          </w:tcPr>
          <w:p>
            <w:pPr>
              <w:spacing w:after="0"/>
              <w:rPr>
                <w:sz w:val="14"/>
                <w:szCs w:val="14"/>
                <w:color w:val="auto"/>
              </w:rPr>
            </w:pPr>
          </w:p>
        </w:tc>
        <w:tc>
          <w:tcPr>
            <w:tcW w:w="40" w:type="dxa"/>
            <w:vAlign w:val="bottom"/>
            <w:shd w:val="clear" w:color="auto" w:fill="E9F9D8"/>
          </w:tcPr>
          <w:p>
            <w:pPr>
              <w:spacing w:after="0"/>
              <w:rPr>
                <w:sz w:val="14"/>
                <w:szCs w:val="14"/>
                <w:color w:val="auto"/>
              </w:rPr>
            </w:pPr>
          </w:p>
        </w:tc>
        <w:tc>
          <w:tcPr>
            <w:tcW w:w="860" w:type="dxa"/>
            <w:vAlign w:val="bottom"/>
            <w:shd w:val="clear" w:color="auto" w:fill="E9F9D8"/>
          </w:tcPr>
          <w:p>
            <w:pPr>
              <w:spacing w:after="0"/>
              <w:rPr>
                <w:sz w:val="14"/>
                <w:szCs w:val="14"/>
                <w:color w:val="auto"/>
              </w:rPr>
            </w:pPr>
          </w:p>
        </w:tc>
        <w:tc>
          <w:tcPr>
            <w:tcW w:w="80" w:type="dxa"/>
            <w:vAlign w:val="bottom"/>
            <w:shd w:val="clear" w:color="auto" w:fill="E9F9D8"/>
          </w:tcPr>
          <w:p>
            <w:pPr>
              <w:spacing w:after="0"/>
              <w:rPr>
                <w:sz w:val="14"/>
                <w:szCs w:val="14"/>
                <w:color w:val="auto"/>
              </w:rPr>
            </w:pPr>
          </w:p>
        </w:tc>
        <w:tc>
          <w:tcPr>
            <w:tcW w:w="140" w:type="dxa"/>
            <w:vAlign w:val="bottom"/>
            <w:tcBorders>
              <w:left w:val="single" w:sz="8" w:color="E9F9D8"/>
            </w:tcBorders>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0" w:type="dxa"/>
            <w:vAlign w:val="bottom"/>
            <w:gridSpan w:val="5"/>
          </w:tcPr>
          <w:p>
            <w:pPr>
              <w:spacing w:after="0" w:line="170" w:lineRule="exact"/>
              <w:rPr>
                <w:sz w:val="20"/>
                <w:szCs w:val="20"/>
                <w:color w:val="auto"/>
              </w:rPr>
            </w:pPr>
            <w:r>
              <w:rPr>
                <w:rFonts w:ascii="Arial" w:cs="Arial" w:eastAsia="Arial" w:hAnsi="Arial"/>
                <w:sz w:val="15"/>
                <w:szCs w:val="15"/>
                <w:color w:val="auto"/>
              </w:rPr>
              <w:t>subject to a three-year no-sell restriction. Because these</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2380" w:type="dxa"/>
            <w:vAlign w:val="bottom"/>
            <w:gridSpan w:val="2"/>
            <w:shd w:val="clear" w:color="auto" w:fill="1F2668"/>
          </w:tcPr>
          <w:p>
            <w:pPr>
              <w:ind w:left="140"/>
              <w:spacing w:after="0"/>
              <w:rPr>
                <w:sz w:val="20"/>
                <w:szCs w:val="20"/>
                <w:color w:val="auto"/>
              </w:rPr>
            </w:pPr>
            <w:r>
              <w:rPr>
                <w:rFonts w:ascii="Arial" w:cs="Arial" w:eastAsia="Arial" w:hAnsi="Arial"/>
                <w:sz w:val="14"/>
                <w:szCs w:val="14"/>
                <w:color w:val="FFFFFF"/>
              </w:rPr>
              <w:t>compensation recognizes the</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shd w:val="clear" w:color="auto" w:fill="83AD40"/>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shd w:val="clear" w:color="auto" w:fill="E9F9D8"/>
          </w:tcPr>
          <w:p>
            <w:pPr>
              <w:spacing w:after="0"/>
              <w:rPr>
                <w:sz w:val="14"/>
                <w:szCs w:val="14"/>
                <w:color w:val="auto"/>
              </w:rPr>
            </w:pPr>
          </w:p>
        </w:tc>
        <w:tc>
          <w:tcPr>
            <w:tcW w:w="40" w:type="dxa"/>
            <w:vAlign w:val="bottom"/>
            <w:shd w:val="clear" w:color="auto" w:fill="E9F9D8"/>
          </w:tcPr>
          <w:p>
            <w:pPr>
              <w:spacing w:after="0"/>
              <w:rPr>
                <w:sz w:val="14"/>
                <w:szCs w:val="14"/>
                <w:color w:val="auto"/>
              </w:rPr>
            </w:pPr>
          </w:p>
        </w:tc>
        <w:tc>
          <w:tcPr>
            <w:tcW w:w="860" w:type="dxa"/>
            <w:vAlign w:val="bottom"/>
            <w:shd w:val="clear" w:color="auto" w:fill="E9F9D8"/>
          </w:tcPr>
          <w:p>
            <w:pPr>
              <w:spacing w:after="0"/>
              <w:rPr>
                <w:sz w:val="14"/>
                <w:szCs w:val="14"/>
                <w:color w:val="auto"/>
              </w:rPr>
            </w:pPr>
          </w:p>
        </w:tc>
        <w:tc>
          <w:tcPr>
            <w:tcW w:w="80" w:type="dxa"/>
            <w:vAlign w:val="bottom"/>
            <w:shd w:val="clear" w:color="auto" w:fill="E9F9D8"/>
          </w:tcPr>
          <w:p>
            <w:pPr>
              <w:spacing w:after="0"/>
              <w:rPr>
                <w:sz w:val="14"/>
                <w:szCs w:val="14"/>
                <w:color w:val="auto"/>
              </w:rPr>
            </w:pPr>
          </w:p>
        </w:tc>
        <w:tc>
          <w:tcPr>
            <w:tcW w:w="140" w:type="dxa"/>
            <w:vAlign w:val="bottom"/>
            <w:tcBorders>
              <w:left w:val="single" w:sz="8" w:color="E9F9D8"/>
            </w:tcBorders>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0" w:type="dxa"/>
            <w:vAlign w:val="bottom"/>
            <w:gridSpan w:val="6"/>
          </w:tcPr>
          <w:p>
            <w:pPr>
              <w:spacing w:after="0" w:line="162" w:lineRule="exact"/>
              <w:rPr>
                <w:sz w:val="20"/>
                <w:szCs w:val="20"/>
                <w:color w:val="auto"/>
              </w:rPr>
            </w:pPr>
            <w:r>
              <w:rPr>
                <w:rFonts w:ascii="Arial" w:cs="Arial" w:eastAsia="Arial" w:hAnsi="Arial"/>
                <w:sz w:val="15"/>
                <w:szCs w:val="15"/>
                <w:color w:val="auto"/>
                <w:w w:val="98"/>
              </w:rPr>
              <w:t>LTIP units were granted in 2025, the value of the awards will</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20" w:type="dxa"/>
            <w:vAlign w:val="bottom"/>
          </w:tcPr>
          <w:p>
            <w:pPr>
              <w:spacing w:after="0"/>
              <w:rPr>
                <w:sz w:val="13"/>
                <w:szCs w:val="13"/>
                <w:color w:val="auto"/>
              </w:rPr>
            </w:pPr>
          </w:p>
        </w:tc>
        <w:tc>
          <w:tcPr>
            <w:tcW w:w="2380" w:type="dxa"/>
            <w:vAlign w:val="bottom"/>
            <w:gridSpan w:val="2"/>
            <w:shd w:val="clear" w:color="auto" w:fill="1F2668"/>
          </w:tcPr>
          <w:p>
            <w:pPr>
              <w:ind w:left="140"/>
              <w:spacing w:after="0" w:line="158" w:lineRule="exact"/>
              <w:rPr>
                <w:sz w:val="20"/>
                <w:szCs w:val="20"/>
                <w:color w:val="auto"/>
              </w:rPr>
            </w:pPr>
            <w:r>
              <w:rPr>
                <w:rFonts w:ascii="Arial" w:cs="Arial" w:eastAsia="Arial" w:hAnsi="Arial"/>
                <w:sz w:val="14"/>
                <w:szCs w:val="14"/>
                <w:color w:val="FFFFFF"/>
              </w:rPr>
              <w:t>Company’s strong financial and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shd w:val="clear" w:color="auto" w:fill="83AD40"/>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shd w:val="clear" w:color="auto" w:fill="E9F9D8"/>
          </w:tcPr>
          <w:p>
            <w:pPr>
              <w:spacing w:after="0"/>
              <w:rPr>
                <w:sz w:val="13"/>
                <w:szCs w:val="13"/>
                <w:color w:val="auto"/>
              </w:rPr>
            </w:pPr>
          </w:p>
        </w:tc>
        <w:tc>
          <w:tcPr>
            <w:tcW w:w="40" w:type="dxa"/>
            <w:vAlign w:val="bottom"/>
            <w:shd w:val="clear" w:color="auto" w:fill="E9F9D8"/>
          </w:tcPr>
          <w:p>
            <w:pPr>
              <w:spacing w:after="0"/>
              <w:rPr>
                <w:sz w:val="13"/>
                <w:szCs w:val="13"/>
                <w:color w:val="auto"/>
              </w:rPr>
            </w:pPr>
          </w:p>
        </w:tc>
        <w:tc>
          <w:tcPr>
            <w:tcW w:w="860" w:type="dxa"/>
            <w:vAlign w:val="bottom"/>
            <w:shd w:val="clear" w:color="auto" w:fill="E9F9D8"/>
          </w:tcPr>
          <w:p>
            <w:pPr>
              <w:spacing w:after="0"/>
              <w:rPr>
                <w:sz w:val="13"/>
                <w:szCs w:val="13"/>
                <w:color w:val="auto"/>
              </w:rPr>
            </w:pPr>
          </w:p>
        </w:tc>
        <w:tc>
          <w:tcPr>
            <w:tcW w:w="80" w:type="dxa"/>
            <w:vAlign w:val="bottom"/>
            <w:shd w:val="clear" w:color="auto" w:fill="E9F9D8"/>
          </w:tcPr>
          <w:p>
            <w:pPr>
              <w:spacing w:after="0"/>
              <w:rPr>
                <w:sz w:val="13"/>
                <w:szCs w:val="13"/>
                <w:color w:val="auto"/>
              </w:rPr>
            </w:pPr>
          </w:p>
        </w:tc>
        <w:tc>
          <w:tcPr>
            <w:tcW w:w="140" w:type="dxa"/>
            <w:vAlign w:val="bottom"/>
            <w:tcBorders>
              <w:left w:val="single" w:sz="8" w:color="E9F9D8"/>
            </w:tcBorders>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0" w:type="dxa"/>
            <w:vAlign w:val="bottom"/>
            <w:gridSpan w:val="5"/>
          </w:tcPr>
          <w:p>
            <w:pPr>
              <w:spacing w:after="0" w:line="158" w:lineRule="exact"/>
              <w:rPr>
                <w:sz w:val="20"/>
                <w:szCs w:val="20"/>
                <w:color w:val="auto"/>
              </w:rPr>
            </w:pPr>
            <w:r>
              <w:rPr>
                <w:rFonts w:ascii="Arial" w:cs="Arial" w:eastAsia="Arial" w:hAnsi="Arial"/>
                <w:sz w:val="15"/>
                <w:szCs w:val="15"/>
                <w:color w:val="auto"/>
                <w:w w:val="99"/>
              </w:rPr>
              <w:t>be reported in next year’s Summary Compensation table.</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820" w:type="dxa"/>
            <w:vAlign w:val="bottom"/>
          </w:tcPr>
          <w:p>
            <w:pPr>
              <w:spacing w:after="0"/>
              <w:rPr>
                <w:sz w:val="12"/>
                <w:szCs w:val="12"/>
                <w:color w:val="auto"/>
              </w:rPr>
            </w:pPr>
          </w:p>
        </w:tc>
        <w:tc>
          <w:tcPr>
            <w:tcW w:w="2380" w:type="dxa"/>
            <w:vAlign w:val="bottom"/>
            <w:gridSpan w:val="2"/>
            <w:shd w:val="clear" w:color="auto" w:fill="1F2668"/>
          </w:tcPr>
          <w:p>
            <w:pPr>
              <w:ind w:left="140"/>
              <w:spacing w:after="0" w:line="139" w:lineRule="exact"/>
              <w:rPr>
                <w:sz w:val="20"/>
                <w:szCs w:val="20"/>
                <w:color w:val="auto"/>
              </w:rPr>
            </w:pPr>
            <w:r>
              <w:rPr>
                <w:rFonts w:ascii="Arial" w:cs="Arial" w:eastAsia="Arial" w:hAnsi="Arial"/>
                <w:sz w:val="14"/>
                <w:szCs w:val="14"/>
                <w:color w:val="FFFFFF"/>
              </w:rPr>
              <w:t>operating year as well as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shd w:val="clear" w:color="auto" w:fill="83AD40"/>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shd w:val="clear" w:color="auto" w:fill="E9F9D8"/>
          </w:tcPr>
          <w:p>
            <w:pPr>
              <w:spacing w:after="0"/>
              <w:rPr>
                <w:sz w:val="12"/>
                <w:szCs w:val="12"/>
                <w:color w:val="auto"/>
              </w:rPr>
            </w:pPr>
          </w:p>
        </w:tc>
        <w:tc>
          <w:tcPr>
            <w:tcW w:w="40" w:type="dxa"/>
            <w:vAlign w:val="bottom"/>
            <w:shd w:val="clear" w:color="auto" w:fill="E9F9D8"/>
          </w:tcPr>
          <w:p>
            <w:pPr>
              <w:spacing w:after="0"/>
              <w:rPr>
                <w:sz w:val="12"/>
                <w:szCs w:val="12"/>
                <w:color w:val="auto"/>
              </w:rPr>
            </w:pPr>
          </w:p>
        </w:tc>
        <w:tc>
          <w:tcPr>
            <w:tcW w:w="860" w:type="dxa"/>
            <w:vAlign w:val="bottom"/>
            <w:shd w:val="clear" w:color="auto" w:fill="E9F9D8"/>
          </w:tcPr>
          <w:p>
            <w:pPr>
              <w:spacing w:after="0"/>
              <w:rPr>
                <w:sz w:val="12"/>
                <w:szCs w:val="12"/>
                <w:color w:val="auto"/>
              </w:rPr>
            </w:pPr>
          </w:p>
        </w:tc>
        <w:tc>
          <w:tcPr>
            <w:tcW w:w="80" w:type="dxa"/>
            <w:vAlign w:val="bottom"/>
            <w:shd w:val="clear" w:color="auto" w:fill="E9F9D8"/>
          </w:tcPr>
          <w:p>
            <w:pPr>
              <w:spacing w:after="0"/>
              <w:rPr>
                <w:sz w:val="12"/>
                <w:szCs w:val="12"/>
                <w:color w:val="auto"/>
              </w:rPr>
            </w:pPr>
          </w:p>
        </w:tc>
        <w:tc>
          <w:tcPr>
            <w:tcW w:w="140" w:type="dxa"/>
            <w:vAlign w:val="bottom"/>
            <w:tcBorders>
              <w:left w:val="single" w:sz="8" w:color="E9F9D8"/>
            </w:tcBorders>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0" w:type="dxa"/>
            <w:vAlign w:val="bottom"/>
            <w:gridSpan w:val="5"/>
            <w:vMerge w:val="restart"/>
          </w:tcPr>
          <w:p>
            <w:pPr>
              <w:spacing w:after="0"/>
              <w:rPr>
                <w:sz w:val="20"/>
                <w:szCs w:val="20"/>
                <w:color w:val="auto"/>
              </w:rPr>
            </w:pPr>
            <w:r>
              <w:rPr>
                <w:rFonts w:ascii="Arial" w:cs="Arial" w:eastAsia="Arial" w:hAnsi="Arial"/>
                <w:sz w:val="15"/>
                <w:szCs w:val="15"/>
                <w:color w:val="auto"/>
              </w:rPr>
              <w:t>The SCT amount reflects the grant date value of equity</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820" w:type="dxa"/>
            <w:vAlign w:val="bottom"/>
          </w:tcPr>
          <w:p>
            <w:pPr>
              <w:spacing w:after="0"/>
              <w:rPr>
                <w:sz w:val="7"/>
                <w:szCs w:val="7"/>
                <w:color w:val="auto"/>
              </w:rPr>
            </w:pPr>
          </w:p>
        </w:tc>
        <w:tc>
          <w:tcPr>
            <w:tcW w:w="2380" w:type="dxa"/>
            <w:vAlign w:val="bottom"/>
            <w:gridSpan w:val="2"/>
            <w:vMerge w:val="restart"/>
            <w:shd w:val="clear" w:color="auto" w:fill="1F2668"/>
          </w:tcPr>
          <w:p>
            <w:pPr>
              <w:ind w:left="140"/>
              <w:spacing w:after="0"/>
              <w:rPr>
                <w:sz w:val="20"/>
                <w:szCs w:val="20"/>
                <w:color w:val="auto"/>
              </w:rPr>
            </w:pPr>
            <w:r>
              <w:rPr>
                <w:rFonts w:ascii="Arial" w:cs="Arial" w:eastAsia="Arial" w:hAnsi="Arial"/>
                <w:sz w:val="14"/>
                <w:szCs w:val="14"/>
                <w:color w:val="FFFFFF"/>
              </w:rPr>
              <w:t>Mr. DiLiberto’s pivotal role in</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shd w:val="clear" w:color="auto" w:fill="83AD40"/>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shd w:val="clear" w:color="auto" w:fill="E9F9D8"/>
          </w:tcPr>
          <w:p>
            <w:pPr>
              <w:spacing w:after="0"/>
              <w:rPr>
                <w:sz w:val="7"/>
                <w:szCs w:val="7"/>
                <w:color w:val="auto"/>
              </w:rPr>
            </w:pPr>
          </w:p>
        </w:tc>
        <w:tc>
          <w:tcPr>
            <w:tcW w:w="40" w:type="dxa"/>
            <w:vAlign w:val="bottom"/>
            <w:shd w:val="clear" w:color="auto" w:fill="E9F9D8"/>
          </w:tcPr>
          <w:p>
            <w:pPr>
              <w:spacing w:after="0"/>
              <w:rPr>
                <w:sz w:val="7"/>
                <w:szCs w:val="7"/>
                <w:color w:val="auto"/>
              </w:rPr>
            </w:pPr>
          </w:p>
        </w:tc>
        <w:tc>
          <w:tcPr>
            <w:tcW w:w="860" w:type="dxa"/>
            <w:vAlign w:val="bottom"/>
            <w:shd w:val="clear" w:color="auto" w:fill="E9F9D8"/>
          </w:tcPr>
          <w:p>
            <w:pPr>
              <w:spacing w:after="0"/>
              <w:rPr>
                <w:sz w:val="7"/>
                <w:szCs w:val="7"/>
                <w:color w:val="auto"/>
              </w:rPr>
            </w:pPr>
          </w:p>
        </w:tc>
        <w:tc>
          <w:tcPr>
            <w:tcW w:w="80" w:type="dxa"/>
            <w:vAlign w:val="bottom"/>
            <w:shd w:val="clear" w:color="auto" w:fill="E9F9D8"/>
          </w:tcPr>
          <w:p>
            <w:pPr>
              <w:spacing w:after="0"/>
              <w:rPr>
                <w:sz w:val="7"/>
                <w:szCs w:val="7"/>
                <w:color w:val="auto"/>
              </w:rPr>
            </w:pPr>
          </w:p>
        </w:tc>
        <w:tc>
          <w:tcPr>
            <w:tcW w:w="140" w:type="dxa"/>
            <w:vAlign w:val="bottom"/>
            <w:tcBorders>
              <w:left w:val="single" w:sz="8" w:color="E9F9D8"/>
            </w:tcBorders>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0" w:type="dxa"/>
            <w:vAlign w:val="bottom"/>
            <w:gridSpan w:val="5"/>
            <w:vMerge w:val="continue"/>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820" w:type="dxa"/>
            <w:vAlign w:val="bottom"/>
          </w:tcPr>
          <w:p>
            <w:pPr>
              <w:spacing w:after="0"/>
              <w:rPr>
                <w:sz w:val="6"/>
                <w:szCs w:val="6"/>
                <w:color w:val="auto"/>
              </w:rPr>
            </w:pPr>
          </w:p>
        </w:tc>
        <w:tc>
          <w:tcPr>
            <w:tcW w:w="2380" w:type="dxa"/>
            <w:vAlign w:val="bottom"/>
            <w:gridSpan w:val="2"/>
            <w:vMerge w:val="continue"/>
            <w:shd w:val="clear" w:color="auto" w:fill="1F2668"/>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shd w:val="clear" w:color="auto" w:fill="83AD40"/>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shd w:val="clear" w:color="auto" w:fill="E9F9D8"/>
          </w:tcPr>
          <w:p>
            <w:pPr>
              <w:spacing w:after="0"/>
              <w:rPr>
                <w:sz w:val="6"/>
                <w:szCs w:val="6"/>
                <w:color w:val="auto"/>
              </w:rPr>
            </w:pPr>
          </w:p>
        </w:tc>
        <w:tc>
          <w:tcPr>
            <w:tcW w:w="40" w:type="dxa"/>
            <w:vAlign w:val="bottom"/>
            <w:shd w:val="clear" w:color="auto" w:fill="E9F9D8"/>
          </w:tcPr>
          <w:p>
            <w:pPr>
              <w:spacing w:after="0"/>
              <w:rPr>
                <w:sz w:val="6"/>
                <w:szCs w:val="6"/>
                <w:color w:val="auto"/>
              </w:rPr>
            </w:pPr>
          </w:p>
        </w:tc>
        <w:tc>
          <w:tcPr>
            <w:tcW w:w="860" w:type="dxa"/>
            <w:vAlign w:val="bottom"/>
            <w:shd w:val="clear" w:color="auto" w:fill="E9F9D8"/>
          </w:tcPr>
          <w:p>
            <w:pPr>
              <w:spacing w:after="0"/>
              <w:rPr>
                <w:sz w:val="6"/>
                <w:szCs w:val="6"/>
                <w:color w:val="auto"/>
              </w:rPr>
            </w:pPr>
          </w:p>
        </w:tc>
        <w:tc>
          <w:tcPr>
            <w:tcW w:w="80" w:type="dxa"/>
            <w:vAlign w:val="bottom"/>
            <w:shd w:val="clear" w:color="auto" w:fill="E9F9D8"/>
          </w:tcPr>
          <w:p>
            <w:pPr>
              <w:spacing w:after="0"/>
              <w:rPr>
                <w:sz w:val="6"/>
                <w:szCs w:val="6"/>
                <w:color w:val="auto"/>
              </w:rPr>
            </w:pPr>
          </w:p>
        </w:tc>
        <w:tc>
          <w:tcPr>
            <w:tcW w:w="140" w:type="dxa"/>
            <w:vAlign w:val="bottom"/>
            <w:tcBorders>
              <w:left w:val="single" w:sz="8" w:color="E9F9D8"/>
            </w:tcBorders>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0" w:type="dxa"/>
            <w:vAlign w:val="bottom"/>
            <w:gridSpan w:val="6"/>
            <w:vMerge w:val="restart"/>
          </w:tcPr>
          <w:p>
            <w:pPr>
              <w:spacing w:after="0"/>
              <w:rPr>
                <w:sz w:val="20"/>
                <w:szCs w:val="20"/>
                <w:color w:val="auto"/>
              </w:rPr>
            </w:pPr>
            <w:r>
              <w:rPr>
                <w:rFonts w:ascii="Arial" w:cs="Arial" w:eastAsia="Arial" w:hAnsi="Arial"/>
                <w:sz w:val="15"/>
                <w:szCs w:val="15"/>
                <w:color w:val="auto"/>
              </w:rPr>
              <w:t xml:space="preserve">granted </w:t>
            </w:r>
            <w:r>
              <w:rPr>
                <w:rFonts w:ascii="Arial" w:cs="Arial" w:eastAsia="Arial" w:hAnsi="Arial"/>
                <w:sz w:val="15"/>
                <w:szCs w:val="15"/>
                <w:b w:val="1"/>
                <w:bCs w:val="1"/>
                <w:color w:val="auto"/>
              </w:rPr>
              <w:t>in January 2024</w:t>
            </w:r>
            <w:r>
              <w:rPr>
                <w:rFonts w:ascii="Arial" w:cs="Arial" w:eastAsia="Arial" w:hAnsi="Arial"/>
                <w:sz w:val="15"/>
                <w:szCs w:val="15"/>
                <w:color w:val="auto"/>
              </w:rPr>
              <w:t xml:space="preserve"> representing Mr. DiLiberto’s </w:t>
            </w:r>
            <w:r>
              <w:rPr>
                <w:rFonts w:ascii="Arial" w:cs="Arial" w:eastAsia="Arial" w:hAnsi="Arial"/>
                <w:sz w:val="15"/>
                <w:szCs w:val="15"/>
                <w:b w:val="1"/>
                <w:bCs w:val="1"/>
                <w:color w:val="auto"/>
              </w:rPr>
              <w:t>2023</w:t>
            </w: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20" w:type="dxa"/>
            <w:vAlign w:val="bottom"/>
          </w:tcPr>
          <w:p>
            <w:pPr>
              <w:spacing w:after="0"/>
              <w:rPr>
                <w:sz w:val="8"/>
                <w:szCs w:val="8"/>
                <w:color w:val="auto"/>
              </w:rPr>
            </w:pPr>
          </w:p>
        </w:tc>
        <w:tc>
          <w:tcPr>
            <w:tcW w:w="2380" w:type="dxa"/>
            <w:vAlign w:val="bottom"/>
            <w:gridSpan w:val="2"/>
            <w:vMerge w:val="restart"/>
            <w:shd w:val="clear" w:color="auto" w:fill="1F2668"/>
          </w:tcPr>
          <w:p>
            <w:pPr>
              <w:ind w:left="140"/>
              <w:spacing w:after="0" w:line="149" w:lineRule="exact"/>
              <w:rPr>
                <w:sz w:val="20"/>
                <w:szCs w:val="20"/>
                <w:color w:val="auto"/>
              </w:rPr>
            </w:pPr>
            <w:r>
              <w:rPr>
                <w:rFonts w:ascii="Arial" w:cs="Arial" w:eastAsia="Arial" w:hAnsi="Arial"/>
                <w:sz w:val="14"/>
                <w:szCs w:val="14"/>
                <w:color w:val="FFFFFF"/>
              </w:rPr>
              <w:t>managing our balance sheet and</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shd w:val="clear" w:color="auto" w:fill="83AD40"/>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shd w:val="clear" w:color="auto" w:fill="E9F9D8"/>
          </w:tcPr>
          <w:p>
            <w:pPr>
              <w:spacing w:after="0"/>
              <w:rPr>
                <w:sz w:val="8"/>
                <w:szCs w:val="8"/>
                <w:color w:val="auto"/>
              </w:rPr>
            </w:pPr>
          </w:p>
        </w:tc>
        <w:tc>
          <w:tcPr>
            <w:tcW w:w="40" w:type="dxa"/>
            <w:vAlign w:val="bottom"/>
            <w:shd w:val="clear" w:color="auto" w:fill="E9F9D8"/>
          </w:tcPr>
          <w:p>
            <w:pPr>
              <w:spacing w:after="0"/>
              <w:rPr>
                <w:sz w:val="8"/>
                <w:szCs w:val="8"/>
                <w:color w:val="auto"/>
              </w:rPr>
            </w:pPr>
          </w:p>
        </w:tc>
        <w:tc>
          <w:tcPr>
            <w:tcW w:w="860" w:type="dxa"/>
            <w:vAlign w:val="bottom"/>
            <w:shd w:val="clear" w:color="auto" w:fill="E9F9D8"/>
          </w:tcPr>
          <w:p>
            <w:pPr>
              <w:spacing w:after="0"/>
              <w:rPr>
                <w:sz w:val="8"/>
                <w:szCs w:val="8"/>
                <w:color w:val="auto"/>
              </w:rPr>
            </w:pPr>
          </w:p>
        </w:tc>
        <w:tc>
          <w:tcPr>
            <w:tcW w:w="80" w:type="dxa"/>
            <w:vAlign w:val="bottom"/>
            <w:shd w:val="clear" w:color="auto" w:fill="E9F9D8"/>
          </w:tcPr>
          <w:p>
            <w:pPr>
              <w:spacing w:after="0"/>
              <w:rPr>
                <w:sz w:val="8"/>
                <w:szCs w:val="8"/>
                <w:color w:val="auto"/>
              </w:rPr>
            </w:pPr>
          </w:p>
        </w:tc>
        <w:tc>
          <w:tcPr>
            <w:tcW w:w="140" w:type="dxa"/>
            <w:vAlign w:val="bottom"/>
            <w:tcBorders>
              <w:left w:val="single" w:sz="8" w:color="E9F9D8"/>
            </w:tcBorders>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0" w:type="dxa"/>
            <w:vAlign w:val="bottom"/>
            <w:gridSpan w:val="6"/>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820" w:type="dxa"/>
            <w:vAlign w:val="bottom"/>
          </w:tcPr>
          <w:p>
            <w:pPr>
              <w:spacing w:after="0"/>
              <w:rPr>
                <w:sz w:val="4"/>
                <w:szCs w:val="4"/>
                <w:color w:val="auto"/>
              </w:rPr>
            </w:pPr>
          </w:p>
        </w:tc>
        <w:tc>
          <w:tcPr>
            <w:tcW w:w="2380" w:type="dxa"/>
            <w:vAlign w:val="bottom"/>
            <w:gridSpan w:val="2"/>
            <w:vMerge w:val="continue"/>
            <w:shd w:val="clear" w:color="auto" w:fill="1F2668"/>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shd w:val="clear" w:color="auto" w:fill="83AD40"/>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shd w:val="clear" w:color="auto" w:fill="E9F9D8"/>
          </w:tcPr>
          <w:p>
            <w:pPr>
              <w:spacing w:after="0"/>
              <w:rPr>
                <w:sz w:val="4"/>
                <w:szCs w:val="4"/>
                <w:color w:val="auto"/>
              </w:rPr>
            </w:pPr>
          </w:p>
        </w:tc>
        <w:tc>
          <w:tcPr>
            <w:tcW w:w="40" w:type="dxa"/>
            <w:vAlign w:val="bottom"/>
            <w:shd w:val="clear" w:color="auto" w:fill="E9F9D8"/>
          </w:tcPr>
          <w:p>
            <w:pPr>
              <w:spacing w:after="0"/>
              <w:rPr>
                <w:sz w:val="4"/>
                <w:szCs w:val="4"/>
                <w:color w:val="auto"/>
              </w:rPr>
            </w:pPr>
          </w:p>
        </w:tc>
        <w:tc>
          <w:tcPr>
            <w:tcW w:w="860" w:type="dxa"/>
            <w:vAlign w:val="bottom"/>
            <w:shd w:val="clear" w:color="auto" w:fill="E9F9D8"/>
          </w:tcPr>
          <w:p>
            <w:pPr>
              <w:spacing w:after="0"/>
              <w:rPr>
                <w:sz w:val="4"/>
                <w:szCs w:val="4"/>
                <w:color w:val="auto"/>
              </w:rPr>
            </w:pPr>
          </w:p>
        </w:tc>
        <w:tc>
          <w:tcPr>
            <w:tcW w:w="80" w:type="dxa"/>
            <w:vAlign w:val="bottom"/>
            <w:shd w:val="clear" w:color="auto" w:fill="E9F9D8"/>
          </w:tcPr>
          <w:p>
            <w:pPr>
              <w:spacing w:after="0"/>
              <w:rPr>
                <w:sz w:val="4"/>
                <w:szCs w:val="4"/>
                <w:color w:val="auto"/>
              </w:rPr>
            </w:pPr>
          </w:p>
        </w:tc>
        <w:tc>
          <w:tcPr>
            <w:tcW w:w="140" w:type="dxa"/>
            <w:vAlign w:val="bottom"/>
            <w:tcBorders>
              <w:left w:val="single" w:sz="8" w:color="E9F9D8"/>
            </w:tcBorders>
          </w:tcPr>
          <w:p>
            <w:pPr>
              <w:spacing w:after="0"/>
              <w:rPr>
                <w:sz w:val="4"/>
                <w:szCs w:val="4"/>
                <w:color w:val="auto"/>
              </w:rPr>
            </w:pPr>
          </w:p>
        </w:tc>
        <w:tc>
          <w:tcPr>
            <w:tcW w:w="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annual bonus</w:t>
            </w:r>
            <w:r>
              <w:rPr>
                <w:rFonts w:ascii="Arial" w:cs="Arial" w:eastAsia="Arial" w:hAnsi="Arial"/>
                <w:sz w:val="15"/>
                <w:szCs w:val="15"/>
                <w:color w:val="auto"/>
              </w:rPr>
              <w:t>.</w:t>
            </w:r>
          </w:p>
        </w:tc>
        <w:tc>
          <w:tcPr>
            <w:tcW w:w="7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820" w:type="dxa"/>
            <w:vAlign w:val="bottom"/>
          </w:tcPr>
          <w:p>
            <w:pPr>
              <w:spacing w:after="0"/>
              <w:rPr>
                <w:sz w:val="16"/>
                <w:szCs w:val="16"/>
                <w:color w:val="auto"/>
              </w:rPr>
            </w:pPr>
          </w:p>
        </w:tc>
        <w:tc>
          <w:tcPr>
            <w:tcW w:w="2380" w:type="dxa"/>
            <w:vAlign w:val="bottom"/>
            <w:tcBorders>
              <w:bottom w:val="single" w:sz="8" w:color="1F2668"/>
            </w:tcBorders>
            <w:gridSpan w:val="2"/>
            <w:shd w:val="clear" w:color="auto" w:fill="1F2668"/>
          </w:tcPr>
          <w:p>
            <w:pPr>
              <w:ind w:left="140"/>
              <w:spacing w:after="0" w:line="149" w:lineRule="exact"/>
              <w:rPr>
                <w:sz w:val="20"/>
                <w:szCs w:val="20"/>
                <w:color w:val="auto"/>
              </w:rPr>
            </w:pPr>
            <w:r>
              <w:rPr>
                <w:rFonts w:ascii="Arial" w:cs="Arial" w:eastAsia="Arial" w:hAnsi="Arial"/>
                <w:sz w:val="14"/>
                <w:szCs w:val="14"/>
                <w:color w:val="FFFFFF"/>
              </w:rPr>
              <w:t>liquidity position to succeed in a</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bottom w:val="single" w:sz="8" w:color="83AD40"/>
            </w:tcBorders>
            <w:shd w:val="clear" w:color="auto" w:fill="83AD40"/>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Borders>
              <w:bottom w:val="single" w:sz="8" w:color="E9F9D8"/>
            </w:tcBorders>
            <w:shd w:val="clear" w:color="auto" w:fill="E9F9D8"/>
          </w:tcPr>
          <w:p>
            <w:pPr>
              <w:spacing w:after="0"/>
              <w:rPr>
                <w:sz w:val="16"/>
                <w:szCs w:val="16"/>
                <w:color w:val="auto"/>
              </w:rPr>
            </w:pPr>
          </w:p>
        </w:tc>
        <w:tc>
          <w:tcPr>
            <w:tcW w:w="40" w:type="dxa"/>
            <w:vAlign w:val="bottom"/>
            <w:tcBorders>
              <w:bottom w:val="single" w:sz="8" w:color="E9F9D8"/>
            </w:tcBorders>
            <w:shd w:val="clear" w:color="auto" w:fill="E9F9D8"/>
          </w:tcPr>
          <w:p>
            <w:pPr>
              <w:spacing w:after="0"/>
              <w:rPr>
                <w:sz w:val="16"/>
                <w:szCs w:val="16"/>
                <w:color w:val="auto"/>
              </w:rPr>
            </w:pPr>
          </w:p>
        </w:tc>
        <w:tc>
          <w:tcPr>
            <w:tcW w:w="860" w:type="dxa"/>
            <w:vAlign w:val="bottom"/>
            <w:tcBorders>
              <w:bottom w:val="single" w:sz="8" w:color="E9F9D8"/>
            </w:tcBorders>
            <w:shd w:val="clear" w:color="auto" w:fill="E9F9D8"/>
          </w:tcPr>
          <w:p>
            <w:pPr>
              <w:spacing w:after="0"/>
              <w:rPr>
                <w:sz w:val="16"/>
                <w:szCs w:val="16"/>
                <w:color w:val="auto"/>
              </w:rPr>
            </w:pPr>
          </w:p>
        </w:tc>
        <w:tc>
          <w:tcPr>
            <w:tcW w:w="80" w:type="dxa"/>
            <w:vAlign w:val="bottom"/>
            <w:tcBorders>
              <w:bottom w:val="single" w:sz="8" w:color="E9F9D8"/>
            </w:tcBorders>
            <w:shd w:val="clear" w:color="auto" w:fill="E9F9D8"/>
          </w:tcPr>
          <w:p>
            <w:pPr>
              <w:spacing w:after="0"/>
              <w:rPr>
                <w:sz w:val="16"/>
                <w:szCs w:val="16"/>
                <w:color w:val="auto"/>
              </w:rPr>
            </w:pPr>
          </w:p>
        </w:tc>
        <w:tc>
          <w:tcPr>
            <w:tcW w:w="140" w:type="dxa"/>
            <w:vAlign w:val="bottom"/>
            <w:tcBorders>
              <w:left w:val="single" w:sz="8" w:color="E9F9D8"/>
            </w:tcBorders>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7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6"/>
        </w:trPr>
        <w:tc>
          <w:tcPr>
            <w:tcW w:w="820" w:type="dxa"/>
            <w:vAlign w:val="bottom"/>
          </w:tcPr>
          <w:p>
            <w:pPr>
              <w:spacing w:after="0"/>
              <w:rPr>
                <w:sz w:val="9"/>
                <w:szCs w:val="9"/>
                <w:color w:val="auto"/>
              </w:rPr>
            </w:pPr>
          </w:p>
        </w:tc>
        <w:tc>
          <w:tcPr>
            <w:tcW w:w="2380" w:type="dxa"/>
            <w:vAlign w:val="bottom"/>
            <w:tcBorders>
              <w:top w:val="single" w:sz="8" w:color="1F2668"/>
            </w:tcBorders>
            <w:gridSpan w:val="2"/>
            <w:shd w:val="clear" w:color="auto" w:fill="1F2668"/>
          </w:tcPr>
          <w:p>
            <w:pPr>
              <w:ind w:left="140"/>
              <w:spacing w:after="0" w:line="106" w:lineRule="exact"/>
              <w:rPr>
                <w:sz w:val="20"/>
                <w:szCs w:val="20"/>
                <w:color w:val="auto"/>
              </w:rPr>
            </w:pPr>
            <w:r>
              <w:rPr>
                <w:rFonts w:ascii="Arial" w:cs="Arial" w:eastAsia="Arial" w:hAnsi="Arial"/>
                <w:sz w:val="12"/>
                <w:szCs w:val="12"/>
                <w:color w:val="FFFFFF"/>
              </w:rPr>
              <w:t>dynamic, competitive and</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83AD40"/>
            </w:tcBorders>
            <w:shd w:val="clear" w:color="auto" w:fill="83AD40"/>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Borders>
              <w:top w:val="single" w:sz="8" w:color="4B5088"/>
            </w:tcBorders>
            <w:vMerge w:val="restart"/>
            <w:shd w:val="clear" w:color="auto" w:fill="E9F9D8"/>
          </w:tcPr>
          <w:p>
            <w:pPr>
              <w:spacing w:after="0"/>
              <w:rPr>
                <w:sz w:val="20"/>
                <w:szCs w:val="20"/>
                <w:color w:val="auto"/>
              </w:rPr>
            </w:pPr>
            <w:r>
              <w:rPr>
                <w:rFonts w:ascii="Arial" w:cs="Arial" w:eastAsia="Arial" w:hAnsi="Arial"/>
                <w:sz w:val="15"/>
                <w:szCs w:val="15"/>
                <w:color w:val="auto"/>
              </w:rPr>
              <w:t>​</w:t>
            </w:r>
          </w:p>
        </w:tc>
        <w:tc>
          <w:tcPr>
            <w:tcW w:w="40" w:type="dxa"/>
            <w:vAlign w:val="bottom"/>
            <w:tcBorders>
              <w:top w:val="single" w:sz="8" w:color="4B5088"/>
            </w:tcBorders>
            <w:shd w:val="clear" w:color="auto" w:fill="E9F9D8"/>
          </w:tcPr>
          <w:p>
            <w:pPr>
              <w:spacing w:after="0"/>
              <w:rPr>
                <w:sz w:val="9"/>
                <w:szCs w:val="9"/>
                <w:color w:val="auto"/>
              </w:rPr>
            </w:pPr>
          </w:p>
        </w:tc>
        <w:tc>
          <w:tcPr>
            <w:tcW w:w="860" w:type="dxa"/>
            <w:vAlign w:val="bottom"/>
            <w:tcBorders>
              <w:top w:val="single" w:sz="8" w:color="4B5088"/>
            </w:tcBorders>
            <w:vMerge w:val="restart"/>
            <w:shd w:val="clear" w:color="auto" w:fill="E9F9D8"/>
          </w:tcPr>
          <w:p>
            <w:pPr>
              <w:spacing w:after="0"/>
              <w:rPr>
                <w:sz w:val="20"/>
                <w:szCs w:val="20"/>
                <w:color w:val="auto"/>
              </w:rPr>
            </w:pPr>
            <w:r>
              <w:rPr>
                <w:rFonts w:ascii="Arial" w:cs="Arial" w:eastAsia="Arial" w:hAnsi="Arial"/>
                <w:sz w:val="32"/>
                <w:szCs w:val="32"/>
                <w:color w:val="1F2668"/>
              </w:rPr>
              <w:t>10%</w:t>
            </w:r>
          </w:p>
        </w:tc>
        <w:tc>
          <w:tcPr>
            <w:tcW w:w="80" w:type="dxa"/>
            <w:vAlign w:val="bottom"/>
            <w:tcBorders>
              <w:top w:val="single" w:sz="8" w:color="4B5088"/>
            </w:tcBorders>
            <w:shd w:val="clear" w:color="auto" w:fill="E9F9D8"/>
          </w:tcPr>
          <w:p>
            <w:pPr>
              <w:spacing w:after="0"/>
              <w:rPr>
                <w:sz w:val="9"/>
                <w:szCs w:val="9"/>
                <w:color w:val="auto"/>
              </w:rPr>
            </w:pPr>
          </w:p>
        </w:tc>
        <w:tc>
          <w:tcPr>
            <w:tcW w:w="140" w:type="dxa"/>
            <w:vAlign w:val="bottom"/>
            <w:tcBorders>
              <w:top w:val="single" w:sz="8" w:color="4B5088"/>
              <w:left w:val="single" w:sz="8" w:color="E9F9D8"/>
            </w:tcBorders>
            <w:vMerge w:val="restart"/>
          </w:tcPr>
          <w:p>
            <w:pPr>
              <w:ind w:left="20"/>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4B5088"/>
            </w:tcBorders>
            <w:vMerge w:val="restart"/>
          </w:tcPr>
          <w:p>
            <w:pPr>
              <w:spacing w:after="0"/>
              <w:rPr>
                <w:sz w:val="20"/>
                <w:szCs w:val="20"/>
                <w:color w:val="auto"/>
              </w:rPr>
            </w:pPr>
            <w:r>
              <w:rPr>
                <w:rFonts w:ascii="Arial" w:cs="Arial" w:eastAsia="Arial" w:hAnsi="Arial"/>
                <w:sz w:val="32"/>
                <w:szCs w:val="32"/>
                <w:color w:val="1F2668"/>
              </w:rPr>
              <w:t>16%</w:t>
            </w:r>
          </w:p>
        </w:tc>
        <w:tc>
          <w:tcPr>
            <w:tcW w:w="3420" w:type="dxa"/>
            <w:vAlign w:val="bottom"/>
            <w:tcBorders>
              <w:top w:val="single" w:sz="8" w:color="4B5088"/>
            </w:tcBorders>
            <w:gridSpan w:val="5"/>
            <w:vMerge w:val="restart"/>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b w:val="1"/>
                <w:bCs w:val="1"/>
                <w:color w:val="auto"/>
              </w:rPr>
              <w:t>Performance-Based Equity Awards</w:t>
            </w:r>
          </w:p>
        </w:tc>
        <w:tc>
          <w:tcPr>
            <w:tcW w:w="560" w:type="dxa"/>
            <w:vAlign w:val="bottom"/>
            <w:tcBorders>
              <w:top w:val="single" w:sz="8" w:color="4B5088"/>
            </w:tcBorders>
          </w:tcPr>
          <w:p>
            <w:pPr>
              <w:spacing w:after="0"/>
              <w:rPr>
                <w:sz w:val="9"/>
                <w:szCs w:val="9"/>
                <w:color w:val="auto"/>
              </w:rPr>
            </w:pPr>
          </w:p>
        </w:tc>
        <w:tc>
          <w:tcPr>
            <w:tcW w:w="200" w:type="dxa"/>
            <w:vAlign w:val="bottom"/>
            <w:tcBorders>
              <w:top w:val="single" w:sz="8" w:color="4B5088"/>
            </w:tcBorders>
          </w:tcPr>
          <w:p>
            <w:pPr>
              <w:spacing w:after="0"/>
              <w:rPr>
                <w:sz w:val="9"/>
                <w:szCs w:val="9"/>
                <w:color w:val="auto"/>
              </w:rPr>
            </w:pPr>
          </w:p>
        </w:tc>
        <w:tc>
          <w:tcPr>
            <w:tcW w:w="880" w:type="dxa"/>
            <w:vAlign w:val="bottom"/>
            <w:vMerge w:val="restart"/>
          </w:tcPr>
          <w:p>
            <w:pPr>
              <w:jc w:val="right"/>
              <w:ind w:right="7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2380" w:type="dxa"/>
            <w:vAlign w:val="bottom"/>
            <w:gridSpan w:val="2"/>
            <w:shd w:val="clear" w:color="auto" w:fill="1F2668"/>
          </w:tcPr>
          <w:p>
            <w:pPr>
              <w:ind w:left="140"/>
              <w:spacing w:after="0" w:line="145" w:lineRule="exact"/>
              <w:rPr>
                <w:sz w:val="20"/>
                <w:szCs w:val="20"/>
                <w:color w:val="auto"/>
              </w:rPr>
            </w:pPr>
            <w:r>
              <w:rPr>
                <w:rFonts w:ascii="Arial" w:cs="Arial" w:eastAsia="Arial" w:hAnsi="Arial"/>
                <w:sz w:val="14"/>
                <w:szCs w:val="14"/>
                <w:color w:val="FFFFFF"/>
              </w:rPr>
              <w:t>unpredictable NYC real estate</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shd w:val="clear" w:color="auto" w:fill="83AD40"/>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vMerge w:val="continue"/>
            <w:shd w:val="clear" w:color="auto" w:fill="E9F9D8"/>
          </w:tcPr>
          <w:p>
            <w:pPr>
              <w:spacing w:after="0"/>
              <w:rPr>
                <w:sz w:val="12"/>
                <w:szCs w:val="12"/>
                <w:color w:val="auto"/>
              </w:rPr>
            </w:pPr>
          </w:p>
        </w:tc>
        <w:tc>
          <w:tcPr>
            <w:tcW w:w="40" w:type="dxa"/>
            <w:vAlign w:val="bottom"/>
            <w:shd w:val="clear" w:color="auto" w:fill="E9F9D8"/>
          </w:tcPr>
          <w:p>
            <w:pPr>
              <w:spacing w:after="0"/>
              <w:rPr>
                <w:sz w:val="12"/>
                <w:szCs w:val="12"/>
                <w:color w:val="auto"/>
              </w:rPr>
            </w:pPr>
          </w:p>
        </w:tc>
        <w:tc>
          <w:tcPr>
            <w:tcW w:w="860" w:type="dxa"/>
            <w:vAlign w:val="bottom"/>
            <w:vMerge w:val="continue"/>
            <w:shd w:val="clear" w:color="auto" w:fill="E9F9D8"/>
          </w:tcPr>
          <w:p>
            <w:pPr>
              <w:spacing w:after="0"/>
              <w:rPr>
                <w:sz w:val="12"/>
                <w:szCs w:val="12"/>
                <w:color w:val="auto"/>
              </w:rPr>
            </w:pPr>
          </w:p>
        </w:tc>
        <w:tc>
          <w:tcPr>
            <w:tcW w:w="80" w:type="dxa"/>
            <w:vAlign w:val="bottom"/>
            <w:shd w:val="clear" w:color="auto" w:fill="E9F9D8"/>
          </w:tcPr>
          <w:p>
            <w:pPr>
              <w:spacing w:after="0"/>
              <w:rPr>
                <w:sz w:val="12"/>
                <w:szCs w:val="12"/>
                <w:color w:val="auto"/>
              </w:rPr>
            </w:pPr>
          </w:p>
        </w:tc>
        <w:tc>
          <w:tcPr>
            <w:tcW w:w="140" w:type="dxa"/>
            <w:vAlign w:val="bottom"/>
            <w:tcBorders>
              <w:left w:val="single" w:sz="8" w:color="E9F9D8"/>
            </w:tcBorders>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3420" w:type="dxa"/>
            <w:vAlign w:val="bottom"/>
            <w:gridSpan w:val="5"/>
            <w:vMerge w:val="continue"/>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2380" w:type="dxa"/>
            <w:vAlign w:val="bottom"/>
            <w:gridSpan w:val="2"/>
            <w:shd w:val="clear" w:color="auto" w:fill="1F2668"/>
          </w:tcPr>
          <w:p>
            <w:pPr>
              <w:ind w:left="140"/>
              <w:spacing w:after="0" w:line="149" w:lineRule="exact"/>
              <w:rPr>
                <w:sz w:val="20"/>
                <w:szCs w:val="20"/>
                <w:color w:val="auto"/>
              </w:rPr>
            </w:pPr>
            <w:r>
              <w:rPr>
                <w:rFonts w:ascii="Arial" w:cs="Arial" w:eastAsia="Arial" w:hAnsi="Arial"/>
                <w:sz w:val="14"/>
                <w:szCs w:val="14"/>
                <w:color w:val="FFFFFF"/>
              </w:rPr>
              <w:t>market. Many of our strategic</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shd w:val="clear" w:color="auto" w:fill="83AD40"/>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shd w:val="clear" w:color="auto" w:fill="E9F9D8"/>
          </w:tcPr>
          <w:p>
            <w:pPr>
              <w:spacing w:after="0"/>
              <w:rPr>
                <w:sz w:val="12"/>
                <w:szCs w:val="12"/>
                <w:color w:val="auto"/>
              </w:rPr>
            </w:pPr>
          </w:p>
        </w:tc>
        <w:tc>
          <w:tcPr>
            <w:tcW w:w="40" w:type="dxa"/>
            <w:vAlign w:val="bottom"/>
            <w:shd w:val="clear" w:color="auto" w:fill="E9F9D8"/>
          </w:tcPr>
          <w:p>
            <w:pPr>
              <w:spacing w:after="0"/>
              <w:rPr>
                <w:sz w:val="12"/>
                <w:szCs w:val="12"/>
                <w:color w:val="auto"/>
              </w:rPr>
            </w:pPr>
          </w:p>
        </w:tc>
        <w:tc>
          <w:tcPr>
            <w:tcW w:w="860" w:type="dxa"/>
            <w:vAlign w:val="bottom"/>
            <w:vMerge w:val="continue"/>
            <w:shd w:val="clear" w:color="auto" w:fill="E9F9D8"/>
          </w:tcPr>
          <w:p>
            <w:pPr>
              <w:spacing w:after="0"/>
              <w:rPr>
                <w:sz w:val="12"/>
                <w:szCs w:val="12"/>
                <w:color w:val="auto"/>
              </w:rPr>
            </w:pPr>
          </w:p>
        </w:tc>
        <w:tc>
          <w:tcPr>
            <w:tcW w:w="80" w:type="dxa"/>
            <w:vAlign w:val="bottom"/>
            <w:shd w:val="clear" w:color="auto" w:fill="E9F9D8"/>
          </w:tcPr>
          <w:p>
            <w:pPr>
              <w:spacing w:after="0"/>
              <w:rPr>
                <w:sz w:val="12"/>
                <w:szCs w:val="12"/>
                <w:color w:val="auto"/>
              </w:rPr>
            </w:pPr>
          </w:p>
        </w:tc>
        <w:tc>
          <w:tcPr>
            <w:tcW w:w="140" w:type="dxa"/>
            <w:vAlign w:val="bottom"/>
            <w:tcBorders>
              <w:left w:val="single" w:sz="8" w:color="E9F9D8"/>
            </w:tcBorders>
          </w:tcPr>
          <w:p>
            <w:pPr>
              <w:spacing w:after="0"/>
              <w:rPr>
                <w:sz w:val="12"/>
                <w:szCs w:val="12"/>
                <w:color w:val="auto"/>
              </w:rPr>
            </w:pPr>
          </w:p>
        </w:tc>
        <w:tc>
          <w:tcPr>
            <w:tcW w:w="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3800" w:type="dxa"/>
            <w:vAlign w:val="bottom"/>
            <w:gridSpan w:val="5"/>
          </w:tcPr>
          <w:p>
            <w:pPr>
              <w:spacing w:after="0" w:line="149" w:lineRule="exact"/>
              <w:rPr>
                <w:sz w:val="20"/>
                <w:szCs w:val="20"/>
                <w:color w:val="auto"/>
              </w:rPr>
            </w:pPr>
            <w:r>
              <w:rPr>
                <w:rFonts w:ascii="Arial" w:cs="Arial" w:eastAsia="Arial" w:hAnsi="Arial"/>
                <w:sz w:val="15"/>
                <w:szCs w:val="15"/>
                <w:color w:val="auto"/>
              </w:rPr>
              <w:t>The TDC amount reflects the target notional value of</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2380" w:type="dxa"/>
            <w:vAlign w:val="bottom"/>
            <w:gridSpan w:val="2"/>
            <w:shd w:val="clear" w:color="auto" w:fill="1F2668"/>
          </w:tcPr>
          <w:p>
            <w:pPr>
              <w:ind w:left="140"/>
              <w:spacing w:after="0" w:line="149" w:lineRule="exact"/>
              <w:rPr>
                <w:sz w:val="20"/>
                <w:szCs w:val="20"/>
                <w:color w:val="auto"/>
              </w:rPr>
            </w:pPr>
            <w:r>
              <w:rPr>
                <w:rFonts w:ascii="Arial" w:cs="Arial" w:eastAsia="Arial" w:hAnsi="Arial"/>
                <w:sz w:val="14"/>
                <w:szCs w:val="14"/>
                <w:color w:val="FFFFFF"/>
              </w:rPr>
              <w:t>goals for the year related to</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shd w:val="clear" w:color="auto" w:fill="83AD40"/>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shd w:val="clear" w:color="auto" w:fill="E9F9D8"/>
          </w:tcPr>
          <w:p>
            <w:pPr>
              <w:spacing w:after="0"/>
              <w:rPr>
                <w:sz w:val="12"/>
                <w:szCs w:val="12"/>
                <w:color w:val="auto"/>
              </w:rPr>
            </w:pPr>
          </w:p>
        </w:tc>
        <w:tc>
          <w:tcPr>
            <w:tcW w:w="40" w:type="dxa"/>
            <w:vAlign w:val="bottom"/>
            <w:shd w:val="clear" w:color="auto" w:fill="E9F9D8"/>
          </w:tcPr>
          <w:p>
            <w:pPr>
              <w:spacing w:after="0"/>
              <w:rPr>
                <w:sz w:val="12"/>
                <w:szCs w:val="12"/>
                <w:color w:val="auto"/>
              </w:rPr>
            </w:pPr>
          </w:p>
        </w:tc>
        <w:tc>
          <w:tcPr>
            <w:tcW w:w="860" w:type="dxa"/>
            <w:vAlign w:val="bottom"/>
            <w:shd w:val="clear" w:color="auto" w:fill="E9F9D8"/>
          </w:tcPr>
          <w:p>
            <w:pPr>
              <w:spacing w:after="0" w:line="148" w:lineRule="exact"/>
              <w:rPr>
                <w:sz w:val="20"/>
                <w:szCs w:val="20"/>
                <w:color w:val="auto"/>
              </w:rPr>
            </w:pPr>
            <w:r>
              <w:rPr>
                <w:rFonts w:ascii="Arial" w:cs="Arial" w:eastAsia="Arial" w:hAnsi="Arial"/>
                <w:sz w:val="16"/>
                <w:szCs w:val="16"/>
                <w:b w:val="1"/>
                <w:bCs w:val="1"/>
                <w:color w:val="auto"/>
              </w:rPr>
              <w:t>$555,556</w:t>
            </w:r>
          </w:p>
        </w:tc>
        <w:tc>
          <w:tcPr>
            <w:tcW w:w="80" w:type="dxa"/>
            <w:vAlign w:val="bottom"/>
            <w:shd w:val="clear" w:color="auto" w:fill="E9F9D8"/>
          </w:tcPr>
          <w:p>
            <w:pPr>
              <w:spacing w:after="0"/>
              <w:rPr>
                <w:sz w:val="12"/>
                <w:szCs w:val="12"/>
                <w:color w:val="auto"/>
              </w:rPr>
            </w:pPr>
          </w:p>
        </w:tc>
        <w:tc>
          <w:tcPr>
            <w:tcW w:w="140" w:type="dxa"/>
            <w:vAlign w:val="bottom"/>
            <w:tcBorders>
              <w:left w:val="single" w:sz="8" w:color="E9F9D8"/>
            </w:tcBorders>
          </w:tcPr>
          <w:p>
            <w:pPr>
              <w:spacing w:after="0"/>
              <w:rPr>
                <w:sz w:val="12"/>
                <w:szCs w:val="12"/>
                <w:color w:val="auto"/>
              </w:rPr>
            </w:pPr>
          </w:p>
        </w:tc>
        <w:tc>
          <w:tcPr>
            <w:tcW w:w="840" w:type="dxa"/>
            <w:vAlign w:val="bottom"/>
          </w:tcPr>
          <w:p>
            <w:pPr>
              <w:spacing w:after="0" w:line="148" w:lineRule="exact"/>
              <w:rPr>
                <w:sz w:val="20"/>
                <w:szCs w:val="20"/>
                <w:color w:val="auto"/>
              </w:rPr>
            </w:pPr>
            <w:r>
              <w:rPr>
                <w:rFonts w:ascii="Arial" w:cs="Arial" w:eastAsia="Arial" w:hAnsi="Arial"/>
                <w:sz w:val="16"/>
                <w:szCs w:val="16"/>
                <w:b w:val="1"/>
                <w:bCs w:val="1"/>
                <w:color w:val="auto"/>
              </w:rPr>
              <w:t>$637,800</w:t>
            </w:r>
          </w:p>
        </w:tc>
        <w:tc>
          <w:tcPr>
            <w:tcW w:w="180" w:type="dxa"/>
            <w:vAlign w:val="bottom"/>
          </w:tcPr>
          <w:p>
            <w:pPr>
              <w:spacing w:after="0"/>
              <w:rPr>
                <w:sz w:val="12"/>
                <w:szCs w:val="12"/>
                <w:color w:val="auto"/>
              </w:rPr>
            </w:pPr>
          </w:p>
        </w:tc>
        <w:tc>
          <w:tcPr>
            <w:tcW w:w="4000" w:type="dxa"/>
            <w:vAlign w:val="bottom"/>
            <w:gridSpan w:val="6"/>
          </w:tcPr>
          <w:p>
            <w:pPr>
              <w:spacing w:after="0" w:line="149" w:lineRule="exact"/>
              <w:rPr>
                <w:sz w:val="20"/>
                <w:szCs w:val="20"/>
                <w:color w:val="auto"/>
              </w:rPr>
            </w:pPr>
            <w:r>
              <w:rPr>
                <w:rFonts w:ascii="Arial" w:cs="Arial" w:eastAsia="Arial" w:hAnsi="Arial"/>
                <w:sz w:val="15"/>
                <w:szCs w:val="15"/>
                <w:b w:val="1"/>
                <w:bCs w:val="1"/>
                <w:color w:val="auto"/>
                <w:w w:val="99"/>
              </w:rPr>
              <w:t xml:space="preserve">$555,556 </w:t>
            </w:r>
            <w:r>
              <w:rPr>
                <w:rFonts w:ascii="Arial" w:cs="Arial" w:eastAsia="Arial" w:hAnsi="Arial"/>
                <w:sz w:val="15"/>
                <w:szCs w:val="15"/>
                <w:color w:val="auto"/>
                <w:w w:val="99"/>
              </w:rPr>
              <w:t>approved by the Committee in January 2024.</w:t>
            </w:r>
            <w:r>
              <w:rPr>
                <w:rFonts w:ascii="Arial" w:cs="Arial" w:eastAsia="Arial" w:hAnsi="Arial"/>
                <w:sz w:val="15"/>
                <w:szCs w:val="15"/>
                <w:b w:val="1"/>
                <w:bCs w:val="1"/>
                <w:color w:val="auto"/>
                <w:w w:val="99"/>
              </w:rPr>
              <w:t xml:space="preserve"> The</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820" w:type="dxa"/>
            <w:vAlign w:val="bottom"/>
          </w:tcPr>
          <w:p>
            <w:pPr>
              <w:spacing w:after="0"/>
              <w:rPr>
                <w:sz w:val="14"/>
                <w:szCs w:val="14"/>
                <w:color w:val="auto"/>
              </w:rPr>
            </w:pPr>
          </w:p>
        </w:tc>
        <w:tc>
          <w:tcPr>
            <w:tcW w:w="2380" w:type="dxa"/>
            <w:vAlign w:val="bottom"/>
            <w:gridSpan w:val="2"/>
            <w:shd w:val="clear" w:color="auto" w:fill="1F2668"/>
          </w:tcPr>
          <w:p>
            <w:pPr>
              <w:ind w:left="140"/>
              <w:spacing w:after="0"/>
              <w:rPr>
                <w:sz w:val="20"/>
                <w:szCs w:val="20"/>
                <w:color w:val="auto"/>
              </w:rPr>
            </w:pPr>
            <w:r>
              <w:rPr>
                <w:rFonts w:ascii="Arial" w:cs="Arial" w:eastAsia="Arial" w:hAnsi="Arial"/>
                <w:sz w:val="14"/>
                <w:szCs w:val="14"/>
                <w:color w:val="FFFFFF"/>
              </w:rPr>
              <w:t>managing our debt and equity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shd w:val="clear" w:color="auto" w:fill="83AD40"/>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shd w:val="clear" w:color="auto" w:fill="E9F9D8"/>
          </w:tcPr>
          <w:p>
            <w:pPr>
              <w:spacing w:after="0"/>
              <w:rPr>
                <w:sz w:val="14"/>
                <w:szCs w:val="14"/>
                <w:color w:val="auto"/>
              </w:rPr>
            </w:pPr>
          </w:p>
        </w:tc>
        <w:tc>
          <w:tcPr>
            <w:tcW w:w="40" w:type="dxa"/>
            <w:vAlign w:val="bottom"/>
            <w:shd w:val="clear" w:color="auto" w:fill="E9F9D8"/>
          </w:tcPr>
          <w:p>
            <w:pPr>
              <w:spacing w:after="0"/>
              <w:rPr>
                <w:sz w:val="14"/>
                <w:szCs w:val="14"/>
                <w:color w:val="auto"/>
              </w:rPr>
            </w:pPr>
          </w:p>
        </w:tc>
        <w:tc>
          <w:tcPr>
            <w:tcW w:w="860" w:type="dxa"/>
            <w:vAlign w:val="bottom"/>
            <w:shd w:val="clear" w:color="auto" w:fill="E9F9D8"/>
          </w:tcPr>
          <w:p>
            <w:pPr>
              <w:spacing w:after="0"/>
              <w:rPr>
                <w:sz w:val="14"/>
                <w:szCs w:val="14"/>
                <w:color w:val="auto"/>
              </w:rPr>
            </w:pPr>
          </w:p>
        </w:tc>
        <w:tc>
          <w:tcPr>
            <w:tcW w:w="80" w:type="dxa"/>
            <w:vAlign w:val="bottom"/>
            <w:shd w:val="clear" w:color="auto" w:fill="E9F9D8"/>
          </w:tcPr>
          <w:p>
            <w:pPr>
              <w:spacing w:after="0"/>
              <w:rPr>
                <w:sz w:val="14"/>
                <w:szCs w:val="14"/>
                <w:color w:val="auto"/>
              </w:rPr>
            </w:pPr>
          </w:p>
        </w:tc>
        <w:tc>
          <w:tcPr>
            <w:tcW w:w="140" w:type="dxa"/>
            <w:vAlign w:val="bottom"/>
            <w:tcBorders>
              <w:left w:val="single" w:sz="8" w:color="E9F9D8"/>
            </w:tcBorders>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0" w:type="dxa"/>
            <w:vAlign w:val="bottom"/>
            <w:gridSpan w:val="5"/>
          </w:tcPr>
          <w:p>
            <w:pPr>
              <w:spacing w:after="0" w:line="167" w:lineRule="exact"/>
              <w:rPr>
                <w:sz w:val="20"/>
                <w:szCs w:val="20"/>
                <w:color w:val="auto"/>
              </w:rPr>
            </w:pPr>
            <w:r>
              <w:rPr>
                <w:rFonts w:ascii="Arial" w:cs="Arial" w:eastAsia="Arial" w:hAnsi="Arial"/>
                <w:sz w:val="15"/>
                <w:szCs w:val="15"/>
                <w:b w:val="1"/>
                <w:bCs w:val="1"/>
                <w:color w:val="auto"/>
              </w:rPr>
              <w:t>SCT amount represents the grant date value of the</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20" w:type="dxa"/>
            <w:vAlign w:val="bottom"/>
          </w:tcPr>
          <w:p>
            <w:pPr>
              <w:spacing w:after="0"/>
              <w:rPr>
                <w:sz w:val="13"/>
                <w:szCs w:val="13"/>
                <w:color w:val="auto"/>
              </w:rPr>
            </w:pPr>
          </w:p>
        </w:tc>
        <w:tc>
          <w:tcPr>
            <w:tcW w:w="2380" w:type="dxa"/>
            <w:vAlign w:val="bottom"/>
            <w:gridSpan w:val="2"/>
            <w:shd w:val="clear" w:color="auto" w:fill="1F2668"/>
          </w:tcPr>
          <w:p>
            <w:pPr>
              <w:ind w:left="140"/>
              <w:spacing w:after="0" w:line="158" w:lineRule="exact"/>
              <w:rPr>
                <w:sz w:val="20"/>
                <w:szCs w:val="20"/>
                <w:color w:val="auto"/>
              </w:rPr>
            </w:pPr>
            <w:r>
              <w:rPr>
                <w:rFonts w:ascii="Arial" w:cs="Arial" w:eastAsia="Arial" w:hAnsi="Arial"/>
                <w:sz w:val="14"/>
                <w:szCs w:val="14"/>
                <w:color w:val="FFFFFF"/>
              </w:rPr>
              <w:t>positions, for which Mr. DiLiberto</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shd w:val="clear" w:color="auto" w:fill="83AD40"/>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shd w:val="clear" w:color="auto" w:fill="E9F9D8"/>
          </w:tcPr>
          <w:p>
            <w:pPr>
              <w:spacing w:after="0"/>
              <w:rPr>
                <w:sz w:val="13"/>
                <w:szCs w:val="13"/>
                <w:color w:val="auto"/>
              </w:rPr>
            </w:pPr>
          </w:p>
        </w:tc>
        <w:tc>
          <w:tcPr>
            <w:tcW w:w="40" w:type="dxa"/>
            <w:vAlign w:val="bottom"/>
            <w:shd w:val="clear" w:color="auto" w:fill="E9F9D8"/>
          </w:tcPr>
          <w:p>
            <w:pPr>
              <w:spacing w:after="0"/>
              <w:rPr>
                <w:sz w:val="13"/>
                <w:szCs w:val="13"/>
                <w:color w:val="auto"/>
              </w:rPr>
            </w:pPr>
          </w:p>
        </w:tc>
        <w:tc>
          <w:tcPr>
            <w:tcW w:w="860" w:type="dxa"/>
            <w:vAlign w:val="bottom"/>
            <w:shd w:val="clear" w:color="auto" w:fill="E9F9D8"/>
          </w:tcPr>
          <w:p>
            <w:pPr>
              <w:spacing w:after="0"/>
              <w:rPr>
                <w:sz w:val="13"/>
                <w:szCs w:val="13"/>
                <w:color w:val="auto"/>
              </w:rPr>
            </w:pPr>
          </w:p>
        </w:tc>
        <w:tc>
          <w:tcPr>
            <w:tcW w:w="80" w:type="dxa"/>
            <w:vAlign w:val="bottom"/>
            <w:shd w:val="clear" w:color="auto" w:fill="E9F9D8"/>
          </w:tcPr>
          <w:p>
            <w:pPr>
              <w:spacing w:after="0"/>
              <w:rPr>
                <w:sz w:val="13"/>
                <w:szCs w:val="13"/>
                <w:color w:val="auto"/>
              </w:rPr>
            </w:pPr>
          </w:p>
        </w:tc>
        <w:tc>
          <w:tcPr>
            <w:tcW w:w="140" w:type="dxa"/>
            <w:vAlign w:val="bottom"/>
            <w:tcBorders>
              <w:left w:val="single" w:sz="8" w:color="E9F9D8"/>
            </w:tcBorders>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spacing w:after="0" w:line="158" w:lineRule="exact"/>
              <w:rPr>
                <w:sz w:val="20"/>
                <w:szCs w:val="20"/>
                <w:color w:val="auto"/>
              </w:rPr>
            </w:pPr>
            <w:r>
              <w:rPr>
                <w:rFonts w:ascii="Arial" w:cs="Arial" w:eastAsia="Arial" w:hAnsi="Arial"/>
                <w:sz w:val="15"/>
                <w:szCs w:val="15"/>
                <w:b w:val="1"/>
                <w:bCs w:val="1"/>
                <w:color w:val="auto"/>
              </w:rPr>
              <w:t>awards</w:t>
            </w:r>
            <w:r>
              <w:rPr>
                <w:rFonts w:ascii="Arial" w:cs="Arial" w:eastAsia="Arial" w:hAnsi="Arial"/>
                <w:sz w:val="15"/>
                <w:szCs w:val="15"/>
                <w:color w:val="auto"/>
              </w:rPr>
              <w:t>.</w:t>
            </w:r>
          </w:p>
        </w:tc>
        <w:tc>
          <w:tcPr>
            <w:tcW w:w="7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20" w:type="dxa"/>
            <w:vAlign w:val="bottom"/>
          </w:tcPr>
          <w:p>
            <w:pPr>
              <w:spacing w:after="0"/>
              <w:rPr>
                <w:sz w:val="13"/>
                <w:szCs w:val="13"/>
                <w:color w:val="auto"/>
              </w:rPr>
            </w:pPr>
          </w:p>
        </w:tc>
        <w:tc>
          <w:tcPr>
            <w:tcW w:w="2380" w:type="dxa"/>
            <w:vAlign w:val="bottom"/>
            <w:gridSpan w:val="2"/>
            <w:shd w:val="clear" w:color="auto" w:fill="1F2668"/>
          </w:tcPr>
          <w:p>
            <w:pPr>
              <w:ind w:left="140"/>
              <w:spacing w:after="0" w:line="153" w:lineRule="exact"/>
              <w:rPr>
                <w:sz w:val="20"/>
                <w:szCs w:val="20"/>
                <w:color w:val="auto"/>
              </w:rPr>
            </w:pPr>
            <w:r>
              <w:rPr>
                <w:rFonts w:ascii="Arial" w:cs="Arial" w:eastAsia="Arial" w:hAnsi="Arial"/>
                <w:sz w:val="14"/>
                <w:szCs w:val="14"/>
                <w:color w:val="FFFFFF"/>
              </w:rPr>
              <w:t>was primarily responsible,</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shd w:val="clear" w:color="auto" w:fill="83AD40"/>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shd w:val="clear" w:color="auto" w:fill="E9F9D8"/>
          </w:tcPr>
          <w:p>
            <w:pPr>
              <w:spacing w:after="0"/>
              <w:rPr>
                <w:sz w:val="13"/>
                <w:szCs w:val="13"/>
                <w:color w:val="auto"/>
              </w:rPr>
            </w:pPr>
          </w:p>
        </w:tc>
        <w:tc>
          <w:tcPr>
            <w:tcW w:w="40" w:type="dxa"/>
            <w:vAlign w:val="bottom"/>
            <w:shd w:val="clear" w:color="auto" w:fill="E9F9D8"/>
          </w:tcPr>
          <w:p>
            <w:pPr>
              <w:spacing w:after="0"/>
              <w:rPr>
                <w:sz w:val="13"/>
                <w:szCs w:val="13"/>
                <w:color w:val="auto"/>
              </w:rPr>
            </w:pPr>
          </w:p>
        </w:tc>
        <w:tc>
          <w:tcPr>
            <w:tcW w:w="860" w:type="dxa"/>
            <w:vAlign w:val="bottom"/>
            <w:shd w:val="clear" w:color="auto" w:fill="E9F9D8"/>
          </w:tcPr>
          <w:p>
            <w:pPr>
              <w:spacing w:after="0"/>
              <w:rPr>
                <w:sz w:val="13"/>
                <w:szCs w:val="13"/>
                <w:color w:val="auto"/>
              </w:rPr>
            </w:pPr>
          </w:p>
        </w:tc>
        <w:tc>
          <w:tcPr>
            <w:tcW w:w="80" w:type="dxa"/>
            <w:vAlign w:val="bottom"/>
            <w:shd w:val="clear" w:color="auto" w:fill="E9F9D8"/>
          </w:tcPr>
          <w:p>
            <w:pPr>
              <w:spacing w:after="0"/>
              <w:rPr>
                <w:sz w:val="13"/>
                <w:szCs w:val="13"/>
                <w:color w:val="auto"/>
              </w:rPr>
            </w:pPr>
          </w:p>
        </w:tc>
        <w:tc>
          <w:tcPr>
            <w:tcW w:w="140" w:type="dxa"/>
            <w:vAlign w:val="bottom"/>
            <w:tcBorders>
              <w:left w:val="single" w:sz="8" w:color="E9F9D8"/>
            </w:tcBorders>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0" w:type="dxa"/>
            <w:vAlign w:val="bottom"/>
            <w:gridSpan w:val="6"/>
            <w:vMerge w:val="restart"/>
          </w:tcPr>
          <w:p>
            <w:pPr>
              <w:spacing w:after="0"/>
              <w:rPr>
                <w:sz w:val="20"/>
                <w:szCs w:val="20"/>
                <w:color w:val="auto"/>
              </w:rPr>
            </w:pPr>
            <w:r>
              <w:rPr>
                <w:rFonts w:ascii="Arial" w:cs="Arial" w:eastAsia="Arial" w:hAnsi="Arial"/>
                <w:sz w:val="15"/>
                <w:szCs w:val="15"/>
                <w:color w:val="auto"/>
                <w:w w:val="97"/>
              </w:rPr>
              <w:t>The award relates to the corresponding number of LTIP units</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820" w:type="dxa"/>
            <w:vAlign w:val="bottom"/>
          </w:tcPr>
          <w:p>
            <w:pPr>
              <w:spacing w:after="0"/>
              <w:rPr>
                <w:sz w:val="6"/>
                <w:szCs w:val="6"/>
                <w:color w:val="auto"/>
              </w:rPr>
            </w:pPr>
          </w:p>
        </w:tc>
        <w:tc>
          <w:tcPr>
            <w:tcW w:w="2380" w:type="dxa"/>
            <w:vAlign w:val="bottom"/>
            <w:gridSpan w:val="2"/>
            <w:vMerge w:val="restart"/>
            <w:shd w:val="clear" w:color="auto" w:fill="1F2668"/>
          </w:tcPr>
          <w:p>
            <w:pPr>
              <w:ind w:left="140"/>
              <w:spacing w:after="0" w:line="149" w:lineRule="exact"/>
              <w:rPr>
                <w:sz w:val="20"/>
                <w:szCs w:val="20"/>
                <w:color w:val="auto"/>
              </w:rPr>
            </w:pPr>
            <w:r>
              <w:rPr>
                <w:rFonts w:ascii="Arial" w:cs="Arial" w:eastAsia="Arial" w:hAnsi="Arial"/>
                <w:sz w:val="14"/>
                <w:szCs w:val="14"/>
                <w:color w:val="FFFFFF"/>
              </w:rPr>
              <w:t>including refinancing, modifying</w:t>
            </w: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shd w:val="clear" w:color="auto" w:fill="83AD40"/>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shd w:val="clear" w:color="auto" w:fill="E9F9D8"/>
          </w:tcPr>
          <w:p>
            <w:pPr>
              <w:spacing w:after="0"/>
              <w:rPr>
                <w:sz w:val="6"/>
                <w:szCs w:val="6"/>
                <w:color w:val="auto"/>
              </w:rPr>
            </w:pPr>
          </w:p>
        </w:tc>
        <w:tc>
          <w:tcPr>
            <w:tcW w:w="40" w:type="dxa"/>
            <w:vAlign w:val="bottom"/>
            <w:shd w:val="clear" w:color="auto" w:fill="E9F9D8"/>
          </w:tcPr>
          <w:p>
            <w:pPr>
              <w:spacing w:after="0"/>
              <w:rPr>
                <w:sz w:val="6"/>
                <w:szCs w:val="6"/>
                <w:color w:val="auto"/>
              </w:rPr>
            </w:pPr>
          </w:p>
        </w:tc>
        <w:tc>
          <w:tcPr>
            <w:tcW w:w="860" w:type="dxa"/>
            <w:vAlign w:val="bottom"/>
            <w:shd w:val="clear" w:color="auto" w:fill="E9F9D8"/>
          </w:tcPr>
          <w:p>
            <w:pPr>
              <w:spacing w:after="0"/>
              <w:rPr>
                <w:sz w:val="6"/>
                <w:szCs w:val="6"/>
                <w:color w:val="auto"/>
              </w:rPr>
            </w:pPr>
          </w:p>
        </w:tc>
        <w:tc>
          <w:tcPr>
            <w:tcW w:w="80" w:type="dxa"/>
            <w:vAlign w:val="bottom"/>
            <w:shd w:val="clear" w:color="auto" w:fill="E9F9D8"/>
          </w:tcPr>
          <w:p>
            <w:pPr>
              <w:spacing w:after="0"/>
              <w:rPr>
                <w:sz w:val="6"/>
                <w:szCs w:val="6"/>
                <w:color w:val="auto"/>
              </w:rPr>
            </w:pPr>
          </w:p>
        </w:tc>
        <w:tc>
          <w:tcPr>
            <w:tcW w:w="140" w:type="dxa"/>
            <w:vAlign w:val="bottom"/>
            <w:tcBorders>
              <w:left w:val="single" w:sz="8" w:color="E9F9D8"/>
            </w:tcBorders>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0" w:type="dxa"/>
            <w:vAlign w:val="bottom"/>
            <w:gridSpan w:val="6"/>
            <w:vMerge w:val="continue"/>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820" w:type="dxa"/>
            <w:vAlign w:val="bottom"/>
          </w:tcPr>
          <w:p>
            <w:pPr>
              <w:spacing w:after="0"/>
              <w:rPr>
                <w:sz w:val="6"/>
                <w:szCs w:val="6"/>
                <w:color w:val="auto"/>
              </w:rPr>
            </w:pPr>
          </w:p>
        </w:tc>
        <w:tc>
          <w:tcPr>
            <w:tcW w:w="2380" w:type="dxa"/>
            <w:vAlign w:val="bottom"/>
            <w:gridSpan w:val="2"/>
            <w:vMerge w:val="continue"/>
            <w:shd w:val="clear" w:color="auto" w:fill="1F2668"/>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shd w:val="clear" w:color="auto" w:fill="83AD40"/>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shd w:val="clear" w:color="auto" w:fill="E9F9D8"/>
          </w:tcPr>
          <w:p>
            <w:pPr>
              <w:spacing w:after="0"/>
              <w:rPr>
                <w:sz w:val="6"/>
                <w:szCs w:val="6"/>
                <w:color w:val="auto"/>
              </w:rPr>
            </w:pPr>
          </w:p>
        </w:tc>
        <w:tc>
          <w:tcPr>
            <w:tcW w:w="40" w:type="dxa"/>
            <w:vAlign w:val="bottom"/>
            <w:shd w:val="clear" w:color="auto" w:fill="E9F9D8"/>
          </w:tcPr>
          <w:p>
            <w:pPr>
              <w:spacing w:after="0"/>
              <w:rPr>
                <w:sz w:val="6"/>
                <w:szCs w:val="6"/>
                <w:color w:val="auto"/>
              </w:rPr>
            </w:pPr>
          </w:p>
        </w:tc>
        <w:tc>
          <w:tcPr>
            <w:tcW w:w="860" w:type="dxa"/>
            <w:vAlign w:val="bottom"/>
            <w:shd w:val="clear" w:color="auto" w:fill="E9F9D8"/>
          </w:tcPr>
          <w:p>
            <w:pPr>
              <w:spacing w:after="0"/>
              <w:rPr>
                <w:sz w:val="6"/>
                <w:szCs w:val="6"/>
                <w:color w:val="auto"/>
              </w:rPr>
            </w:pPr>
          </w:p>
        </w:tc>
        <w:tc>
          <w:tcPr>
            <w:tcW w:w="80" w:type="dxa"/>
            <w:vAlign w:val="bottom"/>
            <w:shd w:val="clear" w:color="auto" w:fill="E9F9D8"/>
          </w:tcPr>
          <w:p>
            <w:pPr>
              <w:spacing w:after="0"/>
              <w:rPr>
                <w:sz w:val="6"/>
                <w:szCs w:val="6"/>
                <w:color w:val="auto"/>
              </w:rPr>
            </w:pPr>
          </w:p>
        </w:tc>
        <w:tc>
          <w:tcPr>
            <w:tcW w:w="140" w:type="dxa"/>
            <w:vAlign w:val="bottom"/>
            <w:tcBorders>
              <w:left w:val="single" w:sz="8" w:color="E9F9D8"/>
            </w:tcBorders>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5"/>
                <w:szCs w:val="15"/>
                <w:color w:val="auto"/>
              </w:rPr>
              <w:t>set forth below:</w:t>
            </w:r>
          </w:p>
        </w:tc>
        <w:tc>
          <w:tcPr>
            <w:tcW w:w="7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20" w:type="dxa"/>
            <w:vAlign w:val="bottom"/>
          </w:tcPr>
          <w:p>
            <w:pPr>
              <w:spacing w:after="0"/>
              <w:rPr>
                <w:sz w:val="15"/>
                <w:szCs w:val="15"/>
                <w:color w:val="auto"/>
              </w:rPr>
            </w:pPr>
          </w:p>
        </w:tc>
        <w:tc>
          <w:tcPr>
            <w:tcW w:w="2380" w:type="dxa"/>
            <w:vAlign w:val="bottom"/>
            <w:tcBorders>
              <w:bottom w:val="single" w:sz="8" w:color="1F2668"/>
            </w:tcBorders>
            <w:gridSpan w:val="2"/>
            <w:shd w:val="clear" w:color="auto" w:fill="1F2668"/>
          </w:tcPr>
          <w:p>
            <w:pPr>
              <w:ind w:left="140"/>
              <w:spacing w:after="0" w:line="158" w:lineRule="exact"/>
              <w:rPr>
                <w:sz w:val="20"/>
                <w:szCs w:val="20"/>
                <w:color w:val="auto"/>
              </w:rPr>
            </w:pPr>
            <w:r>
              <w:rPr>
                <w:rFonts w:ascii="Arial" w:cs="Arial" w:eastAsia="Arial" w:hAnsi="Arial"/>
                <w:sz w:val="14"/>
                <w:szCs w:val="14"/>
                <w:color w:val="FFFFFF"/>
              </w:rPr>
              <w:t>and extending a significant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bottom w:val="single" w:sz="8" w:color="83AD40"/>
            </w:tcBorders>
            <w:shd w:val="clear" w:color="auto" w:fill="83AD40"/>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Borders>
              <w:bottom w:val="single" w:sz="8" w:color="E9F9D8"/>
            </w:tcBorders>
            <w:shd w:val="clear" w:color="auto" w:fill="E9F9D8"/>
          </w:tcPr>
          <w:p>
            <w:pPr>
              <w:spacing w:after="0"/>
              <w:rPr>
                <w:sz w:val="15"/>
                <w:szCs w:val="15"/>
                <w:color w:val="auto"/>
              </w:rPr>
            </w:pPr>
          </w:p>
        </w:tc>
        <w:tc>
          <w:tcPr>
            <w:tcW w:w="40" w:type="dxa"/>
            <w:vAlign w:val="bottom"/>
            <w:tcBorders>
              <w:bottom w:val="single" w:sz="8" w:color="E9F9D8"/>
            </w:tcBorders>
            <w:shd w:val="clear" w:color="auto" w:fill="E9F9D8"/>
          </w:tcPr>
          <w:p>
            <w:pPr>
              <w:spacing w:after="0"/>
              <w:rPr>
                <w:sz w:val="15"/>
                <w:szCs w:val="15"/>
                <w:color w:val="auto"/>
              </w:rPr>
            </w:pPr>
          </w:p>
        </w:tc>
        <w:tc>
          <w:tcPr>
            <w:tcW w:w="860" w:type="dxa"/>
            <w:vAlign w:val="bottom"/>
            <w:tcBorders>
              <w:bottom w:val="single" w:sz="8" w:color="E9F9D8"/>
            </w:tcBorders>
            <w:shd w:val="clear" w:color="auto" w:fill="E9F9D8"/>
          </w:tcPr>
          <w:p>
            <w:pPr>
              <w:spacing w:after="0"/>
              <w:rPr>
                <w:sz w:val="15"/>
                <w:szCs w:val="15"/>
                <w:color w:val="auto"/>
              </w:rPr>
            </w:pPr>
          </w:p>
        </w:tc>
        <w:tc>
          <w:tcPr>
            <w:tcW w:w="80" w:type="dxa"/>
            <w:vAlign w:val="bottom"/>
            <w:tcBorders>
              <w:bottom w:val="single" w:sz="8" w:color="E9F9D8"/>
            </w:tcBorders>
            <w:shd w:val="clear" w:color="auto" w:fill="E9F9D8"/>
          </w:tcPr>
          <w:p>
            <w:pPr>
              <w:spacing w:after="0"/>
              <w:rPr>
                <w:sz w:val="15"/>
                <w:szCs w:val="15"/>
                <w:color w:val="auto"/>
              </w:rPr>
            </w:pPr>
          </w:p>
        </w:tc>
        <w:tc>
          <w:tcPr>
            <w:tcW w:w="140" w:type="dxa"/>
            <w:vAlign w:val="bottom"/>
            <w:tcBorders>
              <w:left w:val="single" w:sz="8" w:color="E9F9D8"/>
            </w:tcBorders>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Borders>
              <w:bottom w:val="single" w:sz="8" w:color="1F2668"/>
            </w:tcBorders>
            <w:gridSpan w:val="2"/>
            <w:vMerge w:val="continue"/>
          </w:tcPr>
          <w:p>
            <w:pPr>
              <w:spacing w:after="0"/>
              <w:rPr>
                <w:sz w:val="15"/>
                <w:szCs w:val="15"/>
                <w:color w:val="auto"/>
              </w:rPr>
            </w:pPr>
          </w:p>
        </w:tc>
        <w:tc>
          <w:tcPr>
            <w:tcW w:w="760" w:type="dxa"/>
            <w:vAlign w:val="bottom"/>
            <w:tcBorders>
              <w:bottom w:val="single" w:sz="8" w:color="1F2668"/>
            </w:tcBorders>
          </w:tcPr>
          <w:p>
            <w:pPr>
              <w:spacing w:after="0"/>
              <w:rPr>
                <w:sz w:val="15"/>
                <w:szCs w:val="15"/>
                <w:color w:val="auto"/>
              </w:rPr>
            </w:pPr>
          </w:p>
        </w:tc>
        <w:tc>
          <w:tcPr>
            <w:tcW w:w="1280" w:type="dxa"/>
            <w:vAlign w:val="bottom"/>
            <w:tcBorders>
              <w:bottom w:val="single" w:sz="8" w:color="1F2668"/>
            </w:tcBorders>
          </w:tcPr>
          <w:p>
            <w:pPr>
              <w:spacing w:after="0"/>
              <w:rPr>
                <w:sz w:val="15"/>
                <w:szCs w:val="15"/>
                <w:color w:val="auto"/>
              </w:rPr>
            </w:pPr>
          </w:p>
        </w:tc>
        <w:tc>
          <w:tcPr>
            <w:tcW w:w="560" w:type="dxa"/>
            <w:vAlign w:val="bottom"/>
            <w:tcBorders>
              <w:bottom w:val="single" w:sz="8" w:color="1F2668"/>
            </w:tcBorders>
          </w:tcPr>
          <w:p>
            <w:pPr>
              <w:spacing w:after="0"/>
              <w:rPr>
                <w:sz w:val="15"/>
                <w:szCs w:val="15"/>
                <w:color w:val="auto"/>
              </w:rPr>
            </w:pPr>
          </w:p>
        </w:tc>
        <w:tc>
          <w:tcPr>
            <w:tcW w:w="200" w:type="dxa"/>
            <w:vAlign w:val="bottom"/>
            <w:tcBorders>
              <w:bottom w:val="single" w:sz="8" w:color="1F2668"/>
            </w:tcBorders>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820" w:type="dxa"/>
            <w:vAlign w:val="bottom"/>
          </w:tcPr>
          <w:p>
            <w:pPr>
              <w:spacing w:after="0"/>
              <w:rPr>
                <w:sz w:val="9"/>
                <w:szCs w:val="9"/>
                <w:color w:val="auto"/>
              </w:rPr>
            </w:pPr>
          </w:p>
        </w:tc>
        <w:tc>
          <w:tcPr>
            <w:tcW w:w="2380" w:type="dxa"/>
            <w:vAlign w:val="bottom"/>
            <w:gridSpan w:val="2"/>
            <w:shd w:val="clear" w:color="auto" w:fill="1F2668"/>
          </w:tcPr>
          <w:p>
            <w:pPr>
              <w:ind w:left="140"/>
              <w:spacing w:after="0" w:line="113" w:lineRule="exact"/>
              <w:rPr>
                <w:sz w:val="20"/>
                <w:szCs w:val="20"/>
                <w:color w:val="auto"/>
              </w:rPr>
            </w:pPr>
            <w:r>
              <w:rPr>
                <w:rFonts w:ascii="Arial" w:cs="Arial" w:eastAsia="Arial" w:hAnsi="Arial"/>
                <w:sz w:val="13"/>
                <w:szCs w:val="13"/>
                <w:color w:val="FFFFFF"/>
              </w:rPr>
              <w:t>amount of our indebtedness,</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shd w:val="clear" w:color="auto" w:fill="83AD40"/>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shd w:val="clear" w:color="auto" w:fill="E9F9D8"/>
          </w:tcPr>
          <w:p>
            <w:pPr>
              <w:spacing w:after="0"/>
              <w:rPr>
                <w:sz w:val="9"/>
                <w:szCs w:val="9"/>
                <w:color w:val="auto"/>
              </w:rPr>
            </w:pPr>
          </w:p>
        </w:tc>
        <w:tc>
          <w:tcPr>
            <w:tcW w:w="40" w:type="dxa"/>
            <w:vAlign w:val="bottom"/>
            <w:shd w:val="clear" w:color="auto" w:fill="E9F9D8"/>
          </w:tcPr>
          <w:p>
            <w:pPr>
              <w:spacing w:after="0"/>
              <w:rPr>
                <w:sz w:val="9"/>
                <w:szCs w:val="9"/>
                <w:color w:val="auto"/>
              </w:rPr>
            </w:pPr>
          </w:p>
        </w:tc>
        <w:tc>
          <w:tcPr>
            <w:tcW w:w="860" w:type="dxa"/>
            <w:vAlign w:val="bottom"/>
            <w:shd w:val="clear" w:color="auto" w:fill="E9F9D8"/>
          </w:tcPr>
          <w:p>
            <w:pPr>
              <w:spacing w:after="0"/>
              <w:rPr>
                <w:sz w:val="9"/>
                <w:szCs w:val="9"/>
                <w:color w:val="auto"/>
              </w:rPr>
            </w:pPr>
          </w:p>
        </w:tc>
        <w:tc>
          <w:tcPr>
            <w:tcW w:w="80" w:type="dxa"/>
            <w:vAlign w:val="bottom"/>
            <w:shd w:val="clear" w:color="auto" w:fill="E9F9D8"/>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60" w:type="dxa"/>
            <w:vAlign w:val="bottom"/>
            <w:gridSpan w:val="3"/>
            <w:vMerge w:val="restart"/>
          </w:tcPr>
          <w:p>
            <w:pPr>
              <w:jc w:val="center"/>
              <w:ind w:left="467"/>
              <w:spacing w:after="0"/>
              <w:rPr>
                <w:sz w:val="20"/>
                <w:szCs w:val="20"/>
                <w:color w:val="auto"/>
              </w:rPr>
            </w:pPr>
            <w:r>
              <w:rPr>
                <w:rFonts w:ascii="Arial" w:cs="Arial" w:eastAsia="Arial" w:hAnsi="Arial"/>
                <w:sz w:val="14"/>
                <w:szCs w:val="14"/>
                <w:b w:val="1"/>
                <w:bCs w:val="1"/>
                <w:color w:val="1F2668"/>
              </w:rPr>
              <w:t>2024 Performance-Based Award—</w:t>
            </w: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820" w:type="dxa"/>
            <w:vAlign w:val="bottom"/>
          </w:tcPr>
          <w:p>
            <w:pPr>
              <w:spacing w:after="0"/>
              <w:rPr>
                <w:sz w:val="5"/>
                <w:szCs w:val="5"/>
                <w:color w:val="auto"/>
              </w:rPr>
            </w:pPr>
          </w:p>
        </w:tc>
        <w:tc>
          <w:tcPr>
            <w:tcW w:w="2380" w:type="dxa"/>
            <w:vAlign w:val="bottom"/>
            <w:gridSpan w:val="2"/>
            <w:vMerge w:val="restart"/>
            <w:shd w:val="clear" w:color="auto" w:fill="1F2668"/>
          </w:tcPr>
          <w:p>
            <w:pPr>
              <w:ind w:left="140"/>
              <w:spacing w:after="0" w:line="149" w:lineRule="exact"/>
              <w:rPr>
                <w:sz w:val="20"/>
                <w:szCs w:val="20"/>
                <w:color w:val="auto"/>
              </w:rPr>
            </w:pPr>
            <w:r>
              <w:rPr>
                <w:rFonts w:ascii="Arial" w:cs="Arial" w:eastAsia="Arial" w:hAnsi="Arial"/>
                <w:sz w:val="14"/>
                <w:szCs w:val="14"/>
                <w:color w:val="FFFFFF"/>
              </w:rPr>
              <w:t>while also reducing overall</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shd w:val="clear" w:color="auto" w:fill="83AD40"/>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shd w:val="clear" w:color="auto" w:fill="E9F9D8"/>
          </w:tcPr>
          <w:p>
            <w:pPr>
              <w:spacing w:after="0"/>
              <w:rPr>
                <w:sz w:val="5"/>
                <w:szCs w:val="5"/>
                <w:color w:val="auto"/>
              </w:rPr>
            </w:pPr>
          </w:p>
        </w:tc>
        <w:tc>
          <w:tcPr>
            <w:tcW w:w="40" w:type="dxa"/>
            <w:vAlign w:val="bottom"/>
            <w:shd w:val="clear" w:color="auto" w:fill="E9F9D8"/>
          </w:tcPr>
          <w:p>
            <w:pPr>
              <w:spacing w:after="0"/>
              <w:rPr>
                <w:sz w:val="5"/>
                <w:szCs w:val="5"/>
                <w:color w:val="auto"/>
              </w:rPr>
            </w:pPr>
          </w:p>
        </w:tc>
        <w:tc>
          <w:tcPr>
            <w:tcW w:w="860" w:type="dxa"/>
            <w:vAlign w:val="bottom"/>
            <w:shd w:val="clear" w:color="auto" w:fill="E9F9D8"/>
          </w:tcPr>
          <w:p>
            <w:pPr>
              <w:spacing w:after="0"/>
              <w:rPr>
                <w:sz w:val="5"/>
                <w:szCs w:val="5"/>
                <w:color w:val="auto"/>
              </w:rPr>
            </w:pPr>
          </w:p>
        </w:tc>
        <w:tc>
          <w:tcPr>
            <w:tcW w:w="80" w:type="dxa"/>
            <w:vAlign w:val="bottom"/>
            <w:shd w:val="clear" w:color="auto" w:fill="E9F9D8"/>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3160" w:type="dxa"/>
            <w:vAlign w:val="bottom"/>
            <w:gridSpan w:val="3"/>
            <w:vMerge w:val="continue"/>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820" w:type="dxa"/>
            <w:vAlign w:val="bottom"/>
          </w:tcPr>
          <w:p>
            <w:pPr>
              <w:spacing w:after="0"/>
              <w:rPr>
                <w:sz w:val="7"/>
                <w:szCs w:val="7"/>
                <w:color w:val="auto"/>
              </w:rPr>
            </w:pPr>
          </w:p>
        </w:tc>
        <w:tc>
          <w:tcPr>
            <w:tcW w:w="2380" w:type="dxa"/>
            <w:vAlign w:val="bottom"/>
            <w:gridSpan w:val="2"/>
            <w:vMerge w:val="continue"/>
            <w:shd w:val="clear" w:color="auto" w:fill="1F2668"/>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shd w:val="clear" w:color="auto" w:fill="83AD40"/>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vMerge w:val="restart"/>
            <w:shd w:val="clear" w:color="auto" w:fill="E9F9D8"/>
          </w:tcPr>
          <w:p>
            <w:pPr>
              <w:spacing w:after="0"/>
              <w:rPr>
                <w:sz w:val="20"/>
                <w:szCs w:val="20"/>
                <w:color w:val="auto"/>
              </w:rPr>
            </w:pPr>
            <w:r>
              <w:rPr>
                <w:rFonts w:ascii="Arial" w:cs="Arial" w:eastAsia="Arial" w:hAnsi="Arial"/>
                <w:sz w:val="14"/>
                <w:szCs w:val="14"/>
                <w:b w:val="1"/>
                <w:bCs w:val="1"/>
                <w:color w:val="1F2668"/>
              </w:rPr>
              <w:t>​</w:t>
            </w:r>
          </w:p>
        </w:tc>
        <w:tc>
          <w:tcPr>
            <w:tcW w:w="40" w:type="dxa"/>
            <w:vAlign w:val="bottom"/>
            <w:shd w:val="clear" w:color="auto" w:fill="E9F9D8"/>
          </w:tcPr>
          <w:p>
            <w:pPr>
              <w:spacing w:after="0"/>
              <w:rPr>
                <w:sz w:val="7"/>
                <w:szCs w:val="7"/>
                <w:color w:val="auto"/>
              </w:rPr>
            </w:pPr>
          </w:p>
        </w:tc>
        <w:tc>
          <w:tcPr>
            <w:tcW w:w="860" w:type="dxa"/>
            <w:vAlign w:val="bottom"/>
            <w:shd w:val="clear" w:color="auto" w:fill="E9F9D8"/>
          </w:tcPr>
          <w:p>
            <w:pPr>
              <w:spacing w:after="0"/>
              <w:rPr>
                <w:sz w:val="7"/>
                <w:szCs w:val="7"/>
                <w:color w:val="auto"/>
              </w:rPr>
            </w:pPr>
          </w:p>
        </w:tc>
        <w:tc>
          <w:tcPr>
            <w:tcW w:w="80" w:type="dxa"/>
            <w:vAlign w:val="bottom"/>
            <w:shd w:val="clear" w:color="auto" w:fill="E9F9D8"/>
          </w:tcPr>
          <w:p>
            <w:pPr>
              <w:spacing w:after="0"/>
              <w:rPr>
                <w:sz w:val="7"/>
                <w:szCs w:val="7"/>
                <w:color w:val="auto"/>
              </w:rPr>
            </w:pPr>
          </w:p>
        </w:tc>
        <w:tc>
          <w:tcPr>
            <w:tcW w:w="140" w:type="dxa"/>
            <w:vAlign w:val="bottom"/>
            <w:vMerge w:val="restart"/>
          </w:tcPr>
          <w:p>
            <w:pPr>
              <w:spacing w:after="0"/>
              <w:rPr>
                <w:sz w:val="20"/>
                <w:szCs w:val="20"/>
                <w:color w:val="auto"/>
              </w:rPr>
            </w:pPr>
            <w:r>
              <w:rPr>
                <w:rFonts w:ascii="Arial" w:cs="Arial" w:eastAsia="Arial" w:hAnsi="Arial"/>
                <w:sz w:val="14"/>
                <w:szCs w:val="14"/>
                <w:b w:val="1"/>
                <w:bCs w:val="1"/>
                <w:color w:val="1F2668"/>
              </w:rPr>
              <w:t>​​</w:t>
            </w:r>
          </w:p>
        </w:tc>
        <w:tc>
          <w:tcPr>
            <w:tcW w:w="840" w:type="dxa"/>
            <w:vAlign w:val="bottom"/>
          </w:tcPr>
          <w:p>
            <w:pPr>
              <w:spacing w:after="0"/>
              <w:rPr>
                <w:sz w:val="7"/>
                <w:szCs w:val="7"/>
                <w:color w:val="auto"/>
              </w:rPr>
            </w:pPr>
          </w:p>
        </w:tc>
        <w:tc>
          <w:tcPr>
            <w:tcW w:w="180" w:type="dxa"/>
            <w:vAlign w:val="bottom"/>
            <w:vMerge w:val="restart"/>
          </w:tcPr>
          <w:p>
            <w:pPr>
              <w:ind w:left="40"/>
              <w:spacing w:after="0"/>
              <w:rPr>
                <w:sz w:val="20"/>
                <w:szCs w:val="20"/>
                <w:color w:val="auto"/>
              </w:rPr>
            </w:pPr>
            <w:r>
              <w:rPr>
                <w:rFonts w:ascii="Arial" w:cs="Arial" w:eastAsia="Arial" w:hAnsi="Arial"/>
                <w:sz w:val="14"/>
                <w:szCs w:val="14"/>
                <w:b w:val="1"/>
                <w:bCs w:val="1"/>
                <w:color w:val="1F2668"/>
              </w:rPr>
              <w:t>​​</w:t>
            </w:r>
          </w:p>
        </w:tc>
        <w:tc>
          <w:tcPr>
            <w:tcW w:w="80" w:type="dxa"/>
            <w:vAlign w:val="bottom"/>
          </w:tcPr>
          <w:p>
            <w:pPr>
              <w:spacing w:after="0"/>
              <w:rPr>
                <w:sz w:val="7"/>
                <w:szCs w:val="7"/>
                <w:color w:val="auto"/>
              </w:rPr>
            </w:pPr>
          </w:p>
        </w:tc>
        <w:tc>
          <w:tcPr>
            <w:tcW w:w="3160" w:type="dxa"/>
            <w:vAlign w:val="bottom"/>
            <w:gridSpan w:val="3"/>
            <w:vMerge w:val="restart"/>
          </w:tcPr>
          <w:p>
            <w:pPr>
              <w:jc w:val="center"/>
              <w:ind w:left="507"/>
              <w:spacing w:after="0"/>
              <w:rPr>
                <w:sz w:val="20"/>
                <w:szCs w:val="20"/>
                <w:color w:val="auto"/>
              </w:rPr>
            </w:pPr>
            <w:r>
              <w:rPr>
                <w:rFonts w:ascii="Arial" w:cs="Arial" w:eastAsia="Arial" w:hAnsi="Arial"/>
                <w:sz w:val="14"/>
                <w:szCs w:val="14"/>
                <w:b w:val="1"/>
                <w:bCs w:val="1"/>
                <w:color w:val="1F2668"/>
              </w:rPr>
              <w:t>Number of LTIP Units Granted</w:t>
            </w:r>
          </w:p>
        </w:tc>
        <w:tc>
          <w:tcPr>
            <w:tcW w:w="560" w:type="dxa"/>
            <w:vAlign w:val="bottom"/>
          </w:tcPr>
          <w:p>
            <w:pPr>
              <w:spacing w:after="0"/>
              <w:rPr>
                <w:sz w:val="7"/>
                <w:szCs w:val="7"/>
                <w:color w:val="auto"/>
              </w:rPr>
            </w:pP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1F2668"/>
              </w:rPr>
              <w:t>​</w:t>
            </w: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820" w:type="dxa"/>
            <w:vAlign w:val="bottom"/>
          </w:tcPr>
          <w:p>
            <w:pPr>
              <w:spacing w:after="0"/>
              <w:rPr>
                <w:sz w:val="9"/>
                <w:szCs w:val="9"/>
                <w:color w:val="auto"/>
              </w:rPr>
            </w:pPr>
          </w:p>
        </w:tc>
        <w:tc>
          <w:tcPr>
            <w:tcW w:w="2380" w:type="dxa"/>
            <w:vAlign w:val="bottom"/>
            <w:gridSpan w:val="2"/>
            <w:vMerge w:val="restart"/>
            <w:shd w:val="clear" w:color="auto" w:fill="1F2668"/>
          </w:tcPr>
          <w:p>
            <w:pPr>
              <w:ind w:left="140"/>
              <w:spacing w:after="0"/>
              <w:rPr>
                <w:sz w:val="20"/>
                <w:szCs w:val="20"/>
                <w:color w:val="auto"/>
              </w:rPr>
            </w:pPr>
            <w:r>
              <w:rPr>
                <w:rFonts w:ascii="Arial" w:cs="Arial" w:eastAsia="Arial" w:hAnsi="Arial"/>
                <w:sz w:val="14"/>
                <w:szCs w:val="14"/>
                <w:color w:val="FFFFFF"/>
              </w:rPr>
              <w:t>indebtedness.</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shd w:val="clear" w:color="auto" w:fill="83AD40"/>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vMerge w:val="continue"/>
            <w:shd w:val="clear" w:color="auto" w:fill="E9F9D8"/>
          </w:tcPr>
          <w:p>
            <w:pPr>
              <w:spacing w:after="0"/>
              <w:rPr>
                <w:sz w:val="9"/>
                <w:szCs w:val="9"/>
                <w:color w:val="auto"/>
              </w:rPr>
            </w:pPr>
          </w:p>
        </w:tc>
        <w:tc>
          <w:tcPr>
            <w:tcW w:w="40" w:type="dxa"/>
            <w:vAlign w:val="bottom"/>
            <w:shd w:val="clear" w:color="auto" w:fill="E9F9D8"/>
          </w:tcPr>
          <w:p>
            <w:pPr>
              <w:spacing w:after="0"/>
              <w:rPr>
                <w:sz w:val="9"/>
                <w:szCs w:val="9"/>
                <w:color w:val="auto"/>
              </w:rPr>
            </w:pPr>
          </w:p>
        </w:tc>
        <w:tc>
          <w:tcPr>
            <w:tcW w:w="860" w:type="dxa"/>
            <w:vAlign w:val="bottom"/>
            <w:shd w:val="clear" w:color="auto" w:fill="E9F9D8"/>
          </w:tcPr>
          <w:p>
            <w:pPr>
              <w:spacing w:after="0"/>
              <w:rPr>
                <w:sz w:val="9"/>
                <w:szCs w:val="9"/>
                <w:color w:val="auto"/>
              </w:rPr>
            </w:pPr>
          </w:p>
        </w:tc>
        <w:tc>
          <w:tcPr>
            <w:tcW w:w="80" w:type="dxa"/>
            <w:vAlign w:val="bottom"/>
            <w:shd w:val="clear" w:color="auto" w:fill="E9F9D8"/>
          </w:tcPr>
          <w:p>
            <w:pPr>
              <w:spacing w:after="0"/>
              <w:rPr>
                <w:sz w:val="9"/>
                <w:szCs w:val="9"/>
                <w:color w:val="auto"/>
              </w:rPr>
            </w:pPr>
          </w:p>
        </w:tc>
        <w:tc>
          <w:tcPr>
            <w:tcW w:w="14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16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820" w:type="dxa"/>
            <w:vAlign w:val="bottom"/>
          </w:tcPr>
          <w:p>
            <w:pPr>
              <w:spacing w:after="0"/>
              <w:rPr>
                <w:sz w:val="5"/>
                <w:szCs w:val="5"/>
                <w:color w:val="auto"/>
              </w:rPr>
            </w:pPr>
          </w:p>
        </w:tc>
        <w:tc>
          <w:tcPr>
            <w:tcW w:w="2380" w:type="dxa"/>
            <w:vAlign w:val="bottom"/>
            <w:tcBorders>
              <w:top w:val="single" w:sz="8" w:color="1F2668"/>
            </w:tcBorders>
            <w:gridSpan w:val="2"/>
            <w:vMerge w:val="continue"/>
            <w:shd w:val="clear" w:color="auto" w:fill="1F2668"/>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Borders>
              <w:top w:val="single" w:sz="8" w:color="83AD40"/>
            </w:tcBorders>
            <w:shd w:val="clear" w:color="auto" w:fill="83AD40"/>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Borders>
              <w:top w:val="single" w:sz="8" w:color="E9F9D8"/>
            </w:tcBorders>
            <w:shd w:val="clear" w:color="auto" w:fill="E9F9D8"/>
          </w:tcPr>
          <w:p>
            <w:pPr>
              <w:spacing w:after="0"/>
              <w:rPr>
                <w:sz w:val="5"/>
                <w:szCs w:val="5"/>
                <w:color w:val="auto"/>
              </w:rPr>
            </w:pPr>
          </w:p>
        </w:tc>
        <w:tc>
          <w:tcPr>
            <w:tcW w:w="40" w:type="dxa"/>
            <w:vAlign w:val="bottom"/>
            <w:tcBorders>
              <w:top w:val="single" w:sz="8" w:color="E9F9D8"/>
            </w:tcBorders>
            <w:shd w:val="clear" w:color="auto" w:fill="E9F9D8"/>
          </w:tcPr>
          <w:p>
            <w:pPr>
              <w:spacing w:after="0"/>
              <w:rPr>
                <w:sz w:val="5"/>
                <w:szCs w:val="5"/>
                <w:color w:val="auto"/>
              </w:rPr>
            </w:pPr>
          </w:p>
        </w:tc>
        <w:tc>
          <w:tcPr>
            <w:tcW w:w="860" w:type="dxa"/>
            <w:vAlign w:val="bottom"/>
            <w:tcBorders>
              <w:top w:val="single" w:sz="8" w:color="E9F9D8"/>
            </w:tcBorders>
            <w:shd w:val="clear" w:color="auto" w:fill="E9F9D8"/>
          </w:tcPr>
          <w:p>
            <w:pPr>
              <w:spacing w:after="0"/>
              <w:rPr>
                <w:sz w:val="5"/>
                <w:szCs w:val="5"/>
                <w:color w:val="auto"/>
              </w:rPr>
            </w:pPr>
          </w:p>
        </w:tc>
        <w:tc>
          <w:tcPr>
            <w:tcW w:w="80" w:type="dxa"/>
            <w:vAlign w:val="bottom"/>
            <w:tcBorders>
              <w:top w:val="single" w:sz="8" w:color="E9F9D8"/>
            </w:tcBorders>
            <w:shd w:val="clear" w:color="auto" w:fill="E9F9D8"/>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Borders>
              <w:top w:val="single" w:sz="8" w:color="1F2668"/>
            </w:tcBorders>
          </w:tcPr>
          <w:p>
            <w:pPr>
              <w:spacing w:after="0"/>
              <w:rPr>
                <w:sz w:val="5"/>
                <w:szCs w:val="5"/>
                <w:color w:val="auto"/>
              </w:rPr>
            </w:pPr>
          </w:p>
        </w:tc>
        <w:tc>
          <w:tcPr>
            <w:tcW w:w="1120" w:type="dxa"/>
            <w:vAlign w:val="bottom"/>
            <w:tcBorders>
              <w:top w:val="single" w:sz="8" w:color="1F2668"/>
            </w:tcBorders>
          </w:tcPr>
          <w:p>
            <w:pPr>
              <w:spacing w:after="0"/>
              <w:rPr>
                <w:sz w:val="5"/>
                <w:szCs w:val="5"/>
                <w:color w:val="auto"/>
              </w:rPr>
            </w:pPr>
          </w:p>
        </w:tc>
        <w:tc>
          <w:tcPr>
            <w:tcW w:w="760" w:type="dxa"/>
            <w:vAlign w:val="bottom"/>
            <w:tcBorders>
              <w:top w:val="single" w:sz="8" w:color="1F2668"/>
            </w:tcBorders>
          </w:tcPr>
          <w:p>
            <w:pPr>
              <w:spacing w:after="0"/>
              <w:rPr>
                <w:sz w:val="5"/>
                <w:szCs w:val="5"/>
                <w:color w:val="auto"/>
              </w:rPr>
            </w:pPr>
          </w:p>
        </w:tc>
        <w:tc>
          <w:tcPr>
            <w:tcW w:w="1280" w:type="dxa"/>
            <w:vAlign w:val="bottom"/>
            <w:tcBorders>
              <w:top w:val="single" w:sz="8" w:color="1F2668"/>
            </w:tcBorders>
          </w:tcPr>
          <w:p>
            <w:pPr>
              <w:spacing w:after="0"/>
              <w:rPr>
                <w:sz w:val="5"/>
                <w:szCs w:val="5"/>
                <w:color w:val="auto"/>
              </w:rPr>
            </w:pPr>
          </w:p>
        </w:tc>
        <w:tc>
          <w:tcPr>
            <w:tcW w:w="760" w:type="dxa"/>
            <w:vAlign w:val="bottom"/>
            <w:tcBorders>
              <w:top w:val="single" w:sz="8" w:color="1F2668"/>
            </w:tcBorders>
            <w:gridSpan w:val="2"/>
            <w:vMerge w:val="restart"/>
          </w:tcPr>
          <w:p>
            <w:pPr>
              <w:jc w:val="right"/>
              <w:ind w:right="30"/>
              <w:spacing w:after="0" w:line="153" w:lineRule="exact"/>
              <w:rPr>
                <w:sz w:val="20"/>
                <w:szCs w:val="20"/>
                <w:color w:val="auto"/>
              </w:rPr>
            </w:pPr>
            <w:r>
              <w:rPr>
                <w:rFonts w:ascii="Arial" w:cs="Arial" w:eastAsia="Arial" w:hAnsi="Arial"/>
                <w:sz w:val="14"/>
                <w:szCs w:val="14"/>
                <w:b w:val="1"/>
                <w:bCs w:val="1"/>
                <w:color w:val="1F2668"/>
                <w:w w:val="97"/>
              </w:rPr>
              <w:t>Projected</w:t>
            </w: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820" w:type="dxa"/>
            <w:vAlign w:val="bottom"/>
          </w:tcPr>
          <w:p>
            <w:pPr>
              <w:spacing w:after="0"/>
              <w:rPr>
                <w:sz w:val="8"/>
                <w:szCs w:val="8"/>
                <w:color w:val="auto"/>
              </w:rPr>
            </w:pPr>
          </w:p>
        </w:tc>
        <w:tc>
          <w:tcPr>
            <w:tcW w:w="2380" w:type="dxa"/>
            <w:vAlign w:val="bottom"/>
            <w:gridSpan w:val="2"/>
            <w:vMerge w:val="restart"/>
            <w:shd w:val="clear" w:color="auto" w:fill="1F2668"/>
          </w:tcPr>
          <w:p>
            <w:pPr>
              <w:ind w:left="140"/>
              <w:spacing w:after="0"/>
              <w:rPr>
                <w:sz w:val="20"/>
                <w:szCs w:val="20"/>
                <w:color w:val="auto"/>
              </w:rPr>
            </w:pPr>
            <w:r>
              <w:rPr>
                <w:rFonts w:ascii="Arial" w:cs="Arial" w:eastAsia="Arial" w:hAnsi="Arial"/>
                <w:sz w:val="14"/>
                <w:szCs w:val="14"/>
                <w:color w:val="FFFFFF"/>
              </w:rPr>
              <w:t>In addition, Mr. DiLiberto was a</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shd w:val="clear" w:color="auto" w:fill="83AD40"/>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shd w:val="clear" w:color="auto" w:fill="E9F9D8"/>
          </w:tcPr>
          <w:p>
            <w:pPr>
              <w:spacing w:after="0"/>
              <w:rPr>
                <w:sz w:val="8"/>
                <w:szCs w:val="8"/>
                <w:color w:val="auto"/>
              </w:rPr>
            </w:pPr>
          </w:p>
        </w:tc>
        <w:tc>
          <w:tcPr>
            <w:tcW w:w="40" w:type="dxa"/>
            <w:vAlign w:val="bottom"/>
            <w:shd w:val="clear" w:color="auto" w:fill="E9F9D8"/>
          </w:tcPr>
          <w:p>
            <w:pPr>
              <w:spacing w:after="0"/>
              <w:rPr>
                <w:sz w:val="8"/>
                <w:szCs w:val="8"/>
                <w:color w:val="auto"/>
              </w:rPr>
            </w:pPr>
          </w:p>
        </w:tc>
        <w:tc>
          <w:tcPr>
            <w:tcW w:w="860" w:type="dxa"/>
            <w:vAlign w:val="bottom"/>
            <w:shd w:val="clear" w:color="auto" w:fill="E9F9D8"/>
          </w:tcPr>
          <w:p>
            <w:pPr>
              <w:spacing w:after="0"/>
              <w:rPr>
                <w:sz w:val="8"/>
                <w:szCs w:val="8"/>
                <w:color w:val="auto"/>
              </w:rPr>
            </w:pPr>
          </w:p>
        </w:tc>
        <w:tc>
          <w:tcPr>
            <w:tcW w:w="80" w:type="dxa"/>
            <w:vAlign w:val="bottom"/>
            <w:shd w:val="clear" w:color="auto" w:fill="E9F9D8"/>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2380" w:type="dxa"/>
            <w:vAlign w:val="bottom"/>
            <w:gridSpan w:val="2"/>
            <w:vMerge w:val="continue"/>
            <w:shd w:val="clear" w:color="auto" w:fill="1F2668"/>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shd w:val="clear" w:color="auto" w:fill="83AD40"/>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shd w:val="clear" w:color="auto" w:fill="E9F9D8"/>
          </w:tcPr>
          <w:p>
            <w:pPr>
              <w:spacing w:after="0"/>
              <w:rPr>
                <w:sz w:val="12"/>
                <w:szCs w:val="12"/>
                <w:color w:val="auto"/>
              </w:rPr>
            </w:pPr>
          </w:p>
        </w:tc>
        <w:tc>
          <w:tcPr>
            <w:tcW w:w="40" w:type="dxa"/>
            <w:vAlign w:val="bottom"/>
            <w:shd w:val="clear" w:color="auto" w:fill="E9F9D8"/>
          </w:tcPr>
          <w:p>
            <w:pPr>
              <w:spacing w:after="0"/>
              <w:rPr>
                <w:sz w:val="12"/>
                <w:szCs w:val="12"/>
                <w:color w:val="auto"/>
              </w:rPr>
            </w:pPr>
          </w:p>
        </w:tc>
        <w:tc>
          <w:tcPr>
            <w:tcW w:w="860" w:type="dxa"/>
            <w:vAlign w:val="bottom"/>
            <w:shd w:val="clear" w:color="auto" w:fill="E9F9D8"/>
          </w:tcPr>
          <w:p>
            <w:pPr>
              <w:spacing w:after="0"/>
              <w:rPr>
                <w:sz w:val="12"/>
                <w:szCs w:val="12"/>
                <w:color w:val="auto"/>
              </w:rPr>
            </w:pPr>
          </w:p>
        </w:tc>
        <w:tc>
          <w:tcPr>
            <w:tcW w:w="80" w:type="dxa"/>
            <w:vAlign w:val="bottom"/>
            <w:shd w:val="clear" w:color="auto" w:fill="E9F9D8"/>
          </w:tcPr>
          <w:p>
            <w:pPr>
              <w:spacing w:after="0"/>
              <w:rPr>
                <w:sz w:val="12"/>
                <w:szCs w:val="12"/>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1F2668"/>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vMerge w:val="restart"/>
          </w:tcPr>
          <w:p>
            <w:pPr>
              <w:jc w:val="right"/>
              <w:ind w:right="147"/>
              <w:spacing w:after="0" w:line="306" w:lineRule="exact"/>
              <w:rPr>
                <w:sz w:val="20"/>
                <w:szCs w:val="20"/>
                <w:color w:val="auto"/>
              </w:rPr>
            </w:pPr>
            <w:r>
              <w:rPr>
                <w:rFonts w:ascii="Arial" w:cs="Arial" w:eastAsia="Arial" w:hAnsi="Arial"/>
                <w:sz w:val="14"/>
                <w:szCs w:val="14"/>
                <w:b w:val="1"/>
                <w:bCs w:val="1"/>
                <w:color w:val="1F2668"/>
              </w:rPr>
              <w:t xml:space="preserve">Threshold </w:t>
            </w:r>
            <w:r>
              <w:rPr>
                <w:rFonts w:ascii="Arial" w:cs="Arial" w:eastAsia="Arial" w:hAnsi="Arial"/>
                <w:sz w:val="28"/>
                <w:szCs w:val="28"/>
                <w:b w:val="1"/>
                <w:bCs w:val="1"/>
                <w:color w:val="1F2668"/>
                <w:vertAlign w:val="subscript"/>
              </w:rPr>
              <w:t>​​</w:t>
            </w:r>
          </w:p>
        </w:tc>
        <w:tc>
          <w:tcPr>
            <w:tcW w:w="760" w:type="dxa"/>
            <w:vAlign w:val="bottom"/>
            <w:vMerge w:val="restart"/>
          </w:tcPr>
          <w:p>
            <w:pPr>
              <w:jc w:val="right"/>
              <w:spacing w:after="0" w:line="306" w:lineRule="exact"/>
              <w:rPr>
                <w:sz w:val="20"/>
                <w:szCs w:val="20"/>
                <w:color w:val="auto"/>
              </w:rPr>
            </w:pPr>
            <w:r>
              <w:rPr>
                <w:rFonts w:ascii="Arial" w:cs="Arial" w:eastAsia="Arial" w:hAnsi="Arial"/>
                <w:sz w:val="14"/>
                <w:szCs w:val="14"/>
                <w:b w:val="1"/>
                <w:bCs w:val="1"/>
                <w:color w:val="1F2668"/>
              </w:rPr>
              <w:t xml:space="preserve">Target </w:t>
            </w:r>
            <w:r>
              <w:rPr>
                <w:rFonts w:ascii="Arial" w:cs="Arial" w:eastAsia="Arial" w:hAnsi="Arial"/>
                <w:sz w:val="28"/>
                <w:szCs w:val="28"/>
                <w:b w:val="1"/>
                <w:bCs w:val="1"/>
                <w:color w:val="1F2668"/>
                <w:vertAlign w:val="subscript"/>
              </w:rPr>
              <w:t>​​</w:t>
            </w:r>
          </w:p>
        </w:tc>
        <w:tc>
          <w:tcPr>
            <w:tcW w:w="1280" w:type="dxa"/>
            <w:vAlign w:val="bottom"/>
          </w:tcPr>
          <w:p>
            <w:pPr>
              <w:spacing w:after="0"/>
              <w:rPr>
                <w:sz w:val="12"/>
                <w:szCs w:val="12"/>
                <w:color w:val="auto"/>
              </w:rPr>
            </w:pPr>
          </w:p>
        </w:tc>
        <w:tc>
          <w:tcPr>
            <w:tcW w:w="760" w:type="dxa"/>
            <w:vAlign w:val="bottom"/>
            <w:gridSpan w:val="2"/>
          </w:tcPr>
          <w:p>
            <w:pPr>
              <w:jc w:val="right"/>
              <w:ind w:right="30"/>
              <w:spacing w:after="0" w:line="145" w:lineRule="exact"/>
              <w:rPr>
                <w:sz w:val="20"/>
                <w:szCs w:val="20"/>
                <w:color w:val="auto"/>
              </w:rPr>
            </w:pPr>
            <w:r>
              <w:rPr>
                <w:rFonts w:ascii="Arial" w:cs="Arial" w:eastAsia="Arial" w:hAnsi="Arial"/>
                <w:sz w:val="14"/>
                <w:szCs w:val="14"/>
                <w:b w:val="1"/>
                <w:bCs w:val="1"/>
                <w:color w:val="1F2668"/>
              </w:rPr>
              <w:t>Earned</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2380" w:type="dxa"/>
            <w:vAlign w:val="bottom"/>
            <w:gridSpan w:val="2"/>
            <w:shd w:val="clear" w:color="auto" w:fill="1F2668"/>
          </w:tcPr>
          <w:p>
            <w:pPr>
              <w:ind w:left="140"/>
              <w:spacing w:after="0"/>
              <w:rPr>
                <w:sz w:val="20"/>
                <w:szCs w:val="20"/>
                <w:color w:val="auto"/>
              </w:rPr>
            </w:pPr>
            <w:r>
              <w:rPr>
                <w:rFonts w:ascii="Arial" w:cs="Arial" w:eastAsia="Arial" w:hAnsi="Arial"/>
                <w:sz w:val="14"/>
                <w:szCs w:val="14"/>
                <w:color w:val="FFFFFF"/>
              </w:rPr>
              <w:t>vital part of not only advancing</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shd w:val="clear" w:color="auto" w:fill="83AD40"/>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shd w:val="clear" w:color="auto" w:fill="E9F9D8"/>
          </w:tcPr>
          <w:p>
            <w:pPr>
              <w:spacing w:after="0"/>
              <w:rPr>
                <w:sz w:val="20"/>
                <w:szCs w:val="20"/>
                <w:color w:val="auto"/>
              </w:rPr>
            </w:pPr>
            <w:r>
              <w:rPr>
                <w:rFonts w:ascii="Arial" w:cs="Arial" w:eastAsia="Arial" w:hAnsi="Arial"/>
                <w:sz w:val="14"/>
                <w:szCs w:val="14"/>
                <w:b w:val="1"/>
                <w:bCs w:val="1"/>
                <w:color w:val="1F2668"/>
              </w:rPr>
              <w:t>​</w:t>
            </w:r>
          </w:p>
        </w:tc>
        <w:tc>
          <w:tcPr>
            <w:tcW w:w="40" w:type="dxa"/>
            <w:vAlign w:val="bottom"/>
            <w:shd w:val="clear" w:color="auto" w:fill="E9F9D8"/>
          </w:tcPr>
          <w:p>
            <w:pPr>
              <w:spacing w:after="0"/>
              <w:rPr>
                <w:sz w:val="14"/>
                <w:szCs w:val="14"/>
                <w:color w:val="auto"/>
              </w:rPr>
            </w:pPr>
          </w:p>
        </w:tc>
        <w:tc>
          <w:tcPr>
            <w:tcW w:w="860" w:type="dxa"/>
            <w:vAlign w:val="bottom"/>
            <w:shd w:val="clear" w:color="auto" w:fill="E9F9D8"/>
          </w:tcPr>
          <w:p>
            <w:pPr>
              <w:spacing w:after="0"/>
              <w:rPr>
                <w:sz w:val="14"/>
                <w:szCs w:val="14"/>
                <w:color w:val="auto"/>
              </w:rPr>
            </w:pPr>
          </w:p>
        </w:tc>
        <w:tc>
          <w:tcPr>
            <w:tcW w:w="80" w:type="dxa"/>
            <w:vAlign w:val="bottom"/>
            <w:shd w:val="clear" w:color="auto" w:fill="E9F9D8"/>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60" w:type="dxa"/>
            <w:vAlign w:val="bottom"/>
            <w:gridSpan w:val="2"/>
          </w:tcPr>
          <w:p>
            <w:pPr>
              <w:ind w:left="40"/>
              <w:spacing w:after="0"/>
              <w:rPr>
                <w:sz w:val="20"/>
                <w:szCs w:val="20"/>
                <w:color w:val="auto"/>
              </w:rPr>
            </w:pPr>
            <w:r>
              <w:rPr>
                <w:rFonts w:ascii="Arial" w:cs="Arial" w:eastAsia="Arial" w:hAnsi="Arial"/>
                <w:sz w:val="14"/>
                <w:szCs w:val="14"/>
                <w:b w:val="1"/>
                <w:bCs w:val="1"/>
                <w:color w:val="1F2668"/>
              </w:rPr>
              <w:t>​ ​​</w:t>
            </w:r>
          </w:p>
        </w:tc>
        <w:tc>
          <w:tcPr>
            <w:tcW w:w="11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040" w:type="dxa"/>
            <w:vAlign w:val="bottom"/>
            <w:gridSpan w:val="3"/>
          </w:tcPr>
          <w:p>
            <w:pPr>
              <w:jc w:val="right"/>
              <w:spacing w:after="0" w:line="162" w:lineRule="exact"/>
              <w:rPr>
                <w:sz w:val="20"/>
                <w:szCs w:val="20"/>
                <w:color w:val="auto"/>
              </w:rPr>
            </w:pPr>
            <w:r>
              <w:rPr>
                <w:rFonts w:ascii="Arial" w:cs="Arial" w:eastAsia="Arial" w:hAnsi="Arial"/>
                <w:sz w:val="11"/>
                <w:szCs w:val="11"/>
                <w:b w:val="1"/>
                <w:bCs w:val="1"/>
                <w:color w:val="1F2668"/>
              </w:rPr>
              <w:t xml:space="preserve">Maximum </w:t>
            </w:r>
            <w:r>
              <w:rPr>
                <w:rFonts w:ascii="Arial" w:cs="Arial" w:eastAsia="Arial" w:hAnsi="Arial"/>
                <w:sz w:val="18"/>
                <w:szCs w:val="18"/>
                <w:b w:val="1"/>
                <w:bCs w:val="1"/>
                <w:color w:val="1F2668"/>
                <w:vertAlign w:val="subscript"/>
              </w:rPr>
              <w:t>​​</w:t>
            </w:r>
            <w:r>
              <w:rPr>
                <w:rFonts w:ascii="Arial" w:cs="Arial" w:eastAsia="Arial" w:hAnsi="Arial"/>
                <w:sz w:val="11"/>
                <w:szCs w:val="11"/>
                <w:b w:val="1"/>
                <w:bCs w:val="1"/>
                <w:color w:val="1F2668"/>
              </w:rPr>
              <w:t xml:space="preserve"> as of 12/31/2024</w:t>
            </w:r>
          </w:p>
        </w:tc>
        <w:tc>
          <w:tcPr>
            <w:tcW w:w="880" w:type="dxa"/>
            <w:vAlign w:val="bottom"/>
          </w:tcPr>
          <w:p>
            <w:pPr>
              <w:jc w:val="right"/>
              <w:ind w:right="724"/>
              <w:spacing w:after="0"/>
              <w:rPr>
                <w:sz w:val="20"/>
                <w:szCs w:val="20"/>
                <w:color w:val="auto"/>
              </w:rPr>
            </w:pPr>
            <w:r>
              <w:rPr>
                <w:rFonts w:ascii="Arial" w:cs="Arial" w:eastAsia="Arial" w:hAnsi="Arial"/>
                <w:sz w:val="14"/>
                <w:szCs w:val="14"/>
                <w:b w:val="1"/>
                <w:bCs w:val="1"/>
                <w:color w:val="1F2668"/>
              </w:rPr>
              <w:t>​</w:t>
            </w:r>
          </w:p>
        </w:tc>
        <w:tc>
          <w:tcPr>
            <w:tcW w:w="0" w:type="dxa"/>
            <w:vAlign w:val="bottom"/>
          </w:tcPr>
          <w:p>
            <w:pPr>
              <w:spacing w:after="0"/>
              <w:rPr>
                <w:sz w:val="1"/>
                <w:szCs w:val="1"/>
                <w:color w:val="auto"/>
              </w:rPr>
            </w:pPr>
          </w:p>
        </w:tc>
      </w:tr>
      <w:tr>
        <w:trPr>
          <w:trHeight w:val="61"/>
        </w:trPr>
        <w:tc>
          <w:tcPr>
            <w:tcW w:w="820" w:type="dxa"/>
            <w:vAlign w:val="bottom"/>
          </w:tcPr>
          <w:p>
            <w:pPr>
              <w:spacing w:after="0"/>
              <w:rPr>
                <w:sz w:val="5"/>
                <w:szCs w:val="5"/>
                <w:color w:val="auto"/>
              </w:rPr>
            </w:pPr>
          </w:p>
        </w:tc>
        <w:tc>
          <w:tcPr>
            <w:tcW w:w="2380" w:type="dxa"/>
            <w:vAlign w:val="bottom"/>
            <w:tcBorders>
              <w:bottom w:val="single" w:sz="8" w:color="1F2668"/>
            </w:tcBorders>
            <w:gridSpan w:val="2"/>
            <w:vMerge w:val="restart"/>
            <w:shd w:val="clear" w:color="auto" w:fill="1F2668"/>
          </w:tcPr>
          <w:p>
            <w:pPr>
              <w:ind w:left="140"/>
              <w:spacing w:after="0" w:line="126" w:lineRule="exact"/>
              <w:rPr>
                <w:sz w:val="20"/>
                <w:szCs w:val="20"/>
                <w:color w:val="auto"/>
              </w:rPr>
            </w:pPr>
            <w:r>
              <w:rPr>
                <w:rFonts w:ascii="Arial" w:cs="Arial" w:eastAsia="Arial" w:hAnsi="Arial"/>
                <w:sz w:val="14"/>
                <w:szCs w:val="14"/>
                <w:color w:val="FFFFFF"/>
              </w:rPr>
              <w:t>the transformational initiatives</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Borders>
              <w:bottom w:val="single" w:sz="8" w:color="83AD40"/>
            </w:tcBorders>
            <w:shd w:val="clear" w:color="auto" w:fill="83AD40"/>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Borders>
              <w:bottom w:val="single" w:sz="8" w:color="E9F9D8"/>
            </w:tcBorders>
            <w:shd w:val="clear" w:color="auto" w:fill="E9F9D8"/>
          </w:tcPr>
          <w:p>
            <w:pPr>
              <w:spacing w:after="0"/>
              <w:rPr>
                <w:sz w:val="5"/>
                <w:szCs w:val="5"/>
                <w:color w:val="auto"/>
              </w:rPr>
            </w:pPr>
          </w:p>
        </w:tc>
        <w:tc>
          <w:tcPr>
            <w:tcW w:w="40" w:type="dxa"/>
            <w:vAlign w:val="bottom"/>
            <w:tcBorders>
              <w:bottom w:val="single" w:sz="8" w:color="E9F9D8"/>
            </w:tcBorders>
            <w:shd w:val="clear" w:color="auto" w:fill="E9F9D8"/>
          </w:tcPr>
          <w:p>
            <w:pPr>
              <w:spacing w:after="0"/>
              <w:rPr>
                <w:sz w:val="5"/>
                <w:szCs w:val="5"/>
                <w:color w:val="auto"/>
              </w:rPr>
            </w:pPr>
          </w:p>
        </w:tc>
        <w:tc>
          <w:tcPr>
            <w:tcW w:w="860" w:type="dxa"/>
            <w:vAlign w:val="bottom"/>
            <w:tcBorders>
              <w:bottom w:val="single" w:sz="8" w:color="E9F9D8"/>
            </w:tcBorders>
            <w:shd w:val="clear" w:color="auto" w:fill="E9F9D8"/>
          </w:tcPr>
          <w:p>
            <w:pPr>
              <w:spacing w:after="0"/>
              <w:rPr>
                <w:sz w:val="5"/>
                <w:szCs w:val="5"/>
                <w:color w:val="auto"/>
              </w:rPr>
            </w:pPr>
          </w:p>
        </w:tc>
        <w:tc>
          <w:tcPr>
            <w:tcW w:w="80" w:type="dxa"/>
            <w:vAlign w:val="bottom"/>
            <w:tcBorders>
              <w:bottom w:val="single" w:sz="8" w:color="E9F9D8"/>
            </w:tcBorders>
            <w:shd w:val="clear" w:color="auto" w:fill="E9F9D8"/>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Borders>
              <w:bottom w:val="single" w:sz="8" w:color="4B5088"/>
            </w:tcBorders>
          </w:tcPr>
          <w:p>
            <w:pPr>
              <w:spacing w:after="0"/>
              <w:rPr>
                <w:sz w:val="5"/>
                <w:szCs w:val="5"/>
                <w:color w:val="auto"/>
              </w:rPr>
            </w:pPr>
          </w:p>
        </w:tc>
        <w:tc>
          <w:tcPr>
            <w:tcW w:w="1120" w:type="dxa"/>
            <w:vAlign w:val="bottom"/>
            <w:tcBorders>
              <w:bottom w:val="single" w:sz="8" w:color="4B5088"/>
            </w:tcBorders>
          </w:tcPr>
          <w:p>
            <w:pPr>
              <w:spacing w:after="0"/>
              <w:rPr>
                <w:sz w:val="5"/>
                <w:szCs w:val="5"/>
                <w:color w:val="auto"/>
              </w:rPr>
            </w:pPr>
          </w:p>
        </w:tc>
        <w:tc>
          <w:tcPr>
            <w:tcW w:w="760" w:type="dxa"/>
            <w:vAlign w:val="bottom"/>
            <w:tcBorders>
              <w:bottom w:val="single" w:sz="8" w:color="4B5088"/>
            </w:tcBorders>
          </w:tcPr>
          <w:p>
            <w:pPr>
              <w:spacing w:after="0"/>
              <w:rPr>
                <w:sz w:val="5"/>
                <w:szCs w:val="5"/>
                <w:color w:val="auto"/>
              </w:rPr>
            </w:pPr>
          </w:p>
        </w:tc>
        <w:tc>
          <w:tcPr>
            <w:tcW w:w="1280" w:type="dxa"/>
            <w:vAlign w:val="bottom"/>
            <w:tcBorders>
              <w:bottom w:val="single" w:sz="8" w:color="4B5088"/>
            </w:tcBorders>
          </w:tcPr>
          <w:p>
            <w:pPr>
              <w:spacing w:after="0"/>
              <w:rPr>
                <w:sz w:val="5"/>
                <w:szCs w:val="5"/>
                <w:color w:val="auto"/>
              </w:rPr>
            </w:pPr>
          </w:p>
        </w:tc>
        <w:tc>
          <w:tcPr>
            <w:tcW w:w="560" w:type="dxa"/>
            <w:vAlign w:val="bottom"/>
            <w:tcBorders>
              <w:bottom w:val="single" w:sz="8" w:color="4B5088"/>
            </w:tcBorders>
          </w:tcPr>
          <w:p>
            <w:pPr>
              <w:spacing w:after="0"/>
              <w:rPr>
                <w:sz w:val="5"/>
                <w:szCs w:val="5"/>
                <w:color w:val="auto"/>
              </w:rPr>
            </w:pPr>
          </w:p>
        </w:tc>
        <w:tc>
          <w:tcPr>
            <w:tcW w:w="200" w:type="dxa"/>
            <w:vAlign w:val="bottom"/>
            <w:tcBorders>
              <w:bottom w:val="single" w:sz="8" w:color="4B5088"/>
            </w:tcBorders>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820" w:type="dxa"/>
            <w:vAlign w:val="bottom"/>
          </w:tcPr>
          <w:p>
            <w:pPr>
              <w:spacing w:after="0"/>
              <w:rPr>
                <w:sz w:val="3"/>
                <w:szCs w:val="3"/>
                <w:color w:val="auto"/>
              </w:rPr>
            </w:pPr>
          </w:p>
        </w:tc>
        <w:tc>
          <w:tcPr>
            <w:tcW w:w="2380" w:type="dxa"/>
            <w:vAlign w:val="bottom"/>
            <w:gridSpan w:val="2"/>
            <w:vMerge w:val="continue"/>
            <w:shd w:val="clear" w:color="auto" w:fill="1F2668"/>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shd w:val="clear" w:color="auto" w:fill="83AD40"/>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shd w:val="clear" w:color="auto" w:fill="E9F9D8"/>
          </w:tcPr>
          <w:p>
            <w:pPr>
              <w:spacing w:after="0"/>
              <w:rPr>
                <w:sz w:val="3"/>
                <w:szCs w:val="3"/>
                <w:color w:val="auto"/>
              </w:rPr>
            </w:pPr>
          </w:p>
        </w:tc>
        <w:tc>
          <w:tcPr>
            <w:tcW w:w="40" w:type="dxa"/>
            <w:vAlign w:val="bottom"/>
            <w:shd w:val="clear" w:color="auto" w:fill="E9F9D8"/>
          </w:tcPr>
          <w:p>
            <w:pPr>
              <w:spacing w:after="0"/>
              <w:rPr>
                <w:sz w:val="3"/>
                <w:szCs w:val="3"/>
                <w:color w:val="auto"/>
              </w:rPr>
            </w:pPr>
          </w:p>
        </w:tc>
        <w:tc>
          <w:tcPr>
            <w:tcW w:w="860" w:type="dxa"/>
            <w:vAlign w:val="bottom"/>
            <w:shd w:val="clear" w:color="auto" w:fill="E9F9D8"/>
          </w:tcPr>
          <w:p>
            <w:pPr>
              <w:spacing w:after="0"/>
              <w:rPr>
                <w:sz w:val="3"/>
                <w:szCs w:val="3"/>
                <w:color w:val="auto"/>
              </w:rPr>
            </w:pPr>
          </w:p>
        </w:tc>
        <w:tc>
          <w:tcPr>
            <w:tcW w:w="80" w:type="dxa"/>
            <w:vAlign w:val="bottom"/>
            <w:shd w:val="clear" w:color="auto" w:fill="E9F9D8"/>
          </w:tcPr>
          <w:p>
            <w:pPr>
              <w:spacing w:after="0"/>
              <w:rPr>
                <w:sz w:val="3"/>
                <w:szCs w:val="3"/>
                <w:color w:val="auto"/>
              </w:rPr>
            </w:pPr>
          </w:p>
        </w:tc>
        <w:tc>
          <w:tcPr>
            <w:tcW w:w="980" w:type="dxa"/>
            <w:vAlign w:val="bottom"/>
            <w:gridSpan w:val="2"/>
            <w:vMerge w:val="restart"/>
          </w:tcPr>
          <w:p>
            <w:pPr>
              <w:spacing w:after="0"/>
              <w:rPr>
                <w:sz w:val="20"/>
                <w:szCs w:val="20"/>
                <w:color w:val="auto"/>
              </w:rPr>
            </w:pPr>
            <w:r>
              <w:rPr>
                <w:rFonts w:ascii="Arial" w:cs="Arial" w:eastAsia="Arial" w:hAnsi="Arial"/>
                <w:sz w:val="15"/>
                <w:szCs w:val="15"/>
                <w:color w:val="auto"/>
              </w:rPr>
              <w:t>​​​</w:t>
            </w:r>
          </w:p>
        </w:tc>
        <w:tc>
          <w:tcPr>
            <w:tcW w:w="260" w:type="dxa"/>
            <w:vAlign w:val="bottom"/>
            <w:gridSpan w:val="2"/>
            <w:vMerge w:val="restart"/>
          </w:tcPr>
          <w:p>
            <w:pPr>
              <w:ind w:left="40"/>
              <w:spacing w:after="0"/>
              <w:rPr>
                <w:sz w:val="20"/>
                <w:szCs w:val="20"/>
                <w:color w:val="auto"/>
              </w:rPr>
            </w:pPr>
            <w:r>
              <w:rPr>
                <w:rFonts w:ascii="Arial" w:cs="Arial" w:eastAsia="Arial" w:hAnsi="Arial"/>
                <w:sz w:val="15"/>
                <w:szCs w:val="15"/>
                <w:color w:val="auto"/>
              </w:rPr>
              <w:t>​​​</w:t>
            </w:r>
          </w:p>
        </w:tc>
        <w:tc>
          <w:tcPr>
            <w:tcW w:w="1120" w:type="dxa"/>
            <w:vAlign w:val="bottom"/>
            <w:vMerge w:val="restart"/>
          </w:tcPr>
          <w:p>
            <w:pPr>
              <w:jc w:val="right"/>
              <w:ind w:right="127"/>
              <w:spacing w:after="0"/>
              <w:rPr>
                <w:sz w:val="20"/>
                <w:szCs w:val="20"/>
                <w:color w:val="auto"/>
              </w:rPr>
            </w:pPr>
            <w:r>
              <w:rPr>
                <w:rFonts w:ascii="Arial" w:cs="Arial" w:eastAsia="Arial" w:hAnsi="Arial"/>
                <w:sz w:val="15"/>
                <w:szCs w:val="15"/>
                <w:color w:val="auto"/>
              </w:rPr>
              <w:t>5,619 ​​</w:t>
            </w: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11,988 ​​</w:t>
            </w:r>
          </w:p>
        </w:tc>
        <w:tc>
          <w:tcPr>
            <w:tcW w:w="1280" w:type="dxa"/>
            <w:vAlign w:val="bottom"/>
            <w:vMerge w:val="restart"/>
          </w:tcPr>
          <w:p>
            <w:pPr>
              <w:ind w:left="240"/>
              <w:spacing w:after="0"/>
              <w:rPr>
                <w:sz w:val="20"/>
                <w:szCs w:val="20"/>
                <w:color w:val="auto"/>
              </w:rPr>
            </w:pPr>
            <w:r>
              <w:rPr>
                <w:rFonts w:ascii="Arial" w:cs="Arial" w:eastAsia="Arial" w:hAnsi="Arial"/>
                <w:sz w:val="15"/>
                <w:szCs w:val="15"/>
                <w:color w:val="auto"/>
              </w:rPr>
              <w:t>26,972 ​​</w:t>
            </w:r>
          </w:p>
        </w:tc>
        <w:tc>
          <w:tcPr>
            <w:tcW w:w="760" w:type="dxa"/>
            <w:vAlign w:val="bottom"/>
            <w:gridSpan w:val="2"/>
            <w:vMerge w:val="restart"/>
          </w:tcPr>
          <w:p>
            <w:pPr>
              <w:jc w:val="right"/>
              <w:spacing w:after="0"/>
              <w:rPr>
                <w:sz w:val="20"/>
                <w:szCs w:val="20"/>
                <w:color w:val="auto"/>
              </w:rPr>
            </w:pPr>
            <w:r>
              <w:rPr>
                <w:rFonts w:ascii="Arial" w:cs="Arial" w:eastAsia="Arial" w:hAnsi="Arial"/>
                <w:sz w:val="15"/>
                <w:szCs w:val="15"/>
                <w:color w:val="auto"/>
              </w:rPr>
              <w:t>24,275</w:t>
            </w:r>
          </w:p>
        </w:tc>
        <w:tc>
          <w:tcPr>
            <w:tcW w:w="880" w:type="dxa"/>
            <w:vAlign w:val="bottom"/>
            <w:vMerge w:val="restart"/>
          </w:tcPr>
          <w:p>
            <w:pPr>
              <w:jc w:val="right"/>
              <w:ind w:right="7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8"/>
        </w:trPr>
        <w:tc>
          <w:tcPr>
            <w:tcW w:w="820" w:type="dxa"/>
            <w:vAlign w:val="bottom"/>
          </w:tcPr>
          <w:p>
            <w:pPr>
              <w:spacing w:after="0"/>
              <w:rPr>
                <w:sz w:val="13"/>
                <w:szCs w:val="13"/>
                <w:color w:val="auto"/>
              </w:rPr>
            </w:pPr>
          </w:p>
        </w:tc>
        <w:tc>
          <w:tcPr>
            <w:tcW w:w="2380" w:type="dxa"/>
            <w:vAlign w:val="bottom"/>
            <w:gridSpan w:val="2"/>
            <w:shd w:val="clear" w:color="auto" w:fill="1F2668"/>
          </w:tcPr>
          <w:p>
            <w:pPr>
              <w:ind w:left="140"/>
              <w:spacing w:after="0" w:line="158" w:lineRule="exact"/>
              <w:rPr>
                <w:sz w:val="20"/>
                <w:szCs w:val="20"/>
                <w:color w:val="auto"/>
              </w:rPr>
            </w:pPr>
            <w:r>
              <w:rPr>
                <w:rFonts w:ascii="Arial" w:cs="Arial" w:eastAsia="Arial" w:hAnsi="Arial"/>
                <w:sz w:val="14"/>
                <w:szCs w:val="14"/>
                <w:color w:val="FFFFFF"/>
              </w:rPr>
              <w:t>that are expanding the scope and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shd w:val="clear" w:color="auto" w:fill="83AD40"/>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shd w:val="clear" w:color="auto" w:fill="E9F9D8"/>
          </w:tcPr>
          <w:p>
            <w:pPr>
              <w:spacing w:after="0"/>
              <w:rPr>
                <w:sz w:val="13"/>
                <w:szCs w:val="13"/>
                <w:color w:val="auto"/>
              </w:rPr>
            </w:pPr>
          </w:p>
        </w:tc>
        <w:tc>
          <w:tcPr>
            <w:tcW w:w="40" w:type="dxa"/>
            <w:vAlign w:val="bottom"/>
            <w:shd w:val="clear" w:color="auto" w:fill="E9F9D8"/>
          </w:tcPr>
          <w:p>
            <w:pPr>
              <w:spacing w:after="0"/>
              <w:rPr>
                <w:sz w:val="13"/>
                <w:szCs w:val="13"/>
                <w:color w:val="auto"/>
              </w:rPr>
            </w:pPr>
          </w:p>
        </w:tc>
        <w:tc>
          <w:tcPr>
            <w:tcW w:w="860" w:type="dxa"/>
            <w:vAlign w:val="bottom"/>
            <w:shd w:val="clear" w:color="auto" w:fill="E9F9D8"/>
          </w:tcPr>
          <w:p>
            <w:pPr>
              <w:spacing w:after="0"/>
              <w:rPr>
                <w:sz w:val="13"/>
                <w:szCs w:val="13"/>
                <w:color w:val="auto"/>
              </w:rPr>
            </w:pPr>
          </w:p>
        </w:tc>
        <w:tc>
          <w:tcPr>
            <w:tcW w:w="80" w:type="dxa"/>
            <w:vAlign w:val="bottom"/>
            <w:shd w:val="clear" w:color="auto" w:fill="E9F9D8"/>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380" w:type="dxa"/>
            <w:vAlign w:val="bottom"/>
            <w:gridSpan w:val="2"/>
            <w:vMerge w:val="restart"/>
            <w:shd w:val="clear" w:color="auto" w:fill="1F2668"/>
          </w:tcPr>
          <w:p>
            <w:pPr>
              <w:ind w:left="140"/>
              <w:spacing w:after="0" w:line="153" w:lineRule="exact"/>
              <w:rPr>
                <w:sz w:val="20"/>
                <w:szCs w:val="20"/>
                <w:color w:val="auto"/>
              </w:rPr>
            </w:pPr>
            <w:r>
              <w:rPr>
                <w:rFonts w:ascii="Arial" w:cs="Arial" w:eastAsia="Arial" w:hAnsi="Arial"/>
                <w:sz w:val="14"/>
                <w:szCs w:val="14"/>
                <w:color w:val="FFFFFF"/>
              </w:rPr>
              <w:t>reach of our business but also</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83AD4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vMerge w:val="restart"/>
            <w:shd w:val="clear" w:color="auto" w:fill="E9F9D8"/>
          </w:tcPr>
          <w:p>
            <w:pPr>
              <w:spacing w:after="0" w:line="153" w:lineRule="exact"/>
              <w:rPr>
                <w:sz w:val="20"/>
                <w:szCs w:val="20"/>
                <w:color w:val="auto"/>
              </w:rPr>
            </w:pPr>
            <w:r>
              <w:rPr>
                <w:rFonts w:ascii="Arial" w:cs="Arial" w:eastAsia="Arial" w:hAnsi="Arial"/>
                <w:sz w:val="15"/>
                <w:szCs w:val="15"/>
                <w:color w:val="auto"/>
              </w:rPr>
              <w:t>​</w:t>
            </w:r>
          </w:p>
        </w:tc>
        <w:tc>
          <w:tcPr>
            <w:tcW w:w="900" w:type="dxa"/>
            <w:vAlign w:val="bottom"/>
            <w:gridSpan w:val="2"/>
            <w:vMerge w:val="restart"/>
            <w:shd w:val="clear" w:color="auto" w:fill="E9F9D8"/>
          </w:tcPr>
          <w:p>
            <w:pPr>
              <w:spacing w:after="0" w:line="153" w:lineRule="exact"/>
              <w:rPr>
                <w:sz w:val="20"/>
                <w:szCs w:val="20"/>
                <w:color w:val="auto"/>
              </w:rPr>
            </w:pPr>
            <w:r>
              <w:rPr>
                <w:rFonts w:ascii="Arial" w:cs="Arial" w:eastAsia="Arial" w:hAnsi="Arial"/>
                <w:sz w:val="15"/>
                <w:szCs w:val="15"/>
                <w:color w:val="auto"/>
              </w:rPr>
              <w:t>​</w:t>
            </w:r>
          </w:p>
        </w:tc>
        <w:tc>
          <w:tcPr>
            <w:tcW w:w="80" w:type="dxa"/>
            <w:vAlign w:val="bottom"/>
            <w:vMerge w:val="restart"/>
            <w:shd w:val="clear" w:color="auto" w:fill="E9F9D8"/>
          </w:tcPr>
          <w:p>
            <w:pPr>
              <w:spacing w:after="0" w:line="20" w:lineRule="exact"/>
              <w:rPr>
                <w:sz w:val="1"/>
                <w:szCs w:val="1"/>
                <w:color w:val="auto"/>
              </w:rPr>
            </w:pPr>
          </w:p>
        </w:tc>
        <w:tc>
          <w:tcPr>
            <w:tcW w:w="980" w:type="dxa"/>
            <w:vAlign w:val="bottom"/>
            <w:gridSpan w:val="2"/>
            <w:vMerge w:val="restart"/>
          </w:tcPr>
          <w:p>
            <w:pPr>
              <w:spacing w:after="0" w:line="153" w:lineRule="exact"/>
              <w:rPr>
                <w:sz w:val="20"/>
                <w:szCs w:val="20"/>
                <w:color w:val="auto"/>
              </w:rPr>
            </w:pPr>
            <w:r>
              <w:rPr>
                <w:rFonts w:ascii="Arial" w:cs="Arial" w:eastAsia="Arial" w:hAnsi="Arial"/>
                <w:sz w:val="15"/>
                <w:szCs w:val="15"/>
                <w:color w:val="auto"/>
              </w:rPr>
              <w:t>​​​</w:t>
            </w:r>
          </w:p>
        </w:tc>
        <w:tc>
          <w:tcPr>
            <w:tcW w:w="180" w:type="dxa"/>
            <w:vAlign w:val="bottom"/>
            <w:tcBorders>
              <w:right w:val="single" w:sz="8" w:color="4B5088"/>
            </w:tcBorders>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1120" w:type="dxa"/>
            <w:vAlign w:val="bottom"/>
            <w:shd w:val="clear" w:color="auto" w:fill="4B5088"/>
          </w:tcPr>
          <w:p>
            <w:pPr>
              <w:spacing w:after="0" w:line="20" w:lineRule="exact"/>
              <w:rPr>
                <w:sz w:val="1"/>
                <w:szCs w:val="1"/>
                <w:color w:val="auto"/>
              </w:rPr>
            </w:pPr>
          </w:p>
        </w:tc>
        <w:tc>
          <w:tcPr>
            <w:tcW w:w="760" w:type="dxa"/>
            <w:vAlign w:val="bottom"/>
            <w:shd w:val="clear" w:color="auto" w:fill="4B5088"/>
          </w:tcPr>
          <w:p>
            <w:pPr>
              <w:spacing w:after="0" w:line="20" w:lineRule="exact"/>
              <w:rPr>
                <w:sz w:val="1"/>
                <w:szCs w:val="1"/>
                <w:color w:val="auto"/>
              </w:rPr>
            </w:pPr>
          </w:p>
        </w:tc>
        <w:tc>
          <w:tcPr>
            <w:tcW w:w="1280" w:type="dxa"/>
            <w:vAlign w:val="bottom"/>
            <w:shd w:val="clear" w:color="auto" w:fill="4B5088"/>
          </w:tcPr>
          <w:p>
            <w:pPr>
              <w:spacing w:after="0" w:line="20" w:lineRule="exact"/>
              <w:rPr>
                <w:sz w:val="1"/>
                <w:szCs w:val="1"/>
                <w:color w:val="auto"/>
              </w:rPr>
            </w:pPr>
          </w:p>
        </w:tc>
        <w:tc>
          <w:tcPr>
            <w:tcW w:w="560" w:type="dxa"/>
            <w:vAlign w:val="bottom"/>
            <w:shd w:val="clear" w:color="auto" w:fill="4B5088"/>
          </w:tcPr>
          <w:p>
            <w:pPr>
              <w:spacing w:after="0" w:line="20" w:lineRule="exact"/>
              <w:rPr>
                <w:sz w:val="1"/>
                <w:szCs w:val="1"/>
                <w:color w:val="auto"/>
              </w:rPr>
            </w:pPr>
          </w:p>
        </w:tc>
        <w:tc>
          <w:tcPr>
            <w:tcW w:w="200" w:type="dxa"/>
            <w:vAlign w:val="bottom"/>
            <w:shd w:val="clear" w:color="auto" w:fill="4B5088"/>
          </w:tcPr>
          <w:p>
            <w:pPr>
              <w:spacing w:after="0" w:line="20" w:lineRule="exact"/>
              <w:rPr>
                <w:sz w:val="1"/>
                <w:szCs w:val="1"/>
                <w:color w:val="auto"/>
              </w:rPr>
            </w:pPr>
          </w:p>
        </w:tc>
        <w:tc>
          <w:tcPr>
            <w:tcW w:w="880" w:type="dxa"/>
            <w:vAlign w:val="bottom"/>
            <w:tcBorders>
              <w:left w:val="single" w:sz="8" w:color="4B50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20" w:type="dxa"/>
            <w:vAlign w:val="bottom"/>
          </w:tcPr>
          <w:p>
            <w:pPr>
              <w:spacing w:after="0"/>
              <w:rPr>
                <w:sz w:val="11"/>
                <w:szCs w:val="11"/>
                <w:color w:val="auto"/>
              </w:rPr>
            </w:pPr>
          </w:p>
        </w:tc>
        <w:tc>
          <w:tcPr>
            <w:tcW w:w="2380" w:type="dxa"/>
            <w:vAlign w:val="bottom"/>
            <w:gridSpan w:val="2"/>
            <w:vMerge w:val="continue"/>
            <w:shd w:val="clear" w:color="auto" w:fill="1F2668"/>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shd w:val="clear" w:color="auto" w:fill="83AD40"/>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vMerge w:val="continue"/>
            <w:shd w:val="clear" w:color="auto" w:fill="E9F9D8"/>
          </w:tcPr>
          <w:p>
            <w:pPr>
              <w:spacing w:after="0"/>
              <w:rPr>
                <w:sz w:val="11"/>
                <w:szCs w:val="11"/>
                <w:color w:val="auto"/>
              </w:rPr>
            </w:pPr>
          </w:p>
        </w:tc>
        <w:tc>
          <w:tcPr>
            <w:tcW w:w="900" w:type="dxa"/>
            <w:vAlign w:val="bottom"/>
            <w:gridSpan w:val="2"/>
            <w:vMerge w:val="continue"/>
            <w:shd w:val="clear" w:color="auto" w:fill="E9F9D8"/>
          </w:tcPr>
          <w:p>
            <w:pPr>
              <w:spacing w:after="0"/>
              <w:rPr>
                <w:sz w:val="11"/>
                <w:szCs w:val="11"/>
                <w:color w:val="auto"/>
              </w:rPr>
            </w:pPr>
          </w:p>
        </w:tc>
        <w:tc>
          <w:tcPr>
            <w:tcW w:w="80" w:type="dxa"/>
            <w:vAlign w:val="bottom"/>
            <w:vMerge w:val="continue"/>
            <w:shd w:val="clear" w:color="auto" w:fill="E9F9D8"/>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5"/>
                <w:szCs w:val="15"/>
                <w:color w:val="auto"/>
              </w:rPr>
              <w:t>​​</w:t>
            </w:r>
          </w:p>
        </w:tc>
        <w:tc>
          <w:tcPr>
            <w:tcW w:w="4000" w:type="dxa"/>
            <w:vAlign w:val="bottom"/>
            <w:gridSpan w:val="6"/>
            <w:vMerge w:val="restart"/>
          </w:tcPr>
          <w:p>
            <w:pPr>
              <w:spacing w:after="0"/>
              <w:rPr>
                <w:sz w:val="20"/>
                <w:szCs w:val="20"/>
                <w:color w:val="auto"/>
              </w:rPr>
            </w:pPr>
            <w:r>
              <w:rPr>
                <w:rFonts w:ascii="Arial" w:cs="Arial" w:eastAsia="Arial" w:hAnsi="Arial"/>
                <w:sz w:val="15"/>
                <w:szCs w:val="15"/>
                <w:color w:val="auto"/>
              </w:rPr>
              <w:t>The actual number of LTIP units earned will be determined</w:t>
            </w:r>
          </w:p>
        </w:tc>
        <w:tc>
          <w:tcPr>
            <w:tcW w:w="880" w:type="dxa"/>
            <w:vAlign w:val="bottom"/>
          </w:tcPr>
          <w:p>
            <w:pPr>
              <w:jc w:val="right"/>
              <w:ind w:right="744"/>
              <w:spacing w:after="0" w:line="133"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2380" w:type="dxa"/>
            <w:vAlign w:val="bottom"/>
            <w:gridSpan w:val="2"/>
            <w:shd w:val="clear" w:color="auto" w:fill="1F2668"/>
          </w:tcPr>
          <w:p>
            <w:pPr>
              <w:ind w:left="140"/>
              <w:spacing w:after="0" w:line="145" w:lineRule="exact"/>
              <w:rPr>
                <w:sz w:val="20"/>
                <w:szCs w:val="20"/>
                <w:color w:val="auto"/>
              </w:rPr>
            </w:pPr>
            <w:r>
              <w:rPr>
                <w:rFonts w:ascii="Arial" w:cs="Arial" w:eastAsia="Arial" w:hAnsi="Arial"/>
                <w:sz w:val="14"/>
                <w:szCs w:val="14"/>
                <w:color w:val="FFFFFF"/>
              </w:rPr>
              <w:t>our continued TSR</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shd w:val="clear" w:color="auto" w:fill="83AD40"/>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shd w:val="clear" w:color="auto" w:fill="E9F9D8"/>
          </w:tcPr>
          <w:p>
            <w:pPr>
              <w:spacing w:after="0"/>
              <w:rPr>
                <w:sz w:val="12"/>
                <w:szCs w:val="12"/>
                <w:color w:val="auto"/>
              </w:rPr>
            </w:pPr>
          </w:p>
        </w:tc>
        <w:tc>
          <w:tcPr>
            <w:tcW w:w="40" w:type="dxa"/>
            <w:vAlign w:val="bottom"/>
            <w:shd w:val="clear" w:color="auto" w:fill="E9F9D8"/>
          </w:tcPr>
          <w:p>
            <w:pPr>
              <w:spacing w:after="0"/>
              <w:rPr>
                <w:sz w:val="12"/>
                <w:szCs w:val="12"/>
                <w:color w:val="auto"/>
              </w:rPr>
            </w:pPr>
          </w:p>
        </w:tc>
        <w:tc>
          <w:tcPr>
            <w:tcW w:w="860" w:type="dxa"/>
            <w:vAlign w:val="bottom"/>
            <w:shd w:val="clear" w:color="auto" w:fill="E9F9D8"/>
          </w:tcPr>
          <w:p>
            <w:pPr>
              <w:spacing w:after="0"/>
              <w:rPr>
                <w:sz w:val="12"/>
                <w:szCs w:val="12"/>
                <w:color w:val="auto"/>
              </w:rPr>
            </w:pPr>
          </w:p>
        </w:tc>
        <w:tc>
          <w:tcPr>
            <w:tcW w:w="80" w:type="dxa"/>
            <w:vAlign w:val="bottom"/>
            <w:shd w:val="clear" w:color="auto" w:fill="E9F9D8"/>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0" w:type="dxa"/>
            <w:vAlign w:val="bottom"/>
            <w:gridSpan w:val="6"/>
            <w:vMerge w:val="continue"/>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20" w:type="dxa"/>
            <w:vAlign w:val="bottom"/>
          </w:tcPr>
          <w:p>
            <w:pPr>
              <w:spacing w:after="0"/>
              <w:rPr>
                <w:sz w:val="13"/>
                <w:szCs w:val="13"/>
                <w:color w:val="auto"/>
              </w:rPr>
            </w:pPr>
          </w:p>
        </w:tc>
        <w:tc>
          <w:tcPr>
            <w:tcW w:w="2380" w:type="dxa"/>
            <w:vAlign w:val="bottom"/>
            <w:gridSpan w:val="2"/>
            <w:shd w:val="clear" w:color="auto" w:fill="1F2668"/>
          </w:tcPr>
          <w:p>
            <w:pPr>
              <w:ind w:left="140"/>
              <w:spacing w:after="0" w:line="153" w:lineRule="exact"/>
              <w:rPr>
                <w:sz w:val="20"/>
                <w:szCs w:val="20"/>
                <w:color w:val="auto"/>
              </w:rPr>
            </w:pPr>
            <w:r>
              <w:rPr>
                <w:rFonts w:ascii="Arial" w:cs="Arial" w:eastAsia="Arial" w:hAnsi="Arial"/>
                <w:sz w:val="14"/>
                <w:szCs w:val="14"/>
                <w:color w:val="FFFFFF"/>
              </w:rPr>
              <w:t>outperformance, which was</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shd w:val="clear" w:color="auto" w:fill="83AD40"/>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shd w:val="clear" w:color="auto" w:fill="E9F9D8"/>
          </w:tcPr>
          <w:p>
            <w:pPr>
              <w:spacing w:after="0"/>
              <w:rPr>
                <w:sz w:val="13"/>
                <w:szCs w:val="13"/>
                <w:color w:val="auto"/>
              </w:rPr>
            </w:pPr>
          </w:p>
        </w:tc>
        <w:tc>
          <w:tcPr>
            <w:tcW w:w="40" w:type="dxa"/>
            <w:vAlign w:val="bottom"/>
            <w:shd w:val="clear" w:color="auto" w:fill="E9F9D8"/>
          </w:tcPr>
          <w:p>
            <w:pPr>
              <w:spacing w:after="0"/>
              <w:rPr>
                <w:sz w:val="13"/>
                <w:szCs w:val="13"/>
                <w:color w:val="auto"/>
              </w:rPr>
            </w:pPr>
          </w:p>
        </w:tc>
        <w:tc>
          <w:tcPr>
            <w:tcW w:w="860" w:type="dxa"/>
            <w:vAlign w:val="bottom"/>
            <w:shd w:val="clear" w:color="auto" w:fill="E9F9D8"/>
          </w:tcPr>
          <w:p>
            <w:pPr>
              <w:spacing w:after="0"/>
              <w:rPr>
                <w:sz w:val="13"/>
                <w:szCs w:val="13"/>
                <w:color w:val="auto"/>
              </w:rPr>
            </w:pPr>
          </w:p>
        </w:tc>
        <w:tc>
          <w:tcPr>
            <w:tcW w:w="80" w:type="dxa"/>
            <w:vAlign w:val="bottom"/>
            <w:shd w:val="clear" w:color="auto" w:fill="E9F9D8"/>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0" w:type="dxa"/>
            <w:vAlign w:val="bottom"/>
            <w:gridSpan w:val="6"/>
          </w:tcPr>
          <w:p>
            <w:pPr>
              <w:spacing w:after="0" w:line="153" w:lineRule="exact"/>
              <w:rPr>
                <w:sz w:val="20"/>
                <w:szCs w:val="20"/>
                <w:color w:val="auto"/>
              </w:rPr>
            </w:pPr>
            <w:r>
              <w:rPr>
                <w:rFonts w:ascii="Arial" w:cs="Arial" w:eastAsia="Arial" w:hAnsi="Arial"/>
                <w:sz w:val="15"/>
                <w:szCs w:val="15"/>
                <w:color w:val="auto"/>
              </w:rPr>
              <w:t>based on Company performance measured after the end of</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2380" w:type="dxa"/>
            <w:vAlign w:val="bottom"/>
            <w:gridSpan w:val="2"/>
            <w:shd w:val="clear" w:color="auto" w:fill="1F2668"/>
          </w:tcPr>
          <w:p>
            <w:pPr>
              <w:ind w:left="140"/>
              <w:spacing w:after="0"/>
              <w:rPr>
                <w:sz w:val="20"/>
                <w:szCs w:val="20"/>
                <w:color w:val="auto"/>
              </w:rPr>
            </w:pPr>
            <w:r>
              <w:rPr>
                <w:rFonts w:ascii="Arial" w:cs="Arial" w:eastAsia="Arial" w:hAnsi="Arial"/>
                <w:sz w:val="14"/>
                <w:szCs w:val="14"/>
                <w:color w:val="FFFFFF"/>
              </w:rPr>
              <w:t>driven by our achievement of the</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shd w:val="clear" w:color="auto" w:fill="83AD40"/>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shd w:val="clear" w:color="auto" w:fill="E9F9D8"/>
          </w:tcPr>
          <w:p>
            <w:pPr>
              <w:spacing w:after="0"/>
              <w:rPr>
                <w:sz w:val="14"/>
                <w:szCs w:val="14"/>
                <w:color w:val="auto"/>
              </w:rPr>
            </w:pPr>
          </w:p>
        </w:tc>
        <w:tc>
          <w:tcPr>
            <w:tcW w:w="40" w:type="dxa"/>
            <w:vAlign w:val="bottom"/>
            <w:shd w:val="clear" w:color="auto" w:fill="E9F9D8"/>
          </w:tcPr>
          <w:p>
            <w:pPr>
              <w:spacing w:after="0"/>
              <w:rPr>
                <w:sz w:val="14"/>
                <w:szCs w:val="14"/>
                <w:color w:val="auto"/>
              </w:rPr>
            </w:pPr>
          </w:p>
        </w:tc>
        <w:tc>
          <w:tcPr>
            <w:tcW w:w="860" w:type="dxa"/>
            <w:vAlign w:val="bottom"/>
            <w:shd w:val="clear" w:color="auto" w:fill="E9F9D8"/>
          </w:tcPr>
          <w:p>
            <w:pPr>
              <w:spacing w:after="0"/>
              <w:rPr>
                <w:sz w:val="14"/>
                <w:szCs w:val="14"/>
                <w:color w:val="auto"/>
              </w:rPr>
            </w:pPr>
          </w:p>
        </w:tc>
        <w:tc>
          <w:tcPr>
            <w:tcW w:w="80" w:type="dxa"/>
            <w:vAlign w:val="bottom"/>
            <w:shd w:val="clear" w:color="auto" w:fill="E9F9D8"/>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0" w:type="dxa"/>
            <w:vAlign w:val="bottom"/>
            <w:gridSpan w:val="5"/>
          </w:tcPr>
          <w:p>
            <w:pPr>
              <w:spacing w:after="0" w:line="162" w:lineRule="exact"/>
              <w:rPr>
                <w:sz w:val="20"/>
                <w:szCs w:val="20"/>
                <w:color w:val="auto"/>
              </w:rPr>
            </w:pPr>
            <w:r>
              <w:rPr>
                <w:rFonts w:ascii="Arial" w:cs="Arial" w:eastAsia="Arial" w:hAnsi="Arial"/>
                <w:sz w:val="15"/>
                <w:szCs w:val="15"/>
                <w:color w:val="auto"/>
              </w:rPr>
              <w:t>the full performance period ending December 31, 2026,</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20" w:type="dxa"/>
            <w:vAlign w:val="bottom"/>
          </w:tcPr>
          <w:p>
            <w:pPr>
              <w:spacing w:after="0"/>
              <w:rPr>
                <w:sz w:val="13"/>
                <w:szCs w:val="13"/>
                <w:color w:val="auto"/>
              </w:rPr>
            </w:pPr>
          </w:p>
        </w:tc>
        <w:tc>
          <w:tcPr>
            <w:tcW w:w="2380" w:type="dxa"/>
            <w:vAlign w:val="bottom"/>
            <w:gridSpan w:val="2"/>
            <w:shd w:val="clear" w:color="auto" w:fill="1F2668"/>
          </w:tcPr>
          <w:p>
            <w:pPr>
              <w:ind w:left="140"/>
              <w:spacing w:after="0" w:line="158" w:lineRule="exact"/>
              <w:rPr>
                <w:sz w:val="20"/>
                <w:szCs w:val="20"/>
                <w:color w:val="auto"/>
              </w:rPr>
            </w:pPr>
            <w:r>
              <w:rPr>
                <w:rFonts w:ascii="Arial" w:cs="Arial" w:eastAsia="Arial" w:hAnsi="Arial"/>
                <w:sz w:val="14"/>
                <w:szCs w:val="14"/>
                <w:color w:val="FFFFFF"/>
              </w:rPr>
              <w:t>operational metrics that underpin</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shd w:val="clear" w:color="auto" w:fill="83AD40"/>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shd w:val="clear" w:color="auto" w:fill="E9F9D8"/>
          </w:tcPr>
          <w:p>
            <w:pPr>
              <w:spacing w:after="0"/>
              <w:rPr>
                <w:sz w:val="13"/>
                <w:szCs w:val="13"/>
                <w:color w:val="auto"/>
              </w:rPr>
            </w:pPr>
          </w:p>
        </w:tc>
        <w:tc>
          <w:tcPr>
            <w:tcW w:w="40" w:type="dxa"/>
            <w:vAlign w:val="bottom"/>
            <w:shd w:val="clear" w:color="auto" w:fill="E9F9D8"/>
          </w:tcPr>
          <w:p>
            <w:pPr>
              <w:spacing w:after="0"/>
              <w:rPr>
                <w:sz w:val="13"/>
                <w:szCs w:val="13"/>
                <w:color w:val="auto"/>
              </w:rPr>
            </w:pPr>
          </w:p>
        </w:tc>
        <w:tc>
          <w:tcPr>
            <w:tcW w:w="860" w:type="dxa"/>
            <w:vAlign w:val="bottom"/>
            <w:shd w:val="clear" w:color="auto" w:fill="E9F9D8"/>
          </w:tcPr>
          <w:p>
            <w:pPr>
              <w:spacing w:after="0"/>
              <w:rPr>
                <w:sz w:val="13"/>
                <w:szCs w:val="13"/>
                <w:color w:val="auto"/>
              </w:rPr>
            </w:pPr>
          </w:p>
        </w:tc>
        <w:tc>
          <w:tcPr>
            <w:tcW w:w="80" w:type="dxa"/>
            <w:vAlign w:val="bottom"/>
            <w:shd w:val="clear" w:color="auto" w:fill="E9F9D8"/>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0" w:type="dxa"/>
            <w:vAlign w:val="bottom"/>
            <w:gridSpan w:val="6"/>
          </w:tcPr>
          <w:p>
            <w:pPr>
              <w:spacing w:after="0" w:line="158" w:lineRule="exact"/>
              <w:rPr>
                <w:sz w:val="20"/>
                <w:szCs w:val="20"/>
                <w:color w:val="auto"/>
              </w:rPr>
            </w:pPr>
            <w:r>
              <w:rPr>
                <w:rFonts w:ascii="Arial" w:cs="Arial" w:eastAsia="Arial" w:hAnsi="Arial"/>
                <w:sz w:val="15"/>
                <w:szCs w:val="15"/>
                <w:color w:val="auto"/>
              </w:rPr>
              <w:t>based on our absolute and relative TSR, with earned LTIP</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820" w:type="dxa"/>
            <w:vAlign w:val="bottom"/>
          </w:tcPr>
          <w:p>
            <w:pPr>
              <w:spacing w:after="0"/>
              <w:rPr>
                <w:sz w:val="16"/>
                <w:szCs w:val="16"/>
                <w:color w:val="auto"/>
              </w:rPr>
            </w:pPr>
          </w:p>
        </w:tc>
        <w:tc>
          <w:tcPr>
            <w:tcW w:w="2380" w:type="dxa"/>
            <w:vAlign w:val="bottom"/>
            <w:gridSpan w:val="2"/>
            <w:shd w:val="clear" w:color="auto" w:fill="1F2668"/>
          </w:tcPr>
          <w:p>
            <w:pPr>
              <w:ind w:left="140"/>
              <w:spacing w:after="0"/>
              <w:rPr>
                <w:sz w:val="20"/>
                <w:szCs w:val="20"/>
                <w:color w:val="auto"/>
              </w:rPr>
            </w:pPr>
            <w:r>
              <w:rPr>
                <w:rFonts w:ascii="Arial" w:cs="Arial" w:eastAsia="Arial" w:hAnsi="Arial"/>
                <w:sz w:val="14"/>
                <w:szCs w:val="14"/>
                <w:color w:val="FFFFFF"/>
              </w:rPr>
              <w:t>our core business.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shd w:val="clear" w:color="auto" w:fill="83AD40"/>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shd w:val="clear" w:color="auto" w:fill="E9F9D8"/>
          </w:tcPr>
          <w:p>
            <w:pPr>
              <w:spacing w:after="0"/>
              <w:rPr>
                <w:sz w:val="16"/>
                <w:szCs w:val="16"/>
                <w:color w:val="auto"/>
              </w:rPr>
            </w:pPr>
          </w:p>
        </w:tc>
        <w:tc>
          <w:tcPr>
            <w:tcW w:w="40" w:type="dxa"/>
            <w:vAlign w:val="bottom"/>
            <w:shd w:val="clear" w:color="auto" w:fill="E9F9D8"/>
          </w:tcPr>
          <w:p>
            <w:pPr>
              <w:spacing w:after="0"/>
              <w:rPr>
                <w:sz w:val="16"/>
                <w:szCs w:val="16"/>
                <w:color w:val="auto"/>
              </w:rPr>
            </w:pPr>
          </w:p>
        </w:tc>
        <w:tc>
          <w:tcPr>
            <w:tcW w:w="860" w:type="dxa"/>
            <w:vAlign w:val="bottom"/>
            <w:shd w:val="clear" w:color="auto" w:fill="E9F9D8"/>
          </w:tcPr>
          <w:p>
            <w:pPr>
              <w:spacing w:after="0"/>
              <w:rPr>
                <w:sz w:val="16"/>
                <w:szCs w:val="16"/>
                <w:color w:val="auto"/>
              </w:rPr>
            </w:pPr>
          </w:p>
        </w:tc>
        <w:tc>
          <w:tcPr>
            <w:tcW w:w="80" w:type="dxa"/>
            <w:vAlign w:val="bottom"/>
            <w:shd w:val="clear" w:color="auto" w:fill="E9F9D8"/>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0" w:type="dxa"/>
            <w:vAlign w:val="bottom"/>
            <w:gridSpan w:val="6"/>
          </w:tcPr>
          <w:p>
            <w:pPr>
              <w:spacing w:after="0"/>
              <w:rPr>
                <w:sz w:val="20"/>
                <w:szCs w:val="20"/>
                <w:color w:val="auto"/>
              </w:rPr>
            </w:pPr>
            <w:r>
              <w:rPr>
                <w:rFonts w:ascii="Arial" w:cs="Arial" w:eastAsia="Arial" w:hAnsi="Arial"/>
                <w:sz w:val="15"/>
                <w:szCs w:val="15"/>
                <w:color w:val="auto"/>
              </w:rPr>
              <w:t>units vesting 50% as of December 31, 2026 and 50% as of</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2380" w:type="dxa"/>
            <w:vAlign w:val="bottom"/>
            <w:tcBorders>
              <w:bottom w:val="single" w:sz="8" w:color="1F2668"/>
            </w:tcBorders>
            <w:gridSpan w:val="2"/>
            <w:shd w:val="clear" w:color="auto" w:fill="1F2668"/>
          </w:tcPr>
          <w:p>
            <w:pPr>
              <w:ind w:left="140"/>
              <w:spacing w:after="0"/>
              <w:rPr>
                <w:sz w:val="20"/>
                <w:szCs w:val="20"/>
                <w:color w:val="auto"/>
              </w:rPr>
            </w:pPr>
            <w:r>
              <w:rPr>
                <w:rFonts w:ascii="Arial" w:cs="Arial" w:eastAsia="Arial" w:hAnsi="Arial"/>
                <w:sz w:val="14"/>
                <w:szCs w:val="14"/>
                <w:b w:val="1"/>
                <w:bCs w:val="1"/>
                <w:color w:val="FFFFFF"/>
              </w:rPr>
              <w:t>The Total Direct Compensation</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bottom w:val="single" w:sz="8" w:color="83AD40"/>
            </w:tcBorders>
            <w:shd w:val="clear" w:color="auto" w:fill="83AD40"/>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Borders>
              <w:bottom w:val="single" w:sz="8" w:color="4B5088"/>
            </w:tcBorders>
            <w:shd w:val="clear" w:color="auto" w:fill="E9F9D8"/>
          </w:tcPr>
          <w:p>
            <w:pPr>
              <w:spacing w:after="0"/>
              <w:rPr>
                <w:sz w:val="17"/>
                <w:szCs w:val="17"/>
                <w:color w:val="auto"/>
              </w:rPr>
            </w:pPr>
          </w:p>
        </w:tc>
        <w:tc>
          <w:tcPr>
            <w:tcW w:w="40" w:type="dxa"/>
            <w:vAlign w:val="bottom"/>
            <w:tcBorders>
              <w:bottom w:val="single" w:sz="8" w:color="4B5088"/>
            </w:tcBorders>
            <w:shd w:val="clear" w:color="auto" w:fill="E9F9D8"/>
          </w:tcPr>
          <w:p>
            <w:pPr>
              <w:spacing w:after="0"/>
              <w:rPr>
                <w:sz w:val="17"/>
                <w:szCs w:val="17"/>
                <w:color w:val="auto"/>
              </w:rPr>
            </w:pPr>
          </w:p>
        </w:tc>
        <w:tc>
          <w:tcPr>
            <w:tcW w:w="860" w:type="dxa"/>
            <w:vAlign w:val="bottom"/>
            <w:tcBorders>
              <w:bottom w:val="single" w:sz="8" w:color="4B5088"/>
            </w:tcBorders>
            <w:shd w:val="clear" w:color="auto" w:fill="E9F9D8"/>
          </w:tcPr>
          <w:p>
            <w:pPr>
              <w:spacing w:after="0"/>
              <w:rPr>
                <w:sz w:val="17"/>
                <w:szCs w:val="17"/>
                <w:color w:val="auto"/>
              </w:rPr>
            </w:pPr>
          </w:p>
        </w:tc>
        <w:tc>
          <w:tcPr>
            <w:tcW w:w="80" w:type="dxa"/>
            <w:vAlign w:val="bottom"/>
            <w:tcBorders>
              <w:bottom w:val="single" w:sz="8" w:color="4B5088"/>
            </w:tcBorders>
            <w:shd w:val="clear" w:color="auto" w:fill="E9F9D8"/>
          </w:tcPr>
          <w:p>
            <w:pPr>
              <w:spacing w:after="0"/>
              <w:rPr>
                <w:sz w:val="17"/>
                <w:szCs w:val="17"/>
                <w:color w:val="auto"/>
              </w:rPr>
            </w:pPr>
          </w:p>
        </w:tc>
        <w:tc>
          <w:tcPr>
            <w:tcW w:w="140" w:type="dxa"/>
            <w:vAlign w:val="bottom"/>
            <w:tcBorders>
              <w:bottom w:val="single" w:sz="8" w:color="4B5088"/>
            </w:tcBorders>
          </w:tcPr>
          <w:p>
            <w:pPr>
              <w:spacing w:after="0"/>
              <w:rPr>
                <w:sz w:val="17"/>
                <w:szCs w:val="17"/>
                <w:color w:val="auto"/>
              </w:rPr>
            </w:pPr>
          </w:p>
        </w:tc>
        <w:tc>
          <w:tcPr>
            <w:tcW w:w="840" w:type="dxa"/>
            <w:vAlign w:val="bottom"/>
            <w:tcBorders>
              <w:bottom w:val="single" w:sz="8" w:color="4B5088"/>
            </w:tcBorders>
          </w:tcPr>
          <w:p>
            <w:pPr>
              <w:spacing w:after="0"/>
              <w:rPr>
                <w:sz w:val="17"/>
                <w:szCs w:val="17"/>
                <w:color w:val="auto"/>
              </w:rPr>
            </w:pPr>
          </w:p>
        </w:tc>
        <w:tc>
          <w:tcPr>
            <w:tcW w:w="180" w:type="dxa"/>
            <w:vAlign w:val="bottom"/>
            <w:tcBorders>
              <w:bottom w:val="single" w:sz="8" w:color="4B5088"/>
            </w:tcBorders>
          </w:tcPr>
          <w:p>
            <w:pPr>
              <w:spacing w:after="0"/>
              <w:rPr>
                <w:sz w:val="17"/>
                <w:szCs w:val="17"/>
                <w:color w:val="auto"/>
              </w:rPr>
            </w:pPr>
          </w:p>
        </w:tc>
        <w:tc>
          <w:tcPr>
            <w:tcW w:w="1960" w:type="dxa"/>
            <w:vAlign w:val="bottom"/>
            <w:tcBorders>
              <w:bottom w:val="single" w:sz="8" w:color="4B5088"/>
            </w:tcBorders>
            <w:gridSpan w:val="3"/>
          </w:tcPr>
          <w:p>
            <w:pPr>
              <w:spacing w:after="0"/>
              <w:rPr>
                <w:sz w:val="20"/>
                <w:szCs w:val="20"/>
                <w:color w:val="auto"/>
              </w:rPr>
            </w:pPr>
            <w:r>
              <w:rPr>
                <w:rFonts w:ascii="Arial" w:cs="Arial" w:eastAsia="Arial" w:hAnsi="Arial"/>
                <w:sz w:val="15"/>
                <w:szCs w:val="15"/>
                <w:color w:val="auto"/>
              </w:rPr>
              <w:t>December 31, 2027.</w:t>
            </w:r>
          </w:p>
        </w:tc>
        <w:tc>
          <w:tcPr>
            <w:tcW w:w="1280" w:type="dxa"/>
            <w:vAlign w:val="bottom"/>
            <w:tcBorders>
              <w:bottom w:val="single" w:sz="8" w:color="4B5088"/>
            </w:tcBorders>
          </w:tcPr>
          <w:p>
            <w:pPr>
              <w:spacing w:after="0"/>
              <w:rPr>
                <w:sz w:val="17"/>
                <w:szCs w:val="17"/>
                <w:color w:val="auto"/>
              </w:rPr>
            </w:pPr>
          </w:p>
        </w:tc>
        <w:tc>
          <w:tcPr>
            <w:tcW w:w="560" w:type="dxa"/>
            <w:vAlign w:val="bottom"/>
            <w:tcBorders>
              <w:bottom w:val="single" w:sz="8" w:color="4B5088"/>
            </w:tcBorders>
          </w:tcPr>
          <w:p>
            <w:pPr>
              <w:spacing w:after="0"/>
              <w:rPr>
                <w:sz w:val="17"/>
                <w:szCs w:val="17"/>
                <w:color w:val="auto"/>
              </w:rPr>
            </w:pPr>
          </w:p>
        </w:tc>
        <w:tc>
          <w:tcPr>
            <w:tcW w:w="200" w:type="dxa"/>
            <w:vAlign w:val="bottom"/>
            <w:tcBorders>
              <w:bottom w:val="single" w:sz="8" w:color="4B5088"/>
            </w:tcBorders>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2380" w:type="dxa"/>
            <w:vAlign w:val="bottom"/>
            <w:gridSpan w:val="2"/>
            <w:shd w:val="clear" w:color="auto" w:fill="1F2668"/>
          </w:tcPr>
          <w:p>
            <w:pPr>
              <w:ind w:left="140"/>
              <w:spacing w:after="0" w:line="155" w:lineRule="exact"/>
              <w:rPr>
                <w:sz w:val="20"/>
                <w:szCs w:val="20"/>
                <w:color w:val="auto"/>
              </w:rPr>
            </w:pPr>
            <w:r>
              <w:rPr>
                <w:rFonts w:ascii="Arial" w:cs="Arial" w:eastAsia="Arial" w:hAnsi="Arial"/>
                <w:sz w:val="14"/>
                <w:szCs w:val="14"/>
                <w:b w:val="1"/>
                <w:bCs w:val="1"/>
                <w:color w:val="FFFFFF"/>
              </w:rPr>
              <w:t>amount for Mr. DiLiberto in</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shd w:val="clear" w:color="auto" w:fill="83AD40"/>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shd w:val="clear" w:color="auto" w:fill="E9F9D8"/>
          </w:tcPr>
          <w:p>
            <w:pPr>
              <w:spacing w:after="0"/>
              <w:rPr>
                <w:sz w:val="13"/>
                <w:szCs w:val="13"/>
                <w:color w:val="auto"/>
              </w:rPr>
            </w:pPr>
          </w:p>
        </w:tc>
        <w:tc>
          <w:tcPr>
            <w:tcW w:w="900" w:type="dxa"/>
            <w:vAlign w:val="bottom"/>
            <w:gridSpan w:val="2"/>
            <w:vMerge w:val="restart"/>
            <w:shd w:val="clear" w:color="auto" w:fill="E9F9D8"/>
          </w:tcPr>
          <w:p>
            <w:pPr>
              <w:spacing w:after="0" w:line="330" w:lineRule="exact"/>
              <w:rPr>
                <w:sz w:val="20"/>
                <w:szCs w:val="20"/>
                <w:color w:val="auto"/>
              </w:rPr>
            </w:pPr>
            <w:r>
              <w:rPr>
                <w:rFonts w:ascii="Arial" w:cs="Arial" w:eastAsia="Arial" w:hAnsi="Arial"/>
                <w:sz w:val="32"/>
                <w:szCs w:val="32"/>
                <w:color w:val="1F2668"/>
              </w:rPr>
              <w:t>38%</w:t>
            </w:r>
          </w:p>
        </w:tc>
        <w:tc>
          <w:tcPr>
            <w:tcW w:w="80" w:type="dxa"/>
            <w:vAlign w:val="bottom"/>
            <w:shd w:val="clear" w:color="auto" w:fill="E9F9D8"/>
          </w:tcPr>
          <w:p>
            <w:pPr>
              <w:spacing w:after="0"/>
              <w:rPr>
                <w:sz w:val="13"/>
                <w:szCs w:val="13"/>
                <w:color w:val="auto"/>
              </w:rPr>
            </w:pPr>
          </w:p>
        </w:tc>
        <w:tc>
          <w:tcPr>
            <w:tcW w:w="980" w:type="dxa"/>
            <w:vAlign w:val="bottom"/>
            <w:gridSpan w:val="2"/>
            <w:vMerge w:val="restart"/>
          </w:tcPr>
          <w:p>
            <w:pPr>
              <w:spacing w:after="0" w:line="330" w:lineRule="exact"/>
              <w:rPr>
                <w:sz w:val="20"/>
                <w:szCs w:val="20"/>
                <w:color w:val="auto"/>
              </w:rPr>
            </w:pPr>
            <w:r>
              <w:rPr>
                <w:rFonts w:ascii="Arial" w:cs="Arial" w:eastAsia="Arial" w:hAnsi="Arial"/>
                <w:sz w:val="15"/>
                <w:szCs w:val="15"/>
                <w:color w:val="auto"/>
              </w:rPr>
              <w:t>​​</w:t>
            </w:r>
            <w:r>
              <w:rPr>
                <w:rFonts w:ascii="Arial" w:cs="Arial" w:eastAsia="Arial" w:hAnsi="Arial"/>
                <w:sz w:val="32"/>
                <w:szCs w:val="32"/>
                <w:color w:val="1F2668"/>
              </w:rPr>
              <w:t>30%</w:t>
            </w:r>
          </w:p>
        </w:tc>
        <w:tc>
          <w:tcPr>
            <w:tcW w:w="180" w:type="dxa"/>
            <w:vAlign w:val="bottom"/>
          </w:tcPr>
          <w:p>
            <w:pPr>
              <w:spacing w:after="0"/>
              <w:rPr>
                <w:sz w:val="13"/>
                <w:szCs w:val="13"/>
                <w:color w:val="auto"/>
              </w:rPr>
            </w:pPr>
          </w:p>
        </w:tc>
        <w:tc>
          <w:tcPr>
            <w:tcW w:w="3240" w:type="dxa"/>
            <w:vAlign w:val="bottom"/>
            <w:gridSpan w:val="4"/>
          </w:tcPr>
          <w:p>
            <w:pPr>
              <w:spacing w:after="0" w:line="155" w:lineRule="exact"/>
              <w:rPr>
                <w:sz w:val="20"/>
                <w:szCs w:val="20"/>
                <w:color w:val="auto"/>
              </w:rPr>
            </w:pPr>
            <w:r>
              <w:rPr>
                <w:rFonts w:ascii="Arial" w:cs="Arial" w:eastAsia="Arial" w:hAnsi="Arial"/>
                <w:sz w:val="16"/>
                <w:szCs w:val="16"/>
                <w:b w:val="1"/>
                <w:bCs w:val="1"/>
                <w:color w:val="auto"/>
              </w:rPr>
              <w:t>Time-Based Equity Awards</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820" w:type="dxa"/>
            <w:vAlign w:val="bottom"/>
          </w:tcPr>
          <w:p>
            <w:pPr>
              <w:spacing w:after="0"/>
              <w:rPr>
                <w:sz w:val="15"/>
                <w:szCs w:val="15"/>
                <w:color w:val="auto"/>
              </w:rPr>
            </w:pPr>
          </w:p>
        </w:tc>
        <w:tc>
          <w:tcPr>
            <w:tcW w:w="2380" w:type="dxa"/>
            <w:vAlign w:val="bottom"/>
            <w:gridSpan w:val="2"/>
            <w:shd w:val="clear" w:color="auto" w:fill="1F2668"/>
          </w:tcPr>
          <w:p>
            <w:pPr>
              <w:ind w:left="140"/>
              <w:spacing w:after="0"/>
              <w:rPr>
                <w:sz w:val="20"/>
                <w:szCs w:val="20"/>
                <w:color w:val="auto"/>
              </w:rPr>
            </w:pPr>
            <w:r>
              <w:rPr>
                <w:rFonts w:ascii="Arial" w:cs="Arial" w:eastAsia="Arial" w:hAnsi="Arial"/>
                <w:sz w:val="14"/>
                <w:szCs w:val="14"/>
                <w:b w:val="1"/>
                <w:bCs w:val="1"/>
                <w:color w:val="FFFFFF"/>
              </w:rPr>
              <w:t>2024 is approximately 38%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shd w:val="clear" w:color="auto" w:fill="83AD40"/>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shd w:val="clear" w:color="auto" w:fill="E9F9D8"/>
          </w:tcPr>
          <w:p>
            <w:pPr>
              <w:spacing w:after="0"/>
              <w:rPr>
                <w:sz w:val="20"/>
                <w:szCs w:val="20"/>
                <w:color w:val="auto"/>
              </w:rPr>
            </w:pPr>
            <w:r>
              <w:rPr>
                <w:rFonts w:ascii="Arial" w:cs="Arial" w:eastAsia="Arial" w:hAnsi="Arial"/>
                <w:sz w:val="15"/>
                <w:szCs w:val="15"/>
                <w:color w:val="auto"/>
              </w:rPr>
              <w:t>​</w:t>
            </w:r>
          </w:p>
        </w:tc>
        <w:tc>
          <w:tcPr>
            <w:tcW w:w="900" w:type="dxa"/>
            <w:vAlign w:val="bottom"/>
            <w:gridSpan w:val="2"/>
            <w:vMerge w:val="continue"/>
            <w:shd w:val="clear" w:color="auto" w:fill="E9F9D8"/>
          </w:tcPr>
          <w:p>
            <w:pPr>
              <w:spacing w:after="0"/>
              <w:rPr>
                <w:sz w:val="15"/>
                <w:szCs w:val="15"/>
                <w:color w:val="auto"/>
              </w:rPr>
            </w:pPr>
          </w:p>
        </w:tc>
        <w:tc>
          <w:tcPr>
            <w:tcW w:w="80" w:type="dxa"/>
            <w:vAlign w:val="bottom"/>
            <w:shd w:val="clear" w:color="auto" w:fill="E9F9D8"/>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4180" w:type="dxa"/>
            <w:vAlign w:val="bottom"/>
            <w:gridSpan w:val="7"/>
          </w:tcPr>
          <w:p>
            <w:pPr>
              <w:ind w:left="40"/>
              <w:spacing w:after="0" w:line="176"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The Committee granted time-based awards in January 2025</w:t>
            </w:r>
          </w:p>
        </w:tc>
        <w:tc>
          <w:tcPr>
            <w:tcW w:w="880" w:type="dxa"/>
            <w:vAlign w:val="bottom"/>
          </w:tcPr>
          <w:p>
            <w:pPr>
              <w:jc w:val="right"/>
              <w:ind w:right="7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26"/>
        </w:trPr>
        <w:tc>
          <w:tcPr>
            <w:tcW w:w="820" w:type="dxa"/>
            <w:vAlign w:val="bottom"/>
          </w:tcPr>
          <w:p>
            <w:pPr>
              <w:spacing w:after="0"/>
              <w:rPr>
                <w:sz w:val="10"/>
                <w:szCs w:val="10"/>
                <w:color w:val="auto"/>
              </w:rPr>
            </w:pPr>
          </w:p>
        </w:tc>
        <w:tc>
          <w:tcPr>
            <w:tcW w:w="2380" w:type="dxa"/>
            <w:vAlign w:val="bottom"/>
            <w:gridSpan w:val="2"/>
            <w:shd w:val="clear" w:color="auto" w:fill="1F2668"/>
          </w:tcPr>
          <w:p>
            <w:pPr>
              <w:ind w:left="140"/>
              <w:spacing w:after="0" w:line="126" w:lineRule="exact"/>
              <w:rPr>
                <w:sz w:val="20"/>
                <w:szCs w:val="20"/>
                <w:color w:val="auto"/>
              </w:rPr>
            </w:pPr>
            <w:r>
              <w:rPr>
                <w:rFonts w:ascii="Arial" w:cs="Arial" w:eastAsia="Arial" w:hAnsi="Arial"/>
                <w:sz w:val="14"/>
                <w:szCs w:val="14"/>
                <w:b w:val="1"/>
                <w:bCs w:val="1"/>
                <w:color w:val="FFFFFF"/>
              </w:rPr>
              <w:t>higher than the Summary</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shd w:val="clear" w:color="auto" w:fill="83AD40"/>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shd w:val="clear" w:color="auto" w:fill="E9F9D8"/>
          </w:tcPr>
          <w:p>
            <w:pPr>
              <w:spacing w:after="0"/>
              <w:rPr>
                <w:sz w:val="10"/>
                <w:szCs w:val="10"/>
                <w:color w:val="auto"/>
              </w:rPr>
            </w:pPr>
          </w:p>
        </w:tc>
        <w:tc>
          <w:tcPr>
            <w:tcW w:w="900" w:type="dxa"/>
            <w:vAlign w:val="bottom"/>
            <w:gridSpan w:val="2"/>
            <w:vMerge w:val="restart"/>
            <w:shd w:val="clear" w:color="auto" w:fill="E9F9D8"/>
          </w:tcPr>
          <w:p>
            <w:pPr>
              <w:spacing w:after="0"/>
              <w:rPr>
                <w:sz w:val="20"/>
                <w:szCs w:val="20"/>
                <w:color w:val="auto"/>
              </w:rPr>
            </w:pPr>
            <w:r>
              <w:rPr>
                <w:rFonts w:ascii="Arial" w:cs="Arial" w:eastAsia="Arial" w:hAnsi="Arial"/>
                <w:sz w:val="16"/>
                <w:szCs w:val="16"/>
                <w:b w:val="1"/>
                <w:bCs w:val="1"/>
                <w:color w:val="auto"/>
              </w:rPr>
              <w:t>$2,100,000</w:t>
            </w:r>
          </w:p>
        </w:tc>
        <w:tc>
          <w:tcPr>
            <w:tcW w:w="80" w:type="dxa"/>
            <w:vAlign w:val="bottom"/>
            <w:shd w:val="clear" w:color="auto" w:fill="E9F9D8"/>
          </w:tcPr>
          <w:p>
            <w:pPr>
              <w:spacing w:after="0"/>
              <w:rPr>
                <w:sz w:val="10"/>
                <w:szCs w:val="10"/>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$1,191,706</w:t>
            </w:r>
          </w:p>
        </w:tc>
        <w:tc>
          <w:tcPr>
            <w:tcW w:w="180" w:type="dxa"/>
            <w:vAlign w:val="bottom"/>
          </w:tcPr>
          <w:p>
            <w:pPr>
              <w:spacing w:after="0"/>
              <w:rPr>
                <w:sz w:val="10"/>
                <w:szCs w:val="10"/>
                <w:color w:val="auto"/>
              </w:rPr>
            </w:pPr>
          </w:p>
        </w:tc>
        <w:tc>
          <w:tcPr>
            <w:tcW w:w="3800" w:type="dxa"/>
            <w:vAlign w:val="bottom"/>
            <w:gridSpan w:val="5"/>
            <w:vMerge w:val="restart"/>
          </w:tcPr>
          <w:p>
            <w:pPr>
              <w:spacing w:after="0"/>
              <w:rPr>
                <w:sz w:val="20"/>
                <w:szCs w:val="20"/>
                <w:color w:val="auto"/>
              </w:rPr>
            </w:pPr>
            <w:r>
              <w:rPr>
                <w:rFonts w:ascii="Arial" w:cs="Arial" w:eastAsia="Arial" w:hAnsi="Arial"/>
                <w:sz w:val="15"/>
                <w:szCs w:val="15"/>
                <w:color w:val="auto"/>
                <w:w w:val="99"/>
              </w:rPr>
              <w:t>based on the Company’s 2024 performance. The awards</w:t>
            </w: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820" w:type="dxa"/>
            <w:vAlign w:val="bottom"/>
          </w:tcPr>
          <w:p>
            <w:pPr>
              <w:spacing w:after="0"/>
              <w:rPr>
                <w:sz w:val="6"/>
                <w:szCs w:val="6"/>
                <w:color w:val="auto"/>
              </w:rPr>
            </w:pPr>
          </w:p>
        </w:tc>
        <w:tc>
          <w:tcPr>
            <w:tcW w:w="2380" w:type="dxa"/>
            <w:vAlign w:val="bottom"/>
            <w:gridSpan w:val="2"/>
            <w:vMerge w:val="restart"/>
            <w:shd w:val="clear" w:color="auto" w:fill="1F2668"/>
          </w:tcPr>
          <w:p>
            <w:pPr>
              <w:ind w:left="140"/>
              <w:spacing w:after="0" w:line="149" w:lineRule="exact"/>
              <w:rPr>
                <w:sz w:val="20"/>
                <w:szCs w:val="20"/>
                <w:color w:val="auto"/>
              </w:rPr>
            </w:pPr>
            <w:r>
              <w:rPr>
                <w:rFonts w:ascii="Arial" w:cs="Arial" w:eastAsia="Arial" w:hAnsi="Arial"/>
                <w:sz w:val="14"/>
                <w:szCs w:val="14"/>
                <w:b w:val="1"/>
                <w:bCs w:val="1"/>
                <w:color w:val="FFFFFF"/>
              </w:rPr>
              <w:t>Compensation Table amount</w:t>
            </w: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shd w:val="clear" w:color="auto" w:fill="83AD40"/>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shd w:val="clear" w:color="auto" w:fill="E9F9D8"/>
          </w:tcPr>
          <w:p>
            <w:pPr>
              <w:spacing w:after="0"/>
              <w:rPr>
                <w:sz w:val="6"/>
                <w:szCs w:val="6"/>
                <w:color w:val="auto"/>
              </w:rPr>
            </w:pPr>
          </w:p>
        </w:tc>
        <w:tc>
          <w:tcPr>
            <w:tcW w:w="900" w:type="dxa"/>
            <w:vAlign w:val="bottom"/>
            <w:gridSpan w:val="2"/>
            <w:vMerge w:val="continue"/>
            <w:shd w:val="clear" w:color="auto" w:fill="E9F9D8"/>
          </w:tcPr>
          <w:p>
            <w:pPr>
              <w:spacing w:after="0"/>
              <w:rPr>
                <w:sz w:val="6"/>
                <w:szCs w:val="6"/>
                <w:color w:val="auto"/>
              </w:rPr>
            </w:pPr>
          </w:p>
        </w:tc>
        <w:tc>
          <w:tcPr>
            <w:tcW w:w="80" w:type="dxa"/>
            <w:vAlign w:val="bottom"/>
            <w:shd w:val="clear" w:color="auto" w:fill="E9F9D8"/>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800" w:type="dxa"/>
            <w:vAlign w:val="bottom"/>
            <w:gridSpan w:val="5"/>
            <w:vMerge w:val="continue"/>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820" w:type="dxa"/>
            <w:vAlign w:val="bottom"/>
          </w:tcPr>
          <w:p>
            <w:pPr>
              <w:spacing w:after="0"/>
              <w:rPr>
                <w:sz w:val="6"/>
                <w:szCs w:val="6"/>
                <w:color w:val="auto"/>
              </w:rPr>
            </w:pPr>
          </w:p>
        </w:tc>
        <w:tc>
          <w:tcPr>
            <w:tcW w:w="2380" w:type="dxa"/>
            <w:vAlign w:val="bottom"/>
            <w:gridSpan w:val="2"/>
            <w:vMerge w:val="continue"/>
            <w:shd w:val="clear" w:color="auto" w:fill="1F2668"/>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shd w:val="clear" w:color="auto" w:fill="83AD40"/>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shd w:val="clear" w:color="auto" w:fill="E9F9D8"/>
          </w:tcPr>
          <w:p>
            <w:pPr>
              <w:spacing w:after="0"/>
              <w:rPr>
                <w:sz w:val="6"/>
                <w:szCs w:val="6"/>
                <w:color w:val="auto"/>
              </w:rPr>
            </w:pPr>
          </w:p>
        </w:tc>
        <w:tc>
          <w:tcPr>
            <w:tcW w:w="40" w:type="dxa"/>
            <w:vAlign w:val="bottom"/>
            <w:shd w:val="clear" w:color="auto" w:fill="E9F9D8"/>
          </w:tcPr>
          <w:p>
            <w:pPr>
              <w:spacing w:after="0"/>
              <w:rPr>
                <w:sz w:val="6"/>
                <w:szCs w:val="6"/>
                <w:color w:val="auto"/>
              </w:rPr>
            </w:pPr>
          </w:p>
        </w:tc>
        <w:tc>
          <w:tcPr>
            <w:tcW w:w="860" w:type="dxa"/>
            <w:vAlign w:val="bottom"/>
            <w:shd w:val="clear" w:color="auto" w:fill="E9F9D8"/>
          </w:tcPr>
          <w:p>
            <w:pPr>
              <w:spacing w:after="0"/>
              <w:rPr>
                <w:sz w:val="6"/>
                <w:szCs w:val="6"/>
                <w:color w:val="auto"/>
              </w:rPr>
            </w:pPr>
          </w:p>
        </w:tc>
        <w:tc>
          <w:tcPr>
            <w:tcW w:w="80" w:type="dxa"/>
            <w:vAlign w:val="bottom"/>
            <w:shd w:val="clear" w:color="auto" w:fill="E9F9D8"/>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0" w:type="dxa"/>
            <w:vAlign w:val="bottom"/>
            <w:gridSpan w:val="6"/>
            <w:vMerge w:val="restart"/>
          </w:tcPr>
          <w:p>
            <w:pPr>
              <w:spacing w:after="0" w:line="145" w:lineRule="exact"/>
              <w:rPr>
                <w:sz w:val="20"/>
                <w:szCs w:val="20"/>
                <w:color w:val="auto"/>
              </w:rPr>
            </w:pPr>
            <w:r>
              <w:rPr>
                <w:rFonts w:ascii="Arial" w:cs="Arial" w:eastAsia="Arial" w:hAnsi="Arial"/>
                <w:sz w:val="15"/>
                <w:szCs w:val="15"/>
                <w:color w:val="auto"/>
                <w:w w:val="99"/>
              </w:rPr>
              <w:t xml:space="preserve">had a target value of </w:t>
            </w:r>
            <w:r>
              <w:rPr>
                <w:rFonts w:ascii="Arial" w:cs="Arial" w:eastAsia="Arial" w:hAnsi="Arial"/>
                <w:sz w:val="15"/>
                <w:szCs w:val="15"/>
                <w:b w:val="1"/>
                <w:bCs w:val="1"/>
                <w:color w:val="auto"/>
                <w:w w:val="99"/>
              </w:rPr>
              <w:t>$2,100,000</w:t>
            </w:r>
            <w:r>
              <w:rPr>
                <w:rFonts w:ascii="Arial" w:cs="Arial" w:eastAsia="Arial" w:hAnsi="Arial"/>
                <w:sz w:val="15"/>
                <w:szCs w:val="15"/>
                <w:color w:val="auto"/>
                <w:w w:val="99"/>
              </w:rPr>
              <w:t xml:space="preserve">. The corresponding </w:t>
            </w:r>
            <w:r>
              <w:rPr>
                <w:rFonts w:ascii="Arial" w:cs="Arial" w:eastAsia="Arial" w:hAnsi="Arial"/>
                <w:sz w:val="15"/>
                <w:szCs w:val="15"/>
                <w:b w:val="1"/>
                <w:bCs w:val="1"/>
                <w:color w:val="auto"/>
                <w:w w:val="99"/>
              </w:rPr>
              <w:t>30,778</w:t>
            </w: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820" w:type="dxa"/>
            <w:vAlign w:val="bottom"/>
          </w:tcPr>
          <w:p>
            <w:pPr>
              <w:spacing w:after="0"/>
              <w:rPr>
                <w:sz w:val="6"/>
                <w:szCs w:val="6"/>
                <w:color w:val="auto"/>
              </w:rPr>
            </w:pPr>
          </w:p>
        </w:tc>
        <w:tc>
          <w:tcPr>
            <w:tcW w:w="2380" w:type="dxa"/>
            <w:vAlign w:val="bottom"/>
            <w:gridSpan w:val="2"/>
            <w:vMerge w:val="restart"/>
            <w:shd w:val="clear" w:color="auto" w:fill="1F2668"/>
          </w:tcPr>
          <w:p>
            <w:pPr>
              <w:ind w:left="140"/>
              <w:spacing w:after="0" w:line="149" w:lineRule="exact"/>
              <w:rPr>
                <w:sz w:val="20"/>
                <w:szCs w:val="20"/>
                <w:color w:val="auto"/>
              </w:rPr>
            </w:pPr>
            <w:r>
              <w:rPr>
                <w:rFonts w:ascii="Arial" w:cs="Arial" w:eastAsia="Arial" w:hAnsi="Arial"/>
                <w:sz w:val="14"/>
                <w:szCs w:val="14"/>
                <w:b w:val="1"/>
                <w:bCs w:val="1"/>
                <w:color w:val="FFFFFF"/>
              </w:rPr>
              <w:t>for 2024 due primarily to the</w:t>
            </w: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shd w:val="clear" w:color="auto" w:fill="83AD40"/>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shd w:val="clear" w:color="auto" w:fill="E9F9D8"/>
          </w:tcPr>
          <w:p>
            <w:pPr>
              <w:spacing w:after="0"/>
              <w:rPr>
                <w:sz w:val="6"/>
                <w:szCs w:val="6"/>
                <w:color w:val="auto"/>
              </w:rPr>
            </w:pPr>
          </w:p>
        </w:tc>
        <w:tc>
          <w:tcPr>
            <w:tcW w:w="40" w:type="dxa"/>
            <w:vAlign w:val="bottom"/>
            <w:shd w:val="clear" w:color="auto" w:fill="E9F9D8"/>
          </w:tcPr>
          <w:p>
            <w:pPr>
              <w:spacing w:after="0"/>
              <w:rPr>
                <w:sz w:val="6"/>
                <w:szCs w:val="6"/>
                <w:color w:val="auto"/>
              </w:rPr>
            </w:pPr>
          </w:p>
        </w:tc>
        <w:tc>
          <w:tcPr>
            <w:tcW w:w="860" w:type="dxa"/>
            <w:vAlign w:val="bottom"/>
            <w:shd w:val="clear" w:color="auto" w:fill="E9F9D8"/>
          </w:tcPr>
          <w:p>
            <w:pPr>
              <w:spacing w:after="0"/>
              <w:rPr>
                <w:sz w:val="6"/>
                <w:szCs w:val="6"/>
                <w:color w:val="auto"/>
              </w:rPr>
            </w:pPr>
          </w:p>
        </w:tc>
        <w:tc>
          <w:tcPr>
            <w:tcW w:w="80" w:type="dxa"/>
            <w:vAlign w:val="bottom"/>
            <w:shd w:val="clear" w:color="auto" w:fill="E9F9D8"/>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0" w:type="dxa"/>
            <w:vAlign w:val="bottom"/>
            <w:gridSpan w:val="6"/>
            <w:vMerge w:val="continue"/>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820" w:type="dxa"/>
            <w:vAlign w:val="bottom"/>
          </w:tcPr>
          <w:p>
            <w:pPr>
              <w:spacing w:after="0"/>
              <w:rPr>
                <w:sz w:val="6"/>
                <w:szCs w:val="6"/>
                <w:color w:val="auto"/>
              </w:rPr>
            </w:pPr>
          </w:p>
        </w:tc>
        <w:tc>
          <w:tcPr>
            <w:tcW w:w="2380" w:type="dxa"/>
            <w:vAlign w:val="bottom"/>
            <w:gridSpan w:val="2"/>
            <w:vMerge w:val="continue"/>
            <w:shd w:val="clear" w:color="auto" w:fill="1F2668"/>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shd w:val="clear" w:color="auto" w:fill="83AD40"/>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shd w:val="clear" w:color="auto" w:fill="E9F9D8"/>
          </w:tcPr>
          <w:p>
            <w:pPr>
              <w:spacing w:after="0"/>
              <w:rPr>
                <w:sz w:val="6"/>
                <w:szCs w:val="6"/>
                <w:color w:val="auto"/>
              </w:rPr>
            </w:pPr>
          </w:p>
        </w:tc>
        <w:tc>
          <w:tcPr>
            <w:tcW w:w="40" w:type="dxa"/>
            <w:vAlign w:val="bottom"/>
            <w:shd w:val="clear" w:color="auto" w:fill="E9F9D8"/>
          </w:tcPr>
          <w:p>
            <w:pPr>
              <w:spacing w:after="0"/>
              <w:rPr>
                <w:sz w:val="6"/>
                <w:szCs w:val="6"/>
                <w:color w:val="auto"/>
              </w:rPr>
            </w:pPr>
          </w:p>
        </w:tc>
        <w:tc>
          <w:tcPr>
            <w:tcW w:w="860" w:type="dxa"/>
            <w:vAlign w:val="bottom"/>
            <w:shd w:val="clear" w:color="auto" w:fill="E9F9D8"/>
          </w:tcPr>
          <w:p>
            <w:pPr>
              <w:spacing w:after="0"/>
              <w:rPr>
                <w:sz w:val="6"/>
                <w:szCs w:val="6"/>
                <w:color w:val="auto"/>
              </w:rPr>
            </w:pPr>
          </w:p>
        </w:tc>
        <w:tc>
          <w:tcPr>
            <w:tcW w:w="80" w:type="dxa"/>
            <w:vAlign w:val="bottom"/>
            <w:shd w:val="clear" w:color="auto" w:fill="E9F9D8"/>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0" w:type="dxa"/>
            <w:vAlign w:val="bottom"/>
            <w:gridSpan w:val="5"/>
            <w:vMerge w:val="restart"/>
          </w:tcPr>
          <w:p>
            <w:pPr>
              <w:spacing w:after="0"/>
              <w:rPr>
                <w:sz w:val="20"/>
                <w:szCs w:val="20"/>
                <w:color w:val="auto"/>
              </w:rPr>
            </w:pPr>
            <w:r>
              <w:rPr>
                <w:rFonts w:ascii="Arial" w:cs="Arial" w:eastAsia="Arial" w:hAnsi="Arial"/>
                <w:sz w:val="15"/>
                <w:szCs w:val="15"/>
                <w:color w:val="auto"/>
              </w:rPr>
              <w:t>LTIP units vest on January 1, 2026, subject to continued</w:t>
            </w: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820" w:type="dxa"/>
            <w:vAlign w:val="bottom"/>
          </w:tcPr>
          <w:p>
            <w:pPr>
              <w:spacing w:after="0"/>
              <w:rPr>
                <w:sz w:val="8"/>
                <w:szCs w:val="8"/>
                <w:color w:val="auto"/>
              </w:rPr>
            </w:pPr>
          </w:p>
        </w:tc>
        <w:tc>
          <w:tcPr>
            <w:tcW w:w="2380" w:type="dxa"/>
            <w:vAlign w:val="bottom"/>
            <w:gridSpan w:val="2"/>
            <w:vMerge w:val="restart"/>
            <w:shd w:val="clear" w:color="auto" w:fill="1F2668"/>
          </w:tcPr>
          <w:p>
            <w:pPr>
              <w:ind w:left="140"/>
              <w:spacing w:after="0"/>
              <w:rPr>
                <w:sz w:val="20"/>
                <w:szCs w:val="20"/>
                <w:color w:val="auto"/>
              </w:rPr>
            </w:pPr>
            <w:r>
              <w:rPr>
                <w:rFonts w:ascii="Arial" w:cs="Arial" w:eastAsia="Arial" w:hAnsi="Arial"/>
                <w:sz w:val="14"/>
                <w:szCs w:val="14"/>
                <w:b w:val="1"/>
                <w:bCs w:val="1"/>
                <w:color w:val="FFFFFF"/>
              </w:rPr>
              <w:t>form and timing of</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shd w:val="clear" w:color="auto" w:fill="83AD40"/>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shd w:val="clear" w:color="auto" w:fill="E9F9D8"/>
          </w:tcPr>
          <w:p>
            <w:pPr>
              <w:spacing w:after="0"/>
              <w:rPr>
                <w:sz w:val="8"/>
                <w:szCs w:val="8"/>
                <w:color w:val="auto"/>
              </w:rPr>
            </w:pPr>
          </w:p>
        </w:tc>
        <w:tc>
          <w:tcPr>
            <w:tcW w:w="40" w:type="dxa"/>
            <w:vAlign w:val="bottom"/>
            <w:shd w:val="clear" w:color="auto" w:fill="E9F9D8"/>
          </w:tcPr>
          <w:p>
            <w:pPr>
              <w:spacing w:after="0"/>
              <w:rPr>
                <w:sz w:val="8"/>
                <w:szCs w:val="8"/>
                <w:color w:val="auto"/>
              </w:rPr>
            </w:pPr>
          </w:p>
        </w:tc>
        <w:tc>
          <w:tcPr>
            <w:tcW w:w="860" w:type="dxa"/>
            <w:vAlign w:val="bottom"/>
            <w:shd w:val="clear" w:color="auto" w:fill="E9F9D8"/>
          </w:tcPr>
          <w:p>
            <w:pPr>
              <w:spacing w:after="0"/>
              <w:rPr>
                <w:sz w:val="8"/>
                <w:szCs w:val="8"/>
                <w:color w:val="auto"/>
              </w:rPr>
            </w:pPr>
          </w:p>
        </w:tc>
        <w:tc>
          <w:tcPr>
            <w:tcW w:w="80" w:type="dxa"/>
            <w:vAlign w:val="bottom"/>
            <w:shd w:val="clear" w:color="auto" w:fill="E9F9D8"/>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0" w:type="dxa"/>
            <w:vAlign w:val="bottom"/>
            <w:gridSpan w:val="5"/>
            <w:vMerge w:val="continue"/>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820" w:type="dxa"/>
            <w:vAlign w:val="bottom"/>
          </w:tcPr>
          <w:p>
            <w:pPr>
              <w:spacing w:after="0"/>
              <w:rPr>
                <w:sz w:val="5"/>
                <w:szCs w:val="5"/>
                <w:color w:val="auto"/>
              </w:rPr>
            </w:pPr>
          </w:p>
        </w:tc>
        <w:tc>
          <w:tcPr>
            <w:tcW w:w="2380" w:type="dxa"/>
            <w:vAlign w:val="bottom"/>
            <w:gridSpan w:val="2"/>
            <w:vMerge w:val="continue"/>
            <w:shd w:val="clear" w:color="auto" w:fill="1F2668"/>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shd w:val="clear" w:color="auto" w:fill="83AD40"/>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shd w:val="clear" w:color="auto" w:fill="E9F9D8"/>
          </w:tcPr>
          <w:p>
            <w:pPr>
              <w:spacing w:after="0"/>
              <w:rPr>
                <w:sz w:val="5"/>
                <w:szCs w:val="5"/>
                <w:color w:val="auto"/>
              </w:rPr>
            </w:pPr>
          </w:p>
        </w:tc>
        <w:tc>
          <w:tcPr>
            <w:tcW w:w="40" w:type="dxa"/>
            <w:vAlign w:val="bottom"/>
            <w:shd w:val="clear" w:color="auto" w:fill="E9F9D8"/>
          </w:tcPr>
          <w:p>
            <w:pPr>
              <w:spacing w:after="0"/>
              <w:rPr>
                <w:sz w:val="5"/>
                <w:szCs w:val="5"/>
                <w:color w:val="auto"/>
              </w:rPr>
            </w:pPr>
          </w:p>
        </w:tc>
        <w:tc>
          <w:tcPr>
            <w:tcW w:w="860" w:type="dxa"/>
            <w:vAlign w:val="bottom"/>
            <w:shd w:val="clear" w:color="auto" w:fill="E9F9D8"/>
          </w:tcPr>
          <w:p>
            <w:pPr>
              <w:spacing w:after="0"/>
              <w:rPr>
                <w:sz w:val="5"/>
                <w:szCs w:val="5"/>
                <w:color w:val="auto"/>
              </w:rPr>
            </w:pPr>
          </w:p>
        </w:tc>
        <w:tc>
          <w:tcPr>
            <w:tcW w:w="80" w:type="dxa"/>
            <w:vAlign w:val="bottom"/>
            <w:shd w:val="clear" w:color="auto" w:fill="E9F9D8"/>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spacing w:after="0"/>
              <w:rPr>
                <w:sz w:val="20"/>
                <w:szCs w:val="20"/>
                <w:color w:val="auto"/>
              </w:rPr>
            </w:pPr>
            <w:r>
              <w:rPr>
                <w:rFonts w:ascii="Arial" w:cs="Arial" w:eastAsia="Arial" w:hAnsi="Arial"/>
                <w:sz w:val="15"/>
                <w:szCs w:val="15"/>
                <w:color w:val="auto"/>
              </w:rPr>
              <w:t>employment.</w:t>
            </w:r>
          </w:p>
        </w:tc>
        <w:tc>
          <w:tcPr>
            <w:tcW w:w="7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2380" w:type="dxa"/>
            <w:vAlign w:val="bottom"/>
            <w:gridSpan w:val="2"/>
            <w:shd w:val="clear" w:color="auto" w:fill="1F2668"/>
          </w:tcPr>
          <w:p>
            <w:pPr>
              <w:ind w:left="140"/>
              <w:spacing w:after="0" w:line="145" w:lineRule="exact"/>
              <w:rPr>
                <w:sz w:val="20"/>
                <w:szCs w:val="20"/>
                <w:color w:val="auto"/>
              </w:rPr>
            </w:pPr>
            <w:r>
              <w:rPr>
                <w:rFonts w:ascii="Arial" w:cs="Arial" w:eastAsia="Arial" w:hAnsi="Arial"/>
                <w:sz w:val="14"/>
                <w:szCs w:val="14"/>
                <w:b w:val="1"/>
                <w:bCs w:val="1"/>
                <w:color w:val="FFFFFF"/>
              </w:rPr>
              <w:t>Mr. DiLiberto’s annual bonus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shd w:val="clear" w:color="auto" w:fill="83AD40"/>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shd w:val="clear" w:color="auto" w:fill="E9F9D8"/>
          </w:tcPr>
          <w:p>
            <w:pPr>
              <w:spacing w:after="0"/>
              <w:rPr>
                <w:sz w:val="12"/>
                <w:szCs w:val="12"/>
                <w:color w:val="auto"/>
              </w:rPr>
            </w:pPr>
          </w:p>
        </w:tc>
        <w:tc>
          <w:tcPr>
            <w:tcW w:w="40" w:type="dxa"/>
            <w:vAlign w:val="bottom"/>
            <w:shd w:val="clear" w:color="auto" w:fill="E9F9D8"/>
          </w:tcPr>
          <w:p>
            <w:pPr>
              <w:spacing w:after="0"/>
              <w:rPr>
                <w:sz w:val="12"/>
                <w:szCs w:val="12"/>
                <w:color w:val="auto"/>
              </w:rPr>
            </w:pPr>
          </w:p>
        </w:tc>
        <w:tc>
          <w:tcPr>
            <w:tcW w:w="860" w:type="dxa"/>
            <w:vAlign w:val="bottom"/>
            <w:shd w:val="clear" w:color="auto" w:fill="E9F9D8"/>
          </w:tcPr>
          <w:p>
            <w:pPr>
              <w:spacing w:after="0"/>
              <w:rPr>
                <w:sz w:val="12"/>
                <w:szCs w:val="12"/>
                <w:color w:val="auto"/>
              </w:rPr>
            </w:pPr>
          </w:p>
        </w:tc>
        <w:tc>
          <w:tcPr>
            <w:tcW w:w="80" w:type="dxa"/>
            <w:vAlign w:val="bottom"/>
            <w:shd w:val="clear" w:color="auto" w:fill="E9F9D8"/>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20" w:type="dxa"/>
            <w:vAlign w:val="bottom"/>
          </w:tcPr>
          <w:p>
            <w:pPr>
              <w:spacing w:after="0"/>
              <w:rPr>
                <w:sz w:val="13"/>
                <w:szCs w:val="13"/>
                <w:color w:val="auto"/>
              </w:rPr>
            </w:pPr>
          </w:p>
        </w:tc>
        <w:tc>
          <w:tcPr>
            <w:tcW w:w="2380" w:type="dxa"/>
            <w:vAlign w:val="bottom"/>
            <w:gridSpan w:val="2"/>
            <w:shd w:val="clear" w:color="auto" w:fill="1F2668"/>
          </w:tcPr>
          <w:p>
            <w:pPr>
              <w:ind w:left="140"/>
              <w:spacing w:after="0" w:line="153" w:lineRule="exact"/>
              <w:rPr>
                <w:sz w:val="20"/>
                <w:szCs w:val="20"/>
                <w:color w:val="auto"/>
              </w:rPr>
            </w:pPr>
            <w:r>
              <w:rPr>
                <w:rFonts w:ascii="Arial" w:cs="Arial" w:eastAsia="Arial" w:hAnsi="Arial"/>
                <w:sz w:val="14"/>
                <w:szCs w:val="14"/>
                <w:b w:val="1"/>
                <w:bCs w:val="1"/>
                <w:color w:val="FFFFFF"/>
              </w:rPr>
              <w:t>and annual time-based equity</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shd w:val="clear" w:color="auto" w:fill="83AD40"/>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shd w:val="clear" w:color="auto" w:fill="E9F9D8"/>
          </w:tcPr>
          <w:p>
            <w:pPr>
              <w:spacing w:after="0"/>
              <w:rPr>
                <w:sz w:val="13"/>
                <w:szCs w:val="13"/>
                <w:color w:val="auto"/>
              </w:rPr>
            </w:pPr>
          </w:p>
        </w:tc>
        <w:tc>
          <w:tcPr>
            <w:tcW w:w="40" w:type="dxa"/>
            <w:vAlign w:val="bottom"/>
            <w:shd w:val="clear" w:color="auto" w:fill="E9F9D8"/>
          </w:tcPr>
          <w:p>
            <w:pPr>
              <w:spacing w:after="0"/>
              <w:rPr>
                <w:sz w:val="13"/>
                <w:szCs w:val="13"/>
                <w:color w:val="auto"/>
              </w:rPr>
            </w:pPr>
          </w:p>
        </w:tc>
        <w:tc>
          <w:tcPr>
            <w:tcW w:w="860" w:type="dxa"/>
            <w:vAlign w:val="bottom"/>
            <w:shd w:val="clear" w:color="auto" w:fill="E9F9D8"/>
          </w:tcPr>
          <w:p>
            <w:pPr>
              <w:spacing w:after="0"/>
              <w:rPr>
                <w:sz w:val="13"/>
                <w:szCs w:val="13"/>
                <w:color w:val="auto"/>
              </w:rPr>
            </w:pPr>
          </w:p>
        </w:tc>
        <w:tc>
          <w:tcPr>
            <w:tcW w:w="80" w:type="dxa"/>
            <w:vAlign w:val="bottom"/>
            <w:shd w:val="clear" w:color="auto" w:fill="E9F9D8"/>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0" w:type="dxa"/>
            <w:vAlign w:val="bottom"/>
            <w:gridSpan w:val="6"/>
          </w:tcPr>
          <w:p>
            <w:pPr>
              <w:spacing w:after="0" w:line="153" w:lineRule="exact"/>
              <w:rPr>
                <w:sz w:val="20"/>
                <w:szCs w:val="20"/>
                <w:color w:val="auto"/>
              </w:rPr>
            </w:pPr>
            <w:r>
              <w:rPr>
                <w:rFonts w:ascii="Arial" w:cs="Arial" w:eastAsia="Arial" w:hAnsi="Arial"/>
                <w:sz w:val="15"/>
                <w:szCs w:val="15"/>
                <w:color w:val="auto"/>
              </w:rPr>
              <w:t>The SCT amount represents the grant date value of equity</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2380" w:type="dxa"/>
            <w:vAlign w:val="bottom"/>
            <w:gridSpan w:val="2"/>
            <w:shd w:val="clear" w:color="auto" w:fill="1F2668"/>
          </w:tcPr>
          <w:p>
            <w:pPr>
              <w:ind w:left="140"/>
              <w:spacing w:after="0"/>
              <w:rPr>
                <w:sz w:val="20"/>
                <w:szCs w:val="20"/>
                <w:color w:val="auto"/>
              </w:rPr>
            </w:pPr>
            <w:r>
              <w:rPr>
                <w:rFonts w:ascii="Arial" w:cs="Arial" w:eastAsia="Arial" w:hAnsi="Arial"/>
                <w:sz w:val="14"/>
                <w:szCs w:val="14"/>
                <w:b w:val="1"/>
                <w:bCs w:val="1"/>
                <w:color w:val="FFFFFF"/>
              </w:rPr>
              <w:t>award, both of which were paid</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shd w:val="clear" w:color="auto" w:fill="83AD40"/>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shd w:val="clear" w:color="auto" w:fill="E9F9D8"/>
          </w:tcPr>
          <w:p>
            <w:pPr>
              <w:spacing w:after="0"/>
              <w:rPr>
                <w:sz w:val="14"/>
                <w:szCs w:val="14"/>
                <w:color w:val="auto"/>
              </w:rPr>
            </w:pPr>
          </w:p>
        </w:tc>
        <w:tc>
          <w:tcPr>
            <w:tcW w:w="40" w:type="dxa"/>
            <w:vAlign w:val="bottom"/>
            <w:shd w:val="clear" w:color="auto" w:fill="E9F9D8"/>
          </w:tcPr>
          <w:p>
            <w:pPr>
              <w:spacing w:after="0"/>
              <w:rPr>
                <w:sz w:val="14"/>
                <w:szCs w:val="14"/>
                <w:color w:val="auto"/>
              </w:rPr>
            </w:pPr>
          </w:p>
        </w:tc>
        <w:tc>
          <w:tcPr>
            <w:tcW w:w="860" w:type="dxa"/>
            <w:vAlign w:val="bottom"/>
            <w:shd w:val="clear" w:color="auto" w:fill="E9F9D8"/>
          </w:tcPr>
          <w:p>
            <w:pPr>
              <w:spacing w:after="0"/>
              <w:rPr>
                <w:sz w:val="14"/>
                <w:szCs w:val="14"/>
                <w:color w:val="auto"/>
              </w:rPr>
            </w:pPr>
          </w:p>
        </w:tc>
        <w:tc>
          <w:tcPr>
            <w:tcW w:w="80" w:type="dxa"/>
            <w:vAlign w:val="bottom"/>
            <w:shd w:val="clear" w:color="auto" w:fill="E9F9D8"/>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0" w:type="dxa"/>
            <w:vAlign w:val="bottom"/>
            <w:gridSpan w:val="6"/>
          </w:tcPr>
          <w:p>
            <w:pPr>
              <w:spacing w:after="0" w:line="162" w:lineRule="exact"/>
              <w:rPr>
                <w:sz w:val="20"/>
                <w:szCs w:val="20"/>
                <w:color w:val="auto"/>
              </w:rPr>
            </w:pPr>
            <w:r>
              <w:rPr>
                <w:rFonts w:ascii="Arial" w:cs="Arial" w:eastAsia="Arial" w:hAnsi="Arial"/>
                <w:sz w:val="15"/>
                <w:szCs w:val="15"/>
                <w:color w:val="auto"/>
              </w:rPr>
              <w:t>awards granted in January 2024 pursuant to Mr. DiLiberto’s</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20" w:type="dxa"/>
            <w:vAlign w:val="bottom"/>
          </w:tcPr>
          <w:p>
            <w:pPr>
              <w:spacing w:after="0"/>
              <w:rPr>
                <w:sz w:val="14"/>
                <w:szCs w:val="14"/>
                <w:color w:val="auto"/>
              </w:rPr>
            </w:pPr>
          </w:p>
        </w:tc>
        <w:tc>
          <w:tcPr>
            <w:tcW w:w="2380" w:type="dxa"/>
            <w:vAlign w:val="bottom"/>
            <w:gridSpan w:val="2"/>
            <w:shd w:val="clear" w:color="auto" w:fill="1F2668"/>
          </w:tcPr>
          <w:p>
            <w:pPr>
              <w:ind w:left="140"/>
              <w:spacing w:after="0"/>
              <w:rPr>
                <w:sz w:val="20"/>
                <w:szCs w:val="20"/>
                <w:color w:val="auto"/>
              </w:rPr>
            </w:pPr>
            <w:r>
              <w:rPr>
                <w:rFonts w:ascii="Arial" w:cs="Arial" w:eastAsia="Arial" w:hAnsi="Arial"/>
                <w:sz w:val="14"/>
                <w:szCs w:val="14"/>
                <w:b w:val="1"/>
                <w:bCs w:val="1"/>
                <w:color w:val="FFFFFF"/>
              </w:rPr>
              <w:t>fully in equity that was granted</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shd w:val="clear" w:color="auto" w:fill="83AD40"/>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shd w:val="clear" w:color="auto" w:fill="E9F9D8"/>
          </w:tcPr>
          <w:p>
            <w:pPr>
              <w:spacing w:after="0"/>
              <w:rPr>
                <w:sz w:val="14"/>
                <w:szCs w:val="14"/>
                <w:color w:val="auto"/>
              </w:rPr>
            </w:pPr>
          </w:p>
        </w:tc>
        <w:tc>
          <w:tcPr>
            <w:tcW w:w="40" w:type="dxa"/>
            <w:vAlign w:val="bottom"/>
            <w:shd w:val="clear" w:color="auto" w:fill="E9F9D8"/>
          </w:tcPr>
          <w:p>
            <w:pPr>
              <w:spacing w:after="0"/>
              <w:rPr>
                <w:sz w:val="14"/>
                <w:szCs w:val="14"/>
                <w:color w:val="auto"/>
              </w:rPr>
            </w:pPr>
          </w:p>
        </w:tc>
        <w:tc>
          <w:tcPr>
            <w:tcW w:w="860" w:type="dxa"/>
            <w:vAlign w:val="bottom"/>
            <w:shd w:val="clear" w:color="auto" w:fill="E9F9D8"/>
          </w:tcPr>
          <w:p>
            <w:pPr>
              <w:spacing w:after="0"/>
              <w:rPr>
                <w:sz w:val="14"/>
                <w:szCs w:val="14"/>
                <w:color w:val="auto"/>
              </w:rPr>
            </w:pPr>
          </w:p>
        </w:tc>
        <w:tc>
          <w:tcPr>
            <w:tcW w:w="80" w:type="dxa"/>
            <w:vAlign w:val="bottom"/>
            <w:shd w:val="clear" w:color="auto" w:fill="E9F9D8"/>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3"/>
          </w:tcPr>
          <w:p>
            <w:pPr>
              <w:spacing w:after="0" w:line="172" w:lineRule="exact"/>
              <w:rPr>
                <w:sz w:val="20"/>
                <w:szCs w:val="20"/>
                <w:color w:val="auto"/>
              </w:rPr>
            </w:pPr>
            <w:r>
              <w:rPr>
                <w:rFonts w:ascii="Arial" w:cs="Arial" w:eastAsia="Arial" w:hAnsi="Arial"/>
                <w:sz w:val="15"/>
                <w:szCs w:val="15"/>
                <w:color w:val="auto"/>
              </w:rPr>
              <w:t>employment agreement.</w:t>
            </w: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820" w:type="dxa"/>
            <w:vAlign w:val="bottom"/>
          </w:tcPr>
          <w:p>
            <w:pPr>
              <w:spacing w:after="0"/>
              <w:rPr>
                <w:sz w:val="8"/>
                <w:szCs w:val="8"/>
                <w:color w:val="auto"/>
              </w:rPr>
            </w:pPr>
          </w:p>
        </w:tc>
        <w:tc>
          <w:tcPr>
            <w:tcW w:w="2380" w:type="dxa"/>
            <w:vAlign w:val="bottom"/>
            <w:tcBorders>
              <w:bottom w:val="single" w:sz="8" w:color="1F2668"/>
            </w:tcBorders>
            <w:gridSpan w:val="2"/>
            <w:shd w:val="clear" w:color="auto" w:fill="1F2668"/>
          </w:tcPr>
          <w:p>
            <w:pPr>
              <w:ind w:left="140"/>
              <w:spacing w:after="0" w:line="95" w:lineRule="exact"/>
              <w:rPr>
                <w:sz w:val="20"/>
                <w:szCs w:val="20"/>
                <w:color w:val="auto"/>
              </w:rPr>
            </w:pPr>
            <w:r>
              <w:rPr>
                <w:rFonts w:ascii="Arial" w:cs="Arial" w:eastAsia="Arial" w:hAnsi="Arial"/>
                <w:sz w:val="10"/>
                <w:szCs w:val="10"/>
                <w:b w:val="1"/>
                <w:bCs w:val="1"/>
                <w:color w:val="FFFFFF"/>
              </w:rPr>
              <w:t>in January 2025, and therefore</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bottom w:val="single" w:sz="8" w:color="83AD40"/>
            </w:tcBorders>
            <w:shd w:val="clear" w:color="auto" w:fill="83AD40"/>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Borders>
              <w:bottom w:val="single" w:sz="8" w:color="4B5088"/>
            </w:tcBorders>
            <w:shd w:val="clear" w:color="auto" w:fill="E9F9D8"/>
          </w:tcPr>
          <w:p>
            <w:pPr>
              <w:spacing w:after="0"/>
              <w:rPr>
                <w:sz w:val="8"/>
                <w:szCs w:val="8"/>
                <w:color w:val="auto"/>
              </w:rPr>
            </w:pPr>
          </w:p>
        </w:tc>
        <w:tc>
          <w:tcPr>
            <w:tcW w:w="40" w:type="dxa"/>
            <w:vAlign w:val="bottom"/>
            <w:tcBorders>
              <w:bottom w:val="single" w:sz="8" w:color="4B5088"/>
            </w:tcBorders>
            <w:shd w:val="clear" w:color="auto" w:fill="E9F9D8"/>
          </w:tcPr>
          <w:p>
            <w:pPr>
              <w:spacing w:after="0"/>
              <w:rPr>
                <w:sz w:val="8"/>
                <w:szCs w:val="8"/>
                <w:color w:val="auto"/>
              </w:rPr>
            </w:pPr>
          </w:p>
        </w:tc>
        <w:tc>
          <w:tcPr>
            <w:tcW w:w="860" w:type="dxa"/>
            <w:vAlign w:val="bottom"/>
            <w:tcBorders>
              <w:bottom w:val="single" w:sz="8" w:color="4B5088"/>
            </w:tcBorders>
            <w:shd w:val="clear" w:color="auto" w:fill="E9F9D8"/>
          </w:tcPr>
          <w:p>
            <w:pPr>
              <w:spacing w:after="0"/>
              <w:rPr>
                <w:sz w:val="8"/>
                <w:szCs w:val="8"/>
                <w:color w:val="auto"/>
              </w:rPr>
            </w:pPr>
          </w:p>
        </w:tc>
        <w:tc>
          <w:tcPr>
            <w:tcW w:w="80" w:type="dxa"/>
            <w:vAlign w:val="bottom"/>
            <w:tcBorders>
              <w:bottom w:val="single" w:sz="8" w:color="4B5088"/>
            </w:tcBorders>
            <w:shd w:val="clear" w:color="auto" w:fill="E9F9D8"/>
          </w:tcPr>
          <w:p>
            <w:pPr>
              <w:spacing w:after="0"/>
              <w:rPr>
                <w:sz w:val="8"/>
                <w:szCs w:val="8"/>
                <w:color w:val="auto"/>
              </w:rPr>
            </w:pPr>
          </w:p>
        </w:tc>
        <w:tc>
          <w:tcPr>
            <w:tcW w:w="140" w:type="dxa"/>
            <w:vAlign w:val="bottom"/>
            <w:tcBorders>
              <w:bottom w:val="single" w:sz="8" w:color="4B5088"/>
            </w:tcBorders>
          </w:tcPr>
          <w:p>
            <w:pPr>
              <w:spacing w:after="0"/>
              <w:rPr>
                <w:sz w:val="8"/>
                <w:szCs w:val="8"/>
                <w:color w:val="auto"/>
              </w:rPr>
            </w:pPr>
          </w:p>
        </w:tc>
        <w:tc>
          <w:tcPr>
            <w:tcW w:w="840" w:type="dxa"/>
            <w:vAlign w:val="bottom"/>
            <w:tcBorders>
              <w:bottom w:val="single" w:sz="8" w:color="4B5088"/>
            </w:tcBorders>
          </w:tcPr>
          <w:p>
            <w:pPr>
              <w:spacing w:after="0"/>
              <w:rPr>
                <w:sz w:val="8"/>
                <w:szCs w:val="8"/>
                <w:color w:val="auto"/>
              </w:rPr>
            </w:pPr>
          </w:p>
        </w:tc>
        <w:tc>
          <w:tcPr>
            <w:tcW w:w="180" w:type="dxa"/>
            <w:vAlign w:val="bottom"/>
            <w:tcBorders>
              <w:bottom w:val="single" w:sz="8" w:color="4B5088"/>
            </w:tcBorders>
          </w:tcPr>
          <w:p>
            <w:pPr>
              <w:spacing w:after="0"/>
              <w:rPr>
                <w:sz w:val="8"/>
                <w:szCs w:val="8"/>
                <w:color w:val="auto"/>
              </w:rPr>
            </w:pPr>
          </w:p>
        </w:tc>
        <w:tc>
          <w:tcPr>
            <w:tcW w:w="80" w:type="dxa"/>
            <w:vAlign w:val="bottom"/>
            <w:tcBorders>
              <w:bottom w:val="single" w:sz="8" w:color="4B5088"/>
            </w:tcBorders>
          </w:tcPr>
          <w:p>
            <w:pPr>
              <w:spacing w:after="0"/>
              <w:rPr>
                <w:sz w:val="8"/>
                <w:szCs w:val="8"/>
                <w:color w:val="auto"/>
              </w:rPr>
            </w:pPr>
          </w:p>
        </w:tc>
        <w:tc>
          <w:tcPr>
            <w:tcW w:w="1120" w:type="dxa"/>
            <w:vAlign w:val="bottom"/>
            <w:tcBorders>
              <w:bottom w:val="single" w:sz="8" w:color="4B5088"/>
            </w:tcBorders>
          </w:tcPr>
          <w:p>
            <w:pPr>
              <w:spacing w:after="0"/>
              <w:rPr>
                <w:sz w:val="8"/>
                <w:szCs w:val="8"/>
                <w:color w:val="auto"/>
              </w:rPr>
            </w:pPr>
          </w:p>
        </w:tc>
        <w:tc>
          <w:tcPr>
            <w:tcW w:w="760" w:type="dxa"/>
            <w:vAlign w:val="bottom"/>
            <w:tcBorders>
              <w:bottom w:val="single" w:sz="8" w:color="4B5088"/>
            </w:tcBorders>
          </w:tcPr>
          <w:p>
            <w:pPr>
              <w:spacing w:after="0"/>
              <w:rPr>
                <w:sz w:val="8"/>
                <w:szCs w:val="8"/>
                <w:color w:val="auto"/>
              </w:rPr>
            </w:pPr>
          </w:p>
        </w:tc>
        <w:tc>
          <w:tcPr>
            <w:tcW w:w="1280" w:type="dxa"/>
            <w:vAlign w:val="bottom"/>
            <w:tcBorders>
              <w:bottom w:val="single" w:sz="8" w:color="4B5088"/>
            </w:tcBorders>
          </w:tcPr>
          <w:p>
            <w:pPr>
              <w:spacing w:after="0"/>
              <w:rPr>
                <w:sz w:val="8"/>
                <w:szCs w:val="8"/>
                <w:color w:val="auto"/>
              </w:rPr>
            </w:pPr>
          </w:p>
        </w:tc>
        <w:tc>
          <w:tcPr>
            <w:tcW w:w="560" w:type="dxa"/>
            <w:vAlign w:val="bottom"/>
            <w:tcBorders>
              <w:bottom w:val="single" w:sz="8" w:color="4B5088"/>
            </w:tcBorders>
          </w:tcPr>
          <w:p>
            <w:pPr>
              <w:spacing w:after="0"/>
              <w:rPr>
                <w:sz w:val="8"/>
                <w:szCs w:val="8"/>
                <w:color w:val="auto"/>
              </w:rPr>
            </w:pPr>
          </w:p>
        </w:tc>
        <w:tc>
          <w:tcPr>
            <w:tcW w:w="200" w:type="dxa"/>
            <w:vAlign w:val="bottom"/>
            <w:tcBorders>
              <w:bottom w:val="single" w:sz="8" w:color="4B5088"/>
            </w:tcBorders>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820" w:type="dxa"/>
            <w:vAlign w:val="bottom"/>
          </w:tcPr>
          <w:p>
            <w:pPr>
              <w:spacing w:after="0"/>
              <w:rPr>
                <w:sz w:val="13"/>
                <w:szCs w:val="13"/>
                <w:color w:val="auto"/>
              </w:rPr>
            </w:pPr>
          </w:p>
        </w:tc>
        <w:tc>
          <w:tcPr>
            <w:tcW w:w="2380" w:type="dxa"/>
            <w:vAlign w:val="bottom"/>
            <w:gridSpan w:val="2"/>
            <w:shd w:val="clear" w:color="auto" w:fill="1F2668"/>
          </w:tcPr>
          <w:p>
            <w:pPr>
              <w:ind w:left="140"/>
              <w:spacing w:after="0" w:line="155" w:lineRule="exact"/>
              <w:rPr>
                <w:sz w:val="20"/>
                <w:szCs w:val="20"/>
                <w:color w:val="auto"/>
              </w:rPr>
            </w:pPr>
            <w:r>
              <w:rPr>
                <w:rFonts w:ascii="Arial" w:cs="Arial" w:eastAsia="Arial" w:hAnsi="Arial"/>
                <w:sz w:val="14"/>
                <w:szCs w:val="14"/>
                <w:b w:val="1"/>
                <w:bCs w:val="1"/>
                <w:color w:val="FFFFFF"/>
              </w:rPr>
              <w:t>will not appear in the Summary</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shd w:val="clear" w:color="auto" w:fill="83AD40"/>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shd w:val="clear" w:color="auto" w:fill="E9F9D8"/>
          </w:tcPr>
          <w:p>
            <w:pPr>
              <w:spacing w:after="0"/>
              <w:rPr>
                <w:sz w:val="13"/>
                <w:szCs w:val="13"/>
                <w:color w:val="auto"/>
              </w:rPr>
            </w:pPr>
          </w:p>
        </w:tc>
        <w:tc>
          <w:tcPr>
            <w:tcW w:w="900" w:type="dxa"/>
            <w:vAlign w:val="bottom"/>
            <w:gridSpan w:val="2"/>
            <w:vMerge w:val="restart"/>
            <w:shd w:val="clear" w:color="auto" w:fill="E9F9D8"/>
          </w:tcPr>
          <w:p>
            <w:pPr>
              <w:spacing w:after="0" w:line="330" w:lineRule="exact"/>
              <w:rPr>
                <w:sz w:val="20"/>
                <w:szCs w:val="20"/>
                <w:color w:val="auto"/>
              </w:rPr>
            </w:pPr>
            <w:r>
              <w:rPr>
                <w:rFonts w:ascii="Arial" w:cs="Arial" w:eastAsia="Arial" w:hAnsi="Arial"/>
                <w:sz w:val="32"/>
                <w:szCs w:val="32"/>
                <w:color w:val="1F2668"/>
              </w:rPr>
              <w:t>100%</w:t>
            </w:r>
          </w:p>
        </w:tc>
        <w:tc>
          <w:tcPr>
            <w:tcW w:w="80" w:type="dxa"/>
            <w:vAlign w:val="bottom"/>
            <w:shd w:val="clear" w:color="auto" w:fill="E9F9D8"/>
          </w:tcPr>
          <w:p>
            <w:pPr>
              <w:spacing w:after="0"/>
              <w:rPr>
                <w:sz w:val="13"/>
                <w:szCs w:val="13"/>
                <w:color w:val="auto"/>
              </w:rPr>
            </w:pPr>
          </w:p>
        </w:tc>
        <w:tc>
          <w:tcPr>
            <w:tcW w:w="980" w:type="dxa"/>
            <w:vAlign w:val="bottom"/>
            <w:gridSpan w:val="2"/>
            <w:vMerge w:val="restart"/>
          </w:tcPr>
          <w:p>
            <w:pPr>
              <w:spacing w:after="0" w:line="330"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1F2668"/>
              </w:rPr>
              <w:t>100%</w:t>
            </w:r>
          </w:p>
        </w:tc>
        <w:tc>
          <w:tcPr>
            <w:tcW w:w="180" w:type="dxa"/>
            <w:vAlign w:val="bottom"/>
          </w:tcPr>
          <w:p>
            <w:pPr>
              <w:spacing w:after="0"/>
              <w:rPr>
                <w:sz w:val="13"/>
                <w:szCs w:val="13"/>
                <w:color w:val="auto"/>
              </w:rPr>
            </w:pPr>
          </w:p>
        </w:tc>
        <w:tc>
          <w:tcPr>
            <w:tcW w:w="3800" w:type="dxa"/>
            <w:vAlign w:val="bottom"/>
            <w:gridSpan w:val="5"/>
          </w:tcPr>
          <w:p>
            <w:pPr>
              <w:spacing w:after="0" w:line="156" w:lineRule="exact"/>
              <w:rPr>
                <w:sz w:val="20"/>
                <w:szCs w:val="20"/>
                <w:color w:val="auto"/>
              </w:rPr>
            </w:pPr>
            <w:r>
              <w:rPr>
                <w:rFonts w:ascii="Arial" w:cs="Arial" w:eastAsia="Arial" w:hAnsi="Arial"/>
                <w:sz w:val="15"/>
                <w:szCs w:val="15"/>
                <w:color w:val="auto"/>
              </w:rPr>
              <w:t>Both totals include $13,800 of “Other Compensation,” as</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2380" w:type="dxa"/>
            <w:vAlign w:val="bottom"/>
            <w:gridSpan w:val="2"/>
            <w:shd w:val="clear" w:color="auto" w:fill="1F2668"/>
          </w:tcPr>
          <w:p>
            <w:pPr>
              <w:ind w:left="140"/>
              <w:spacing w:after="0"/>
              <w:rPr>
                <w:sz w:val="20"/>
                <w:szCs w:val="20"/>
                <w:color w:val="auto"/>
              </w:rPr>
            </w:pPr>
            <w:r>
              <w:rPr>
                <w:rFonts w:ascii="Arial" w:cs="Arial" w:eastAsia="Arial" w:hAnsi="Arial"/>
                <w:sz w:val="14"/>
                <w:szCs w:val="14"/>
                <w:b w:val="1"/>
                <w:bCs w:val="1"/>
                <w:color w:val="FFFFFF"/>
              </w:rPr>
              <w:t>Compensation Table until our</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shd w:val="clear" w:color="auto" w:fill="83AD40"/>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shd w:val="clear" w:color="auto" w:fill="E9F9D8"/>
          </w:tcPr>
          <w:p>
            <w:pPr>
              <w:spacing w:after="0" w:line="175" w:lineRule="exact"/>
              <w:rPr>
                <w:sz w:val="20"/>
                <w:szCs w:val="20"/>
                <w:color w:val="auto"/>
              </w:rPr>
            </w:pPr>
            <w:r>
              <w:rPr>
                <w:rFonts w:ascii="Arial" w:cs="Arial" w:eastAsia="Arial" w:hAnsi="Arial"/>
                <w:sz w:val="16"/>
                <w:szCs w:val="16"/>
                <w:color w:val="auto"/>
              </w:rPr>
              <w:t>​</w:t>
            </w:r>
          </w:p>
        </w:tc>
        <w:tc>
          <w:tcPr>
            <w:tcW w:w="900" w:type="dxa"/>
            <w:vAlign w:val="bottom"/>
            <w:gridSpan w:val="2"/>
            <w:vMerge w:val="continue"/>
            <w:shd w:val="clear" w:color="auto" w:fill="E9F9D8"/>
          </w:tcPr>
          <w:p>
            <w:pPr>
              <w:spacing w:after="0"/>
              <w:rPr>
                <w:sz w:val="15"/>
                <w:szCs w:val="15"/>
                <w:color w:val="auto"/>
              </w:rPr>
            </w:pPr>
          </w:p>
        </w:tc>
        <w:tc>
          <w:tcPr>
            <w:tcW w:w="80" w:type="dxa"/>
            <w:vAlign w:val="bottom"/>
            <w:shd w:val="clear" w:color="auto" w:fill="E9F9D8"/>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3420" w:type="dxa"/>
            <w:vAlign w:val="bottom"/>
            <w:gridSpan w:val="5"/>
          </w:tcPr>
          <w:p>
            <w:pPr>
              <w:ind w:left="40"/>
              <w:spacing w:after="0" w:line="176"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color w:val="auto"/>
              </w:rPr>
              <w:t>reflected in the Summary Compensation Table.</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744"/>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380" w:type="dxa"/>
            <w:vAlign w:val="bottom"/>
            <w:gridSpan w:val="2"/>
            <w:shd w:val="clear" w:color="auto" w:fill="1F2668"/>
          </w:tcPr>
          <w:p>
            <w:pPr>
              <w:ind w:left="140"/>
              <w:spacing w:after="0"/>
              <w:rPr>
                <w:sz w:val="20"/>
                <w:szCs w:val="20"/>
                <w:color w:val="auto"/>
              </w:rPr>
            </w:pPr>
            <w:r>
              <w:rPr>
                <w:rFonts w:ascii="Arial" w:cs="Arial" w:eastAsia="Arial" w:hAnsi="Arial"/>
                <w:sz w:val="14"/>
                <w:szCs w:val="14"/>
                <w:b w:val="1"/>
                <w:bCs w:val="1"/>
                <w:color w:val="FFFFFF"/>
              </w:rPr>
              <w:t>2026 proxy statement.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shd w:val="clear" w:color="auto" w:fill="83AD40"/>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shd w:val="clear" w:color="auto" w:fill="E9F9D8"/>
          </w:tcPr>
          <w:p>
            <w:pPr>
              <w:spacing w:after="0"/>
              <w:rPr>
                <w:sz w:val="17"/>
                <w:szCs w:val="17"/>
                <w:color w:val="auto"/>
              </w:rPr>
            </w:pPr>
          </w:p>
        </w:tc>
        <w:tc>
          <w:tcPr>
            <w:tcW w:w="900" w:type="dxa"/>
            <w:vAlign w:val="bottom"/>
            <w:gridSpan w:val="2"/>
            <w:vMerge w:val="restart"/>
            <w:shd w:val="clear" w:color="auto" w:fill="E9F9D8"/>
          </w:tcPr>
          <w:p>
            <w:pPr>
              <w:spacing w:after="0"/>
              <w:rPr>
                <w:sz w:val="20"/>
                <w:szCs w:val="20"/>
                <w:color w:val="auto"/>
              </w:rPr>
            </w:pPr>
            <w:r>
              <w:rPr>
                <w:rFonts w:ascii="Arial" w:cs="Arial" w:eastAsia="Arial" w:hAnsi="Arial"/>
                <w:sz w:val="16"/>
                <w:szCs w:val="16"/>
                <w:b w:val="1"/>
                <w:bCs w:val="1"/>
                <w:color w:val="auto"/>
              </w:rPr>
              <w:t>$5,495,456</w:t>
            </w:r>
          </w:p>
        </w:tc>
        <w:tc>
          <w:tcPr>
            <w:tcW w:w="80" w:type="dxa"/>
            <w:vAlign w:val="bottom"/>
            <w:shd w:val="clear" w:color="auto" w:fill="E9F9D8"/>
          </w:tcPr>
          <w:p>
            <w:pPr>
              <w:spacing w:after="0"/>
              <w:rPr>
                <w:sz w:val="17"/>
                <w:szCs w:val="17"/>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$3,970,222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820" w:type="dxa"/>
            <w:vAlign w:val="bottom"/>
          </w:tcPr>
          <w:p>
            <w:pPr>
              <w:spacing w:after="0"/>
              <w:rPr>
                <w:sz w:val="9"/>
                <w:szCs w:val="9"/>
                <w:color w:val="auto"/>
              </w:rPr>
            </w:pPr>
          </w:p>
        </w:tc>
        <w:tc>
          <w:tcPr>
            <w:tcW w:w="200" w:type="dxa"/>
            <w:vAlign w:val="bottom"/>
            <w:tcBorders>
              <w:bottom w:val="single" w:sz="8" w:color="1F2668"/>
              <w:right w:val="single" w:sz="8" w:color="1F2668"/>
            </w:tcBorders>
            <w:shd w:val="clear" w:color="auto" w:fill="1F2668"/>
          </w:tcPr>
          <w:p>
            <w:pPr>
              <w:spacing w:after="0"/>
              <w:rPr>
                <w:sz w:val="9"/>
                <w:szCs w:val="9"/>
                <w:color w:val="auto"/>
              </w:rPr>
            </w:pPr>
          </w:p>
        </w:tc>
        <w:tc>
          <w:tcPr>
            <w:tcW w:w="2180" w:type="dxa"/>
            <w:vAlign w:val="bottom"/>
            <w:tcBorders>
              <w:bottom w:val="single" w:sz="8" w:color="1F2668"/>
            </w:tcBorders>
            <w:shd w:val="clear" w:color="auto" w:fill="1F2668"/>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bottom w:val="single" w:sz="8" w:color="83AD40"/>
            </w:tcBorders>
            <w:shd w:val="clear" w:color="auto" w:fill="83AD40"/>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Borders>
              <w:bottom w:val="single" w:sz="8" w:color="E9F9D8"/>
            </w:tcBorders>
            <w:shd w:val="clear" w:color="auto" w:fill="E9F9D8"/>
          </w:tcPr>
          <w:p>
            <w:pPr>
              <w:spacing w:after="0"/>
              <w:rPr>
                <w:sz w:val="9"/>
                <w:szCs w:val="9"/>
                <w:color w:val="auto"/>
              </w:rPr>
            </w:pPr>
          </w:p>
        </w:tc>
        <w:tc>
          <w:tcPr>
            <w:tcW w:w="900" w:type="dxa"/>
            <w:vAlign w:val="bottom"/>
            <w:tcBorders>
              <w:bottom w:val="single" w:sz="8" w:color="E9F9D8"/>
            </w:tcBorders>
            <w:gridSpan w:val="2"/>
            <w:vMerge w:val="continue"/>
            <w:shd w:val="clear" w:color="auto" w:fill="E9F9D8"/>
          </w:tcPr>
          <w:p>
            <w:pPr>
              <w:spacing w:after="0"/>
              <w:rPr>
                <w:sz w:val="9"/>
                <w:szCs w:val="9"/>
                <w:color w:val="auto"/>
              </w:rPr>
            </w:pPr>
          </w:p>
        </w:tc>
        <w:tc>
          <w:tcPr>
            <w:tcW w:w="80" w:type="dxa"/>
            <w:vAlign w:val="bottom"/>
            <w:tcBorders>
              <w:bottom w:val="single" w:sz="8" w:color="E9F9D8"/>
            </w:tcBorders>
            <w:shd w:val="clear" w:color="auto" w:fill="E9F9D8"/>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1"/>
        </w:trPr>
        <w:tc>
          <w:tcPr>
            <w:tcW w:w="820" w:type="dxa"/>
            <w:vAlign w:val="bottom"/>
          </w:tcPr>
          <w:p>
            <w:pPr>
              <w:spacing w:after="0"/>
              <w:rPr>
                <w:sz w:val="24"/>
                <w:szCs w:val="24"/>
                <w:color w:val="auto"/>
              </w:rPr>
            </w:pPr>
          </w:p>
        </w:tc>
        <w:tc>
          <w:tcPr>
            <w:tcW w:w="200" w:type="dxa"/>
            <w:vAlign w:val="bottom"/>
            <w:tcBorders>
              <w:top w:val="single" w:sz="8" w:color="1F2668"/>
              <w:right w:val="single" w:sz="8" w:color="1F2668"/>
            </w:tcBorders>
            <w:shd w:val="clear" w:color="auto" w:fill="1F2668"/>
          </w:tcPr>
          <w:p>
            <w:pPr>
              <w:spacing w:after="0"/>
              <w:rPr>
                <w:sz w:val="24"/>
                <w:szCs w:val="24"/>
                <w:color w:val="auto"/>
              </w:rPr>
            </w:pPr>
          </w:p>
        </w:tc>
        <w:tc>
          <w:tcPr>
            <w:tcW w:w="2180" w:type="dxa"/>
            <w:vAlign w:val="bottom"/>
            <w:tcBorders>
              <w:top w:val="single" w:sz="8" w:color="1F2668"/>
            </w:tcBorders>
            <w:shd w:val="clear" w:color="auto" w:fill="1F2668"/>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vMerge w:val="restart"/>
          </w:tcPr>
          <w:p>
            <w:pPr>
              <w:spacing w:after="0"/>
              <w:rPr>
                <w:sz w:val="24"/>
                <w:szCs w:val="24"/>
                <w:color w:val="auto"/>
              </w:rPr>
            </w:pPr>
          </w:p>
        </w:tc>
        <w:tc>
          <w:tcPr>
            <w:tcW w:w="60" w:type="dxa"/>
            <w:vAlign w:val="bottom"/>
            <w:tcBorders>
              <w:top w:val="single" w:sz="8" w:color="83AD40"/>
            </w:tcBorders>
            <w:vMerge w:val="restart"/>
            <w:shd w:val="clear" w:color="auto" w:fill="83AD40"/>
          </w:tcPr>
          <w:p>
            <w:pPr>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4"/>
                <w:szCs w:val="24"/>
                <w:color w:val="auto"/>
              </w:rPr>
            </w:pPr>
          </w:p>
        </w:tc>
        <w:tc>
          <w:tcPr>
            <w:tcW w:w="60" w:type="dxa"/>
            <w:vAlign w:val="bottom"/>
            <w:tcBorders>
              <w:top w:val="single" w:sz="8" w:color="4B5088"/>
            </w:tcBorders>
          </w:tcPr>
          <w:p>
            <w:pPr>
              <w:spacing w:after="0"/>
              <w:rPr>
                <w:sz w:val="24"/>
                <w:szCs w:val="24"/>
                <w:color w:val="auto"/>
              </w:rPr>
            </w:pPr>
          </w:p>
        </w:tc>
        <w:tc>
          <w:tcPr>
            <w:tcW w:w="40" w:type="dxa"/>
            <w:vAlign w:val="bottom"/>
            <w:tcBorders>
              <w:top w:val="single" w:sz="8" w:color="4B5088"/>
            </w:tcBorders>
          </w:tcPr>
          <w:p>
            <w:pPr>
              <w:spacing w:after="0"/>
              <w:rPr>
                <w:sz w:val="24"/>
                <w:szCs w:val="24"/>
                <w:color w:val="auto"/>
              </w:rPr>
            </w:pPr>
          </w:p>
        </w:tc>
        <w:tc>
          <w:tcPr>
            <w:tcW w:w="860" w:type="dxa"/>
            <w:vAlign w:val="bottom"/>
            <w:tcBorders>
              <w:top w:val="single" w:sz="8" w:color="4B5088"/>
            </w:tcBorders>
          </w:tcPr>
          <w:p>
            <w:pPr>
              <w:spacing w:after="0"/>
              <w:rPr>
                <w:sz w:val="24"/>
                <w:szCs w:val="24"/>
                <w:color w:val="auto"/>
              </w:rPr>
            </w:pPr>
          </w:p>
        </w:tc>
        <w:tc>
          <w:tcPr>
            <w:tcW w:w="80" w:type="dxa"/>
            <w:vAlign w:val="bottom"/>
            <w:tcBorders>
              <w:top w:val="single" w:sz="8" w:color="4B5088"/>
            </w:tcBorders>
          </w:tcPr>
          <w:p>
            <w:pPr>
              <w:spacing w:after="0"/>
              <w:rPr>
                <w:sz w:val="24"/>
                <w:szCs w:val="24"/>
                <w:color w:val="auto"/>
              </w:rPr>
            </w:pPr>
          </w:p>
        </w:tc>
        <w:tc>
          <w:tcPr>
            <w:tcW w:w="140" w:type="dxa"/>
            <w:vAlign w:val="bottom"/>
            <w:tcBorders>
              <w:top w:val="single" w:sz="8" w:color="4B5088"/>
            </w:tcBorders>
          </w:tcPr>
          <w:p>
            <w:pPr>
              <w:spacing w:after="0"/>
              <w:rPr>
                <w:sz w:val="24"/>
                <w:szCs w:val="24"/>
                <w:color w:val="auto"/>
              </w:rPr>
            </w:pPr>
          </w:p>
        </w:tc>
        <w:tc>
          <w:tcPr>
            <w:tcW w:w="840" w:type="dxa"/>
            <w:vAlign w:val="bottom"/>
            <w:tcBorders>
              <w:top w:val="single" w:sz="8" w:color="4B5088"/>
            </w:tcBorders>
          </w:tcPr>
          <w:p>
            <w:pPr>
              <w:spacing w:after="0"/>
              <w:rPr>
                <w:sz w:val="24"/>
                <w:szCs w:val="24"/>
                <w:color w:val="auto"/>
              </w:rPr>
            </w:pPr>
          </w:p>
        </w:tc>
        <w:tc>
          <w:tcPr>
            <w:tcW w:w="180" w:type="dxa"/>
            <w:vAlign w:val="bottom"/>
            <w:tcBorders>
              <w:top w:val="single" w:sz="8" w:color="4B5088"/>
            </w:tcBorders>
          </w:tcPr>
          <w:p>
            <w:pPr>
              <w:spacing w:after="0"/>
              <w:rPr>
                <w:sz w:val="24"/>
                <w:szCs w:val="24"/>
                <w:color w:val="auto"/>
              </w:rPr>
            </w:pPr>
          </w:p>
        </w:tc>
        <w:tc>
          <w:tcPr>
            <w:tcW w:w="80" w:type="dxa"/>
            <w:vAlign w:val="bottom"/>
            <w:tcBorders>
              <w:top w:val="single" w:sz="8" w:color="4B5088"/>
            </w:tcBorders>
          </w:tcPr>
          <w:p>
            <w:pPr>
              <w:spacing w:after="0"/>
              <w:rPr>
                <w:sz w:val="24"/>
                <w:szCs w:val="24"/>
                <w:color w:val="auto"/>
              </w:rPr>
            </w:pPr>
          </w:p>
        </w:tc>
        <w:tc>
          <w:tcPr>
            <w:tcW w:w="1120" w:type="dxa"/>
            <w:vAlign w:val="bottom"/>
            <w:tcBorders>
              <w:top w:val="single" w:sz="8" w:color="4B5088"/>
            </w:tcBorders>
          </w:tcPr>
          <w:p>
            <w:pPr>
              <w:spacing w:after="0"/>
              <w:rPr>
                <w:sz w:val="24"/>
                <w:szCs w:val="24"/>
                <w:color w:val="auto"/>
              </w:rPr>
            </w:pPr>
          </w:p>
        </w:tc>
        <w:tc>
          <w:tcPr>
            <w:tcW w:w="760" w:type="dxa"/>
            <w:vAlign w:val="bottom"/>
            <w:tcBorders>
              <w:top w:val="single" w:sz="8" w:color="4B5088"/>
            </w:tcBorders>
          </w:tcPr>
          <w:p>
            <w:pPr>
              <w:spacing w:after="0"/>
              <w:rPr>
                <w:sz w:val="24"/>
                <w:szCs w:val="24"/>
                <w:color w:val="auto"/>
              </w:rPr>
            </w:pPr>
          </w:p>
        </w:tc>
        <w:tc>
          <w:tcPr>
            <w:tcW w:w="1280" w:type="dxa"/>
            <w:vAlign w:val="bottom"/>
            <w:tcBorders>
              <w:top w:val="single" w:sz="8" w:color="4B5088"/>
            </w:tcBorders>
          </w:tcPr>
          <w:p>
            <w:pPr>
              <w:spacing w:after="0"/>
              <w:rPr>
                <w:sz w:val="24"/>
                <w:szCs w:val="24"/>
                <w:color w:val="auto"/>
              </w:rPr>
            </w:pPr>
          </w:p>
        </w:tc>
        <w:tc>
          <w:tcPr>
            <w:tcW w:w="560" w:type="dxa"/>
            <w:vAlign w:val="bottom"/>
            <w:tcBorders>
              <w:top w:val="single" w:sz="8" w:color="4B5088"/>
            </w:tcBorders>
          </w:tcPr>
          <w:p>
            <w:pPr>
              <w:spacing w:after="0"/>
              <w:rPr>
                <w:sz w:val="24"/>
                <w:szCs w:val="24"/>
                <w:color w:val="auto"/>
              </w:rPr>
            </w:pPr>
          </w:p>
        </w:tc>
        <w:tc>
          <w:tcPr>
            <w:tcW w:w="200" w:type="dxa"/>
            <w:vAlign w:val="bottom"/>
            <w:tcBorders>
              <w:top w:val="single" w:sz="8" w:color="4B5088"/>
            </w:tcBorders>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20" w:type="dxa"/>
            <w:vAlign w:val="bottom"/>
          </w:tcPr>
          <w:p>
            <w:pPr>
              <w:spacing w:after="0"/>
              <w:rPr>
                <w:sz w:val="24"/>
                <w:szCs w:val="24"/>
                <w:color w:val="auto"/>
              </w:rPr>
            </w:pPr>
          </w:p>
        </w:tc>
        <w:tc>
          <w:tcPr>
            <w:tcW w:w="200" w:type="dxa"/>
            <w:vAlign w:val="bottom"/>
            <w:tcBorders>
              <w:right w:val="single" w:sz="8" w:color="83AD40"/>
            </w:tcBorders>
          </w:tcPr>
          <w:p>
            <w:pPr>
              <w:spacing w:after="0"/>
              <w:rPr>
                <w:sz w:val="24"/>
                <w:szCs w:val="24"/>
                <w:color w:val="auto"/>
              </w:rPr>
            </w:pPr>
          </w:p>
        </w:tc>
        <w:tc>
          <w:tcPr>
            <w:tcW w:w="2180" w:type="dxa"/>
            <w:vAlign w:val="bottom"/>
            <w:tcBorders>
              <w:bottom w:val="single" w:sz="8" w:color="83AD40"/>
            </w:tcBorders>
          </w:tcPr>
          <w:p>
            <w:pPr>
              <w:spacing w:after="0" w:line="243" w:lineRule="exact"/>
              <w:rPr>
                <w:sz w:val="20"/>
                <w:szCs w:val="20"/>
                <w:color w:val="auto"/>
              </w:rPr>
            </w:pPr>
            <w:r>
              <w:rPr>
                <w:rFonts w:ascii="Arial" w:cs="Arial" w:eastAsia="Arial" w:hAnsi="Arial"/>
                <w:sz w:val="22"/>
                <w:szCs w:val="22"/>
                <w:color w:val="auto"/>
              </w:rPr>
              <w:t>​</w:t>
            </w:r>
          </w:p>
        </w:tc>
        <w:tc>
          <w:tcPr>
            <w:tcW w:w="60" w:type="dxa"/>
            <w:vAlign w:val="bottom"/>
            <w:tcBorders>
              <w:bottom w:val="single" w:sz="8" w:color="83AD40"/>
            </w:tcBorders>
          </w:tcPr>
          <w:p>
            <w:pPr>
              <w:spacing w:after="0"/>
              <w:rPr>
                <w:sz w:val="24"/>
                <w:szCs w:val="24"/>
                <w:color w:val="auto"/>
              </w:rPr>
            </w:pPr>
          </w:p>
        </w:tc>
        <w:tc>
          <w:tcPr>
            <w:tcW w:w="40" w:type="dxa"/>
            <w:vAlign w:val="bottom"/>
            <w:tcBorders>
              <w:bottom w:val="single" w:sz="8" w:color="83AD40"/>
            </w:tcBorders>
            <w:vMerge w:val="continue"/>
          </w:tcPr>
          <w:p>
            <w:pPr>
              <w:spacing w:after="0"/>
              <w:rPr>
                <w:sz w:val="24"/>
                <w:szCs w:val="24"/>
                <w:color w:val="auto"/>
              </w:rPr>
            </w:pPr>
          </w:p>
        </w:tc>
        <w:tc>
          <w:tcPr>
            <w:tcW w:w="60" w:type="dxa"/>
            <w:vAlign w:val="bottom"/>
            <w:tcBorders>
              <w:bottom w:val="single" w:sz="8" w:color="83AD40"/>
            </w:tcBorders>
            <w:vMerge w:val="continue"/>
            <w:shd w:val="clear" w:color="auto" w:fill="83AD40"/>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3"/>
        </w:trPr>
        <w:tc>
          <w:tcPr>
            <w:tcW w:w="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722630</wp:posOffset>
            </wp:positionH>
            <wp:positionV relativeFrom="paragraph">
              <wp:posOffset>-7825740</wp:posOffset>
            </wp:positionV>
            <wp:extent cx="2297430" cy="635190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297430" cy="635190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71"/>
        </w:trPr>
        <w:tc>
          <w:tcPr>
            <w:tcW w:w="1460" w:type="dxa"/>
            <w:vAlign w:val="bottom"/>
            <w:gridSpan w:val="3"/>
          </w:tcPr>
          <w:p>
            <w:pPr>
              <w:jc w:val="right"/>
              <w:ind w:right="132"/>
              <w:spacing w:after="0"/>
              <w:rPr>
                <w:sz w:val="20"/>
                <w:szCs w:val="20"/>
                <w:color w:val="auto"/>
              </w:rPr>
            </w:pPr>
            <w:r>
              <w:rPr>
                <w:rFonts w:ascii="Calibri" w:cs="Calibri" w:eastAsia="Calibri" w:hAnsi="Calibri"/>
                <w:sz w:val="14"/>
                <w:szCs w:val="14"/>
                <w:color w:val="003366"/>
              </w:rPr>
              <w:t>TABLE OF CONTENTS</w:t>
            </w:r>
          </w:p>
        </w:tc>
        <w:tc>
          <w:tcPr>
            <w:tcW w:w="1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5"/>
        </w:trPr>
        <w:tc>
          <w:tcPr>
            <w:tcW w:w="820" w:type="dxa"/>
            <w:vAlign w:val="bottom"/>
          </w:tcPr>
          <w:p>
            <w:pPr>
              <w:spacing w:after="0"/>
              <w:rPr>
                <w:sz w:val="24"/>
                <w:szCs w:val="24"/>
                <w:color w:val="auto"/>
              </w:rPr>
            </w:pPr>
          </w:p>
        </w:tc>
        <w:tc>
          <w:tcPr>
            <w:tcW w:w="640" w:type="dxa"/>
            <w:vAlign w:val="bottom"/>
            <w:gridSpan w:val="2"/>
          </w:tcPr>
          <w:p>
            <w:pPr>
              <w:jc w:val="right"/>
              <w:ind w:right="292"/>
              <w:spacing w:after="0"/>
              <w:rPr>
                <w:sz w:val="20"/>
                <w:szCs w:val="20"/>
                <w:color w:val="auto"/>
              </w:rPr>
            </w:pPr>
            <w:r>
              <w:rPr>
                <w:rFonts w:ascii="Arial" w:cs="Arial" w:eastAsia="Arial" w:hAnsi="Arial"/>
                <w:sz w:val="22"/>
                <w:szCs w:val="22"/>
                <w:b w:val="1"/>
                <w:bCs w:val="1"/>
                <w:color w:val="1F2668"/>
                <w:w w:val="89"/>
              </w:rPr>
              <w:t>60​</w:t>
            </w:r>
          </w:p>
        </w:tc>
        <w:tc>
          <w:tcPr>
            <w:tcW w:w="4200" w:type="dxa"/>
            <w:vAlign w:val="bottom"/>
            <w:gridSpan w:val="13"/>
          </w:tcPr>
          <w:p>
            <w:pPr>
              <w:spacing w:after="0"/>
              <w:rPr>
                <w:sz w:val="20"/>
                <w:szCs w:val="20"/>
                <w:color w:val="auto"/>
              </w:rPr>
            </w:pPr>
            <w:r>
              <w:rPr>
                <w:rFonts w:ascii="Arial" w:cs="Arial" w:eastAsia="Arial" w:hAnsi="Arial"/>
                <w:sz w:val="22"/>
                <w:szCs w:val="22"/>
                <w:b w:val="1"/>
                <w:bCs w:val="1"/>
                <w:color w:val="1F2668"/>
              </w:rPr>
              <w:t xml:space="preserve">​ ​ </w:t>
            </w:r>
            <w:r>
              <w:rPr>
                <w:rFonts w:ascii="Arial" w:cs="Arial" w:eastAsia="Arial" w:hAnsi="Arial"/>
                <w:sz w:val="14"/>
                <w:szCs w:val="14"/>
                <w:b w:val="1"/>
                <w:bCs w:val="1"/>
                <w:color w:val="1F2668"/>
              </w:rPr>
              <w:t>SL GREEN REALTY CORP. 2025 PROXY STATEMENT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22"/>
                <w:szCs w:val="22"/>
                <w:b w:val="1"/>
                <w:bCs w:val="1"/>
                <w:color w:val="1F2668"/>
              </w:rPr>
              <w:t>​</w:t>
            </w:r>
          </w:p>
        </w:tc>
        <w:tc>
          <w:tcPr>
            <w:tcW w:w="0" w:type="dxa"/>
            <w:vAlign w:val="bottom"/>
          </w:tcPr>
          <w:p>
            <w:pPr>
              <w:spacing w:after="0"/>
              <w:rPr>
                <w:sz w:val="1"/>
                <w:szCs w:val="1"/>
                <w:color w:val="auto"/>
              </w:rPr>
            </w:pPr>
          </w:p>
        </w:tc>
      </w:tr>
      <w:tr>
        <w:trPr>
          <w:trHeight w:val="656"/>
        </w:trPr>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200" w:type="dxa"/>
            <w:vAlign w:val="bottom"/>
            <w:tcBorders>
              <w:right w:val="single" w:sz="8" w:color="83AD40"/>
            </w:tcBorders>
          </w:tcPr>
          <w:p>
            <w:pPr>
              <w:spacing w:after="0"/>
              <w:rPr>
                <w:sz w:val="21"/>
                <w:szCs w:val="21"/>
                <w:color w:val="auto"/>
              </w:rPr>
            </w:pPr>
          </w:p>
        </w:tc>
        <w:tc>
          <w:tcPr>
            <w:tcW w:w="440" w:type="dxa"/>
            <w:vAlign w:val="bottom"/>
            <w:tcBorders>
              <w:top w:val="single" w:sz="8" w:color="83AD40"/>
            </w:tcBorders>
          </w:tcPr>
          <w:p>
            <w:pPr>
              <w:jc w:val="right"/>
              <w:ind w:right="272"/>
              <w:spacing w:after="0" w:line="243" w:lineRule="exact"/>
              <w:rPr>
                <w:sz w:val="20"/>
                <w:szCs w:val="20"/>
                <w:color w:val="auto"/>
              </w:rPr>
            </w:pPr>
            <w:r>
              <w:rPr>
                <w:rFonts w:ascii="Arial" w:cs="Arial" w:eastAsia="Arial" w:hAnsi="Arial"/>
                <w:sz w:val="22"/>
                <w:szCs w:val="22"/>
                <w:color w:val="auto"/>
              </w:rPr>
              <w:t>​</w:t>
            </w:r>
          </w:p>
        </w:tc>
        <w:tc>
          <w:tcPr>
            <w:tcW w:w="1740" w:type="dxa"/>
            <w:vAlign w:val="bottom"/>
            <w:tcBorders>
              <w:top w:val="single" w:sz="8" w:color="83AD40"/>
            </w:tcBorders>
          </w:tcPr>
          <w:p>
            <w:pPr>
              <w:spacing w:after="0"/>
              <w:rPr>
                <w:sz w:val="21"/>
                <w:szCs w:val="21"/>
                <w:color w:val="auto"/>
              </w:rPr>
            </w:pPr>
          </w:p>
        </w:tc>
        <w:tc>
          <w:tcPr>
            <w:tcW w:w="60" w:type="dxa"/>
            <w:vAlign w:val="bottom"/>
            <w:tcBorders>
              <w:top w:val="single" w:sz="8" w:color="83AD40"/>
            </w:tcBorders>
            <w:vMerge w:val="restart"/>
          </w:tcPr>
          <w:p>
            <w:pPr>
              <w:spacing w:after="0"/>
              <w:rPr>
                <w:sz w:val="20"/>
                <w:szCs w:val="20"/>
                <w:color w:val="auto"/>
              </w:rPr>
            </w:pPr>
            <w:r>
              <w:rPr>
                <w:rFonts w:ascii="Arial" w:cs="Arial" w:eastAsia="Arial" w:hAnsi="Arial"/>
                <w:sz w:val="13"/>
                <w:szCs w:val="13"/>
                <w:color w:val="FFFFFF"/>
              </w:rPr>
              <w:t>​</w:t>
            </w:r>
          </w:p>
        </w:tc>
        <w:tc>
          <w:tcPr>
            <w:tcW w:w="40" w:type="dxa"/>
            <w:vAlign w:val="bottom"/>
            <w:tcBorders>
              <w:top w:val="single" w:sz="8" w:color="83AD40"/>
            </w:tcBorders>
          </w:tcPr>
          <w:p>
            <w:pPr>
              <w:spacing w:after="0"/>
              <w:rPr>
                <w:sz w:val="21"/>
                <w:szCs w:val="21"/>
                <w:color w:val="auto"/>
              </w:rPr>
            </w:pPr>
          </w:p>
        </w:tc>
        <w:tc>
          <w:tcPr>
            <w:tcW w:w="60" w:type="dxa"/>
            <w:vAlign w:val="bottom"/>
            <w:tcBorders>
              <w:top w:val="single" w:sz="8" w:color="83AD40"/>
            </w:tcBorders>
            <w:shd w:val="clear" w:color="auto" w:fill="83AD40"/>
          </w:tcPr>
          <w:p>
            <w:pPr>
              <w:spacing w:after="0" w:line="243" w:lineRule="exact"/>
              <w:rPr>
                <w:sz w:val="20"/>
                <w:szCs w:val="20"/>
                <w:color w:val="auto"/>
              </w:rPr>
            </w:pPr>
            <w:r>
              <w:rPr>
                <w:rFonts w:ascii="Arial" w:cs="Arial" w:eastAsia="Arial" w:hAnsi="Arial"/>
                <w:sz w:val="22"/>
                <w:szCs w:val="22"/>
                <w:color w:val="auto"/>
              </w:rPr>
              <w:t>​</w:t>
            </w:r>
          </w:p>
        </w:tc>
        <w:tc>
          <w:tcPr>
            <w:tcW w:w="20" w:type="dxa"/>
            <w:vAlign w:val="bottom"/>
            <w:tcBorders>
              <w:top w:val="single" w:sz="8" w:color="83AD40"/>
            </w:tcBorders>
          </w:tcPr>
          <w:p>
            <w:pPr>
              <w:spacing w:after="0"/>
              <w:rPr>
                <w:sz w:val="21"/>
                <w:szCs w:val="21"/>
                <w:color w:val="auto"/>
              </w:rPr>
            </w:pPr>
          </w:p>
        </w:tc>
        <w:tc>
          <w:tcPr>
            <w:tcW w:w="260" w:type="dxa"/>
            <w:vAlign w:val="bottom"/>
          </w:tcPr>
          <w:p>
            <w:pPr>
              <w:spacing w:after="0"/>
              <w:rPr>
                <w:sz w:val="21"/>
                <w:szCs w:val="21"/>
                <w:color w:val="auto"/>
              </w:rPr>
            </w:pPr>
          </w:p>
        </w:tc>
        <w:tc>
          <w:tcPr>
            <w:tcW w:w="4240" w:type="dxa"/>
            <w:vAlign w:val="bottom"/>
            <w:gridSpan w:val="13"/>
            <w:vMerge w:val="restart"/>
          </w:tcPr>
          <w:p>
            <w:pPr>
              <w:spacing w:after="0"/>
              <w:rPr>
                <w:sz w:val="20"/>
                <w:szCs w:val="20"/>
                <w:color w:val="auto"/>
              </w:rPr>
            </w:pPr>
            <w:r>
              <w:rPr>
                <w:rFonts w:ascii="Arial" w:cs="Arial" w:eastAsia="Arial" w:hAnsi="Arial"/>
                <w:sz w:val="20"/>
                <w:szCs w:val="20"/>
                <w:b w:val="1"/>
                <w:bCs w:val="1"/>
                <w:color w:val="83AD40"/>
              </w:rPr>
              <w:t>2024 Performance and Compensation—</w:t>
            </w:r>
          </w:p>
        </w:tc>
        <w:tc>
          <w:tcPr>
            <w:tcW w:w="1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820" w:type="dxa"/>
            <w:vAlign w:val="bottom"/>
          </w:tcPr>
          <w:p>
            <w:pPr>
              <w:spacing w:after="0"/>
              <w:rPr>
                <w:sz w:val="15"/>
                <w:szCs w:val="15"/>
                <w:color w:val="auto"/>
              </w:rPr>
            </w:pPr>
          </w:p>
        </w:tc>
        <w:tc>
          <w:tcPr>
            <w:tcW w:w="200" w:type="dxa"/>
            <w:vAlign w:val="bottom"/>
            <w:tcBorders>
              <w:right w:val="single" w:sz="8" w:color="1F2668"/>
            </w:tcBorders>
            <w:shd w:val="clear" w:color="auto" w:fill="1F2668"/>
          </w:tcPr>
          <w:p>
            <w:pPr>
              <w:ind w:left="140"/>
              <w:spacing w:after="0"/>
              <w:rPr>
                <w:sz w:val="20"/>
                <w:szCs w:val="20"/>
                <w:color w:val="auto"/>
              </w:rPr>
            </w:pPr>
            <w:r>
              <w:rPr>
                <w:rFonts w:ascii="Arial" w:cs="Arial" w:eastAsia="Arial" w:hAnsi="Arial"/>
                <w:sz w:val="13"/>
                <w:szCs w:val="13"/>
                <w:color w:val="FFFFFF"/>
              </w:rPr>
              <w:t>​</w:t>
            </w:r>
          </w:p>
        </w:tc>
        <w:tc>
          <w:tcPr>
            <w:tcW w:w="440" w:type="dxa"/>
            <w:vAlign w:val="bottom"/>
            <w:shd w:val="clear" w:color="auto" w:fill="1F2668"/>
          </w:tcPr>
          <w:p>
            <w:pPr>
              <w:spacing w:after="0"/>
              <w:rPr>
                <w:sz w:val="15"/>
                <w:szCs w:val="15"/>
                <w:color w:val="auto"/>
              </w:rPr>
            </w:pPr>
          </w:p>
        </w:tc>
        <w:tc>
          <w:tcPr>
            <w:tcW w:w="1740" w:type="dxa"/>
            <w:vAlign w:val="bottom"/>
            <w:shd w:val="clear" w:color="auto" w:fill="1F2668"/>
          </w:tcPr>
          <w:p>
            <w:pPr>
              <w:spacing w:after="0"/>
              <w:rPr>
                <w:sz w:val="15"/>
                <w:szCs w:val="15"/>
                <w:color w:val="auto"/>
              </w:rPr>
            </w:pPr>
          </w:p>
        </w:tc>
        <w:tc>
          <w:tcPr>
            <w:tcW w:w="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shd w:val="clear" w:color="auto" w:fill="83AD40"/>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40" w:type="dxa"/>
            <w:vAlign w:val="bottom"/>
            <w:gridSpan w:val="13"/>
            <w:vMerge w:val="continue"/>
          </w:tcPr>
          <w:p>
            <w:pPr>
              <w:spacing w:after="0"/>
              <w:rPr>
                <w:sz w:val="15"/>
                <w:szCs w:val="15"/>
                <w:color w:val="auto"/>
              </w:rPr>
            </w:pPr>
          </w:p>
        </w:tc>
        <w:tc>
          <w:tcPr>
            <w:tcW w:w="1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7"/>
        </w:trPr>
        <w:tc>
          <w:tcPr>
            <w:tcW w:w="820" w:type="dxa"/>
            <w:vAlign w:val="bottom"/>
          </w:tcPr>
          <w:p>
            <w:pPr>
              <w:spacing w:after="0"/>
              <w:rPr>
                <w:sz w:val="24"/>
                <w:szCs w:val="24"/>
                <w:color w:val="auto"/>
              </w:rPr>
            </w:pPr>
          </w:p>
        </w:tc>
        <w:tc>
          <w:tcPr>
            <w:tcW w:w="2380" w:type="dxa"/>
            <w:vAlign w:val="bottom"/>
            <w:gridSpan w:val="3"/>
            <w:shd w:val="clear" w:color="auto" w:fill="1F2668"/>
          </w:tcPr>
          <w:p>
            <w:pPr>
              <w:ind w:left="140"/>
              <w:spacing w:after="0"/>
              <w:rPr>
                <w:sz w:val="20"/>
                <w:szCs w:val="20"/>
                <w:color w:val="auto"/>
              </w:rPr>
            </w:pPr>
            <w:r>
              <w:rPr>
                <w:rFonts w:ascii="Arial" w:cs="Arial" w:eastAsia="Arial" w:hAnsi="Arial"/>
                <w:sz w:val="23"/>
                <w:szCs w:val="23"/>
                <w:b w:val="1"/>
                <w:bCs w:val="1"/>
                <w:color w:val="FFFFFF"/>
              </w:rPr>
              <w:t>ANDREW 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shd w:val="clear" w:color="auto" w:fill="83AD40"/>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0" w:type="dxa"/>
            <w:vAlign w:val="bottom"/>
            <w:gridSpan w:val="15"/>
          </w:tcPr>
          <w:p>
            <w:pPr>
              <w:spacing w:after="0"/>
              <w:rPr>
                <w:sz w:val="20"/>
                <w:szCs w:val="20"/>
                <w:color w:val="auto"/>
              </w:rPr>
            </w:pPr>
            <w:r>
              <w:rPr>
                <w:rFonts w:ascii="Arial" w:cs="Arial" w:eastAsia="Arial" w:hAnsi="Arial"/>
                <w:sz w:val="20"/>
                <w:szCs w:val="20"/>
                <w:b w:val="1"/>
                <w:bCs w:val="1"/>
                <w:color w:val="83AD40"/>
              </w:rPr>
              <w:t>Total Direct Compensation vs. Summary Compensation Table</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820" w:type="dxa"/>
            <w:vAlign w:val="bottom"/>
          </w:tcPr>
          <w:p>
            <w:pPr>
              <w:spacing w:after="0"/>
              <w:rPr>
                <w:sz w:val="8"/>
                <w:szCs w:val="8"/>
                <w:color w:val="auto"/>
              </w:rPr>
            </w:pPr>
          </w:p>
        </w:tc>
        <w:tc>
          <w:tcPr>
            <w:tcW w:w="2380" w:type="dxa"/>
            <w:vAlign w:val="bottom"/>
            <w:gridSpan w:val="3"/>
            <w:vMerge w:val="restart"/>
            <w:shd w:val="clear" w:color="auto" w:fill="1F2668"/>
          </w:tcPr>
          <w:p>
            <w:pPr>
              <w:ind w:left="140"/>
              <w:spacing w:after="0"/>
              <w:rPr>
                <w:sz w:val="20"/>
                <w:szCs w:val="20"/>
                <w:color w:val="auto"/>
              </w:rPr>
            </w:pPr>
            <w:r>
              <w:rPr>
                <w:rFonts w:ascii="Arial" w:cs="Arial" w:eastAsia="Arial" w:hAnsi="Arial"/>
                <w:sz w:val="23"/>
                <w:szCs w:val="23"/>
                <w:b w:val="1"/>
                <w:bCs w:val="1"/>
                <w:color w:val="FFFFFF"/>
              </w:rPr>
              <w:t>LEVINE</w:t>
            </w:r>
            <w:r>
              <w:rPr>
                <w:rFonts w:ascii="Arial" w:cs="Arial" w:eastAsia="Arial" w:hAnsi="Arial"/>
                <w:sz w:val="13"/>
                <w:szCs w:val="13"/>
                <w:color w:val="FFFFFF"/>
              </w:rPr>
              <w:t>​</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shd w:val="clear" w:color="auto" w:fill="83AD40"/>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vMerge w:val="restart"/>
          </w:tcPr>
          <w:p>
            <w:pPr>
              <w:spacing w:after="0"/>
              <w:rPr>
                <w:sz w:val="20"/>
                <w:szCs w:val="20"/>
                <w:color w:val="auto"/>
              </w:rPr>
            </w:pPr>
            <w:r>
              <w:rPr>
                <w:rFonts w:ascii="Arial" w:cs="Arial" w:eastAsia="Arial" w:hAnsi="Arial"/>
                <w:sz w:val="14"/>
                <w:szCs w:val="14"/>
                <w:color w:val="1F2668"/>
              </w:rPr>
              <w:t>TDC</w:t>
            </w:r>
          </w:p>
        </w:tc>
        <w:tc>
          <w:tcPr>
            <w:tcW w:w="80" w:type="dxa"/>
            <w:vAlign w:val="bottom"/>
          </w:tcPr>
          <w:p>
            <w:pPr>
              <w:spacing w:after="0"/>
              <w:rPr>
                <w:sz w:val="8"/>
                <w:szCs w:val="8"/>
                <w:color w:val="auto"/>
              </w:rPr>
            </w:pPr>
          </w:p>
        </w:tc>
        <w:tc>
          <w:tcPr>
            <w:tcW w:w="980" w:type="dxa"/>
            <w:vAlign w:val="bottom"/>
            <w:gridSpan w:val="3"/>
            <w:vMerge w:val="restart"/>
          </w:tcPr>
          <w:p>
            <w:pPr>
              <w:ind w:left="20"/>
              <w:spacing w:after="0"/>
              <w:rPr>
                <w:sz w:val="20"/>
                <w:szCs w:val="20"/>
                <w:color w:val="auto"/>
              </w:rPr>
            </w:pPr>
            <w:r>
              <w:rPr>
                <w:rFonts w:ascii="Arial" w:cs="Arial" w:eastAsia="Arial" w:hAnsi="Arial"/>
                <w:sz w:val="28"/>
                <w:szCs w:val="28"/>
                <w:color w:val="1F2668"/>
                <w:vertAlign w:val="subscript"/>
              </w:rPr>
              <w:t>​​</w:t>
            </w:r>
            <w:r>
              <w:rPr>
                <w:rFonts w:ascii="Arial" w:cs="Arial" w:eastAsia="Arial" w:hAnsi="Arial"/>
                <w:sz w:val="14"/>
                <w:szCs w:val="14"/>
                <w:color w:val="1F2668"/>
              </w:rPr>
              <w:t>SCT</w:t>
            </w:r>
          </w:p>
        </w:tc>
        <w:tc>
          <w:tcPr>
            <w:tcW w:w="2220" w:type="dxa"/>
            <w:vAlign w:val="bottom"/>
            <w:gridSpan w:val="6"/>
            <w:vMerge w:val="restart"/>
          </w:tcPr>
          <w:p>
            <w:pPr>
              <w:ind w:left="80"/>
              <w:spacing w:after="0"/>
              <w:rPr>
                <w:sz w:val="20"/>
                <w:szCs w:val="20"/>
                <w:color w:val="auto"/>
              </w:rPr>
            </w:pPr>
            <w:r>
              <w:rPr>
                <w:rFonts w:ascii="Arial" w:cs="Arial" w:eastAsia="Arial" w:hAnsi="Arial"/>
                <w:sz w:val="28"/>
                <w:szCs w:val="28"/>
                <w:color w:val="1F2668"/>
                <w:vertAlign w:val="subscript"/>
              </w:rPr>
              <w:t>​​</w:t>
            </w:r>
            <w:r>
              <w:rPr>
                <w:rFonts w:ascii="Arial" w:cs="Arial" w:eastAsia="Arial" w:hAnsi="Arial"/>
                <w:sz w:val="14"/>
                <w:szCs w:val="14"/>
                <w:color w:val="1F2668"/>
              </w:rPr>
              <w:t>Element of Compensation</w:t>
            </w: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820" w:type="dxa"/>
            <w:vAlign w:val="bottom"/>
          </w:tcPr>
          <w:p>
            <w:pPr>
              <w:spacing w:after="0"/>
              <w:rPr>
                <w:sz w:val="19"/>
                <w:szCs w:val="19"/>
                <w:color w:val="auto"/>
              </w:rPr>
            </w:pPr>
          </w:p>
        </w:tc>
        <w:tc>
          <w:tcPr>
            <w:tcW w:w="2380" w:type="dxa"/>
            <w:vAlign w:val="bottom"/>
            <w:gridSpan w:val="3"/>
            <w:vMerge w:val="continue"/>
            <w:shd w:val="clear" w:color="auto" w:fill="1F2668"/>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shd w:val="clear" w:color="auto" w:fill="83AD40"/>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gridSpan w:val="2"/>
            <w:vMerge w:val="restart"/>
            <w:shd w:val="clear" w:color="auto" w:fill="E9F9D8"/>
          </w:tcPr>
          <w:p>
            <w:pPr>
              <w:spacing w:after="0"/>
              <w:rPr>
                <w:sz w:val="20"/>
                <w:szCs w:val="20"/>
                <w:color w:val="auto"/>
              </w:rPr>
            </w:pPr>
            <w:r>
              <w:rPr>
                <w:rFonts w:ascii="Arial" w:cs="Arial" w:eastAsia="Arial" w:hAnsi="Arial"/>
                <w:sz w:val="14"/>
                <w:szCs w:val="14"/>
                <w:color w:val="1F2668"/>
              </w:rPr>
              <w:t>​</w:t>
            </w: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3"/>
            <w:vMerge w:val="continue"/>
          </w:tcPr>
          <w:p>
            <w:pPr>
              <w:spacing w:after="0"/>
              <w:rPr>
                <w:sz w:val="19"/>
                <w:szCs w:val="19"/>
                <w:color w:val="auto"/>
              </w:rPr>
            </w:pPr>
          </w:p>
        </w:tc>
        <w:tc>
          <w:tcPr>
            <w:tcW w:w="2220" w:type="dxa"/>
            <w:vAlign w:val="bottom"/>
            <w:gridSpan w:val="6"/>
            <w:vMerge w:val="continue"/>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vMerge w:val="restart"/>
          </w:tcPr>
          <w:p>
            <w:pPr>
              <w:spacing w:after="0"/>
              <w:rPr>
                <w:sz w:val="20"/>
                <w:szCs w:val="20"/>
                <w:color w:val="auto"/>
              </w:rPr>
            </w:pPr>
            <w:r>
              <w:rPr>
                <w:rFonts w:ascii="Arial" w:cs="Arial" w:eastAsia="Arial" w:hAnsi="Arial"/>
                <w:sz w:val="14"/>
                <w:szCs w:val="14"/>
                <w:color w:val="1F2668"/>
              </w:rPr>
              <w:t>​</w:t>
            </w:r>
          </w:p>
        </w:tc>
        <w:tc>
          <w:tcPr>
            <w:tcW w:w="0" w:type="dxa"/>
            <w:vAlign w:val="bottom"/>
          </w:tcPr>
          <w:p>
            <w:pPr>
              <w:spacing w:after="0"/>
              <w:rPr>
                <w:sz w:val="1"/>
                <w:szCs w:val="1"/>
                <w:color w:val="auto"/>
              </w:rPr>
            </w:pPr>
          </w:p>
        </w:tc>
      </w:tr>
      <w:tr>
        <w:trPr>
          <w:trHeight w:val="49"/>
        </w:trPr>
        <w:tc>
          <w:tcPr>
            <w:tcW w:w="820" w:type="dxa"/>
            <w:vAlign w:val="bottom"/>
          </w:tcPr>
          <w:p>
            <w:pPr>
              <w:spacing w:after="0"/>
              <w:rPr>
                <w:sz w:val="4"/>
                <w:szCs w:val="4"/>
                <w:color w:val="auto"/>
              </w:rPr>
            </w:pPr>
          </w:p>
        </w:tc>
        <w:tc>
          <w:tcPr>
            <w:tcW w:w="200" w:type="dxa"/>
            <w:vAlign w:val="bottom"/>
            <w:tcBorders>
              <w:bottom w:val="single" w:sz="8" w:color="1F2668"/>
              <w:right w:val="single" w:sz="8" w:color="1F2668"/>
            </w:tcBorders>
            <w:shd w:val="clear" w:color="auto" w:fill="1F2668"/>
          </w:tcPr>
          <w:p>
            <w:pPr>
              <w:spacing w:after="0"/>
              <w:rPr>
                <w:sz w:val="4"/>
                <w:szCs w:val="4"/>
                <w:color w:val="auto"/>
              </w:rPr>
            </w:pPr>
          </w:p>
        </w:tc>
        <w:tc>
          <w:tcPr>
            <w:tcW w:w="440" w:type="dxa"/>
            <w:vAlign w:val="bottom"/>
            <w:tcBorders>
              <w:bottom w:val="single" w:sz="8" w:color="1F2668"/>
            </w:tcBorders>
            <w:shd w:val="clear" w:color="auto" w:fill="1F2668"/>
          </w:tcPr>
          <w:p>
            <w:pPr>
              <w:spacing w:after="0"/>
              <w:rPr>
                <w:sz w:val="4"/>
                <w:szCs w:val="4"/>
                <w:color w:val="auto"/>
              </w:rPr>
            </w:pPr>
          </w:p>
        </w:tc>
        <w:tc>
          <w:tcPr>
            <w:tcW w:w="1740" w:type="dxa"/>
            <w:vAlign w:val="bottom"/>
            <w:tcBorders>
              <w:bottom w:val="single" w:sz="8" w:color="1F2668"/>
            </w:tcBorders>
            <w:shd w:val="clear" w:color="auto" w:fill="1F2668"/>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Borders>
              <w:bottom w:val="single" w:sz="8" w:color="83AD40"/>
            </w:tcBorders>
            <w:shd w:val="clear" w:color="auto" w:fill="83AD40"/>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bottom w:val="single" w:sz="8" w:color="1F2668"/>
            </w:tcBorders>
            <w:gridSpan w:val="2"/>
            <w:vMerge w:val="continue"/>
            <w:shd w:val="clear" w:color="auto" w:fill="E9F9D8"/>
          </w:tcPr>
          <w:p>
            <w:pPr>
              <w:spacing w:after="0"/>
              <w:rPr>
                <w:sz w:val="4"/>
                <w:szCs w:val="4"/>
                <w:color w:val="auto"/>
              </w:rPr>
            </w:pPr>
          </w:p>
        </w:tc>
        <w:tc>
          <w:tcPr>
            <w:tcW w:w="860" w:type="dxa"/>
            <w:vAlign w:val="bottom"/>
            <w:tcBorders>
              <w:bottom w:val="single" w:sz="8" w:color="1F2668"/>
            </w:tcBorders>
            <w:vMerge w:val="continue"/>
          </w:tcPr>
          <w:p>
            <w:pPr>
              <w:spacing w:after="0"/>
              <w:rPr>
                <w:sz w:val="4"/>
                <w:szCs w:val="4"/>
                <w:color w:val="auto"/>
              </w:rPr>
            </w:pPr>
          </w:p>
        </w:tc>
        <w:tc>
          <w:tcPr>
            <w:tcW w:w="80" w:type="dxa"/>
            <w:vAlign w:val="bottom"/>
            <w:tcBorders>
              <w:bottom w:val="single" w:sz="8" w:color="1F2668"/>
            </w:tcBorders>
          </w:tcPr>
          <w:p>
            <w:pPr>
              <w:spacing w:after="0"/>
              <w:rPr>
                <w:sz w:val="4"/>
                <w:szCs w:val="4"/>
                <w:color w:val="auto"/>
              </w:rPr>
            </w:pPr>
          </w:p>
        </w:tc>
        <w:tc>
          <w:tcPr>
            <w:tcW w:w="980" w:type="dxa"/>
            <w:vAlign w:val="bottom"/>
            <w:tcBorders>
              <w:bottom w:val="single" w:sz="8" w:color="1F2668"/>
            </w:tcBorders>
            <w:gridSpan w:val="3"/>
            <w:vMerge w:val="continue"/>
          </w:tcPr>
          <w:p>
            <w:pPr>
              <w:spacing w:after="0"/>
              <w:rPr>
                <w:sz w:val="4"/>
                <w:szCs w:val="4"/>
                <w:color w:val="auto"/>
              </w:rPr>
            </w:pPr>
          </w:p>
        </w:tc>
        <w:tc>
          <w:tcPr>
            <w:tcW w:w="2220" w:type="dxa"/>
            <w:vAlign w:val="bottom"/>
            <w:tcBorders>
              <w:bottom w:val="single" w:sz="8" w:color="1F2668"/>
            </w:tcBorders>
            <w:gridSpan w:val="6"/>
            <w:vMerge w:val="continue"/>
          </w:tcPr>
          <w:p>
            <w:pPr>
              <w:spacing w:after="0"/>
              <w:rPr>
                <w:sz w:val="4"/>
                <w:szCs w:val="4"/>
                <w:color w:val="auto"/>
              </w:rPr>
            </w:pPr>
          </w:p>
        </w:tc>
        <w:tc>
          <w:tcPr>
            <w:tcW w:w="1180" w:type="dxa"/>
            <w:vAlign w:val="bottom"/>
            <w:tcBorders>
              <w:bottom w:val="single" w:sz="8" w:color="1F2668"/>
            </w:tcBorders>
          </w:tcPr>
          <w:p>
            <w:pPr>
              <w:spacing w:after="0"/>
              <w:rPr>
                <w:sz w:val="4"/>
                <w:szCs w:val="4"/>
                <w:color w:val="auto"/>
              </w:rPr>
            </w:pPr>
          </w:p>
        </w:tc>
        <w:tc>
          <w:tcPr>
            <w:tcW w:w="780" w:type="dxa"/>
            <w:vAlign w:val="bottom"/>
            <w:tcBorders>
              <w:bottom w:val="single" w:sz="8" w:color="1F2668"/>
            </w:tcBorders>
          </w:tcPr>
          <w:p>
            <w:pPr>
              <w:spacing w:after="0"/>
              <w:rPr>
                <w:sz w:val="4"/>
                <w:szCs w:val="4"/>
                <w:color w:val="auto"/>
              </w:rPr>
            </w:pPr>
          </w:p>
        </w:tc>
        <w:tc>
          <w:tcPr>
            <w:tcW w:w="40" w:type="dxa"/>
            <w:vAlign w:val="bottom"/>
            <w:tcBorders>
              <w:bottom w:val="single" w:sz="8" w:color="1F2668"/>
            </w:tcBorders>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200" w:type="dxa"/>
            <w:vAlign w:val="bottom"/>
            <w:tcBorders>
              <w:right w:val="single" w:sz="8" w:color="1F2668"/>
            </w:tcBorders>
            <w:shd w:val="clear" w:color="auto" w:fill="1F2668"/>
          </w:tcPr>
          <w:p>
            <w:pPr>
              <w:spacing w:after="0"/>
              <w:rPr>
                <w:sz w:val="17"/>
                <w:szCs w:val="17"/>
                <w:color w:val="auto"/>
              </w:rPr>
            </w:pPr>
          </w:p>
        </w:tc>
        <w:tc>
          <w:tcPr>
            <w:tcW w:w="440" w:type="dxa"/>
            <w:vAlign w:val="bottom"/>
            <w:shd w:val="clear" w:color="auto" w:fill="1F2668"/>
          </w:tcPr>
          <w:p>
            <w:pPr>
              <w:spacing w:after="0"/>
              <w:rPr>
                <w:sz w:val="17"/>
                <w:szCs w:val="17"/>
                <w:color w:val="auto"/>
              </w:rPr>
            </w:pPr>
          </w:p>
        </w:tc>
        <w:tc>
          <w:tcPr>
            <w:tcW w:w="1740" w:type="dxa"/>
            <w:vAlign w:val="bottom"/>
            <w:shd w:val="clear" w:color="auto" w:fill="1F2668"/>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shd w:val="clear" w:color="auto" w:fill="83AD40"/>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gridSpan w:val="2"/>
            <w:vMerge w:val="restart"/>
            <w:shd w:val="clear" w:color="auto" w:fill="E9F9D8"/>
          </w:tcPr>
          <w:p>
            <w:pPr>
              <w:spacing w:after="0"/>
              <w:rPr>
                <w:sz w:val="20"/>
                <w:szCs w:val="20"/>
                <w:color w:val="auto"/>
              </w:rPr>
            </w:pPr>
            <w:r>
              <w:rPr>
                <w:rFonts w:ascii="Arial" w:cs="Arial" w:eastAsia="Arial" w:hAnsi="Arial"/>
                <w:sz w:val="15"/>
                <w:szCs w:val="15"/>
                <w:color w:val="auto"/>
              </w:rPr>
              <w:t>​</w:t>
            </w:r>
          </w:p>
        </w:tc>
        <w:tc>
          <w:tcPr>
            <w:tcW w:w="860" w:type="dxa"/>
            <w:vAlign w:val="bottom"/>
            <w:vMerge w:val="restart"/>
            <w:shd w:val="clear" w:color="auto" w:fill="E9F9D8"/>
          </w:tcPr>
          <w:p>
            <w:pPr>
              <w:spacing w:after="0" w:line="358" w:lineRule="exact"/>
              <w:rPr>
                <w:sz w:val="20"/>
                <w:szCs w:val="20"/>
                <w:color w:val="auto"/>
              </w:rPr>
            </w:pPr>
            <w:r>
              <w:rPr>
                <w:rFonts w:ascii="Arial" w:cs="Arial" w:eastAsia="Arial" w:hAnsi="Arial"/>
                <w:sz w:val="32"/>
                <w:szCs w:val="32"/>
                <w:color w:val="1F2668"/>
              </w:rPr>
              <w:t>15%</w:t>
            </w:r>
          </w:p>
        </w:tc>
        <w:tc>
          <w:tcPr>
            <w:tcW w:w="80" w:type="dxa"/>
            <w:vAlign w:val="bottom"/>
            <w:shd w:val="clear" w:color="auto" w:fill="E9F9D8"/>
          </w:tcPr>
          <w:p>
            <w:pPr>
              <w:spacing w:after="0"/>
              <w:rPr>
                <w:sz w:val="17"/>
                <w:szCs w:val="17"/>
                <w:color w:val="auto"/>
              </w:rPr>
            </w:pPr>
          </w:p>
        </w:tc>
        <w:tc>
          <w:tcPr>
            <w:tcW w:w="980" w:type="dxa"/>
            <w:vAlign w:val="bottom"/>
            <w:tcBorders>
              <w:left w:val="single" w:sz="8" w:color="E9F9D8"/>
            </w:tcBorders>
            <w:gridSpan w:val="3"/>
            <w:vMerge w:val="restart"/>
          </w:tcPr>
          <w:p>
            <w:pPr>
              <w:ind w:left="20"/>
              <w:spacing w:after="0" w:line="358" w:lineRule="exact"/>
              <w:rPr>
                <w:sz w:val="20"/>
                <w:szCs w:val="20"/>
                <w:color w:val="auto"/>
              </w:rPr>
            </w:pPr>
            <w:r>
              <w:rPr>
                <w:rFonts w:ascii="Arial" w:cs="Arial" w:eastAsia="Arial" w:hAnsi="Arial"/>
                <w:sz w:val="15"/>
                <w:szCs w:val="15"/>
                <w:color w:val="auto"/>
              </w:rPr>
              <w:t>​​</w:t>
            </w:r>
            <w:r>
              <w:rPr>
                <w:rFonts w:ascii="Arial" w:cs="Arial" w:eastAsia="Arial" w:hAnsi="Arial"/>
                <w:sz w:val="32"/>
                <w:szCs w:val="32"/>
                <w:color w:val="1F2668"/>
              </w:rPr>
              <w:t>19%</w:t>
            </w:r>
          </w:p>
        </w:tc>
        <w:tc>
          <w:tcPr>
            <w:tcW w:w="180" w:type="dxa"/>
            <w:vAlign w:val="bottom"/>
            <w:gridSpan w:val="3"/>
            <w:vMerge w:val="restart"/>
          </w:tcPr>
          <w:p>
            <w:pPr>
              <w:jc w:val="center"/>
              <w:ind w:left="9"/>
              <w:spacing w:after="0"/>
              <w:rPr>
                <w:sz w:val="20"/>
                <w:szCs w:val="20"/>
                <w:color w:val="auto"/>
              </w:rPr>
            </w:pPr>
            <w:r>
              <w:rPr>
                <w:rFonts w:ascii="Arial" w:cs="Arial" w:eastAsia="Arial" w:hAnsi="Arial"/>
                <w:sz w:val="15"/>
                <w:szCs w:val="15"/>
                <w:color w:val="auto"/>
              </w:rPr>
              <w:t>​​</w:t>
            </w:r>
          </w:p>
        </w:tc>
        <w:tc>
          <w:tcPr>
            <w:tcW w:w="2040" w:type="dxa"/>
            <w:vAlign w:val="bottom"/>
            <w:gridSpan w:val="3"/>
          </w:tcPr>
          <w:p>
            <w:pPr>
              <w:spacing w:after="0"/>
              <w:rPr>
                <w:sz w:val="20"/>
                <w:szCs w:val="20"/>
                <w:color w:val="auto"/>
              </w:rPr>
            </w:pPr>
            <w:r>
              <w:rPr>
                <w:rFonts w:ascii="Arial" w:cs="Arial" w:eastAsia="Arial" w:hAnsi="Arial"/>
                <w:sz w:val="16"/>
                <w:szCs w:val="16"/>
                <w:b w:val="1"/>
                <w:bCs w:val="1"/>
                <w:color w:val="auto"/>
              </w:rPr>
              <w:t>Annual Base Salary</w:t>
            </w:r>
            <w:r>
              <w:rPr>
                <w:rFonts w:ascii="Arial" w:cs="Arial" w:eastAsia="Arial" w:hAnsi="Arial"/>
                <w:sz w:val="15"/>
                <w:szCs w:val="15"/>
                <w:color w:val="auto"/>
              </w:rPr>
              <w:t>​</w:t>
            </w:r>
          </w:p>
        </w:tc>
        <w:tc>
          <w:tcPr>
            <w:tcW w:w="1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200" w:type="dxa"/>
            <w:vAlign w:val="bottom"/>
            <w:tcBorders>
              <w:right w:val="single" w:sz="8" w:color="1F2668"/>
            </w:tcBorders>
            <w:shd w:val="clear" w:color="auto" w:fill="1F2668"/>
          </w:tcPr>
          <w:p>
            <w:pPr>
              <w:spacing w:after="0"/>
              <w:rPr>
                <w:sz w:val="13"/>
                <w:szCs w:val="13"/>
                <w:color w:val="auto"/>
              </w:rPr>
            </w:pPr>
          </w:p>
        </w:tc>
        <w:tc>
          <w:tcPr>
            <w:tcW w:w="440" w:type="dxa"/>
            <w:vAlign w:val="bottom"/>
            <w:shd w:val="clear" w:color="auto" w:fill="1F2668"/>
          </w:tcPr>
          <w:p>
            <w:pPr>
              <w:spacing w:after="0"/>
              <w:rPr>
                <w:sz w:val="13"/>
                <w:szCs w:val="13"/>
                <w:color w:val="auto"/>
              </w:rPr>
            </w:pPr>
          </w:p>
        </w:tc>
        <w:tc>
          <w:tcPr>
            <w:tcW w:w="1740" w:type="dxa"/>
            <w:vAlign w:val="bottom"/>
            <w:shd w:val="clear" w:color="auto" w:fill="1F2668"/>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shd w:val="clear" w:color="auto" w:fill="83AD40"/>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gridSpan w:val="2"/>
            <w:vMerge w:val="continue"/>
            <w:shd w:val="clear" w:color="auto" w:fill="E9F9D8"/>
          </w:tcPr>
          <w:p>
            <w:pPr>
              <w:spacing w:after="0"/>
              <w:rPr>
                <w:sz w:val="13"/>
                <w:szCs w:val="13"/>
                <w:color w:val="auto"/>
              </w:rPr>
            </w:pPr>
          </w:p>
        </w:tc>
        <w:tc>
          <w:tcPr>
            <w:tcW w:w="860" w:type="dxa"/>
            <w:vAlign w:val="bottom"/>
            <w:vMerge w:val="continue"/>
            <w:shd w:val="clear" w:color="auto" w:fill="E9F9D8"/>
          </w:tcPr>
          <w:p>
            <w:pPr>
              <w:spacing w:after="0"/>
              <w:rPr>
                <w:sz w:val="13"/>
                <w:szCs w:val="13"/>
                <w:color w:val="auto"/>
              </w:rPr>
            </w:pPr>
          </w:p>
        </w:tc>
        <w:tc>
          <w:tcPr>
            <w:tcW w:w="80" w:type="dxa"/>
            <w:vAlign w:val="bottom"/>
            <w:shd w:val="clear" w:color="auto" w:fill="E9F9D8"/>
          </w:tcPr>
          <w:p>
            <w:pPr>
              <w:spacing w:after="0"/>
              <w:rPr>
                <w:sz w:val="13"/>
                <w:szCs w:val="13"/>
                <w:color w:val="auto"/>
              </w:rPr>
            </w:pPr>
          </w:p>
        </w:tc>
        <w:tc>
          <w:tcPr>
            <w:tcW w:w="980" w:type="dxa"/>
            <w:vAlign w:val="bottom"/>
            <w:tcBorders>
              <w:left w:val="single" w:sz="8" w:color="E9F9D8"/>
            </w:tcBorders>
            <w:gridSpan w:val="3"/>
            <w:vMerge w:val="continue"/>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4000" w:type="dxa"/>
            <w:vAlign w:val="bottom"/>
            <w:gridSpan w:val="5"/>
          </w:tcPr>
          <w:p>
            <w:pPr>
              <w:spacing w:after="0" w:line="153" w:lineRule="exact"/>
              <w:rPr>
                <w:sz w:val="20"/>
                <w:szCs w:val="20"/>
                <w:color w:val="auto"/>
              </w:rPr>
            </w:pPr>
            <w:r>
              <w:rPr>
                <w:rFonts w:ascii="Arial" w:cs="Arial" w:eastAsia="Arial" w:hAnsi="Arial"/>
                <w:sz w:val="15"/>
                <w:szCs w:val="15"/>
                <w:color w:val="auto"/>
                <w:w w:val="99"/>
              </w:rPr>
              <w:t>Mr. Levine’s base salary was equal to the minimum set forth</w:t>
            </w:r>
          </w:p>
        </w:tc>
        <w:tc>
          <w:tcPr>
            <w:tcW w:w="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820" w:type="dxa"/>
            <w:vAlign w:val="bottom"/>
          </w:tcPr>
          <w:p>
            <w:pPr>
              <w:spacing w:after="0"/>
              <w:rPr>
                <w:sz w:val="16"/>
                <w:szCs w:val="16"/>
                <w:color w:val="auto"/>
              </w:rPr>
            </w:pPr>
          </w:p>
        </w:tc>
        <w:tc>
          <w:tcPr>
            <w:tcW w:w="200" w:type="dxa"/>
            <w:vAlign w:val="bottom"/>
            <w:tcBorders>
              <w:right w:val="single" w:sz="8" w:color="1F2668"/>
            </w:tcBorders>
            <w:shd w:val="clear" w:color="auto" w:fill="1F2668"/>
          </w:tcPr>
          <w:p>
            <w:pPr>
              <w:spacing w:after="0"/>
              <w:rPr>
                <w:sz w:val="16"/>
                <w:szCs w:val="16"/>
                <w:color w:val="auto"/>
              </w:rPr>
            </w:pPr>
          </w:p>
        </w:tc>
        <w:tc>
          <w:tcPr>
            <w:tcW w:w="440" w:type="dxa"/>
            <w:vAlign w:val="bottom"/>
            <w:shd w:val="clear" w:color="auto" w:fill="1F2668"/>
          </w:tcPr>
          <w:p>
            <w:pPr>
              <w:spacing w:after="0"/>
              <w:rPr>
                <w:sz w:val="16"/>
                <w:szCs w:val="16"/>
                <w:color w:val="auto"/>
              </w:rPr>
            </w:pPr>
          </w:p>
        </w:tc>
        <w:tc>
          <w:tcPr>
            <w:tcW w:w="1740" w:type="dxa"/>
            <w:vAlign w:val="bottom"/>
            <w:shd w:val="clear" w:color="auto" w:fill="1F2668"/>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shd w:val="clear" w:color="auto" w:fill="83AD40"/>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shd w:val="clear" w:color="auto" w:fill="E9F9D8"/>
          </w:tcPr>
          <w:p>
            <w:pPr>
              <w:spacing w:after="0"/>
              <w:rPr>
                <w:sz w:val="16"/>
                <w:szCs w:val="16"/>
                <w:color w:val="auto"/>
              </w:rPr>
            </w:pPr>
          </w:p>
        </w:tc>
        <w:tc>
          <w:tcPr>
            <w:tcW w:w="40" w:type="dxa"/>
            <w:vAlign w:val="bottom"/>
            <w:shd w:val="clear" w:color="auto" w:fill="E9F9D8"/>
          </w:tcPr>
          <w:p>
            <w:pPr>
              <w:spacing w:after="0"/>
              <w:rPr>
                <w:sz w:val="16"/>
                <w:szCs w:val="16"/>
                <w:color w:val="auto"/>
              </w:rPr>
            </w:pPr>
          </w:p>
        </w:tc>
        <w:tc>
          <w:tcPr>
            <w:tcW w:w="860" w:type="dxa"/>
            <w:vAlign w:val="bottom"/>
            <w:shd w:val="clear" w:color="auto" w:fill="E9F9D8"/>
          </w:tcPr>
          <w:p>
            <w:pPr>
              <w:spacing w:after="0"/>
              <w:rPr>
                <w:sz w:val="20"/>
                <w:szCs w:val="20"/>
                <w:color w:val="auto"/>
              </w:rPr>
            </w:pPr>
            <w:r>
              <w:rPr>
                <w:rFonts w:ascii="Arial" w:cs="Arial" w:eastAsia="Arial" w:hAnsi="Arial"/>
                <w:sz w:val="16"/>
                <w:szCs w:val="16"/>
                <w:b w:val="1"/>
                <w:bCs w:val="1"/>
                <w:color w:val="auto"/>
              </w:rPr>
              <w:t>$580,000</w:t>
            </w:r>
          </w:p>
        </w:tc>
        <w:tc>
          <w:tcPr>
            <w:tcW w:w="80" w:type="dxa"/>
            <w:vAlign w:val="bottom"/>
            <w:shd w:val="clear" w:color="auto" w:fill="E9F9D8"/>
          </w:tcPr>
          <w:p>
            <w:pPr>
              <w:spacing w:after="0"/>
              <w:rPr>
                <w:sz w:val="16"/>
                <w:szCs w:val="16"/>
                <w:color w:val="auto"/>
              </w:rPr>
            </w:pPr>
          </w:p>
        </w:tc>
        <w:tc>
          <w:tcPr>
            <w:tcW w:w="100" w:type="dxa"/>
            <w:vAlign w:val="bottom"/>
            <w:tcBorders>
              <w:left w:val="single" w:sz="8" w:color="E9F9D8"/>
            </w:tcBorders>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20"/>
                <w:szCs w:val="20"/>
                <w:color w:val="auto"/>
              </w:rPr>
            </w:pPr>
            <w:r>
              <w:rPr>
                <w:rFonts w:ascii="Arial" w:cs="Arial" w:eastAsia="Arial" w:hAnsi="Arial"/>
                <w:sz w:val="16"/>
                <w:szCs w:val="16"/>
                <w:b w:val="1"/>
                <w:bCs w:val="1"/>
                <w:color w:val="auto"/>
              </w:rPr>
              <w:t>$580,000</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0" w:type="dxa"/>
            <w:vAlign w:val="bottom"/>
            <w:gridSpan w:val="5"/>
          </w:tcPr>
          <w:p>
            <w:pPr>
              <w:spacing w:after="0"/>
              <w:rPr>
                <w:sz w:val="20"/>
                <w:szCs w:val="20"/>
                <w:color w:val="auto"/>
              </w:rPr>
            </w:pPr>
            <w:r>
              <w:rPr>
                <w:rFonts w:ascii="Arial" w:cs="Arial" w:eastAsia="Arial" w:hAnsi="Arial"/>
                <w:sz w:val="15"/>
                <w:szCs w:val="15"/>
                <w:color w:val="auto"/>
                <w:w w:val="99"/>
              </w:rPr>
              <w:t>in his employment agreement. There has been no change to</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820" w:type="dxa"/>
            <w:vAlign w:val="bottom"/>
          </w:tcPr>
          <w:p>
            <w:pPr>
              <w:spacing w:after="0"/>
              <w:rPr>
                <w:sz w:val="20"/>
                <w:szCs w:val="20"/>
                <w:color w:val="auto"/>
              </w:rPr>
            </w:pPr>
          </w:p>
        </w:tc>
        <w:tc>
          <w:tcPr>
            <w:tcW w:w="200" w:type="dxa"/>
            <w:vAlign w:val="bottom"/>
            <w:tcBorders>
              <w:bottom w:val="single" w:sz="8" w:color="1F2668"/>
              <w:right w:val="single" w:sz="8" w:color="1F2668"/>
            </w:tcBorders>
            <w:shd w:val="clear" w:color="auto" w:fill="1F2668"/>
          </w:tcPr>
          <w:p>
            <w:pPr>
              <w:spacing w:after="0"/>
              <w:rPr>
                <w:sz w:val="20"/>
                <w:szCs w:val="20"/>
                <w:color w:val="auto"/>
              </w:rPr>
            </w:pPr>
          </w:p>
        </w:tc>
        <w:tc>
          <w:tcPr>
            <w:tcW w:w="440" w:type="dxa"/>
            <w:vAlign w:val="bottom"/>
            <w:tcBorders>
              <w:bottom w:val="single" w:sz="8" w:color="1F2668"/>
            </w:tcBorders>
            <w:shd w:val="clear" w:color="auto" w:fill="1F2668"/>
          </w:tcPr>
          <w:p>
            <w:pPr>
              <w:spacing w:after="0"/>
              <w:rPr>
                <w:sz w:val="20"/>
                <w:szCs w:val="20"/>
                <w:color w:val="auto"/>
              </w:rPr>
            </w:pPr>
          </w:p>
        </w:tc>
        <w:tc>
          <w:tcPr>
            <w:tcW w:w="1740" w:type="dxa"/>
            <w:vAlign w:val="bottom"/>
            <w:tcBorders>
              <w:bottom w:val="single" w:sz="8" w:color="1F2668"/>
            </w:tcBorders>
            <w:shd w:val="clear" w:color="auto" w:fill="1F2668"/>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bottom w:val="single" w:sz="8" w:color="83AD40"/>
            </w:tcBorders>
            <w:shd w:val="clear" w:color="auto" w:fill="83AD40"/>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Borders>
              <w:bottom w:val="single" w:sz="8" w:color="E9F9D8"/>
            </w:tcBorders>
            <w:shd w:val="clear" w:color="auto" w:fill="E9F9D8"/>
          </w:tcPr>
          <w:p>
            <w:pPr>
              <w:spacing w:after="0"/>
              <w:rPr>
                <w:sz w:val="20"/>
                <w:szCs w:val="20"/>
                <w:color w:val="auto"/>
              </w:rPr>
            </w:pPr>
          </w:p>
        </w:tc>
        <w:tc>
          <w:tcPr>
            <w:tcW w:w="40" w:type="dxa"/>
            <w:vAlign w:val="bottom"/>
            <w:tcBorders>
              <w:bottom w:val="single" w:sz="8" w:color="E9F9D8"/>
            </w:tcBorders>
            <w:shd w:val="clear" w:color="auto" w:fill="E9F9D8"/>
          </w:tcPr>
          <w:p>
            <w:pPr>
              <w:spacing w:after="0"/>
              <w:rPr>
                <w:sz w:val="20"/>
                <w:szCs w:val="20"/>
                <w:color w:val="auto"/>
              </w:rPr>
            </w:pPr>
          </w:p>
        </w:tc>
        <w:tc>
          <w:tcPr>
            <w:tcW w:w="860" w:type="dxa"/>
            <w:vAlign w:val="bottom"/>
            <w:tcBorders>
              <w:bottom w:val="single" w:sz="8" w:color="E9F9D8"/>
            </w:tcBorders>
            <w:shd w:val="clear" w:color="auto" w:fill="E9F9D8"/>
          </w:tcPr>
          <w:p>
            <w:pPr>
              <w:spacing w:after="0"/>
              <w:rPr>
                <w:sz w:val="20"/>
                <w:szCs w:val="20"/>
                <w:color w:val="auto"/>
              </w:rPr>
            </w:pPr>
          </w:p>
        </w:tc>
        <w:tc>
          <w:tcPr>
            <w:tcW w:w="80" w:type="dxa"/>
            <w:vAlign w:val="bottom"/>
            <w:tcBorders>
              <w:bottom w:val="single" w:sz="8" w:color="E9F9D8"/>
            </w:tcBorders>
            <w:shd w:val="clear" w:color="auto" w:fill="E9F9D8"/>
          </w:tcPr>
          <w:p>
            <w:pPr>
              <w:spacing w:after="0"/>
              <w:rPr>
                <w:sz w:val="20"/>
                <w:szCs w:val="20"/>
                <w:color w:val="auto"/>
              </w:rPr>
            </w:pPr>
          </w:p>
        </w:tc>
        <w:tc>
          <w:tcPr>
            <w:tcW w:w="100" w:type="dxa"/>
            <w:vAlign w:val="bottom"/>
            <w:tcBorders>
              <w:left w:val="single" w:sz="8" w:color="E9F9D8"/>
            </w:tcBorders>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5"/>
                <w:szCs w:val="15"/>
                <w:color w:val="auto"/>
              </w:rPr>
              <w:t>base salary since 2019.</w:t>
            </w:r>
          </w:p>
        </w:tc>
        <w:tc>
          <w:tcPr>
            <w:tcW w:w="1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200" w:type="dxa"/>
            <w:vAlign w:val="bottom"/>
            <w:tcBorders>
              <w:top w:val="single" w:sz="8" w:color="1F2668"/>
              <w:right w:val="single" w:sz="8" w:color="1F2668"/>
            </w:tcBorders>
            <w:shd w:val="clear" w:color="auto" w:fill="1F2668"/>
          </w:tcPr>
          <w:p>
            <w:pPr>
              <w:spacing w:after="0"/>
              <w:rPr>
                <w:sz w:val="17"/>
                <w:szCs w:val="17"/>
                <w:color w:val="auto"/>
              </w:rPr>
            </w:pPr>
          </w:p>
        </w:tc>
        <w:tc>
          <w:tcPr>
            <w:tcW w:w="440" w:type="dxa"/>
            <w:vAlign w:val="bottom"/>
            <w:tcBorders>
              <w:top w:val="single" w:sz="8" w:color="1F2668"/>
            </w:tcBorders>
            <w:shd w:val="clear" w:color="auto" w:fill="1F2668"/>
          </w:tcPr>
          <w:p>
            <w:pPr>
              <w:spacing w:after="0"/>
              <w:rPr>
                <w:sz w:val="17"/>
                <w:szCs w:val="17"/>
                <w:color w:val="auto"/>
              </w:rPr>
            </w:pPr>
          </w:p>
        </w:tc>
        <w:tc>
          <w:tcPr>
            <w:tcW w:w="1740" w:type="dxa"/>
            <w:vAlign w:val="bottom"/>
            <w:tcBorders>
              <w:top w:val="single" w:sz="8" w:color="1F2668"/>
            </w:tcBorders>
            <w:shd w:val="clear" w:color="auto" w:fill="1F2668"/>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top w:val="single" w:sz="8" w:color="83AD40"/>
            </w:tcBorders>
            <w:shd w:val="clear" w:color="auto" w:fill="83AD40"/>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4B5088"/>
            </w:tcBorders>
            <w:gridSpan w:val="2"/>
            <w:vMerge w:val="restart"/>
            <w:shd w:val="clear" w:color="auto" w:fill="E9F9D8"/>
          </w:tcPr>
          <w:p>
            <w:pPr>
              <w:spacing w:after="0"/>
              <w:rPr>
                <w:sz w:val="20"/>
                <w:szCs w:val="20"/>
                <w:color w:val="auto"/>
              </w:rPr>
            </w:pPr>
            <w:r>
              <w:rPr>
                <w:rFonts w:ascii="Arial" w:cs="Arial" w:eastAsia="Arial" w:hAnsi="Arial"/>
                <w:sz w:val="15"/>
                <w:szCs w:val="15"/>
                <w:color w:val="auto"/>
              </w:rPr>
              <w:t>​</w:t>
            </w:r>
          </w:p>
        </w:tc>
        <w:tc>
          <w:tcPr>
            <w:tcW w:w="860" w:type="dxa"/>
            <w:vAlign w:val="bottom"/>
            <w:tcBorders>
              <w:top w:val="single" w:sz="8" w:color="4B5088"/>
            </w:tcBorders>
            <w:vMerge w:val="restart"/>
            <w:shd w:val="clear" w:color="auto" w:fill="E9F9D8"/>
          </w:tcPr>
          <w:p>
            <w:pPr>
              <w:spacing w:after="0" w:line="358" w:lineRule="exact"/>
              <w:rPr>
                <w:sz w:val="20"/>
                <w:szCs w:val="20"/>
                <w:color w:val="auto"/>
              </w:rPr>
            </w:pPr>
            <w:r>
              <w:rPr>
                <w:rFonts w:ascii="Arial" w:cs="Arial" w:eastAsia="Arial" w:hAnsi="Arial"/>
                <w:sz w:val="32"/>
                <w:szCs w:val="32"/>
                <w:color w:val="1F2668"/>
              </w:rPr>
              <w:t>26%</w:t>
            </w:r>
          </w:p>
        </w:tc>
        <w:tc>
          <w:tcPr>
            <w:tcW w:w="80" w:type="dxa"/>
            <w:vAlign w:val="bottom"/>
            <w:tcBorders>
              <w:top w:val="single" w:sz="8" w:color="4B5088"/>
            </w:tcBorders>
            <w:shd w:val="clear" w:color="auto" w:fill="E9F9D8"/>
          </w:tcPr>
          <w:p>
            <w:pPr>
              <w:spacing w:after="0"/>
              <w:rPr>
                <w:sz w:val="17"/>
                <w:szCs w:val="17"/>
                <w:color w:val="auto"/>
              </w:rPr>
            </w:pPr>
          </w:p>
        </w:tc>
        <w:tc>
          <w:tcPr>
            <w:tcW w:w="980" w:type="dxa"/>
            <w:vAlign w:val="bottom"/>
            <w:tcBorders>
              <w:top w:val="single" w:sz="8" w:color="4B5088"/>
              <w:left w:val="single" w:sz="8" w:color="E9F9D8"/>
            </w:tcBorders>
            <w:gridSpan w:val="3"/>
            <w:vMerge w:val="restart"/>
          </w:tcPr>
          <w:p>
            <w:pPr>
              <w:ind w:left="20"/>
              <w:spacing w:after="0" w:line="358" w:lineRule="exact"/>
              <w:rPr>
                <w:sz w:val="20"/>
                <w:szCs w:val="20"/>
                <w:color w:val="auto"/>
              </w:rPr>
            </w:pPr>
            <w:r>
              <w:rPr>
                <w:rFonts w:ascii="Arial" w:cs="Arial" w:eastAsia="Arial" w:hAnsi="Arial"/>
                <w:sz w:val="15"/>
                <w:szCs w:val="15"/>
                <w:color w:val="auto"/>
              </w:rPr>
              <w:t>​​</w:t>
            </w:r>
            <w:r>
              <w:rPr>
                <w:rFonts w:ascii="Arial" w:cs="Arial" w:eastAsia="Arial" w:hAnsi="Arial"/>
                <w:sz w:val="32"/>
                <w:szCs w:val="32"/>
                <w:color w:val="1F2668"/>
              </w:rPr>
              <w:t>26%</w:t>
            </w:r>
          </w:p>
        </w:tc>
        <w:tc>
          <w:tcPr>
            <w:tcW w:w="180" w:type="dxa"/>
            <w:vAlign w:val="bottom"/>
            <w:tcBorders>
              <w:top w:val="single" w:sz="8" w:color="4B5088"/>
            </w:tcBorders>
            <w:gridSpan w:val="3"/>
            <w:vMerge w:val="restart"/>
          </w:tcPr>
          <w:p>
            <w:pPr>
              <w:jc w:val="center"/>
              <w:ind w:left="9"/>
              <w:spacing w:after="0"/>
              <w:rPr>
                <w:sz w:val="20"/>
                <w:szCs w:val="20"/>
                <w:color w:val="auto"/>
              </w:rPr>
            </w:pPr>
            <w:r>
              <w:rPr>
                <w:rFonts w:ascii="Arial" w:cs="Arial" w:eastAsia="Arial" w:hAnsi="Arial"/>
                <w:sz w:val="15"/>
                <w:szCs w:val="15"/>
                <w:color w:val="auto"/>
              </w:rPr>
              <w:t>​​</w:t>
            </w:r>
          </w:p>
        </w:tc>
        <w:tc>
          <w:tcPr>
            <w:tcW w:w="1220" w:type="dxa"/>
            <w:vAlign w:val="bottom"/>
            <w:tcBorders>
              <w:top w:val="single" w:sz="8" w:color="4B5088"/>
            </w:tcBorders>
            <w:gridSpan w:val="2"/>
          </w:tcPr>
          <w:p>
            <w:pPr>
              <w:spacing w:after="0"/>
              <w:rPr>
                <w:sz w:val="20"/>
                <w:szCs w:val="20"/>
                <w:color w:val="auto"/>
              </w:rPr>
            </w:pPr>
            <w:r>
              <w:rPr>
                <w:rFonts w:ascii="Arial" w:cs="Arial" w:eastAsia="Arial" w:hAnsi="Arial"/>
                <w:sz w:val="16"/>
                <w:szCs w:val="16"/>
                <w:b w:val="1"/>
                <w:bCs w:val="1"/>
                <w:color w:val="auto"/>
              </w:rPr>
              <w:t>Annual Bonus</w:t>
            </w:r>
            <w:r>
              <w:rPr>
                <w:rFonts w:ascii="Arial" w:cs="Arial" w:eastAsia="Arial" w:hAnsi="Arial"/>
                <w:sz w:val="15"/>
                <w:szCs w:val="15"/>
                <w:color w:val="auto"/>
              </w:rPr>
              <w:t>​</w:t>
            </w:r>
          </w:p>
        </w:tc>
        <w:tc>
          <w:tcPr>
            <w:tcW w:w="820" w:type="dxa"/>
            <w:vAlign w:val="bottom"/>
            <w:tcBorders>
              <w:top w:val="single" w:sz="8" w:color="4B5088"/>
            </w:tcBorders>
          </w:tcPr>
          <w:p>
            <w:pPr>
              <w:spacing w:after="0"/>
              <w:rPr>
                <w:sz w:val="17"/>
                <w:szCs w:val="17"/>
                <w:color w:val="auto"/>
              </w:rPr>
            </w:pPr>
          </w:p>
        </w:tc>
        <w:tc>
          <w:tcPr>
            <w:tcW w:w="1180" w:type="dxa"/>
            <w:vAlign w:val="bottom"/>
            <w:tcBorders>
              <w:top w:val="single" w:sz="8" w:color="4B5088"/>
            </w:tcBorders>
          </w:tcPr>
          <w:p>
            <w:pPr>
              <w:spacing w:after="0"/>
              <w:rPr>
                <w:sz w:val="17"/>
                <w:szCs w:val="17"/>
                <w:color w:val="auto"/>
              </w:rPr>
            </w:pPr>
          </w:p>
        </w:tc>
        <w:tc>
          <w:tcPr>
            <w:tcW w:w="780" w:type="dxa"/>
            <w:vAlign w:val="bottom"/>
            <w:tcBorders>
              <w:top w:val="single" w:sz="8" w:color="4B5088"/>
            </w:tcBorders>
          </w:tcPr>
          <w:p>
            <w:pPr>
              <w:spacing w:after="0"/>
              <w:rPr>
                <w:sz w:val="17"/>
                <w:szCs w:val="17"/>
                <w:color w:val="auto"/>
              </w:rPr>
            </w:pPr>
          </w:p>
        </w:tc>
        <w:tc>
          <w:tcPr>
            <w:tcW w:w="40" w:type="dxa"/>
            <w:vAlign w:val="bottom"/>
            <w:tcBorders>
              <w:top w:val="single" w:sz="8" w:color="4B5088"/>
            </w:tcBorders>
          </w:tcPr>
          <w:p>
            <w:pPr>
              <w:spacing w:after="0"/>
              <w:rPr>
                <w:sz w:val="17"/>
                <w:szCs w:val="17"/>
                <w:color w:val="auto"/>
              </w:rPr>
            </w:pPr>
          </w:p>
        </w:tc>
        <w:tc>
          <w:tcPr>
            <w:tcW w:w="8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200" w:type="dxa"/>
            <w:vAlign w:val="bottom"/>
            <w:tcBorders>
              <w:right w:val="single" w:sz="8" w:color="1F2668"/>
            </w:tcBorders>
            <w:shd w:val="clear" w:color="auto" w:fill="1F2668"/>
          </w:tcPr>
          <w:p>
            <w:pPr>
              <w:spacing w:after="0"/>
              <w:rPr>
                <w:sz w:val="13"/>
                <w:szCs w:val="13"/>
                <w:color w:val="auto"/>
              </w:rPr>
            </w:pPr>
          </w:p>
        </w:tc>
        <w:tc>
          <w:tcPr>
            <w:tcW w:w="440" w:type="dxa"/>
            <w:vAlign w:val="bottom"/>
            <w:shd w:val="clear" w:color="auto" w:fill="1F2668"/>
          </w:tcPr>
          <w:p>
            <w:pPr>
              <w:spacing w:after="0"/>
              <w:rPr>
                <w:sz w:val="13"/>
                <w:szCs w:val="13"/>
                <w:color w:val="auto"/>
              </w:rPr>
            </w:pPr>
          </w:p>
        </w:tc>
        <w:tc>
          <w:tcPr>
            <w:tcW w:w="1740" w:type="dxa"/>
            <w:vAlign w:val="bottom"/>
            <w:shd w:val="clear" w:color="auto" w:fill="1F2668"/>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shd w:val="clear" w:color="auto" w:fill="83AD40"/>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gridSpan w:val="2"/>
            <w:vMerge w:val="continue"/>
            <w:shd w:val="clear" w:color="auto" w:fill="E9F9D8"/>
          </w:tcPr>
          <w:p>
            <w:pPr>
              <w:spacing w:after="0"/>
              <w:rPr>
                <w:sz w:val="13"/>
                <w:szCs w:val="13"/>
                <w:color w:val="auto"/>
              </w:rPr>
            </w:pPr>
          </w:p>
        </w:tc>
        <w:tc>
          <w:tcPr>
            <w:tcW w:w="860" w:type="dxa"/>
            <w:vAlign w:val="bottom"/>
            <w:vMerge w:val="continue"/>
            <w:shd w:val="clear" w:color="auto" w:fill="E9F9D8"/>
          </w:tcPr>
          <w:p>
            <w:pPr>
              <w:spacing w:after="0"/>
              <w:rPr>
                <w:sz w:val="13"/>
                <w:szCs w:val="13"/>
                <w:color w:val="auto"/>
              </w:rPr>
            </w:pPr>
          </w:p>
        </w:tc>
        <w:tc>
          <w:tcPr>
            <w:tcW w:w="80" w:type="dxa"/>
            <w:vAlign w:val="bottom"/>
            <w:shd w:val="clear" w:color="auto" w:fill="E9F9D8"/>
          </w:tcPr>
          <w:p>
            <w:pPr>
              <w:spacing w:after="0"/>
              <w:rPr>
                <w:sz w:val="13"/>
                <w:szCs w:val="13"/>
                <w:color w:val="auto"/>
              </w:rPr>
            </w:pPr>
          </w:p>
        </w:tc>
        <w:tc>
          <w:tcPr>
            <w:tcW w:w="980" w:type="dxa"/>
            <w:vAlign w:val="bottom"/>
            <w:tcBorders>
              <w:left w:val="single" w:sz="8" w:color="E9F9D8"/>
            </w:tcBorders>
            <w:gridSpan w:val="3"/>
            <w:vMerge w:val="continue"/>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4000" w:type="dxa"/>
            <w:vAlign w:val="bottom"/>
            <w:gridSpan w:val="5"/>
          </w:tcPr>
          <w:p>
            <w:pPr>
              <w:spacing w:after="0" w:line="153" w:lineRule="exact"/>
              <w:rPr>
                <w:sz w:val="20"/>
                <w:szCs w:val="20"/>
                <w:color w:val="auto"/>
              </w:rPr>
            </w:pPr>
            <w:r>
              <w:rPr>
                <w:rFonts w:ascii="Arial" w:cs="Arial" w:eastAsia="Arial" w:hAnsi="Arial"/>
                <w:sz w:val="15"/>
                <w:szCs w:val="15"/>
                <w:color w:val="auto"/>
              </w:rPr>
              <w:t>Bonus, while not formulaic, was determined on the basis of</w:t>
            </w:r>
          </w:p>
        </w:tc>
        <w:tc>
          <w:tcPr>
            <w:tcW w:w="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820" w:type="dxa"/>
            <w:vAlign w:val="bottom"/>
          </w:tcPr>
          <w:p>
            <w:pPr>
              <w:spacing w:after="0"/>
              <w:rPr>
                <w:sz w:val="16"/>
                <w:szCs w:val="16"/>
                <w:color w:val="auto"/>
              </w:rPr>
            </w:pPr>
          </w:p>
        </w:tc>
        <w:tc>
          <w:tcPr>
            <w:tcW w:w="200" w:type="dxa"/>
            <w:vAlign w:val="bottom"/>
            <w:tcBorders>
              <w:right w:val="single" w:sz="8" w:color="1F2668"/>
            </w:tcBorders>
            <w:shd w:val="clear" w:color="auto" w:fill="1F2668"/>
          </w:tcPr>
          <w:p>
            <w:pPr>
              <w:spacing w:after="0"/>
              <w:rPr>
                <w:sz w:val="16"/>
                <w:szCs w:val="16"/>
                <w:color w:val="auto"/>
              </w:rPr>
            </w:pPr>
          </w:p>
        </w:tc>
        <w:tc>
          <w:tcPr>
            <w:tcW w:w="440" w:type="dxa"/>
            <w:vAlign w:val="bottom"/>
            <w:shd w:val="clear" w:color="auto" w:fill="1F2668"/>
          </w:tcPr>
          <w:p>
            <w:pPr>
              <w:spacing w:after="0"/>
              <w:rPr>
                <w:sz w:val="16"/>
                <w:szCs w:val="16"/>
                <w:color w:val="auto"/>
              </w:rPr>
            </w:pPr>
          </w:p>
        </w:tc>
        <w:tc>
          <w:tcPr>
            <w:tcW w:w="1740" w:type="dxa"/>
            <w:vAlign w:val="bottom"/>
            <w:shd w:val="clear" w:color="auto" w:fill="1F2668"/>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shd w:val="clear" w:color="auto" w:fill="83AD40"/>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shd w:val="clear" w:color="auto" w:fill="E9F9D8"/>
          </w:tcPr>
          <w:p>
            <w:pPr>
              <w:spacing w:after="0"/>
              <w:rPr>
                <w:sz w:val="16"/>
                <w:szCs w:val="16"/>
                <w:color w:val="auto"/>
              </w:rPr>
            </w:pPr>
          </w:p>
        </w:tc>
        <w:tc>
          <w:tcPr>
            <w:tcW w:w="40" w:type="dxa"/>
            <w:vAlign w:val="bottom"/>
            <w:shd w:val="clear" w:color="auto" w:fill="E9F9D8"/>
          </w:tcPr>
          <w:p>
            <w:pPr>
              <w:spacing w:after="0"/>
              <w:rPr>
                <w:sz w:val="16"/>
                <w:szCs w:val="16"/>
                <w:color w:val="auto"/>
              </w:rPr>
            </w:pPr>
          </w:p>
        </w:tc>
        <w:tc>
          <w:tcPr>
            <w:tcW w:w="860" w:type="dxa"/>
            <w:vAlign w:val="bottom"/>
            <w:shd w:val="clear" w:color="auto" w:fill="E9F9D8"/>
          </w:tcPr>
          <w:p>
            <w:pPr>
              <w:spacing w:after="0"/>
              <w:rPr>
                <w:sz w:val="20"/>
                <w:szCs w:val="20"/>
                <w:color w:val="auto"/>
              </w:rPr>
            </w:pPr>
            <w:r>
              <w:rPr>
                <w:rFonts w:ascii="Arial" w:cs="Arial" w:eastAsia="Arial" w:hAnsi="Arial"/>
                <w:sz w:val="16"/>
                <w:szCs w:val="16"/>
                <w:b w:val="1"/>
                <w:bCs w:val="1"/>
                <w:color w:val="auto"/>
              </w:rPr>
              <w:t>$1,025,000</w:t>
            </w:r>
          </w:p>
        </w:tc>
        <w:tc>
          <w:tcPr>
            <w:tcW w:w="80" w:type="dxa"/>
            <w:vAlign w:val="bottom"/>
            <w:shd w:val="clear" w:color="auto" w:fill="E9F9D8"/>
          </w:tcPr>
          <w:p>
            <w:pPr>
              <w:spacing w:after="0"/>
              <w:rPr>
                <w:sz w:val="16"/>
                <w:szCs w:val="16"/>
                <w:color w:val="auto"/>
              </w:rPr>
            </w:pPr>
          </w:p>
        </w:tc>
        <w:tc>
          <w:tcPr>
            <w:tcW w:w="100" w:type="dxa"/>
            <w:vAlign w:val="bottom"/>
            <w:tcBorders>
              <w:left w:val="single" w:sz="8" w:color="E9F9D8"/>
            </w:tcBorders>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20"/>
                <w:szCs w:val="20"/>
                <w:color w:val="auto"/>
              </w:rPr>
            </w:pPr>
            <w:r>
              <w:rPr>
                <w:rFonts w:ascii="Arial" w:cs="Arial" w:eastAsia="Arial" w:hAnsi="Arial"/>
                <w:sz w:val="16"/>
                <w:szCs w:val="16"/>
                <w:b w:val="1"/>
                <w:bCs w:val="1"/>
                <w:color w:val="auto"/>
              </w:rPr>
              <w:t>$808,361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0" w:type="dxa"/>
            <w:vAlign w:val="bottom"/>
            <w:gridSpan w:val="5"/>
          </w:tcPr>
          <w:p>
            <w:pPr>
              <w:spacing w:after="0"/>
              <w:rPr>
                <w:sz w:val="20"/>
                <w:szCs w:val="20"/>
                <w:color w:val="auto"/>
              </w:rPr>
            </w:pPr>
            <w:r>
              <w:rPr>
                <w:rFonts w:ascii="Arial" w:cs="Arial" w:eastAsia="Arial" w:hAnsi="Arial"/>
                <w:sz w:val="15"/>
                <w:szCs w:val="15"/>
                <w:color w:val="auto"/>
              </w:rPr>
              <w:t>the objective criteria used for our formulaic annual bonus</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20" w:type="dxa"/>
            <w:vAlign w:val="bottom"/>
          </w:tcPr>
          <w:p>
            <w:pPr>
              <w:spacing w:after="0"/>
              <w:rPr>
                <w:sz w:val="15"/>
                <w:szCs w:val="15"/>
                <w:color w:val="auto"/>
              </w:rPr>
            </w:pPr>
          </w:p>
        </w:tc>
        <w:tc>
          <w:tcPr>
            <w:tcW w:w="200" w:type="dxa"/>
            <w:vAlign w:val="bottom"/>
            <w:tcBorders>
              <w:right w:val="single" w:sz="8" w:color="1F2668"/>
            </w:tcBorders>
            <w:shd w:val="clear" w:color="auto" w:fill="1F2668"/>
          </w:tcPr>
          <w:p>
            <w:pPr>
              <w:spacing w:after="0"/>
              <w:rPr>
                <w:sz w:val="15"/>
                <w:szCs w:val="15"/>
                <w:color w:val="auto"/>
              </w:rPr>
            </w:pPr>
          </w:p>
        </w:tc>
        <w:tc>
          <w:tcPr>
            <w:tcW w:w="440" w:type="dxa"/>
            <w:vAlign w:val="bottom"/>
            <w:shd w:val="clear" w:color="auto" w:fill="1F2668"/>
          </w:tcPr>
          <w:p>
            <w:pPr>
              <w:spacing w:after="0"/>
              <w:rPr>
                <w:sz w:val="15"/>
                <w:szCs w:val="15"/>
                <w:color w:val="auto"/>
              </w:rPr>
            </w:pPr>
          </w:p>
        </w:tc>
        <w:tc>
          <w:tcPr>
            <w:tcW w:w="1740" w:type="dxa"/>
            <w:vAlign w:val="bottom"/>
            <w:shd w:val="clear" w:color="auto" w:fill="1F2668"/>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shd w:val="clear" w:color="auto" w:fill="83AD40"/>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shd w:val="clear" w:color="auto" w:fill="E9F9D8"/>
          </w:tcPr>
          <w:p>
            <w:pPr>
              <w:spacing w:after="0"/>
              <w:rPr>
                <w:sz w:val="15"/>
                <w:szCs w:val="15"/>
                <w:color w:val="auto"/>
              </w:rPr>
            </w:pPr>
          </w:p>
        </w:tc>
        <w:tc>
          <w:tcPr>
            <w:tcW w:w="40" w:type="dxa"/>
            <w:vAlign w:val="bottom"/>
            <w:shd w:val="clear" w:color="auto" w:fill="E9F9D8"/>
          </w:tcPr>
          <w:p>
            <w:pPr>
              <w:spacing w:after="0"/>
              <w:rPr>
                <w:sz w:val="15"/>
                <w:szCs w:val="15"/>
                <w:color w:val="auto"/>
              </w:rPr>
            </w:pPr>
          </w:p>
        </w:tc>
        <w:tc>
          <w:tcPr>
            <w:tcW w:w="860" w:type="dxa"/>
            <w:vAlign w:val="bottom"/>
            <w:shd w:val="clear" w:color="auto" w:fill="E9F9D8"/>
          </w:tcPr>
          <w:p>
            <w:pPr>
              <w:spacing w:after="0"/>
              <w:rPr>
                <w:sz w:val="15"/>
                <w:szCs w:val="15"/>
                <w:color w:val="auto"/>
              </w:rPr>
            </w:pPr>
          </w:p>
        </w:tc>
        <w:tc>
          <w:tcPr>
            <w:tcW w:w="80" w:type="dxa"/>
            <w:vAlign w:val="bottom"/>
            <w:shd w:val="clear" w:color="auto" w:fill="E9F9D8"/>
          </w:tcPr>
          <w:p>
            <w:pPr>
              <w:spacing w:after="0"/>
              <w:rPr>
                <w:sz w:val="15"/>
                <w:szCs w:val="15"/>
                <w:color w:val="auto"/>
              </w:rPr>
            </w:pPr>
          </w:p>
        </w:tc>
        <w:tc>
          <w:tcPr>
            <w:tcW w:w="100" w:type="dxa"/>
            <w:vAlign w:val="bottom"/>
            <w:tcBorders>
              <w:left w:val="single" w:sz="8" w:color="E9F9D8"/>
            </w:tcBorders>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0" w:type="dxa"/>
            <w:vAlign w:val="bottom"/>
            <w:gridSpan w:val="5"/>
          </w:tcPr>
          <w:p>
            <w:pPr>
              <w:spacing w:after="0"/>
              <w:rPr>
                <w:sz w:val="20"/>
                <w:szCs w:val="20"/>
                <w:color w:val="auto"/>
              </w:rPr>
            </w:pPr>
            <w:r>
              <w:rPr>
                <w:rFonts w:ascii="Arial" w:cs="Arial" w:eastAsia="Arial" w:hAnsi="Arial"/>
                <w:sz w:val="15"/>
                <w:szCs w:val="15"/>
                <w:color w:val="auto"/>
              </w:rPr>
              <w:t>program, the achievements of the Company during 2024</w:t>
            </w: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200" w:type="dxa"/>
            <w:vAlign w:val="bottom"/>
            <w:tcBorders>
              <w:right w:val="single" w:sz="8" w:color="1F2668"/>
            </w:tcBorders>
            <w:shd w:val="clear" w:color="auto" w:fill="1F2668"/>
          </w:tcPr>
          <w:p>
            <w:pPr>
              <w:spacing w:after="0"/>
              <w:rPr>
                <w:sz w:val="14"/>
                <w:szCs w:val="14"/>
                <w:color w:val="auto"/>
              </w:rPr>
            </w:pPr>
          </w:p>
        </w:tc>
        <w:tc>
          <w:tcPr>
            <w:tcW w:w="440" w:type="dxa"/>
            <w:vAlign w:val="bottom"/>
            <w:shd w:val="clear" w:color="auto" w:fill="1F2668"/>
          </w:tcPr>
          <w:p>
            <w:pPr>
              <w:spacing w:after="0"/>
              <w:rPr>
                <w:sz w:val="14"/>
                <w:szCs w:val="14"/>
                <w:color w:val="auto"/>
              </w:rPr>
            </w:pPr>
          </w:p>
        </w:tc>
        <w:tc>
          <w:tcPr>
            <w:tcW w:w="1740" w:type="dxa"/>
            <w:vAlign w:val="bottom"/>
            <w:shd w:val="clear" w:color="auto" w:fill="1F2668"/>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shd w:val="clear" w:color="auto" w:fill="83AD40"/>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shd w:val="clear" w:color="auto" w:fill="E9F9D8"/>
          </w:tcPr>
          <w:p>
            <w:pPr>
              <w:spacing w:after="0"/>
              <w:rPr>
                <w:sz w:val="14"/>
                <w:szCs w:val="14"/>
                <w:color w:val="auto"/>
              </w:rPr>
            </w:pPr>
          </w:p>
        </w:tc>
        <w:tc>
          <w:tcPr>
            <w:tcW w:w="40" w:type="dxa"/>
            <w:vAlign w:val="bottom"/>
            <w:shd w:val="clear" w:color="auto" w:fill="E9F9D8"/>
          </w:tcPr>
          <w:p>
            <w:pPr>
              <w:spacing w:after="0"/>
              <w:rPr>
                <w:sz w:val="14"/>
                <w:szCs w:val="14"/>
                <w:color w:val="auto"/>
              </w:rPr>
            </w:pPr>
          </w:p>
        </w:tc>
        <w:tc>
          <w:tcPr>
            <w:tcW w:w="860" w:type="dxa"/>
            <w:vAlign w:val="bottom"/>
            <w:shd w:val="clear" w:color="auto" w:fill="E9F9D8"/>
          </w:tcPr>
          <w:p>
            <w:pPr>
              <w:spacing w:after="0"/>
              <w:rPr>
                <w:sz w:val="14"/>
                <w:szCs w:val="14"/>
                <w:color w:val="auto"/>
              </w:rPr>
            </w:pPr>
          </w:p>
        </w:tc>
        <w:tc>
          <w:tcPr>
            <w:tcW w:w="80" w:type="dxa"/>
            <w:vAlign w:val="bottom"/>
            <w:shd w:val="clear" w:color="auto" w:fill="E9F9D8"/>
          </w:tcPr>
          <w:p>
            <w:pPr>
              <w:spacing w:after="0"/>
              <w:rPr>
                <w:sz w:val="14"/>
                <w:szCs w:val="14"/>
                <w:color w:val="auto"/>
              </w:rPr>
            </w:pPr>
          </w:p>
        </w:tc>
        <w:tc>
          <w:tcPr>
            <w:tcW w:w="100" w:type="dxa"/>
            <w:vAlign w:val="bottom"/>
            <w:tcBorders>
              <w:left w:val="single" w:sz="8" w:color="E9F9D8"/>
            </w:tcBorders>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0" w:type="dxa"/>
            <w:vAlign w:val="bottom"/>
            <w:gridSpan w:val="5"/>
          </w:tcPr>
          <w:p>
            <w:pPr>
              <w:spacing w:after="0" w:line="162" w:lineRule="exact"/>
              <w:rPr>
                <w:sz w:val="20"/>
                <w:szCs w:val="20"/>
                <w:color w:val="auto"/>
              </w:rPr>
            </w:pPr>
            <w:r>
              <w:rPr>
                <w:rFonts w:ascii="Arial" w:cs="Arial" w:eastAsia="Arial" w:hAnsi="Arial"/>
                <w:sz w:val="15"/>
                <w:szCs w:val="15"/>
                <w:color w:val="auto"/>
              </w:rPr>
              <w:t>and an assessment of Mr. Levine’s performance in areas</w:t>
            </w: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820" w:type="dxa"/>
            <w:vAlign w:val="bottom"/>
          </w:tcPr>
          <w:p>
            <w:pPr>
              <w:spacing w:after="0"/>
              <w:rPr>
                <w:sz w:val="17"/>
                <w:szCs w:val="17"/>
                <w:color w:val="auto"/>
              </w:rPr>
            </w:pPr>
          </w:p>
        </w:tc>
        <w:tc>
          <w:tcPr>
            <w:tcW w:w="200" w:type="dxa"/>
            <w:vAlign w:val="bottom"/>
            <w:tcBorders>
              <w:right w:val="single" w:sz="8" w:color="1F2668"/>
            </w:tcBorders>
            <w:shd w:val="clear" w:color="auto" w:fill="1F2668"/>
          </w:tcPr>
          <w:p>
            <w:pPr>
              <w:spacing w:after="0"/>
              <w:rPr>
                <w:sz w:val="17"/>
                <w:szCs w:val="17"/>
                <w:color w:val="auto"/>
              </w:rPr>
            </w:pPr>
          </w:p>
        </w:tc>
        <w:tc>
          <w:tcPr>
            <w:tcW w:w="440" w:type="dxa"/>
            <w:vAlign w:val="bottom"/>
            <w:shd w:val="clear" w:color="auto" w:fill="1F2668"/>
          </w:tcPr>
          <w:p>
            <w:pPr>
              <w:spacing w:after="0"/>
              <w:rPr>
                <w:sz w:val="17"/>
                <w:szCs w:val="17"/>
                <w:color w:val="auto"/>
              </w:rPr>
            </w:pPr>
          </w:p>
        </w:tc>
        <w:tc>
          <w:tcPr>
            <w:tcW w:w="1740" w:type="dxa"/>
            <w:vAlign w:val="bottom"/>
            <w:shd w:val="clear" w:color="auto" w:fill="1F2668"/>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shd w:val="clear" w:color="auto" w:fill="83AD40"/>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shd w:val="clear" w:color="auto" w:fill="E9F9D8"/>
          </w:tcPr>
          <w:p>
            <w:pPr>
              <w:spacing w:after="0"/>
              <w:rPr>
                <w:sz w:val="17"/>
                <w:szCs w:val="17"/>
                <w:color w:val="auto"/>
              </w:rPr>
            </w:pPr>
          </w:p>
        </w:tc>
        <w:tc>
          <w:tcPr>
            <w:tcW w:w="40" w:type="dxa"/>
            <w:vAlign w:val="bottom"/>
            <w:shd w:val="clear" w:color="auto" w:fill="E9F9D8"/>
          </w:tcPr>
          <w:p>
            <w:pPr>
              <w:spacing w:after="0"/>
              <w:rPr>
                <w:sz w:val="17"/>
                <w:szCs w:val="17"/>
                <w:color w:val="auto"/>
              </w:rPr>
            </w:pPr>
          </w:p>
        </w:tc>
        <w:tc>
          <w:tcPr>
            <w:tcW w:w="860" w:type="dxa"/>
            <w:vAlign w:val="bottom"/>
            <w:shd w:val="clear" w:color="auto" w:fill="E9F9D8"/>
          </w:tcPr>
          <w:p>
            <w:pPr>
              <w:spacing w:after="0"/>
              <w:rPr>
                <w:sz w:val="17"/>
                <w:szCs w:val="17"/>
                <w:color w:val="auto"/>
              </w:rPr>
            </w:pPr>
          </w:p>
        </w:tc>
        <w:tc>
          <w:tcPr>
            <w:tcW w:w="80" w:type="dxa"/>
            <w:vAlign w:val="bottom"/>
            <w:shd w:val="clear" w:color="auto" w:fill="E9F9D8"/>
          </w:tcPr>
          <w:p>
            <w:pPr>
              <w:spacing w:after="0"/>
              <w:rPr>
                <w:sz w:val="17"/>
                <w:szCs w:val="17"/>
                <w:color w:val="auto"/>
              </w:rPr>
            </w:pPr>
          </w:p>
        </w:tc>
        <w:tc>
          <w:tcPr>
            <w:tcW w:w="100" w:type="dxa"/>
            <w:vAlign w:val="bottom"/>
            <w:tcBorders>
              <w:left w:val="single" w:sz="8" w:color="E9F9D8"/>
            </w:tcBorders>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40" w:type="dxa"/>
            <w:vAlign w:val="bottom"/>
            <w:gridSpan w:val="3"/>
          </w:tcPr>
          <w:p>
            <w:pPr>
              <w:spacing w:after="0"/>
              <w:rPr>
                <w:sz w:val="20"/>
                <w:szCs w:val="20"/>
                <w:color w:val="auto"/>
              </w:rPr>
            </w:pPr>
            <w:r>
              <w:rPr>
                <w:rFonts w:ascii="Arial" w:cs="Arial" w:eastAsia="Arial" w:hAnsi="Arial"/>
                <w:sz w:val="15"/>
                <w:szCs w:val="15"/>
                <w:color w:val="auto"/>
              </w:rPr>
              <w:t>under his responsibilities.</w:t>
            </w:r>
          </w:p>
        </w:tc>
        <w:tc>
          <w:tcPr>
            <w:tcW w:w="1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20" w:type="dxa"/>
            <w:vAlign w:val="bottom"/>
          </w:tcPr>
          <w:p>
            <w:pPr>
              <w:spacing w:after="0"/>
              <w:rPr>
                <w:sz w:val="15"/>
                <w:szCs w:val="15"/>
                <w:color w:val="auto"/>
              </w:rPr>
            </w:pPr>
          </w:p>
        </w:tc>
        <w:tc>
          <w:tcPr>
            <w:tcW w:w="200" w:type="dxa"/>
            <w:vAlign w:val="bottom"/>
            <w:tcBorders>
              <w:right w:val="single" w:sz="8" w:color="1F2668"/>
            </w:tcBorders>
            <w:shd w:val="clear" w:color="auto" w:fill="1F2668"/>
          </w:tcPr>
          <w:p>
            <w:pPr>
              <w:spacing w:after="0"/>
              <w:rPr>
                <w:sz w:val="15"/>
                <w:szCs w:val="15"/>
                <w:color w:val="auto"/>
              </w:rPr>
            </w:pPr>
          </w:p>
        </w:tc>
        <w:tc>
          <w:tcPr>
            <w:tcW w:w="440" w:type="dxa"/>
            <w:vAlign w:val="bottom"/>
            <w:shd w:val="clear" w:color="auto" w:fill="1F2668"/>
          </w:tcPr>
          <w:p>
            <w:pPr>
              <w:spacing w:after="0"/>
              <w:rPr>
                <w:sz w:val="15"/>
                <w:szCs w:val="15"/>
                <w:color w:val="auto"/>
              </w:rPr>
            </w:pPr>
          </w:p>
        </w:tc>
        <w:tc>
          <w:tcPr>
            <w:tcW w:w="1740" w:type="dxa"/>
            <w:vAlign w:val="bottom"/>
            <w:shd w:val="clear" w:color="auto" w:fill="1F2668"/>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shd w:val="clear" w:color="auto" w:fill="83AD40"/>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shd w:val="clear" w:color="auto" w:fill="E9F9D8"/>
          </w:tcPr>
          <w:p>
            <w:pPr>
              <w:spacing w:after="0"/>
              <w:rPr>
                <w:sz w:val="15"/>
                <w:szCs w:val="15"/>
                <w:color w:val="auto"/>
              </w:rPr>
            </w:pPr>
          </w:p>
        </w:tc>
        <w:tc>
          <w:tcPr>
            <w:tcW w:w="40" w:type="dxa"/>
            <w:vAlign w:val="bottom"/>
            <w:shd w:val="clear" w:color="auto" w:fill="E9F9D8"/>
          </w:tcPr>
          <w:p>
            <w:pPr>
              <w:spacing w:after="0"/>
              <w:rPr>
                <w:sz w:val="15"/>
                <w:szCs w:val="15"/>
                <w:color w:val="auto"/>
              </w:rPr>
            </w:pPr>
          </w:p>
        </w:tc>
        <w:tc>
          <w:tcPr>
            <w:tcW w:w="860" w:type="dxa"/>
            <w:vAlign w:val="bottom"/>
            <w:shd w:val="clear" w:color="auto" w:fill="E9F9D8"/>
          </w:tcPr>
          <w:p>
            <w:pPr>
              <w:spacing w:after="0"/>
              <w:rPr>
                <w:sz w:val="15"/>
                <w:szCs w:val="15"/>
                <w:color w:val="auto"/>
              </w:rPr>
            </w:pPr>
          </w:p>
        </w:tc>
        <w:tc>
          <w:tcPr>
            <w:tcW w:w="80" w:type="dxa"/>
            <w:vAlign w:val="bottom"/>
            <w:shd w:val="clear" w:color="auto" w:fill="E9F9D8"/>
          </w:tcPr>
          <w:p>
            <w:pPr>
              <w:spacing w:after="0"/>
              <w:rPr>
                <w:sz w:val="15"/>
                <w:szCs w:val="15"/>
                <w:color w:val="auto"/>
              </w:rPr>
            </w:pPr>
          </w:p>
        </w:tc>
        <w:tc>
          <w:tcPr>
            <w:tcW w:w="100" w:type="dxa"/>
            <w:vAlign w:val="bottom"/>
            <w:tcBorders>
              <w:left w:val="single" w:sz="8" w:color="E9F9D8"/>
            </w:tcBorders>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0" w:type="dxa"/>
            <w:vAlign w:val="bottom"/>
            <w:gridSpan w:val="5"/>
          </w:tcPr>
          <w:p>
            <w:pPr>
              <w:spacing w:after="0"/>
              <w:rPr>
                <w:sz w:val="20"/>
                <w:szCs w:val="20"/>
                <w:color w:val="auto"/>
              </w:rPr>
            </w:pPr>
            <w:r>
              <w:rPr>
                <w:rFonts w:ascii="Arial" w:cs="Arial" w:eastAsia="Arial" w:hAnsi="Arial"/>
                <w:sz w:val="15"/>
                <w:szCs w:val="15"/>
                <w:color w:val="auto"/>
                <w:w w:val="99"/>
              </w:rPr>
              <w:t xml:space="preserve">Mr. Levine received </w:t>
            </w:r>
            <w:r>
              <w:rPr>
                <w:rFonts w:ascii="Arial" w:cs="Arial" w:eastAsia="Arial" w:hAnsi="Arial"/>
                <w:sz w:val="15"/>
                <w:szCs w:val="15"/>
                <w:b w:val="1"/>
                <w:bCs w:val="1"/>
                <w:color w:val="auto"/>
                <w:w w:val="99"/>
              </w:rPr>
              <w:t>100%</w:t>
            </w:r>
            <w:r>
              <w:rPr>
                <w:rFonts w:ascii="Arial" w:cs="Arial" w:eastAsia="Arial" w:hAnsi="Arial"/>
                <w:sz w:val="15"/>
                <w:szCs w:val="15"/>
                <w:color w:val="auto"/>
                <w:w w:val="99"/>
              </w:rPr>
              <w:t xml:space="preserve"> of the bonus in the form of equity.</w:t>
            </w: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200" w:type="dxa"/>
            <w:vAlign w:val="bottom"/>
            <w:tcBorders>
              <w:right w:val="single" w:sz="8" w:color="1F2668"/>
            </w:tcBorders>
            <w:shd w:val="clear" w:color="auto" w:fill="1F2668"/>
          </w:tcPr>
          <w:p>
            <w:pPr>
              <w:spacing w:after="0"/>
              <w:rPr>
                <w:sz w:val="15"/>
                <w:szCs w:val="15"/>
                <w:color w:val="auto"/>
              </w:rPr>
            </w:pPr>
          </w:p>
        </w:tc>
        <w:tc>
          <w:tcPr>
            <w:tcW w:w="440" w:type="dxa"/>
            <w:vAlign w:val="bottom"/>
            <w:shd w:val="clear" w:color="auto" w:fill="1F2668"/>
          </w:tcPr>
          <w:p>
            <w:pPr>
              <w:spacing w:after="0"/>
              <w:rPr>
                <w:sz w:val="15"/>
                <w:szCs w:val="15"/>
                <w:color w:val="auto"/>
              </w:rPr>
            </w:pPr>
          </w:p>
        </w:tc>
        <w:tc>
          <w:tcPr>
            <w:tcW w:w="1740" w:type="dxa"/>
            <w:vAlign w:val="bottom"/>
            <w:shd w:val="clear" w:color="auto" w:fill="1F2668"/>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shd w:val="clear" w:color="auto" w:fill="83AD40"/>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shd w:val="clear" w:color="auto" w:fill="E9F9D8"/>
          </w:tcPr>
          <w:p>
            <w:pPr>
              <w:spacing w:after="0"/>
              <w:rPr>
                <w:sz w:val="15"/>
                <w:szCs w:val="15"/>
                <w:color w:val="auto"/>
              </w:rPr>
            </w:pPr>
          </w:p>
        </w:tc>
        <w:tc>
          <w:tcPr>
            <w:tcW w:w="40" w:type="dxa"/>
            <w:vAlign w:val="bottom"/>
            <w:shd w:val="clear" w:color="auto" w:fill="E9F9D8"/>
          </w:tcPr>
          <w:p>
            <w:pPr>
              <w:spacing w:after="0"/>
              <w:rPr>
                <w:sz w:val="15"/>
                <w:szCs w:val="15"/>
                <w:color w:val="auto"/>
              </w:rPr>
            </w:pPr>
          </w:p>
        </w:tc>
        <w:tc>
          <w:tcPr>
            <w:tcW w:w="860" w:type="dxa"/>
            <w:vAlign w:val="bottom"/>
            <w:shd w:val="clear" w:color="auto" w:fill="E9F9D8"/>
          </w:tcPr>
          <w:p>
            <w:pPr>
              <w:spacing w:after="0"/>
              <w:rPr>
                <w:sz w:val="15"/>
                <w:szCs w:val="15"/>
                <w:color w:val="auto"/>
              </w:rPr>
            </w:pPr>
          </w:p>
        </w:tc>
        <w:tc>
          <w:tcPr>
            <w:tcW w:w="80" w:type="dxa"/>
            <w:vAlign w:val="bottom"/>
            <w:shd w:val="clear" w:color="auto" w:fill="E9F9D8"/>
          </w:tcPr>
          <w:p>
            <w:pPr>
              <w:spacing w:after="0"/>
              <w:rPr>
                <w:sz w:val="15"/>
                <w:szCs w:val="15"/>
                <w:color w:val="auto"/>
              </w:rPr>
            </w:pPr>
          </w:p>
        </w:tc>
        <w:tc>
          <w:tcPr>
            <w:tcW w:w="100" w:type="dxa"/>
            <w:vAlign w:val="bottom"/>
            <w:tcBorders>
              <w:left w:val="single" w:sz="8" w:color="E9F9D8"/>
            </w:tcBorders>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20" w:type="dxa"/>
            <w:vAlign w:val="bottom"/>
            <w:gridSpan w:val="4"/>
          </w:tcPr>
          <w:p>
            <w:pPr>
              <w:spacing w:after="0"/>
              <w:rPr>
                <w:sz w:val="20"/>
                <w:szCs w:val="20"/>
                <w:color w:val="auto"/>
              </w:rPr>
            </w:pPr>
            <w:r>
              <w:rPr>
                <w:rFonts w:ascii="Arial" w:cs="Arial" w:eastAsia="Arial" w:hAnsi="Arial"/>
                <w:sz w:val="15"/>
                <w:szCs w:val="15"/>
                <w:color w:val="auto"/>
              </w:rPr>
              <w:t xml:space="preserve">The corresponding </w:t>
            </w:r>
            <w:r>
              <w:rPr>
                <w:rFonts w:ascii="Arial" w:cs="Arial" w:eastAsia="Arial" w:hAnsi="Arial"/>
                <w:sz w:val="15"/>
                <w:szCs w:val="15"/>
                <w:b w:val="1"/>
                <w:bCs w:val="1"/>
                <w:color w:val="auto"/>
              </w:rPr>
              <w:t>14,900 LTIP</w:t>
            </w:r>
            <w:r>
              <w:rPr>
                <w:rFonts w:ascii="Arial" w:cs="Arial" w:eastAsia="Arial" w:hAnsi="Arial"/>
                <w:sz w:val="15"/>
                <w:szCs w:val="15"/>
                <w:color w:val="auto"/>
              </w:rPr>
              <w:t xml:space="preserve"> units granted in</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20" w:type="dxa"/>
            <w:vAlign w:val="bottom"/>
          </w:tcPr>
          <w:p>
            <w:pPr>
              <w:spacing w:after="0"/>
              <w:rPr>
                <w:sz w:val="15"/>
                <w:szCs w:val="15"/>
                <w:color w:val="auto"/>
              </w:rPr>
            </w:pPr>
          </w:p>
        </w:tc>
        <w:tc>
          <w:tcPr>
            <w:tcW w:w="2380" w:type="dxa"/>
            <w:vAlign w:val="bottom"/>
            <w:gridSpan w:val="3"/>
            <w:shd w:val="clear" w:color="auto" w:fill="1F2668"/>
          </w:tcPr>
          <w:p>
            <w:pPr>
              <w:ind w:left="140"/>
              <w:spacing w:after="0"/>
              <w:rPr>
                <w:sz w:val="20"/>
                <w:szCs w:val="20"/>
                <w:color w:val="auto"/>
              </w:rPr>
            </w:pPr>
            <w:r>
              <w:rPr>
                <w:rFonts w:ascii="Arial" w:cs="Arial" w:eastAsia="Arial" w:hAnsi="Arial"/>
                <w:sz w:val="13"/>
                <w:szCs w:val="13"/>
                <w:color w:val="FFFFFF"/>
              </w:rPr>
              <w:t>Chief Legal Officer and General</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shd w:val="clear" w:color="auto" w:fill="83AD40"/>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shd w:val="clear" w:color="auto" w:fill="E9F9D8"/>
          </w:tcPr>
          <w:p>
            <w:pPr>
              <w:spacing w:after="0"/>
              <w:rPr>
                <w:sz w:val="15"/>
                <w:szCs w:val="15"/>
                <w:color w:val="auto"/>
              </w:rPr>
            </w:pPr>
          </w:p>
        </w:tc>
        <w:tc>
          <w:tcPr>
            <w:tcW w:w="40" w:type="dxa"/>
            <w:vAlign w:val="bottom"/>
            <w:shd w:val="clear" w:color="auto" w:fill="E9F9D8"/>
          </w:tcPr>
          <w:p>
            <w:pPr>
              <w:spacing w:after="0"/>
              <w:rPr>
                <w:sz w:val="15"/>
                <w:szCs w:val="15"/>
                <w:color w:val="auto"/>
              </w:rPr>
            </w:pPr>
          </w:p>
        </w:tc>
        <w:tc>
          <w:tcPr>
            <w:tcW w:w="860" w:type="dxa"/>
            <w:vAlign w:val="bottom"/>
            <w:shd w:val="clear" w:color="auto" w:fill="E9F9D8"/>
          </w:tcPr>
          <w:p>
            <w:pPr>
              <w:spacing w:after="0"/>
              <w:rPr>
                <w:sz w:val="15"/>
                <w:szCs w:val="15"/>
                <w:color w:val="auto"/>
              </w:rPr>
            </w:pPr>
          </w:p>
        </w:tc>
        <w:tc>
          <w:tcPr>
            <w:tcW w:w="80" w:type="dxa"/>
            <w:vAlign w:val="bottom"/>
            <w:shd w:val="clear" w:color="auto" w:fill="E9F9D8"/>
          </w:tcPr>
          <w:p>
            <w:pPr>
              <w:spacing w:after="0"/>
              <w:rPr>
                <w:sz w:val="15"/>
                <w:szCs w:val="15"/>
                <w:color w:val="auto"/>
              </w:rPr>
            </w:pPr>
          </w:p>
        </w:tc>
        <w:tc>
          <w:tcPr>
            <w:tcW w:w="100" w:type="dxa"/>
            <w:vAlign w:val="bottom"/>
            <w:tcBorders>
              <w:left w:val="single" w:sz="8" w:color="E9F9D8"/>
            </w:tcBorders>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0" w:type="dxa"/>
            <w:vAlign w:val="bottom"/>
            <w:gridSpan w:val="5"/>
          </w:tcPr>
          <w:p>
            <w:pPr>
              <w:spacing w:after="0"/>
              <w:rPr>
                <w:sz w:val="20"/>
                <w:szCs w:val="20"/>
                <w:color w:val="auto"/>
              </w:rPr>
            </w:pPr>
            <w:r>
              <w:rPr>
                <w:rFonts w:ascii="Arial" w:cs="Arial" w:eastAsia="Arial" w:hAnsi="Arial"/>
                <w:sz w:val="15"/>
                <w:szCs w:val="15"/>
                <w:b w:val="1"/>
                <w:bCs w:val="1"/>
                <w:color w:val="auto"/>
              </w:rPr>
              <w:t xml:space="preserve">January 2025 </w:t>
            </w:r>
            <w:r>
              <w:rPr>
                <w:rFonts w:ascii="Arial" w:cs="Arial" w:eastAsia="Arial" w:hAnsi="Arial"/>
                <w:sz w:val="15"/>
                <w:szCs w:val="15"/>
                <w:color w:val="auto"/>
              </w:rPr>
              <w:t>were fully vested upon grant, but remain</w:t>
            </w: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820" w:type="dxa"/>
            <w:vAlign w:val="bottom"/>
          </w:tcPr>
          <w:p>
            <w:pPr>
              <w:spacing w:after="0"/>
              <w:rPr>
                <w:sz w:val="13"/>
                <w:szCs w:val="13"/>
                <w:color w:val="auto"/>
              </w:rPr>
            </w:pPr>
          </w:p>
        </w:tc>
        <w:tc>
          <w:tcPr>
            <w:tcW w:w="640" w:type="dxa"/>
            <w:vAlign w:val="bottom"/>
            <w:gridSpan w:val="2"/>
            <w:shd w:val="clear" w:color="auto" w:fill="1F2668"/>
          </w:tcPr>
          <w:p>
            <w:pPr>
              <w:ind w:left="140"/>
              <w:spacing w:after="0"/>
              <w:rPr>
                <w:sz w:val="20"/>
                <w:szCs w:val="20"/>
                <w:color w:val="auto"/>
              </w:rPr>
            </w:pPr>
            <w:r>
              <w:rPr>
                <w:rFonts w:ascii="Arial" w:cs="Arial" w:eastAsia="Arial" w:hAnsi="Arial"/>
                <w:sz w:val="13"/>
                <w:szCs w:val="13"/>
                <w:color w:val="FFFFFF"/>
              </w:rPr>
              <w:t>Counsel</w:t>
            </w:r>
          </w:p>
        </w:tc>
        <w:tc>
          <w:tcPr>
            <w:tcW w:w="1740" w:type="dxa"/>
            <w:vAlign w:val="bottom"/>
            <w:shd w:val="clear" w:color="auto" w:fill="1F2668"/>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shd w:val="clear" w:color="auto" w:fill="83AD40"/>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shd w:val="clear" w:color="auto" w:fill="E9F9D8"/>
          </w:tcPr>
          <w:p>
            <w:pPr>
              <w:spacing w:after="0"/>
              <w:rPr>
                <w:sz w:val="13"/>
                <w:szCs w:val="13"/>
                <w:color w:val="auto"/>
              </w:rPr>
            </w:pPr>
          </w:p>
        </w:tc>
        <w:tc>
          <w:tcPr>
            <w:tcW w:w="40" w:type="dxa"/>
            <w:vAlign w:val="bottom"/>
            <w:shd w:val="clear" w:color="auto" w:fill="E9F9D8"/>
          </w:tcPr>
          <w:p>
            <w:pPr>
              <w:spacing w:after="0"/>
              <w:rPr>
                <w:sz w:val="13"/>
                <w:szCs w:val="13"/>
                <w:color w:val="auto"/>
              </w:rPr>
            </w:pPr>
          </w:p>
        </w:tc>
        <w:tc>
          <w:tcPr>
            <w:tcW w:w="860" w:type="dxa"/>
            <w:vAlign w:val="bottom"/>
            <w:shd w:val="clear" w:color="auto" w:fill="E9F9D8"/>
          </w:tcPr>
          <w:p>
            <w:pPr>
              <w:spacing w:after="0"/>
              <w:rPr>
                <w:sz w:val="13"/>
                <w:szCs w:val="13"/>
                <w:color w:val="auto"/>
              </w:rPr>
            </w:pPr>
          </w:p>
        </w:tc>
        <w:tc>
          <w:tcPr>
            <w:tcW w:w="80" w:type="dxa"/>
            <w:vAlign w:val="bottom"/>
            <w:shd w:val="clear" w:color="auto" w:fill="E9F9D8"/>
          </w:tcPr>
          <w:p>
            <w:pPr>
              <w:spacing w:after="0"/>
              <w:rPr>
                <w:sz w:val="13"/>
                <w:szCs w:val="13"/>
                <w:color w:val="auto"/>
              </w:rPr>
            </w:pPr>
          </w:p>
        </w:tc>
        <w:tc>
          <w:tcPr>
            <w:tcW w:w="100" w:type="dxa"/>
            <w:vAlign w:val="bottom"/>
            <w:tcBorders>
              <w:left w:val="single" w:sz="8" w:color="E9F9D8"/>
            </w:tcBorders>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0" w:type="dxa"/>
            <w:vAlign w:val="bottom"/>
            <w:gridSpan w:val="5"/>
          </w:tcPr>
          <w:p>
            <w:pPr>
              <w:spacing w:after="0" w:line="158" w:lineRule="exact"/>
              <w:rPr>
                <w:sz w:val="20"/>
                <w:szCs w:val="20"/>
                <w:color w:val="auto"/>
              </w:rPr>
            </w:pPr>
            <w:r>
              <w:rPr>
                <w:rFonts w:ascii="Arial" w:cs="Arial" w:eastAsia="Arial" w:hAnsi="Arial"/>
                <w:sz w:val="15"/>
                <w:szCs w:val="15"/>
                <w:color w:val="auto"/>
              </w:rPr>
              <w:t>subject to a three-year no-sell restriction. Because these</w:t>
            </w: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2380" w:type="dxa"/>
            <w:vAlign w:val="bottom"/>
            <w:gridSpan w:val="3"/>
            <w:shd w:val="clear" w:color="auto" w:fill="1F2668"/>
          </w:tcPr>
          <w:p>
            <w:pPr>
              <w:ind w:left="140"/>
              <w:spacing w:after="0"/>
              <w:rPr>
                <w:sz w:val="20"/>
                <w:szCs w:val="20"/>
                <w:color w:val="auto"/>
              </w:rPr>
            </w:pPr>
            <w:r>
              <w:rPr>
                <w:rFonts w:ascii="Arial" w:cs="Arial" w:eastAsia="Arial" w:hAnsi="Arial"/>
                <w:sz w:val="13"/>
                <w:szCs w:val="13"/>
                <w:color w:val="FFFFFF"/>
              </w:rPr>
              <w:t>Mr. Levine’s 2024 compensation</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shd w:val="clear" w:color="auto" w:fill="83AD40"/>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shd w:val="clear" w:color="auto" w:fill="E9F9D8"/>
          </w:tcPr>
          <w:p>
            <w:pPr>
              <w:spacing w:after="0"/>
              <w:rPr>
                <w:sz w:val="13"/>
                <w:szCs w:val="13"/>
                <w:color w:val="auto"/>
              </w:rPr>
            </w:pPr>
          </w:p>
        </w:tc>
        <w:tc>
          <w:tcPr>
            <w:tcW w:w="40" w:type="dxa"/>
            <w:vAlign w:val="bottom"/>
            <w:shd w:val="clear" w:color="auto" w:fill="E9F9D8"/>
          </w:tcPr>
          <w:p>
            <w:pPr>
              <w:spacing w:after="0"/>
              <w:rPr>
                <w:sz w:val="13"/>
                <w:szCs w:val="13"/>
                <w:color w:val="auto"/>
              </w:rPr>
            </w:pPr>
          </w:p>
        </w:tc>
        <w:tc>
          <w:tcPr>
            <w:tcW w:w="860" w:type="dxa"/>
            <w:vAlign w:val="bottom"/>
            <w:shd w:val="clear" w:color="auto" w:fill="E9F9D8"/>
          </w:tcPr>
          <w:p>
            <w:pPr>
              <w:spacing w:after="0"/>
              <w:rPr>
                <w:sz w:val="13"/>
                <w:szCs w:val="13"/>
                <w:color w:val="auto"/>
              </w:rPr>
            </w:pPr>
          </w:p>
        </w:tc>
        <w:tc>
          <w:tcPr>
            <w:tcW w:w="80" w:type="dxa"/>
            <w:vAlign w:val="bottom"/>
            <w:shd w:val="clear" w:color="auto" w:fill="E9F9D8"/>
          </w:tcPr>
          <w:p>
            <w:pPr>
              <w:spacing w:after="0"/>
              <w:rPr>
                <w:sz w:val="13"/>
                <w:szCs w:val="13"/>
                <w:color w:val="auto"/>
              </w:rPr>
            </w:pPr>
          </w:p>
        </w:tc>
        <w:tc>
          <w:tcPr>
            <w:tcW w:w="100" w:type="dxa"/>
            <w:vAlign w:val="bottom"/>
            <w:tcBorders>
              <w:left w:val="single" w:sz="8" w:color="E9F9D8"/>
            </w:tcBorders>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0" w:type="dxa"/>
            <w:vAlign w:val="bottom"/>
            <w:gridSpan w:val="5"/>
          </w:tcPr>
          <w:p>
            <w:pPr>
              <w:spacing w:after="0" w:line="153" w:lineRule="exact"/>
              <w:rPr>
                <w:sz w:val="20"/>
                <w:szCs w:val="20"/>
                <w:color w:val="auto"/>
              </w:rPr>
            </w:pPr>
            <w:r>
              <w:rPr>
                <w:rFonts w:ascii="Arial" w:cs="Arial" w:eastAsia="Arial" w:hAnsi="Arial"/>
                <w:sz w:val="15"/>
                <w:szCs w:val="15"/>
                <w:color w:val="auto"/>
                <w:w w:val="99"/>
              </w:rPr>
              <w:t>LTIP units were granted in 2025, the value of the awards will</w:t>
            </w: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820" w:type="dxa"/>
            <w:vAlign w:val="bottom"/>
          </w:tcPr>
          <w:p>
            <w:pPr>
              <w:spacing w:after="0"/>
              <w:rPr>
                <w:sz w:val="15"/>
                <w:szCs w:val="15"/>
                <w:color w:val="auto"/>
              </w:rPr>
            </w:pPr>
          </w:p>
        </w:tc>
        <w:tc>
          <w:tcPr>
            <w:tcW w:w="2380" w:type="dxa"/>
            <w:vAlign w:val="bottom"/>
            <w:gridSpan w:val="3"/>
            <w:shd w:val="clear" w:color="auto" w:fill="1F2668"/>
          </w:tcPr>
          <w:p>
            <w:pPr>
              <w:ind w:left="140"/>
              <w:spacing w:after="0"/>
              <w:rPr>
                <w:sz w:val="20"/>
                <w:szCs w:val="20"/>
                <w:color w:val="auto"/>
              </w:rPr>
            </w:pPr>
            <w:r>
              <w:rPr>
                <w:rFonts w:ascii="Arial" w:cs="Arial" w:eastAsia="Arial" w:hAnsi="Arial"/>
                <w:sz w:val="13"/>
                <w:szCs w:val="13"/>
                <w:color w:val="FFFFFF"/>
              </w:rPr>
              <w:t>reflects the value delivered by the</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shd w:val="clear" w:color="auto" w:fill="83AD40"/>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shd w:val="clear" w:color="auto" w:fill="E9F9D8"/>
          </w:tcPr>
          <w:p>
            <w:pPr>
              <w:spacing w:after="0"/>
              <w:rPr>
                <w:sz w:val="15"/>
                <w:szCs w:val="15"/>
                <w:color w:val="auto"/>
              </w:rPr>
            </w:pPr>
          </w:p>
        </w:tc>
        <w:tc>
          <w:tcPr>
            <w:tcW w:w="40" w:type="dxa"/>
            <w:vAlign w:val="bottom"/>
            <w:shd w:val="clear" w:color="auto" w:fill="E9F9D8"/>
          </w:tcPr>
          <w:p>
            <w:pPr>
              <w:spacing w:after="0"/>
              <w:rPr>
                <w:sz w:val="15"/>
                <w:szCs w:val="15"/>
                <w:color w:val="auto"/>
              </w:rPr>
            </w:pPr>
          </w:p>
        </w:tc>
        <w:tc>
          <w:tcPr>
            <w:tcW w:w="860" w:type="dxa"/>
            <w:vAlign w:val="bottom"/>
            <w:shd w:val="clear" w:color="auto" w:fill="E9F9D8"/>
          </w:tcPr>
          <w:p>
            <w:pPr>
              <w:spacing w:after="0"/>
              <w:rPr>
                <w:sz w:val="15"/>
                <w:szCs w:val="15"/>
                <w:color w:val="auto"/>
              </w:rPr>
            </w:pPr>
          </w:p>
        </w:tc>
        <w:tc>
          <w:tcPr>
            <w:tcW w:w="80" w:type="dxa"/>
            <w:vAlign w:val="bottom"/>
            <w:shd w:val="clear" w:color="auto" w:fill="E9F9D8"/>
          </w:tcPr>
          <w:p>
            <w:pPr>
              <w:spacing w:after="0"/>
              <w:rPr>
                <w:sz w:val="15"/>
                <w:szCs w:val="15"/>
                <w:color w:val="auto"/>
              </w:rPr>
            </w:pPr>
          </w:p>
        </w:tc>
        <w:tc>
          <w:tcPr>
            <w:tcW w:w="100" w:type="dxa"/>
            <w:vAlign w:val="bottom"/>
            <w:tcBorders>
              <w:left w:val="single" w:sz="8" w:color="E9F9D8"/>
            </w:tcBorders>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0" w:type="dxa"/>
            <w:vAlign w:val="bottom"/>
            <w:gridSpan w:val="5"/>
          </w:tcPr>
          <w:p>
            <w:pPr>
              <w:spacing w:after="0"/>
              <w:rPr>
                <w:sz w:val="20"/>
                <w:szCs w:val="20"/>
                <w:color w:val="auto"/>
              </w:rPr>
            </w:pPr>
            <w:r>
              <w:rPr>
                <w:rFonts w:ascii="Arial" w:cs="Arial" w:eastAsia="Arial" w:hAnsi="Arial"/>
                <w:sz w:val="15"/>
                <w:szCs w:val="15"/>
                <w:color w:val="auto"/>
              </w:rPr>
              <w:t>be reported in next year’s Summary Compensation table.</w:t>
            </w: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20" w:type="dxa"/>
            <w:vAlign w:val="bottom"/>
          </w:tcPr>
          <w:p>
            <w:pPr>
              <w:spacing w:after="0"/>
              <w:rPr>
                <w:sz w:val="8"/>
                <w:szCs w:val="8"/>
                <w:color w:val="auto"/>
              </w:rPr>
            </w:pPr>
          </w:p>
        </w:tc>
        <w:tc>
          <w:tcPr>
            <w:tcW w:w="2380" w:type="dxa"/>
            <w:vAlign w:val="bottom"/>
            <w:gridSpan w:val="3"/>
            <w:shd w:val="clear" w:color="auto" w:fill="1F2668"/>
          </w:tcPr>
          <w:p>
            <w:pPr>
              <w:ind w:left="140"/>
              <w:spacing w:after="0" w:line="95" w:lineRule="exact"/>
              <w:rPr>
                <w:sz w:val="20"/>
                <w:szCs w:val="20"/>
                <w:color w:val="auto"/>
              </w:rPr>
            </w:pPr>
            <w:r>
              <w:rPr>
                <w:rFonts w:ascii="Arial" w:cs="Arial" w:eastAsia="Arial" w:hAnsi="Arial"/>
                <w:sz w:val="11"/>
                <w:szCs w:val="11"/>
                <w:color w:val="FFFFFF"/>
              </w:rPr>
              <w:t>Company’s sophisticated in-house</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shd w:val="clear" w:color="auto" w:fill="83AD40"/>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shd w:val="clear" w:color="auto" w:fill="E9F9D8"/>
          </w:tcPr>
          <w:p>
            <w:pPr>
              <w:spacing w:after="0"/>
              <w:rPr>
                <w:sz w:val="8"/>
                <w:szCs w:val="8"/>
                <w:color w:val="auto"/>
              </w:rPr>
            </w:pPr>
          </w:p>
        </w:tc>
        <w:tc>
          <w:tcPr>
            <w:tcW w:w="40" w:type="dxa"/>
            <w:vAlign w:val="bottom"/>
            <w:shd w:val="clear" w:color="auto" w:fill="E9F9D8"/>
          </w:tcPr>
          <w:p>
            <w:pPr>
              <w:spacing w:after="0"/>
              <w:rPr>
                <w:sz w:val="8"/>
                <w:szCs w:val="8"/>
                <w:color w:val="auto"/>
              </w:rPr>
            </w:pPr>
          </w:p>
        </w:tc>
        <w:tc>
          <w:tcPr>
            <w:tcW w:w="860" w:type="dxa"/>
            <w:vAlign w:val="bottom"/>
            <w:shd w:val="clear" w:color="auto" w:fill="E9F9D8"/>
          </w:tcPr>
          <w:p>
            <w:pPr>
              <w:spacing w:after="0"/>
              <w:rPr>
                <w:sz w:val="8"/>
                <w:szCs w:val="8"/>
                <w:color w:val="auto"/>
              </w:rPr>
            </w:pPr>
          </w:p>
        </w:tc>
        <w:tc>
          <w:tcPr>
            <w:tcW w:w="80" w:type="dxa"/>
            <w:vAlign w:val="bottom"/>
            <w:shd w:val="clear" w:color="auto" w:fill="E9F9D8"/>
          </w:tcPr>
          <w:p>
            <w:pPr>
              <w:spacing w:after="0"/>
              <w:rPr>
                <w:sz w:val="8"/>
                <w:szCs w:val="8"/>
                <w:color w:val="auto"/>
              </w:rPr>
            </w:pPr>
          </w:p>
        </w:tc>
        <w:tc>
          <w:tcPr>
            <w:tcW w:w="100" w:type="dxa"/>
            <w:vAlign w:val="bottom"/>
            <w:tcBorders>
              <w:left w:val="single" w:sz="8" w:color="E9F9D8"/>
            </w:tcBorders>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0" w:type="dxa"/>
            <w:vAlign w:val="bottom"/>
            <w:gridSpan w:val="5"/>
            <w:vMerge w:val="restart"/>
          </w:tcPr>
          <w:p>
            <w:pPr>
              <w:spacing w:after="0"/>
              <w:rPr>
                <w:sz w:val="20"/>
                <w:szCs w:val="20"/>
                <w:color w:val="auto"/>
              </w:rPr>
            </w:pPr>
            <w:r>
              <w:rPr>
                <w:rFonts w:ascii="Arial" w:cs="Arial" w:eastAsia="Arial" w:hAnsi="Arial"/>
                <w:sz w:val="15"/>
                <w:szCs w:val="15"/>
                <w:color w:val="auto"/>
              </w:rPr>
              <w:t>The SCT amount reflects the grant date value of equity</w:t>
            </w: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820" w:type="dxa"/>
            <w:vAlign w:val="bottom"/>
          </w:tcPr>
          <w:p>
            <w:pPr>
              <w:spacing w:after="0"/>
              <w:rPr>
                <w:sz w:val="7"/>
                <w:szCs w:val="7"/>
                <w:color w:val="auto"/>
              </w:rPr>
            </w:pPr>
          </w:p>
        </w:tc>
        <w:tc>
          <w:tcPr>
            <w:tcW w:w="2380" w:type="dxa"/>
            <w:vAlign w:val="bottom"/>
            <w:gridSpan w:val="3"/>
            <w:vMerge w:val="restart"/>
            <w:shd w:val="clear" w:color="auto" w:fill="1F2668"/>
          </w:tcPr>
          <w:p>
            <w:pPr>
              <w:ind w:left="140"/>
              <w:spacing w:after="0"/>
              <w:rPr>
                <w:sz w:val="20"/>
                <w:szCs w:val="20"/>
                <w:color w:val="auto"/>
              </w:rPr>
            </w:pPr>
            <w:r>
              <w:rPr>
                <w:rFonts w:ascii="Arial" w:cs="Arial" w:eastAsia="Arial" w:hAnsi="Arial"/>
                <w:sz w:val="13"/>
                <w:szCs w:val="13"/>
                <w:color w:val="FFFFFF"/>
              </w:rPr>
              <w:t>legal team, led by our General</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shd w:val="clear" w:color="auto" w:fill="83AD40"/>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shd w:val="clear" w:color="auto" w:fill="E9F9D8"/>
          </w:tcPr>
          <w:p>
            <w:pPr>
              <w:spacing w:after="0"/>
              <w:rPr>
                <w:sz w:val="7"/>
                <w:szCs w:val="7"/>
                <w:color w:val="auto"/>
              </w:rPr>
            </w:pPr>
          </w:p>
        </w:tc>
        <w:tc>
          <w:tcPr>
            <w:tcW w:w="40" w:type="dxa"/>
            <w:vAlign w:val="bottom"/>
            <w:shd w:val="clear" w:color="auto" w:fill="E9F9D8"/>
          </w:tcPr>
          <w:p>
            <w:pPr>
              <w:spacing w:after="0"/>
              <w:rPr>
                <w:sz w:val="7"/>
                <w:szCs w:val="7"/>
                <w:color w:val="auto"/>
              </w:rPr>
            </w:pPr>
          </w:p>
        </w:tc>
        <w:tc>
          <w:tcPr>
            <w:tcW w:w="860" w:type="dxa"/>
            <w:vAlign w:val="bottom"/>
            <w:shd w:val="clear" w:color="auto" w:fill="E9F9D8"/>
          </w:tcPr>
          <w:p>
            <w:pPr>
              <w:spacing w:after="0"/>
              <w:rPr>
                <w:sz w:val="7"/>
                <w:szCs w:val="7"/>
                <w:color w:val="auto"/>
              </w:rPr>
            </w:pPr>
          </w:p>
        </w:tc>
        <w:tc>
          <w:tcPr>
            <w:tcW w:w="80" w:type="dxa"/>
            <w:vAlign w:val="bottom"/>
            <w:shd w:val="clear" w:color="auto" w:fill="E9F9D8"/>
          </w:tcPr>
          <w:p>
            <w:pPr>
              <w:spacing w:after="0"/>
              <w:rPr>
                <w:sz w:val="7"/>
                <w:szCs w:val="7"/>
                <w:color w:val="auto"/>
              </w:rPr>
            </w:pPr>
          </w:p>
        </w:tc>
        <w:tc>
          <w:tcPr>
            <w:tcW w:w="100" w:type="dxa"/>
            <w:vAlign w:val="bottom"/>
            <w:tcBorders>
              <w:left w:val="single" w:sz="8" w:color="E9F9D8"/>
            </w:tcBorders>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0" w:type="dxa"/>
            <w:vAlign w:val="bottom"/>
            <w:gridSpan w:val="5"/>
            <w:vMerge w:val="continue"/>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820" w:type="dxa"/>
            <w:vAlign w:val="bottom"/>
          </w:tcPr>
          <w:p>
            <w:pPr>
              <w:spacing w:after="0"/>
              <w:rPr>
                <w:sz w:val="5"/>
                <w:szCs w:val="5"/>
                <w:color w:val="auto"/>
              </w:rPr>
            </w:pPr>
          </w:p>
        </w:tc>
        <w:tc>
          <w:tcPr>
            <w:tcW w:w="2380" w:type="dxa"/>
            <w:vAlign w:val="bottom"/>
            <w:gridSpan w:val="3"/>
            <w:vMerge w:val="continue"/>
            <w:shd w:val="clear" w:color="auto" w:fill="1F2668"/>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shd w:val="clear" w:color="auto" w:fill="83AD40"/>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shd w:val="clear" w:color="auto" w:fill="E9F9D8"/>
          </w:tcPr>
          <w:p>
            <w:pPr>
              <w:spacing w:after="0"/>
              <w:rPr>
                <w:sz w:val="5"/>
                <w:szCs w:val="5"/>
                <w:color w:val="auto"/>
              </w:rPr>
            </w:pPr>
          </w:p>
        </w:tc>
        <w:tc>
          <w:tcPr>
            <w:tcW w:w="40" w:type="dxa"/>
            <w:vAlign w:val="bottom"/>
            <w:shd w:val="clear" w:color="auto" w:fill="E9F9D8"/>
          </w:tcPr>
          <w:p>
            <w:pPr>
              <w:spacing w:after="0"/>
              <w:rPr>
                <w:sz w:val="5"/>
                <w:szCs w:val="5"/>
                <w:color w:val="auto"/>
              </w:rPr>
            </w:pPr>
          </w:p>
        </w:tc>
        <w:tc>
          <w:tcPr>
            <w:tcW w:w="860" w:type="dxa"/>
            <w:vAlign w:val="bottom"/>
            <w:shd w:val="clear" w:color="auto" w:fill="E9F9D8"/>
          </w:tcPr>
          <w:p>
            <w:pPr>
              <w:spacing w:after="0"/>
              <w:rPr>
                <w:sz w:val="5"/>
                <w:szCs w:val="5"/>
                <w:color w:val="auto"/>
              </w:rPr>
            </w:pPr>
          </w:p>
        </w:tc>
        <w:tc>
          <w:tcPr>
            <w:tcW w:w="80" w:type="dxa"/>
            <w:vAlign w:val="bottom"/>
            <w:shd w:val="clear" w:color="auto" w:fill="E9F9D8"/>
          </w:tcPr>
          <w:p>
            <w:pPr>
              <w:spacing w:after="0"/>
              <w:rPr>
                <w:sz w:val="5"/>
                <w:szCs w:val="5"/>
                <w:color w:val="auto"/>
              </w:rPr>
            </w:pPr>
          </w:p>
        </w:tc>
        <w:tc>
          <w:tcPr>
            <w:tcW w:w="100" w:type="dxa"/>
            <w:vAlign w:val="bottom"/>
            <w:tcBorders>
              <w:left w:val="single" w:sz="8" w:color="E9F9D8"/>
            </w:tcBorders>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0" w:type="dxa"/>
            <w:vAlign w:val="bottom"/>
            <w:gridSpan w:val="5"/>
            <w:vMerge w:val="restart"/>
          </w:tcPr>
          <w:p>
            <w:pPr>
              <w:spacing w:after="0"/>
              <w:rPr>
                <w:sz w:val="20"/>
                <w:szCs w:val="20"/>
                <w:color w:val="auto"/>
              </w:rPr>
            </w:pPr>
            <w:r>
              <w:rPr>
                <w:rFonts w:ascii="Arial" w:cs="Arial" w:eastAsia="Arial" w:hAnsi="Arial"/>
                <w:sz w:val="15"/>
                <w:szCs w:val="15"/>
                <w:color w:val="auto"/>
              </w:rPr>
              <w:t xml:space="preserve">granted </w:t>
            </w:r>
            <w:r>
              <w:rPr>
                <w:rFonts w:ascii="Arial" w:cs="Arial" w:eastAsia="Arial" w:hAnsi="Arial"/>
                <w:sz w:val="15"/>
                <w:szCs w:val="15"/>
                <w:b w:val="1"/>
                <w:bCs w:val="1"/>
                <w:color w:val="auto"/>
              </w:rPr>
              <w:t>in January 2024 for 2023 annual bonus</w:t>
            </w:r>
            <w:r>
              <w:rPr>
                <w:rFonts w:ascii="Arial" w:cs="Arial" w:eastAsia="Arial" w:hAnsi="Arial"/>
                <w:sz w:val="15"/>
                <w:szCs w:val="15"/>
                <w:color w:val="auto"/>
              </w:rPr>
              <w:t>.</w:t>
            </w: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2380" w:type="dxa"/>
            <w:vAlign w:val="bottom"/>
            <w:tcBorders>
              <w:bottom w:val="single" w:sz="8" w:color="1F2668"/>
            </w:tcBorders>
            <w:gridSpan w:val="3"/>
            <w:shd w:val="clear" w:color="auto" w:fill="1F2668"/>
          </w:tcPr>
          <w:p>
            <w:pPr>
              <w:ind w:left="140"/>
              <w:spacing w:after="0" w:line="135" w:lineRule="exact"/>
              <w:rPr>
                <w:sz w:val="20"/>
                <w:szCs w:val="20"/>
                <w:color w:val="auto"/>
              </w:rPr>
            </w:pPr>
            <w:r>
              <w:rPr>
                <w:rFonts w:ascii="Arial" w:cs="Arial" w:eastAsia="Arial" w:hAnsi="Arial"/>
                <w:sz w:val="13"/>
                <w:szCs w:val="13"/>
                <w:color w:val="FFFFFF"/>
              </w:rPr>
              <w:t>Counsel, which supports the</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bottom w:val="single" w:sz="8" w:color="83AD40"/>
            </w:tcBorders>
            <w:shd w:val="clear" w:color="auto" w:fill="83AD40"/>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Borders>
              <w:bottom w:val="single" w:sz="8" w:color="E9F9D8"/>
            </w:tcBorders>
            <w:shd w:val="clear" w:color="auto" w:fill="E9F9D8"/>
          </w:tcPr>
          <w:p>
            <w:pPr>
              <w:spacing w:after="0"/>
              <w:rPr>
                <w:sz w:val="16"/>
                <w:szCs w:val="16"/>
                <w:color w:val="auto"/>
              </w:rPr>
            </w:pPr>
          </w:p>
        </w:tc>
        <w:tc>
          <w:tcPr>
            <w:tcW w:w="40" w:type="dxa"/>
            <w:vAlign w:val="bottom"/>
            <w:tcBorders>
              <w:bottom w:val="single" w:sz="8" w:color="E9F9D8"/>
            </w:tcBorders>
            <w:shd w:val="clear" w:color="auto" w:fill="E9F9D8"/>
          </w:tcPr>
          <w:p>
            <w:pPr>
              <w:spacing w:after="0"/>
              <w:rPr>
                <w:sz w:val="16"/>
                <w:szCs w:val="16"/>
                <w:color w:val="auto"/>
              </w:rPr>
            </w:pPr>
          </w:p>
        </w:tc>
        <w:tc>
          <w:tcPr>
            <w:tcW w:w="860" w:type="dxa"/>
            <w:vAlign w:val="bottom"/>
            <w:tcBorders>
              <w:bottom w:val="single" w:sz="8" w:color="E9F9D8"/>
            </w:tcBorders>
            <w:shd w:val="clear" w:color="auto" w:fill="E9F9D8"/>
          </w:tcPr>
          <w:p>
            <w:pPr>
              <w:spacing w:after="0"/>
              <w:rPr>
                <w:sz w:val="16"/>
                <w:szCs w:val="16"/>
                <w:color w:val="auto"/>
              </w:rPr>
            </w:pPr>
          </w:p>
        </w:tc>
        <w:tc>
          <w:tcPr>
            <w:tcW w:w="80" w:type="dxa"/>
            <w:vAlign w:val="bottom"/>
            <w:tcBorders>
              <w:bottom w:val="single" w:sz="8" w:color="E9F9D8"/>
            </w:tcBorders>
            <w:shd w:val="clear" w:color="auto" w:fill="E9F9D8"/>
          </w:tcPr>
          <w:p>
            <w:pPr>
              <w:spacing w:after="0"/>
              <w:rPr>
                <w:sz w:val="16"/>
                <w:szCs w:val="16"/>
                <w:color w:val="auto"/>
              </w:rPr>
            </w:pPr>
          </w:p>
        </w:tc>
        <w:tc>
          <w:tcPr>
            <w:tcW w:w="100" w:type="dxa"/>
            <w:vAlign w:val="bottom"/>
            <w:tcBorders>
              <w:left w:val="single" w:sz="8" w:color="E9F9D8"/>
            </w:tcBorders>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0" w:type="dxa"/>
            <w:vAlign w:val="bottom"/>
            <w:gridSpan w:val="5"/>
            <w:vMerge w:val="continue"/>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820" w:type="dxa"/>
            <w:vAlign w:val="bottom"/>
          </w:tcPr>
          <w:p>
            <w:pPr>
              <w:spacing w:after="0"/>
              <w:rPr>
                <w:sz w:val="5"/>
                <w:szCs w:val="5"/>
                <w:color w:val="auto"/>
              </w:rPr>
            </w:pPr>
          </w:p>
        </w:tc>
        <w:tc>
          <w:tcPr>
            <w:tcW w:w="2380" w:type="dxa"/>
            <w:vAlign w:val="bottom"/>
            <w:tcBorders>
              <w:top w:val="single" w:sz="8" w:color="1F2668"/>
            </w:tcBorders>
            <w:gridSpan w:val="3"/>
            <w:shd w:val="clear" w:color="auto" w:fill="1F2668"/>
          </w:tcPr>
          <w:p>
            <w:pPr>
              <w:ind w:left="140"/>
              <w:spacing w:after="0" w:line="62" w:lineRule="exact"/>
              <w:rPr>
                <w:sz w:val="20"/>
                <w:szCs w:val="20"/>
                <w:color w:val="auto"/>
              </w:rPr>
            </w:pPr>
            <w:r>
              <w:rPr>
                <w:rFonts w:ascii="Arial" w:cs="Arial" w:eastAsia="Arial" w:hAnsi="Arial"/>
                <w:sz w:val="7"/>
                <w:szCs w:val="7"/>
                <w:color w:val="FFFFFF"/>
              </w:rPr>
              <w:t>complex and diverse business and</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Borders>
              <w:top w:val="single" w:sz="8" w:color="83AD40"/>
            </w:tcBorders>
            <w:shd w:val="clear" w:color="auto" w:fill="83AD40"/>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Borders>
              <w:top w:val="single" w:sz="8" w:color="4B5088"/>
            </w:tcBorders>
            <w:vMerge w:val="restart"/>
            <w:shd w:val="clear" w:color="auto" w:fill="E9F9D8"/>
          </w:tcPr>
          <w:p>
            <w:pPr>
              <w:spacing w:after="0"/>
              <w:rPr>
                <w:sz w:val="20"/>
                <w:szCs w:val="20"/>
                <w:color w:val="auto"/>
              </w:rPr>
            </w:pPr>
            <w:r>
              <w:rPr>
                <w:rFonts w:ascii="Arial" w:cs="Arial" w:eastAsia="Arial" w:hAnsi="Arial"/>
                <w:sz w:val="15"/>
                <w:szCs w:val="15"/>
                <w:color w:val="auto"/>
              </w:rPr>
              <w:t>​</w:t>
            </w:r>
          </w:p>
        </w:tc>
        <w:tc>
          <w:tcPr>
            <w:tcW w:w="40" w:type="dxa"/>
            <w:vAlign w:val="bottom"/>
            <w:tcBorders>
              <w:top w:val="single" w:sz="8" w:color="4B5088"/>
            </w:tcBorders>
            <w:shd w:val="clear" w:color="auto" w:fill="E9F9D8"/>
          </w:tcPr>
          <w:p>
            <w:pPr>
              <w:spacing w:after="0"/>
              <w:rPr>
                <w:sz w:val="5"/>
                <w:szCs w:val="5"/>
                <w:color w:val="auto"/>
              </w:rPr>
            </w:pPr>
          </w:p>
        </w:tc>
        <w:tc>
          <w:tcPr>
            <w:tcW w:w="860" w:type="dxa"/>
            <w:vAlign w:val="bottom"/>
            <w:tcBorders>
              <w:top w:val="single" w:sz="8" w:color="4B5088"/>
            </w:tcBorders>
            <w:vMerge w:val="restart"/>
            <w:shd w:val="clear" w:color="auto" w:fill="E9F9D8"/>
          </w:tcPr>
          <w:p>
            <w:pPr>
              <w:spacing w:after="0" w:line="358" w:lineRule="exact"/>
              <w:rPr>
                <w:sz w:val="20"/>
                <w:szCs w:val="20"/>
                <w:color w:val="auto"/>
              </w:rPr>
            </w:pPr>
            <w:r>
              <w:rPr>
                <w:rFonts w:ascii="Arial" w:cs="Arial" w:eastAsia="Arial" w:hAnsi="Arial"/>
                <w:sz w:val="32"/>
                <w:szCs w:val="32"/>
                <w:color w:val="1F2668"/>
              </w:rPr>
              <w:t>14%</w:t>
            </w:r>
          </w:p>
        </w:tc>
        <w:tc>
          <w:tcPr>
            <w:tcW w:w="80" w:type="dxa"/>
            <w:vAlign w:val="bottom"/>
            <w:tcBorders>
              <w:top w:val="single" w:sz="8" w:color="4B5088"/>
            </w:tcBorders>
            <w:shd w:val="clear" w:color="auto" w:fill="E9F9D8"/>
          </w:tcPr>
          <w:p>
            <w:pPr>
              <w:spacing w:after="0"/>
              <w:rPr>
                <w:sz w:val="5"/>
                <w:szCs w:val="5"/>
                <w:color w:val="auto"/>
              </w:rPr>
            </w:pPr>
          </w:p>
        </w:tc>
        <w:tc>
          <w:tcPr>
            <w:tcW w:w="140" w:type="dxa"/>
            <w:vAlign w:val="bottom"/>
            <w:tcBorders>
              <w:top w:val="single" w:sz="8" w:color="4B5088"/>
              <w:left w:val="single" w:sz="8" w:color="E9F9D8"/>
            </w:tcBorders>
            <w:gridSpan w:val="2"/>
            <w:vMerge w:val="restart"/>
          </w:tcPr>
          <w:p>
            <w:pPr>
              <w:ind w:left="20"/>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4B5088"/>
            </w:tcBorders>
            <w:vMerge w:val="restart"/>
          </w:tcPr>
          <w:p>
            <w:pPr>
              <w:spacing w:after="0" w:line="358" w:lineRule="exact"/>
              <w:rPr>
                <w:sz w:val="20"/>
                <w:szCs w:val="20"/>
                <w:color w:val="auto"/>
              </w:rPr>
            </w:pPr>
            <w:r>
              <w:rPr>
                <w:rFonts w:ascii="Arial" w:cs="Arial" w:eastAsia="Arial" w:hAnsi="Arial"/>
                <w:sz w:val="32"/>
                <w:szCs w:val="32"/>
                <w:color w:val="1F2668"/>
              </w:rPr>
              <w:t>20%</w:t>
            </w:r>
          </w:p>
        </w:tc>
        <w:tc>
          <w:tcPr>
            <w:tcW w:w="3400" w:type="dxa"/>
            <w:vAlign w:val="bottom"/>
            <w:tcBorders>
              <w:top w:val="single" w:sz="8" w:color="4B5088"/>
            </w:tcBorders>
            <w:gridSpan w:val="7"/>
            <w:vMerge w:val="restart"/>
          </w:tcPr>
          <w:p>
            <w:pPr>
              <w:ind w:left="80"/>
              <w:spacing w:after="0" w:line="205"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b w:val="1"/>
                <w:bCs w:val="1"/>
                <w:color w:val="auto"/>
              </w:rPr>
              <w:t>Performance-Based Equity Awards</w:t>
            </w:r>
          </w:p>
        </w:tc>
        <w:tc>
          <w:tcPr>
            <w:tcW w:w="780" w:type="dxa"/>
            <w:vAlign w:val="bottom"/>
            <w:tcBorders>
              <w:top w:val="single" w:sz="8" w:color="4B5088"/>
            </w:tcBorders>
          </w:tcPr>
          <w:p>
            <w:pPr>
              <w:spacing w:after="0"/>
              <w:rPr>
                <w:sz w:val="5"/>
                <w:szCs w:val="5"/>
                <w:color w:val="auto"/>
              </w:rPr>
            </w:pPr>
          </w:p>
        </w:tc>
        <w:tc>
          <w:tcPr>
            <w:tcW w:w="40" w:type="dxa"/>
            <w:vAlign w:val="bottom"/>
            <w:tcBorders>
              <w:top w:val="single" w:sz="8" w:color="4B5088"/>
            </w:tcBorders>
          </w:tcPr>
          <w:p>
            <w:pPr>
              <w:spacing w:after="0"/>
              <w:rPr>
                <w:sz w:val="5"/>
                <w:szCs w:val="5"/>
                <w:color w:val="auto"/>
              </w:rPr>
            </w:pPr>
          </w:p>
        </w:tc>
        <w:tc>
          <w:tcPr>
            <w:tcW w:w="8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2380" w:type="dxa"/>
            <w:vAlign w:val="bottom"/>
            <w:gridSpan w:val="3"/>
            <w:shd w:val="clear" w:color="auto" w:fill="1F2668"/>
          </w:tcPr>
          <w:p>
            <w:pPr>
              <w:ind w:left="140"/>
              <w:spacing w:after="0" w:line="144" w:lineRule="exact"/>
              <w:rPr>
                <w:sz w:val="20"/>
                <w:szCs w:val="20"/>
                <w:color w:val="auto"/>
              </w:rPr>
            </w:pPr>
            <w:r>
              <w:rPr>
                <w:rFonts w:ascii="Arial" w:cs="Arial" w:eastAsia="Arial" w:hAnsi="Arial"/>
                <w:sz w:val="13"/>
                <w:szCs w:val="13"/>
                <w:color w:val="FFFFFF"/>
              </w:rPr>
              <w:t>corporate initiatives that we</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shd w:val="clear" w:color="auto" w:fill="83AD40"/>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vMerge w:val="continue"/>
            <w:shd w:val="clear" w:color="auto" w:fill="E9F9D8"/>
          </w:tcPr>
          <w:p>
            <w:pPr>
              <w:spacing w:after="0"/>
              <w:rPr>
                <w:sz w:val="12"/>
                <w:szCs w:val="12"/>
                <w:color w:val="auto"/>
              </w:rPr>
            </w:pPr>
          </w:p>
        </w:tc>
        <w:tc>
          <w:tcPr>
            <w:tcW w:w="40" w:type="dxa"/>
            <w:vAlign w:val="bottom"/>
            <w:shd w:val="clear" w:color="auto" w:fill="E9F9D8"/>
          </w:tcPr>
          <w:p>
            <w:pPr>
              <w:spacing w:after="0"/>
              <w:rPr>
                <w:sz w:val="12"/>
                <w:szCs w:val="12"/>
                <w:color w:val="auto"/>
              </w:rPr>
            </w:pPr>
          </w:p>
        </w:tc>
        <w:tc>
          <w:tcPr>
            <w:tcW w:w="860" w:type="dxa"/>
            <w:vAlign w:val="bottom"/>
            <w:vMerge w:val="continue"/>
            <w:shd w:val="clear" w:color="auto" w:fill="E9F9D8"/>
          </w:tcPr>
          <w:p>
            <w:pPr>
              <w:spacing w:after="0"/>
              <w:rPr>
                <w:sz w:val="12"/>
                <w:szCs w:val="12"/>
                <w:color w:val="auto"/>
              </w:rPr>
            </w:pPr>
          </w:p>
        </w:tc>
        <w:tc>
          <w:tcPr>
            <w:tcW w:w="80" w:type="dxa"/>
            <w:vAlign w:val="bottom"/>
            <w:shd w:val="clear" w:color="auto" w:fill="E9F9D8"/>
          </w:tcPr>
          <w:p>
            <w:pPr>
              <w:spacing w:after="0"/>
              <w:rPr>
                <w:sz w:val="12"/>
                <w:szCs w:val="12"/>
                <w:color w:val="auto"/>
              </w:rPr>
            </w:pPr>
          </w:p>
        </w:tc>
        <w:tc>
          <w:tcPr>
            <w:tcW w:w="140" w:type="dxa"/>
            <w:vAlign w:val="bottom"/>
            <w:tcBorders>
              <w:left w:val="single" w:sz="8" w:color="E9F9D8"/>
            </w:tcBorders>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3400" w:type="dxa"/>
            <w:vAlign w:val="bottom"/>
            <w:gridSpan w:val="7"/>
            <w:vMerge w:val="continue"/>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2380" w:type="dxa"/>
            <w:vAlign w:val="bottom"/>
            <w:gridSpan w:val="3"/>
            <w:shd w:val="clear" w:color="auto" w:fill="1F2668"/>
          </w:tcPr>
          <w:p>
            <w:pPr>
              <w:ind w:left="140"/>
              <w:spacing w:after="0"/>
              <w:rPr>
                <w:sz w:val="20"/>
                <w:szCs w:val="20"/>
                <w:color w:val="auto"/>
              </w:rPr>
            </w:pPr>
            <w:r>
              <w:rPr>
                <w:rFonts w:ascii="Arial" w:cs="Arial" w:eastAsia="Arial" w:hAnsi="Arial"/>
                <w:sz w:val="13"/>
                <w:szCs w:val="13"/>
                <w:color w:val="FFFFFF"/>
              </w:rPr>
              <w:t>undertook during 2024, and which</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shd w:val="clear" w:color="auto" w:fill="83AD40"/>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shd w:val="clear" w:color="auto" w:fill="E9F9D8"/>
          </w:tcPr>
          <w:p>
            <w:pPr>
              <w:spacing w:after="0"/>
              <w:rPr>
                <w:sz w:val="13"/>
                <w:szCs w:val="13"/>
                <w:color w:val="auto"/>
              </w:rPr>
            </w:pPr>
          </w:p>
        </w:tc>
        <w:tc>
          <w:tcPr>
            <w:tcW w:w="40" w:type="dxa"/>
            <w:vAlign w:val="bottom"/>
            <w:shd w:val="clear" w:color="auto" w:fill="E9F9D8"/>
          </w:tcPr>
          <w:p>
            <w:pPr>
              <w:spacing w:after="0"/>
              <w:rPr>
                <w:sz w:val="13"/>
                <w:szCs w:val="13"/>
                <w:color w:val="auto"/>
              </w:rPr>
            </w:pPr>
          </w:p>
        </w:tc>
        <w:tc>
          <w:tcPr>
            <w:tcW w:w="860" w:type="dxa"/>
            <w:vAlign w:val="bottom"/>
            <w:vMerge w:val="continue"/>
            <w:shd w:val="clear" w:color="auto" w:fill="E9F9D8"/>
          </w:tcPr>
          <w:p>
            <w:pPr>
              <w:spacing w:after="0"/>
              <w:rPr>
                <w:sz w:val="13"/>
                <w:szCs w:val="13"/>
                <w:color w:val="auto"/>
              </w:rPr>
            </w:pPr>
          </w:p>
        </w:tc>
        <w:tc>
          <w:tcPr>
            <w:tcW w:w="80" w:type="dxa"/>
            <w:vAlign w:val="bottom"/>
            <w:shd w:val="clear" w:color="auto" w:fill="E9F9D8"/>
          </w:tcPr>
          <w:p>
            <w:pPr>
              <w:spacing w:after="0"/>
              <w:rPr>
                <w:sz w:val="13"/>
                <w:szCs w:val="13"/>
                <w:color w:val="auto"/>
              </w:rPr>
            </w:pPr>
          </w:p>
        </w:tc>
        <w:tc>
          <w:tcPr>
            <w:tcW w:w="100" w:type="dxa"/>
            <w:vAlign w:val="bottom"/>
            <w:tcBorders>
              <w:left w:val="single" w:sz="8" w:color="E9F9D8"/>
            </w:tcBorders>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0" w:type="dxa"/>
            <w:vAlign w:val="bottom"/>
            <w:gridSpan w:val="5"/>
          </w:tcPr>
          <w:p>
            <w:pPr>
              <w:spacing w:after="0" w:line="153" w:lineRule="exact"/>
              <w:rPr>
                <w:sz w:val="20"/>
                <w:szCs w:val="20"/>
                <w:color w:val="auto"/>
              </w:rPr>
            </w:pPr>
            <w:r>
              <w:rPr>
                <w:rFonts w:ascii="Arial" w:cs="Arial" w:eastAsia="Arial" w:hAnsi="Arial"/>
                <w:sz w:val="15"/>
                <w:szCs w:val="15"/>
                <w:color w:val="auto"/>
              </w:rPr>
              <w:t>The TDC amount reflects the target notional value of</w:t>
            </w: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2380" w:type="dxa"/>
            <w:vAlign w:val="bottom"/>
            <w:gridSpan w:val="3"/>
            <w:shd w:val="clear" w:color="auto" w:fill="1F2668"/>
          </w:tcPr>
          <w:p>
            <w:pPr>
              <w:ind w:left="140"/>
              <w:spacing w:after="0"/>
              <w:rPr>
                <w:sz w:val="20"/>
                <w:szCs w:val="20"/>
                <w:color w:val="auto"/>
              </w:rPr>
            </w:pPr>
            <w:r>
              <w:rPr>
                <w:rFonts w:ascii="Arial" w:cs="Arial" w:eastAsia="Arial" w:hAnsi="Arial"/>
                <w:sz w:val="13"/>
                <w:szCs w:val="13"/>
                <w:color w:val="FFFFFF"/>
              </w:rPr>
              <w:t>are expected to position the</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shd w:val="clear" w:color="auto" w:fill="83AD40"/>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shd w:val="clear" w:color="auto" w:fill="E9F9D8"/>
          </w:tcPr>
          <w:p>
            <w:pPr>
              <w:spacing w:after="0"/>
              <w:rPr>
                <w:sz w:val="14"/>
                <w:szCs w:val="14"/>
                <w:color w:val="auto"/>
              </w:rPr>
            </w:pPr>
          </w:p>
        </w:tc>
        <w:tc>
          <w:tcPr>
            <w:tcW w:w="40" w:type="dxa"/>
            <w:vAlign w:val="bottom"/>
            <w:shd w:val="clear" w:color="auto" w:fill="E9F9D8"/>
          </w:tcPr>
          <w:p>
            <w:pPr>
              <w:spacing w:after="0"/>
              <w:rPr>
                <w:sz w:val="14"/>
                <w:szCs w:val="14"/>
                <w:color w:val="auto"/>
              </w:rPr>
            </w:pPr>
          </w:p>
        </w:tc>
        <w:tc>
          <w:tcPr>
            <w:tcW w:w="860" w:type="dxa"/>
            <w:vAlign w:val="bottom"/>
            <w:shd w:val="clear" w:color="auto" w:fill="E9F9D8"/>
          </w:tcPr>
          <w:p>
            <w:pPr>
              <w:spacing w:after="0" w:line="162" w:lineRule="exact"/>
              <w:rPr>
                <w:sz w:val="20"/>
                <w:szCs w:val="20"/>
                <w:color w:val="auto"/>
              </w:rPr>
            </w:pPr>
            <w:r>
              <w:rPr>
                <w:rFonts w:ascii="Arial" w:cs="Arial" w:eastAsia="Arial" w:hAnsi="Arial"/>
                <w:sz w:val="16"/>
                <w:szCs w:val="16"/>
                <w:b w:val="1"/>
                <w:bCs w:val="1"/>
                <w:color w:val="auto"/>
              </w:rPr>
              <w:t>$555,556</w:t>
            </w:r>
          </w:p>
        </w:tc>
        <w:tc>
          <w:tcPr>
            <w:tcW w:w="80" w:type="dxa"/>
            <w:vAlign w:val="bottom"/>
            <w:shd w:val="clear" w:color="auto" w:fill="E9F9D8"/>
          </w:tcPr>
          <w:p>
            <w:pPr>
              <w:spacing w:after="0"/>
              <w:rPr>
                <w:sz w:val="14"/>
                <w:szCs w:val="14"/>
                <w:color w:val="auto"/>
              </w:rPr>
            </w:pPr>
          </w:p>
        </w:tc>
        <w:tc>
          <w:tcPr>
            <w:tcW w:w="100" w:type="dxa"/>
            <w:vAlign w:val="bottom"/>
            <w:tcBorders>
              <w:left w:val="single" w:sz="8" w:color="E9F9D8"/>
            </w:tcBorders>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line="162" w:lineRule="exact"/>
              <w:rPr>
                <w:sz w:val="20"/>
                <w:szCs w:val="20"/>
                <w:color w:val="auto"/>
              </w:rPr>
            </w:pPr>
            <w:r>
              <w:rPr>
                <w:rFonts w:ascii="Arial" w:cs="Arial" w:eastAsia="Arial" w:hAnsi="Arial"/>
                <w:sz w:val="16"/>
                <w:szCs w:val="16"/>
                <w:b w:val="1"/>
                <w:bCs w:val="1"/>
                <w:color w:val="auto"/>
              </w:rPr>
              <w:t>$637,800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0" w:type="dxa"/>
            <w:vAlign w:val="bottom"/>
            <w:gridSpan w:val="5"/>
          </w:tcPr>
          <w:p>
            <w:pPr>
              <w:spacing w:after="0" w:line="162" w:lineRule="exact"/>
              <w:rPr>
                <w:sz w:val="20"/>
                <w:szCs w:val="20"/>
                <w:color w:val="auto"/>
              </w:rPr>
            </w:pPr>
            <w:r>
              <w:rPr>
                <w:rFonts w:ascii="Arial" w:cs="Arial" w:eastAsia="Arial" w:hAnsi="Arial"/>
                <w:sz w:val="15"/>
                <w:szCs w:val="15"/>
                <w:b w:val="1"/>
                <w:bCs w:val="1"/>
                <w:color w:val="auto"/>
              </w:rPr>
              <w:t xml:space="preserve">$555,556 </w:t>
            </w:r>
            <w:r>
              <w:rPr>
                <w:rFonts w:ascii="Arial" w:cs="Arial" w:eastAsia="Arial" w:hAnsi="Arial"/>
                <w:sz w:val="15"/>
                <w:szCs w:val="15"/>
                <w:color w:val="auto"/>
              </w:rPr>
              <w:t>approved by the Committee in January 2024.</w:t>
            </w:r>
            <w:r>
              <w:rPr>
                <w:rFonts w:ascii="Arial" w:cs="Arial" w:eastAsia="Arial" w:hAnsi="Arial"/>
                <w:sz w:val="15"/>
                <w:szCs w:val="15"/>
                <w:b w:val="1"/>
                <w:bCs w:val="1"/>
                <w:color w:val="auto"/>
              </w:rPr>
              <w:t xml:space="preserve"> The</w:t>
            </w: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820" w:type="dxa"/>
            <w:vAlign w:val="bottom"/>
          </w:tcPr>
          <w:p>
            <w:pPr>
              <w:spacing w:after="0"/>
              <w:rPr>
                <w:sz w:val="9"/>
                <w:szCs w:val="9"/>
                <w:color w:val="auto"/>
              </w:rPr>
            </w:pPr>
          </w:p>
        </w:tc>
        <w:tc>
          <w:tcPr>
            <w:tcW w:w="2380" w:type="dxa"/>
            <w:vAlign w:val="bottom"/>
            <w:gridSpan w:val="3"/>
            <w:shd w:val="clear" w:color="auto" w:fill="1F2668"/>
          </w:tcPr>
          <w:p>
            <w:pPr>
              <w:ind w:left="140"/>
              <w:spacing w:after="0" w:line="109" w:lineRule="exact"/>
              <w:rPr>
                <w:sz w:val="20"/>
                <w:szCs w:val="20"/>
                <w:color w:val="auto"/>
              </w:rPr>
            </w:pPr>
            <w:r>
              <w:rPr>
                <w:rFonts w:ascii="Arial" w:cs="Arial" w:eastAsia="Arial" w:hAnsi="Arial"/>
                <w:sz w:val="12"/>
                <w:szCs w:val="12"/>
                <w:color w:val="FFFFFF"/>
              </w:rPr>
              <w:t>Company for future success. In</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shd w:val="clear" w:color="auto" w:fill="83AD40"/>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shd w:val="clear" w:color="auto" w:fill="E9F9D8"/>
          </w:tcPr>
          <w:p>
            <w:pPr>
              <w:spacing w:after="0"/>
              <w:rPr>
                <w:sz w:val="9"/>
                <w:szCs w:val="9"/>
                <w:color w:val="auto"/>
              </w:rPr>
            </w:pPr>
          </w:p>
        </w:tc>
        <w:tc>
          <w:tcPr>
            <w:tcW w:w="40" w:type="dxa"/>
            <w:vAlign w:val="bottom"/>
            <w:shd w:val="clear" w:color="auto" w:fill="E9F9D8"/>
          </w:tcPr>
          <w:p>
            <w:pPr>
              <w:spacing w:after="0"/>
              <w:rPr>
                <w:sz w:val="9"/>
                <w:szCs w:val="9"/>
                <w:color w:val="auto"/>
              </w:rPr>
            </w:pPr>
          </w:p>
        </w:tc>
        <w:tc>
          <w:tcPr>
            <w:tcW w:w="860" w:type="dxa"/>
            <w:vAlign w:val="bottom"/>
            <w:shd w:val="clear" w:color="auto" w:fill="E9F9D8"/>
          </w:tcPr>
          <w:p>
            <w:pPr>
              <w:spacing w:after="0"/>
              <w:rPr>
                <w:sz w:val="9"/>
                <w:szCs w:val="9"/>
                <w:color w:val="auto"/>
              </w:rPr>
            </w:pPr>
          </w:p>
        </w:tc>
        <w:tc>
          <w:tcPr>
            <w:tcW w:w="80" w:type="dxa"/>
            <w:vAlign w:val="bottom"/>
            <w:shd w:val="clear" w:color="auto" w:fill="E9F9D8"/>
          </w:tcPr>
          <w:p>
            <w:pPr>
              <w:spacing w:after="0"/>
              <w:rPr>
                <w:sz w:val="9"/>
                <w:szCs w:val="9"/>
                <w:color w:val="auto"/>
              </w:rPr>
            </w:pPr>
          </w:p>
        </w:tc>
        <w:tc>
          <w:tcPr>
            <w:tcW w:w="100" w:type="dxa"/>
            <w:vAlign w:val="bottom"/>
            <w:tcBorders>
              <w:left w:val="single" w:sz="8" w:color="E9F9D8"/>
            </w:tcBorders>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0" w:type="dxa"/>
            <w:vAlign w:val="bottom"/>
            <w:gridSpan w:val="5"/>
            <w:vMerge w:val="restart"/>
          </w:tcPr>
          <w:p>
            <w:pPr>
              <w:spacing w:after="0"/>
              <w:rPr>
                <w:sz w:val="20"/>
                <w:szCs w:val="20"/>
                <w:color w:val="auto"/>
              </w:rPr>
            </w:pPr>
            <w:r>
              <w:rPr>
                <w:rFonts w:ascii="Arial" w:cs="Arial" w:eastAsia="Arial" w:hAnsi="Arial"/>
                <w:sz w:val="15"/>
                <w:szCs w:val="15"/>
                <w:b w:val="1"/>
                <w:bCs w:val="1"/>
                <w:color w:val="auto"/>
              </w:rPr>
              <w:t>SCT amount represents the grant date value of the</w:t>
            </w: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820" w:type="dxa"/>
            <w:vAlign w:val="bottom"/>
          </w:tcPr>
          <w:p>
            <w:pPr>
              <w:spacing w:after="0"/>
              <w:rPr>
                <w:sz w:val="11"/>
                <w:szCs w:val="11"/>
                <w:color w:val="auto"/>
              </w:rPr>
            </w:pPr>
          </w:p>
        </w:tc>
        <w:tc>
          <w:tcPr>
            <w:tcW w:w="2380" w:type="dxa"/>
            <w:vAlign w:val="bottom"/>
            <w:gridSpan w:val="3"/>
            <w:shd w:val="clear" w:color="auto" w:fill="1F2668"/>
          </w:tcPr>
          <w:p>
            <w:pPr>
              <w:ind w:left="140"/>
              <w:spacing w:after="0" w:line="134" w:lineRule="exact"/>
              <w:rPr>
                <w:sz w:val="20"/>
                <w:szCs w:val="20"/>
                <w:color w:val="auto"/>
              </w:rPr>
            </w:pPr>
            <w:r>
              <w:rPr>
                <w:rFonts w:ascii="Arial" w:cs="Arial" w:eastAsia="Arial" w:hAnsi="Arial"/>
                <w:sz w:val="13"/>
                <w:szCs w:val="13"/>
                <w:color w:val="FFFFFF"/>
              </w:rPr>
              <w:t>addition to supervising legal</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shd w:val="clear" w:color="auto" w:fill="83AD40"/>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shd w:val="clear" w:color="auto" w:fill="E9F9D8"/>
          </w:tcPr>
          <w:p>
            <w:pPr>
              <w:spacing w:after="0"/>
              <w:rPr>
                <w:sz w:val="11"/>
                <w:szCs w:val="11"/>
                <w:color w:val="auto"/>
              </w:rPr>
            </w:pPr>
          </w:p>
        </w:tc>
        <w:tc>
          <w:tcPr>
            <w:tcW w:w="40" w:type="dxa"/>
            <w:vAlign w:val="bottom"/>
            <w:shd w:val="clear" w:color="auto" w:fill="E9F9D8"/>
          </w:tcPr>
          <w:p>
            <w:pPr>
              <w:spacing w:after="0"/>
              <w:rPr>
                <w:sz w:val="11"/>
                <w:szCs w:val="11"/>
                <w:color w:val="auto"/>
              </w:rPr>
            </w:pPr>
          </w:p>
        </w:tc>
        <w:tc>
          <w:tcPr>
            <w:tcW w:w="860" w:type="dxa"/>
            <w:vAlign w:val="bottom"/>
            <w:shd w:val="clear" w:color="auto" w:fill="E9F9D8"/>
          </w:tcPr>
          <w:p>
            <w:pPr>
              <w:spacing w:after="0"/>
              <w:rPr>
                <w:sz w:val="11"/>
                <w:szCs w:val="11"/>
                <w:color w:val="auto"/>
              </w:rPr>
            </w:pPr>
          </w:p>
        </w:tc>
        <w:tc>
          <w:tcPr>
            <w:tcW w:w="80" w:type="dxa"/>
            <w:vAlign w:val="bottom"/>
            <w:shd w:val="clear" w:color="auto" w:fill="E9F9D8"/>
          </w:tcPr>
          <w:p>
            <w:pPr>
              <w:spacing w:after="0"/>
              <w:rPr>
                <w:sz w:val="11"/>
                <w:szCs w:val="11"/>
                <w:color w:val="auto"/>
              </w:rPr>
            </w:pPr>
          </w:p>
        </w:tc>
        <w:tc>
          <w:tcPr>
            <w:tcW w:w="100" w:type="dxa"/>
            <w:vAlign w:val="bottom"/>
            <w:tcBorders>
              <w:left w:val="single" w:sz="8" w:color="E9F9D8"/>
            </w:tcBorders>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0" w:type="dxa"/>
            <w:vAlign w:val="bottom"/>
            <w:gridSpan w:val="5"/>
            <w:vMerge w:val="continue"/>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2380" w:type="dxa"/>
            <w:vAlign w:val="bottom"/>
            <w:gridSpan w:val="3"/>
            <w:shd w:val="clear" w:color="auto" w:fill="1F2668"/>
          </w:tcPr>
          <w:p>
            <w:pPr>
              <w:ind w:left="140"/>
              <w:spacing w:after="0"/>
              <w:rPr>
                <w:sz w:val="20"/>
                <w:szCs w:val="20"/>
                <w:color w:val="auto"/>
              </w:rPr>
            </w:pPr>
            <w:r>
              <w:rPr>
                <w:rFonts w:ascii="Arial" w:cs="Arial" w:eastAsia="Arial" w:hAnsi="Arial"/>
                <w:sz w:val="13"/>
                <w:szCs w:val="13"/>
                <w:color w:val="FFFFFF"/>
              </w:rPr>
              <w:t>functions relating to our core</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shd w:val="clear" w:color="auto" w:fill="83AD40"/>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shd w:val="clear" w:color="auto" w:fill="E9F9D8"/>
          </w:tcPr>
          <w:p>
            <w:pPr>
              <w:spacing w:after="0"/>
              <w:rPr>
                <w:sz w:val="12"/>
                <w:szCs w:val="12"/>
                <w:color w:val="auto"/>
              </w:rPr>
            </w:pPr>
          </w:p>
        </w:tc>
        <w:tc>
          <w:tcPr>
            <w:tcW w:w="40" w:type="dxa"/>
            <w:vAlign w:val="bottom"/>
            <w:shd w:val="clear" w:color="auto" w:fill="E9F9D8"/>
          </w:tcPr>
          <w:p>
            <w:pPr>
              <w:spacing w:after="0"/>
              <w:rPr>
                <w:sz w:val="12"/>
                <w:szCs w:val="12"/>
                <w:color w:val="auto"/>
              </w:rPr>
            </w:pPr>
          </w:p>
        </w:tc>
        <w:tc>
          <w:tcPr>
            <w:tcW w:w="860" w:type="dxa"/>
            <w:vAlign w:val="bottom"/>
            <w:shd w:val="clear" w:color="auto" w:fill="E9F9D8"/>
          </w:tcPr>
          <w:p>
            <w:pPr>
              <w:spacing w:after="0"/>
              <w:rPr>
                <w:sz w:val="12"/>
                <w:szCs w:val="12"/>
                <w:color w:val="auto"/>
              </w:rPr>
            </w:pPr>
          </w:p>
        </w:tc>
        <w:tc>
          <w:tcPr>
            <w:tcW w:w="80" w:type="dxa"/>
            <w:vAlign w:val="bottom"/>
            <w:shd w:val="clear" w:color="auto" w:fill="E9F9D8"/>
          </w:tcPr>
          <w:p>
            <w:pPr>
              <w:spacing w:after="0"/>
              <w:rPr>
                <w:sz w:val="12"/>
                <w:szCs w:val="12"/>
                <w:color w:val="auto"/>
              </w:rPr>
            </w:pPr>
          </w:p>
        </w:tc>
        <w:tc>
          <w:tcPr>
            <w:tcW w:w="100" w:type="dxa"/>
            <w:vAlign w:val="bottom"/>
            <w:tcBorders>
              <w:left w:val="single" w:sz="8" w:color="E9F9D8"/>
            </w:tcBorders>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2"/>
          </w:tcPr>
          <w:p>
            <w:pPr>
              <w:spacing w:after="0" w:line="149" w:lineRule="exact"/>
              <w:rPr>
                <w:sz w:val="20"/>
                <w:szCs w:val="20"/>
                <w:color w:val="auto"/>
              </w:rPr>
            </w:pPr>
            <w:r>
              <w:rPr>
                <w:rFonts w:ascii="Arial" w:cs="Arial" w:eastAsia="Arial" w:hAnsi="Arial"/>
                <w:sz w:val="15"/>
                <w:szCs w:val="15"/>
                <w:b w:val="1"/>
                <w:bCs w:val="1"/>
                <w:color w:val="auto"/>
              </w:rPr>
              <w:t>awards</w:t>
            </w:r>
            <w:r>
              <w:rPr>
                <w:rFonts w:ascii="Arial" w:cs="Arial" w:eastAsia="Arial" w:hAnsi="Arial"/>
                <w:sz w:val="15"/>
                <w:szCs w:val="15"/>
                <w:color w:val="auto"/>
              </w:rPr>
              <w:t>.</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20" w:type="dxa"/>
            <w:vAlign w:val="bottom"/>
          </w:tcPr>
          <w:p>
            <w:pPr>
              <w:spacing w:after="0"/>
              <w:rPr>
                <w:sz w:val="14"/>
                <w:szCs w:val="14"/>
                <w:color w:val="auto"/>
              </w:rPr>
            </w:pPr>
          </w:p>
        </w:tc>
        <w:tc>
          <w:tcPr>
            <w:tcW w:w="2380" w:type="dxa"/>
            <w:vAlign w:val="bottom"/>
            <w:gridSpan w:val="3"/>
            <w:shd w:val="clear" w:color="auto" w:fill="1F2668"/>
          </w:tcPr>
          <w:p>
            <w:pPr>
              <w:ind w:left="140"/>
              <w:spacing w:after="0"/>
              <w:rPr>
                <w:sz w:val="20"/>
                <w:szCs w:val="20"/>
                <w:color w:val="auto"/>
              </w:rPr>
            </w:pPr>
            <w:r>
              <w:rPr>
                <w:rFonts w:ascii="Arial" w:cs="Arial" w:eastAsia="Arial" w:hAnsi="Arial"/>
                <w:sz w:val="13"/>
                <w:szCs w:val="13"/>
                <w:color w:val="FFFFFF"/>
              </w:rPr>
              <w:t>business, Mr. Levine was integral to</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shd w:val="clear" w:color="auto" w:fill="83AD40"/>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shd w:val="clear" w:color="auto" w:fill="E9F9D8"/>
          </w:tcPr>
          <w:p>
            <w:pPr>
              <w:spacing w:after="0"/>
              <w:rPr>
                <w:sz w:val="14"/>
                <w:szCs w:val="14"/>
                <w:color w:val="auto"/>
              </w:rPr>
            </w:pPr>
          </w:p>
        </w:tc>
        <w:tc>
          <w:tcPr>
            <w:tcW w:w="40" w:type="dxa"/>
            <w:vAlign w:val="bottom"/>
            <w:shd w:val="clear" w:color="auto" w:fill="E9F9D8"/>
          </w:tcPr>
          <w:p>
            <w:pPr>
              <w:spacing w:after="0"/>
              <w:rPr>
                <w:sz w:val="14"/>
                <w:szCs w:val="14"/>
                <w:color w:val="auto"/>
              </w:rPr>
            </w:pPr>
          </w:p>
        </w:tc>
        <w:tc>
          <w:tcPr>
            <w:tcW w:w="860" w:type="dxa"/>
            <w:vAlign w:val="bottom"/>
            <w:shd w:val="clear" w:color="auto" w:fill="E9F9D8"/>
          </w:tcPr>
          <w:p>
            <w:pPr>
              <w:spacing w:after="0"/>
              <w:rPr>
                <w:sz w:val="14"/>
                <w:szCs w:val="14"/>
                <w:color w:val="auto"/>
              </w:rPr>
            </w:pPr>
          </w:p>
        </w:tc>
        <w:tc>
          <w:tcPr>
            <w:tcW w:w="80" w:type="dxa"/>
            <w:vAlign w:val="bottom"/>
            <w:shd w:val="clear" w:color="auto" w:fill="E9F9D8"/>
          </w:tcPr>
          <w:p>
            <w:pPr>
              <w:spacing w:after="0"/>
              <w:rPr>
                <w:sz w:val="14"/>
                <w:szCs w:val="14"/>
                <w:color w:val="auto"/>
              </w:rPr>
            </w:pPr>
          </w:p>
        </w:tc>
        <w:tc>
          <w:tcPr>
            <w:tcW w:w="100" w:type="dxa"/>
            <w:vAlign w:val="bottom"/>
            <w:tcBorders>
              <w:left w:val="single" w:sz="8" w:color="E9F9D8"/>
            </w:tcBorders>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80" w:type="dxa"/>
            <w:vAlign w:val="bottom"/>
            <w:gridSpan w:val="7"/>
          </w:tcPr>
          <w:p>
            <w:pPr>
              <w:spacing w:after="0" w:line="161" w:lineRule="exact"/>
              <w:rPr>
                <w:sz w:val="20"/>
                <w:szCs w:val="20"/>
                <w:color w:val="auto"/>
              </w:rPr>
            </w:pPr>
            <w:r>
              <w:rPr>
                <w:rFonts w:ascii="Arial" w:cs="Arial" w:eastAsia="Arial" w:hAnsi="Arial"/>
                <w:sz w:val="15"/>
                <w:szCs w:val="15"/>
                <w:color w:val="auto"/>
              </w:rPr>
              <w:t>The award relates to the corresponding number of LTIP units</w:t>
            </w: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2380" w:type="dxa"/>
            <w:vAlign w:val="bottom"/>
            <w:gridSpan w:val="3"/>
            <w:shd w:val="clear" w:color="auto" w:fill="1F2668"/>
          </w:tcPr>
          <w:p>
            <w:pPr>
              <w:ind w:left="140"/>
              <w:spacing w:after="0" w:line="123" w:lineRule="exact"/>
              <w:rPr>
                <w:sz w:val="20"/>
                <w:szCs w:val="20"/>
                <w:color w:val="auto"/>
              </w:rPr>
            </w:pPr>
            <w:r>
              <w:rPr>
                <w:rFonts w:ascii="Arial" w:cs="Arial" w:eastAsia="Arial" w:hAnsi="Arial"/>
                <w:sz w:val="13"/>
                <w:szCs w:val="13"/>
                <w:color w:val="FFFFFF"/>
              </w:rPr>
              <w:t>advancing key initiatives that</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shd w:val="clear" w:color="auto" w:fill="83AD40"/>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shd w:val="clear" w:color="auto" w:fill="E9F9D8"/>
          </w:tcPr>
          <w:p>
            <w:pPr>
              <w:spacing w:after="0"/>
              <w:rPr>
                <w:sz w:val="10"/>
                <w:szCs w:val="10"/>
                <w:color w:val="auto"/>
              </w:rPr>
            </w:pPr>
          </w:p>
        </w:tc>
        <w:tc>
          <w:tcPr>
            <w:tcW w:w="40" w:type="dxa"/>
            <w:vAlign w:val="bottom"/>
            <w:shd w:val="clear" w:color="auto" w:fill="E9F9D8"/>
          </w:tcPr>
          <w:p>
            <w:pPr>
              <w:spacing w:after="0"/>
              <w:rPr>
                <w:sz w:val="10"/>
                <w:szCs w:val="10"/>
                <w:color w:val="auto"/>
              </w:rPr>
            </w:pPr>
          </w:p>
        </w:tc>
        <w:tc>
          <w:tcPr>
            <w:tcW w:w="860" w:type="dxa"/>
            <w:vAlign w:val="bottom"/>
            <w:shd w:val="clear" w:color="auto" w:fill="E9F9D8"/>
          </w:tcPr>
          <w:p>
            <w:pPr>
              <w:spacing w:after="0"/>
              <w:rPr>
                <w:sz w:val="10"/>
                <w:szCs w:val="10"/>
                <w:color w:val="auto"/>
              </w:rPr>
            </w:pPr>
          </w:p>
        </w:tc>
        <w:tc>
          <w:tcPr>
            <w:tcW w:w="80" w:type="dxa"/>
            <w:vAlign w:val="bottom"/>
            <w:shd w:val="clear" w:color="auto" w:fill="E9F9D8"/>
          </w:tcPr>
          <w:p>
            <w:pPr>
              <w:spacing w:after="0"/>
              <w:rPr>
                <w:sz w:val="10"/>
                <w:szCs w:val="10"/>
                <w:color w:val="auto"/>
              </w:rPr>
            </w:pPr>
          </w:p>
        </w:tc>
        <w:tc>
          <w:tcPr>
            <w:tcW w:w="100" w:type="dxa"/>
            <w:vAlign w:val="bottom"/>
            <w:tcBorders>
              <w:left w:val="single" w:sz="8" w:color="E9F9D8"/>
            </w:tcBorders>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vMerge w:val="restart"/>
          </w:tcPr>
          <w:p>
            <w:pPr>
              <w:spacing w:after="0"/>
              <w:rPr>
                <w:sz w:val="20"/>
                <w:szCs w:val="20"/>
                <w:color w:val="auto"/>
              </w:rPr>
            </w:pPr>
            <w:r>
              <w:rPr>
                <w:rFonts w:ascii="Arial" w:cs="Arial" w:eastAsia="Arial" w:hAnsi="Arial"/>
                <w:sz w:val="15"/>
                <w:szCs w:val="15"/>
                <w:color w:val="auto"/>
              </w:rPr>
              <w:t>set forth below:</w:t>
            </w:r>
          </w:p>
        </w:tc>
        <w:tc>
          <w:tcPr>
            <w:tcW w:w="8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820" w:type="dxa"/>
            <w:vAlign w:val="bottom"/>
          </w:tcPr>
          <w:p>
            <w:pPr>
              <w:spacing w:after="0"/>
              <w:rPr>
                <w:sz w:val="13"/>
                <w:szCs w:val="13"/>
                <w:color w:val="auto"/>
              </w:rPr>
            </w:pPr>
          </w:p>
        </w:tc>
        <w:tc>
          <w:tcPr>
            <w:tcW w:w="2380" w:type="dxa"/>
            <w:vAlign w:val="bottom"/>
            <w:tcBorders>
              <w:bottom w:val="single" w:sz="8" w:color="1F2668"/>
            </w:tcBorders>
            <w:gridSpan w:val="3"/>
            <w:shd w:val="clear" w:color="auto" w:fill="1F2668"/>
          </w:tcPr>
          <w:p>
            <w:pPr>
              <w:ind w:left="140"/>
              <w:spacing w:after="0" w:line="114" w:lineRule="exact"/>
              <w:rPr>
                <w:sz w:val="20"/>
                <w:szCs w:val="20"/>
                <w:color w:val="auto"/>
              </w:rPr>
            </w:pPr>
            <w:r>
              <w:rPr>
                <w:rFonts w:ascii="Arial" w:cs="Arial" w:eastAsia="Arial" w:hAnsi="Arial"/>
                <w:sz w:val="13"/>
                <w:szCs w:val="13"/>
                <w:color w:val="FFFFFF"/>
              </w:rPr>
              <w:t>pushed the boundaries of our</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bottom w:val="single" w:sz="8" w:color="83AD40"/>
            </w:tcBorders>
            <w:shd w:val="clear" w:color="auto" w:fill="83AD40"/>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Borders>
              <w:bottom w:val="single" w:sz="8" w:color="E9F9D8"/>
            </w:tcBorders>
            <w:shd w:val="clear" w:color="auto" w:fill="E9F9D8"/>
          </w:tcPr>
          <w:p>
            <w:pPr>
              <w:spacing w:after="0"/>
              <w:rPr>
                <w:sz w:val="13"/>
                <w:szCs w:val="13"/>
                <w:color w:val="auto"/>
              </w:rPr>
            </w:pPr>
          </w:p>
        </w:tc>
        <w:tc>
          <w:tcPr>
            <w:tcW w:w="40" w:type="dxa"/>
            <w:vAlign w:val="bottom"/>
            <w:tcBorders>
              <w:bottom w:val="single" w:sz="8" w:color="E9F9D8"/>
            </w:tcBorders>
            <w:shd w:val="clear" w:color="auto" w:fill="E9F9D8"/>
          </w:tcPr>
          <w:p>
            <w:pPr>
              <w:spacing w:after="0"/>
              <w:rPr>
                <w:sz w:val="13"/>
                <w:szCs w:val="13"/>
                <w:color w:val="auto"/>
              </w:rPr>
            </w:pPr>
          </w:p>
        </w:tc>
        <w:tc>
          <w:tcPr>
            <w:tcW w:w="860" w:type="dxa"/>
            <w:vAlign w:val="bottom"/>
            <w:tcBorders>
              <w:bottom w:val="single" w:sz="8" w:color="E9F9D8"/>
            </w:tcBorders>
            <w:shd w:val="clear" w:color="auto" w:fill="E9F9D8"/>
          </w:tcPr>
          <w:p>
            <w:pPr>
              <w:spacing w:after="0"/>
              <w:rPr>
                <w:sz w:val="13"/>
                <w:szCs w:val="13"/>
                <w:color w:val="auto"/>
              </w:rPr>
            </w:pPr>
          </w:p>
        </w:tc>
        <w:tc>
          <w:tcPr>
            <w:tcW w:w="80" w:type="dxa"/>
            <w:vAlign w:val="bottom"/>
            <w:tcBorders>
              <w:bottom w:val="single" w:sz="8" w:color="E9F9D8"/>
            </w:tcBorders>
            <w:shd w:val="clear" w:color="auto" w:fill="E9F9D8"/>
          </w:tcPr>
          <w:p>
            <w:pPr>
              <w:spacing w:after="0"/>
              <w:rPr>
                <w:sz w:val="13"/>
                <w:szCs w:val="13"/>
                <w:color w:val="auto"/>
              </w:rPr>
            </w:pPr>
          </w:p>
        </w:tc>
        <w:tc>
          <w:tcPr>
            <w:tcW w:w="100" w:type="dxa"/>
            <w:vAlign w:val="bottom"/>
            <w:tcBorders>
              <w:left w:val="single" w:sz="8" w:color="E9F9D8"/>
            </w:tcBorders>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Borders>
              <w:bottom w:val="single" w:sz="8" w:color="1F2668"/>
            </w:tcBorders>
          </w:tcPr>
          <w:p>
            <w:pPr>
              <w:spacing w:after="0"/>
              <w:rPr>
                <w:sz w:val="13"/>
                <w:szCs w:val="13"/>
                <w:color w:val="auto"/>
              </w:rPr>
            </w:pPr>
          </w:p>
        </w:tc>
        <w:tc>
          <w:tcPr>
            <w:tcW w:w="40" w:type="dxa"/>
            <w:vAlign w:val="bottom"/>
            <w:tcBorders>
              <w:bottom w:val="single" w:sz="8" w:color="1F2668"/>
            </w:tcBorders>
          </w:tcPr>
          <w:p>
            <w:pPr>
              <w:spacing w:after="0"/>
              <w:rPr>
                <w:sz w:val="13"/>
                <w:szCs w:val="13"/>
                <w:color w:val="auto"/>
              </w:rPr>
            </w:pPr>
          </w:p>
        </w:tc>
        <w:tc>
          <w:tcPr>
            <w:tcW w:w="1220" w:type="dxa"/>
            <w:vAlign w:val="bottom"/>
            <w:tcBorders>
              <w:bottom w:val="single" w:sz="8" w:color="1F2668"/>
            </w:tcBorders>
            <w:gridSpan w:val="2"/>
            <w:vMerge w:val="continue"/>
          </w:tcPr>
          <w:p>
            <w:pPr>
              <w:spacing w:after="0"/>
              <w:rPr>
                <w:sz w:val="13"/>
                <w:szCs w:val="13"/>
                <w:color w:val="auto"/>
              </w:rPr>
            </w:pPr>
          </w:p>
        </w:tc>
        <w:tc>
          <w:tcPr>
            <w:tcW w:w="820" w:type="dxa"/>
            <w:vAlign w:val="bottom"/>
            <w:tcBorders>
              <w:bottom w:val="single" w:sz="8" w:color="1F2668"/>
            </w:tcBorders>
          </w:tcPr>
          <w:p>
            <w:pPr>
              <w:spacing w:after="0"/>
              <w:rPr>
                <w:sz w:val="13"/>
                <w:szCs w:val="13"/>
                <w:color w:val="auto"/>
              </w:rPr>
            </w:pPr>
          </w:p>
        </w:tc>
        <w:tc>
          <w:tcPr>
            <w:tcW w:w="1180" w:type="dxa"/>
            <w:vAlign w:val="bottom"/>
            <w:tcBorders>
              <w:bottom w:val="single" w:sz="8" w:color="1F2668"/>
            </w:tcBorders>
          </w:tcPr>
          <w:p>
            <w:pPr>
              <w:spacing w:after="0"/>
              <w:rPr>
                <w:sz w:val="13"/>
                <w:szCs w:val="13"/>
                <w:color w:val="auto"/>
              </w:rPr>
            </w:pPr>
          </w:p>
        </w:tc>
        <w:tc>
          <w:tcPr>
            <w:tcW w:w="780" w:type="dxa"/>
            <w:vAlign w:val="bottom"/>
            <w:tcBorders>
              <w:bottom w:val="single" w:sz="8" w:color="1F2668"/>
            </w:tcBorders>
          </w:tcPr>
          <w:p>
            <w:pPr>
              <w:spacing w:after="0"/>
              <w:rPr>
                <w:sz w:val="13"/>
                <w:szCs w:val="13"/>
                <w:color w:val="auto"/>
              </w:rPr>
            </w:pPr>
          </w:p>
        </w:tc>
        <w:tc>
          <w:tcPr>
            <w:tcW w:w="40" w:type="dxa"/>
            <w:vAlign w:val="bottom"/>
            <w:tcBorders>
              <w:bottom w:val="single" w:sz="8" w:color="1F2668"/>
            </w:tcBorders>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820" w:type="dxa"/>
            <w:vAlign w:val="bottom"/>
          </w:tcPr>
          <w:p>
            <w:pPr>
              <w:spacing w:after="0"/>
              <w:rPr>
                <w:sz w:val="8"/>
                <w:szCs w:val="8"/>
                <w:color w:val="auto"/>
              </w:rPr>
            </w:pPr>
          </w:p>
        </w:tc>
        <w:tc>
          <w:tcPr>
            <w:tcW w:w="2380" w:type="dxa"/>
            <w:vAlign w:val="bottom"/>
            <w:gridSpan w:val="3"/>
            <w:shd w:val="clear" w:color="auto" w:fill="1F2668"/>
          </w:tcPr>
          <w:p>
            <w:pPr>
              <w:ind w:left="140"/>
              <w:spacing w:after="0" w:line="96" w:lineRule="exact"/>
              <w:rPr>
                <w:sz w:val="20"/>
                <w:szCs w:val="20"/>
                <w:color w:val="auto"/>
              </w:rPr>
            </w:pPr>
            <w:r>
              <w:rPr>
                <w:rFonts w:ascii="Arial" w:cs="Arial" w:eastAsia="Arial" w:hAnsi="Arial"/>
                <w:sz w:val="11"/>
                <w:szCs w:val="11"/>
                <w:color w:val="FFFFFF"/>
              </w:rPr>
              <w:t>traditional operations, including the</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shd w:val="clear" w:color="auto" w:fill="83AD40"/>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shd w:val="clear" w:color="auto" w:fill="E9F9D8"/>
          </w:tcPr>
          <w:p>
            <w:pPr>
              <w:spacing w:after="0"/>
              <w:rPr>
                <w:sz w:val="8"/>
                <w:szCs w:val="8"/>
                <w:color w:val="auto"/>
              </w:rPr>
            </w:pPr>
          </w:p>
        </w:tc>
        <w:tc>
          <w:tcPr>
            <w:tcW w:w="40" w:type="dxa"/>
            <w:vAlign w:val="bottom"/>
            <w:shd w:val="clear" w:color="auto" w:fill="E9F9D8"/>
          </w:tcPr>
          <w:p>
            <w:pPr>
              <w:spacing w:after="0"/>
              <w:rPr>
                <w:sz w:val="8"/>
                <w:szCs w:val="8"/>
                <w:color w:val="auto"/>
              </w:rPr>
            </w:pPr>
          </w:p>
        </w:tc>
        <w:tc>
          <w:tcPr>
            <w:tcW w:w="860" w:type="dxa"/>
            <w:vAlign w:val="bottom"/>
            <w:shd w:val="clear" w:color="auto" w:fill="E9F9D8"/>
          </w:tcPr>
          <w:p>
            <w:pPr>
              <w:spacing w:after="0"/>
              <w:rPr>
                <w:sz w:val="8"/>
                <w:szCs w:val="8"/>
                <w:color w:val="auto"/>
              </w:rPr>
            </w:pPr>
          </w:p>
        </w:tc>
        <w:tc>
          <w:tcPr>
            <w:tcW w:w="80" w:type="dxa"/>
            <w:vAlign w:val="bottom"/>
            <w:shd w:val="clear" w:color="auto" w:fill="E9F9D8"/>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100" w:type="dxa"/>
            <w:vAlign w:val="bottom"/>
            <w:gridSpan w:val="3"/>
            <w:vMerge w:val="restart"/>
          </w:tcPr>
          <w:p>
            <w:pPr>
              <w:jc w:val="center"/>
              <w:ind w:left="451"/>
              <w:spacing w:after="0"/>
              <w:rPr>
                <w:sz w:val="20"/>
                <w:szCs w:val="20"/>
                <w:color w:val="auto"/>
              </w:rPr>
            </w:pPr>
            <w:r>
              <w:rPr>
                <w:rFonts w:ascii="Arial" w:cs="Arial" w:eastAsia="Arial" w:hAnsi="Arial"/>
                <w:sz w:val="14"/>
                <w:szCs w:val="14"/>
                <w:color w:val="1F2668"/>
              </w:rPr>
              <w:t>2024 Performance-Based Award—</w:t>
            </w: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820" w:type="dxa"/>
            <w:vAlign w:val="bottom"/>
          </w:tcPr>
          <w:p>
            <w:pPr>
              <w:spacing w:after="0"/>
              <w:rPr>
                <w:sz w:val="7"/>
                <w:szCs w:val="7"/>
                <w:color w:val="auto"/>
              </w:rPr>
            </w:pPr>
          </w:p>
        </w:tc>
        <w:tc>
          <w:tcPr>
            <w:tcW w:w="2380" w:type="dxa"/>
            <w:vAlign w:val="bottom"/>
            <w:gridSpan w:val="3"/>
            <w:vMerge w:val="restart"/>
            <w:shd w:val="clear" w:color="auto" w:fill="1F2668"/>
          </w:tcPr>
          <w:p>
            <w:pPr>
              <w:ind w:left="140"/>
              <w:spacing w:after="0"/>
              <w:rPr>
                <w:sz w:val="20"/>
                <w:szCs w:val="20"/>
                <w:color w:val="auto"/>
              </w:rPr>
            </w:pPr>
            <w:r>
              <w:rPr>
                <w:rFonts w:ascii="Arial" w:cs="Arial" w:eastAsia="Arial" w:hAnsi="Arial"/>
                <w:sz w:val="13"/>
                <w:szCs w:val="13"/>
                <w:color w:val="FFFFFF"/>
              </w:rPr>
              <w:t>launch of our opportunistic debt</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shd w:val="clear" w:color="auto" w:fill="83AD40"/>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shd w:val="clear" w:color="auto" w:fill="E9F9D8"/>
          </w:tcPr>
          <w:p>
            <w:pPr>
              <w:spacing w:after="0"/>
              <w:rPr>
                <w:sz w:val="7"/>
                <w:szCs w:val="7"/>
                <w:color w:val="auto"/>
              </w:rPr>
            </w:pPr>
          </w:p>
        </w:tc>
        <w:tc>
          <w:tcPr>
            <w:tcW w:w="40" w:type="dxa"/>
            <w:vAlign w:val="bottom"/>
            <w:shd w:val="clear" w:color="auto" w:fill="E9F9D8"/>
          </w:tcPr>
          <w:p>
            <w:pPr>
              <w:spacing w:after="0"/>
              <w:rPr>
                <w:sz w:val="7"/>
                <w:szCs w:val="7"/>
                <w:color w:val="auto"/>
              </w:rPr>
            </w:pPr>
          </w:p>
        </w:tc>
        <w:tc>
          <w:tcPr>
            <w:tcW w:w="860" w:type="dxa"/>
            <w:vAlign w:val="bottom"/>
            <w:shd w:val="clear" w:color="auto" w:fill="E9F9D8"/>
          </w:tcPr>
          <w:p>
            <w:pPr>
              <w:spacing w:after="0"/>
              <w:rPr>
                <w:sz w:val="7"/>
                <w:szCs w:val="7"/>
                <w:color w:val="auto"/>
              </w:rPr>
            </w:pPr>
          </w:p>
        </w:tc>
        <w:tc>
          <w:tcPr>
            <w:tcW w:w="80" w:type="dxa"/>
            <w:vAlign w:val="bottom"/>
            <w:shd w:val="clear" w:color="auto" w:fill="E9F9D8"/>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1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820" w:type="dxa"/>
            <w:vAlign w:val="bottom"/>
          </w:tcPr>
          <w:p>
            <w:pPr>
              <w:spacing w:after="0"/>
              <w:rPr>
                <w:sz w:val="5"/>
                <w:szCs w:val="5"/>
                <w:color w:val="auto"/>
              </w:rPr>
            </w:pPr>
          </w:p>
        </w:tc>
        <w:tc>
          <w:tcPr>
            <w:tcW w:w="2380" w:type="dxa"/>
            <w:vAlign w:val="bottom"/>
            <w:gridSpan w:val="3"/>
            <w:vMerge w:val="continue"/>
            <w:shd w:val="clear" w:color="auto" w:fill="1F2668"/>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shd w:val="clear" w:color="auto" w:fill="83AD40"/>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vMerge w:val="restart"/>
            <w:shd w:val="clear" w:color="auto" w:fill="E9F9D8"/>
          </w:tcPr>
          <w:p>
            <w:pPr>
              <w:spacing w:after="0"/>
              <w:rPr>
                <w:sz w:val="20"/>
                <w:szCs w:val="20"/>
                <w:color w:val="auto"/>
              </w:rPr>
            </w:pPr>
            <w:r>
              <w:rPr>
                <w:rFonts w:ascii="Arial" w:cs="Arial" w:eastAsia="Arial" w:hAnsi="Arial"/>
                <w:sz w:val="14"/>
                <w:szCs w:val="14"/>
                <w:color w:val="1F2668"/>
              </w:rPr>
              <w:t>​</w:t>
            </w:r>
          </w:p>
        </w:tc>
        <w:tc>
          <w:tcPr>
            <w:tcW w:w="40" w:type="dxa"/>
            <w:vAlign w:val="bottom"/>
            <w:shd w:val="clear" w:color="auto" w:fill="E9F9D8"/>
          </w:tcPr>
          <w:p>
            <w:pPr>
              <w:spacing w:after="0"/>
              <w:rPr>
                <w:sz w:val="5"/>
                <w:szCs w:val="5"/>
                <w:color w:val="auto"/>
              </w:rPr>
            </w:pPr>
          </w:p>
        </w:tc>
        <w:tc>
          <w:tcPr>
            <w:tcW w:w="860" w:type="dxa"/>
            <w:vAlign w:val="bottom"/>
            <w:shd w:val="clear" w:color="auto" w:fill="E9F9D8"/>
          </w:tcPr>
          <w:p>
            <w:pPr>
              <w:spacing w:after="0"/>
              <w:rPr>
                <w:sz w:val="5"/>
                <w:szCs w:val="5"/>
                <w:color w:val="auto"/>
              </w:rPr>
            </w:pPr>
          </w:p>
        </w:tc>
        <w:tc>
          <w:tcPr>
            <w:tcW w:w="80" w:type="dxa"/>
            <w:vAlign w:val="bottom"/>
            <w:shd w:val="clear" w:color="auto" w:fill="E9F9D8"/>
          </w:tcPr>
          <w:p>
            <w:pPr>
              <w:spacing w:after="0"/>
              <w:rPr>
                <w:sz w:val="5"/>
                <w:szCs w:val="5"/>
                <w:color w:val="auto"/>
              </w:rPr>
            </w:pPr>
          </w:p>
        </w:tc>
        <w:tc>
          <w:tcPr>
            <w:tcW w:w="100" w:type="dxa"/>
            <w:vAlign w:val="bottom"/>
            <w:vMerge w:val="restart"/>
          </w:tcPr>
          <w:p>
            <w:pPr>
              <w:spacing w:after="0"/>
              <w:rPr>
                <w:sz w:val="20"/>
                <w:szCs w:val="20"/>
                <w:color w:val="auto"/>
              </w:rPr>
            </w:pPr>
            <w:r>
              <w:rPr>
                <w:rFonts w:ascii="Arial" w:cs="Arial" w:eastAsia="Arial" w:hAnsi="Arial"/>
                <w:sz w:val="14"/>
                <w:szCs w:val="14"/>
                <w:color w:val="1F2668"/>
              </w:rPr>
              <w:t>​​</w:t>
            </w: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vMerge w:val="restart"/>
          </w:tcPr>
          <w:p>
            <w:pPr>
              <w:ind w:left="40"/>
              <w:spacing w:after="0"/>
              <w:rPr>
                <w:sz w:val="20"/>
                <w:szCs w:val="20"/>
                <w:color w:val="auto"/>
              </w:rPr>
            </w:pPr>
            <w:r>
              <w:rPr>
                <w:rFonts w:ascii="Arial" w:cs="Arial" w:eastAsia="Arial" w:hAnsi="Arial"/>
                <w:sz w:val="14"/>
                <w:szCs w:val="14"/>
                <w:color w:val="1F2668"/>
              </w:rPr>
              <w:t>​</w:t>
            </w:r>
          </w:p>
        </w:tc>
        <w:tc>
          <w:tcPr>
            <w:tcW w:w="40" w:type="dxa"/>
            <w:vAlign w:val="bottom"/>
            <w:vMerge w:val="restart"/>
          </w:tcPr>
          <w:p>
            <w:pPr>
              <w:jc w:val="center"/>
              <w:spacing w:after="0"/>
              <w:rPr>
                <w:sz w:val="20"/>
                <w:szCs w:val="20"/>
                <w:color w:val="auto"/>
              </w:rPr>
            </w:pPr>
            <w:r>
              <w:rPr>
                <w:rFonts w:ascii="Arial" w:cs="Arial" w:eastAsia="Arial" w:hAnsi="Arial"/>
                <w:sz w:val="14"/>
                <w:szCs w:val="14"/>
                <w:color w:val="1F2668"/>
              </w:rPr>
              <w:t>​</w:t>
            </w: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100" w:type="dxa"/>
            <w:vAlign w:val="bottom"/>
            <w:gridSpan w:val="3"/>
            <w:vMerge w:val="restart"/>
          </w:tcPr>
          <w:p>
            <w:pPr>
              <w:jc w:val="center"/>
              <w:ind w:left="491"/>
              <w:spacing w:after="0"/>
              <w:rPr>
                <w:sz w:val="20"/>
                <w:szCs w:val="20"/>
                <w:color w:val="auto"/>
              </w:rPr>
            </w:pPr>
            <w:r>
              <w:rPr>
                <w:rFonts w:ascii="Arial" w:cs="Arial" w:eastAsia="Arial" w:hAnsi="Arial"/>
                <w:sz w:val="14"/>
                <w:szCs w:val="14"/>
                <w:color w:val="1F2668"/>
              </w:rPr>
              <w:t>Number of LTIP Units Granted</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1F2668"/>
              </w:rPr>
              <w:t>​</w:t>
            </w: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2380" w:type="dxa"/>
            <w:vAlign w:val="bottom"/>
            <w:tcBorders>
              <w:bottom w:val="single" w:sz="8" w:color="1F2668"/>
            </w:tcBorders>
            <w:gridSpan w:val="3"/>
            <w:shd w:val="clear" w:color="auto" w:fill="1F2668"/>
          </w:tcPr>
          <w:p>
            <w:pPr>
              <w:ind w:left="140"/>
              <w:spacing w:after="0" w:line="121" w:lineRule="exact"/>
              <w:rPr>
                <w:sz w:val="20"/>
                <w:szCs w:val="20"/>
                <w:color w:val="auto"/>
              </w:rPr>
            </w:pPr>
            <w:r>
              <w:rPr>
                <w:rFonts w:ascii="Arial" w:cs="Arial" w:eastAsia="Arial" w:hAnsi="Arial"/>
                <w:sz w:val="13"/>
                <w:szCs w:val="13"/>
                <w:color w:val="FFFFFF"/>
              </w:rPr>
              <w:t>fund, expanding the global footprint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bottom w:val="single" w:sz="8" w:color="83AD40"/>
            </w:tcBorders>
            <w:shd w:val="clear" w:color="auto" w:fill="83AD40"/>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E9F9D8"/>
            </w:tcBorders>
            <w:vMerge w:val="continue"/>
            <w:shd w:val="clear" w:color="auto" w:fill="E9F9D8"/>
          </w:tcPr>
          <w:p>
            <w:pPr>
              <w:spacing w:after="0"/>
              <w:rPr>
                <w:sz w:val="11"/>
                <w:szCs w:val="11"/>
                <w:color w:val="auto"/>
              </w:rPr>
            </w:pPr>
          </w:p>
        </w:tc>
        <w:tc>
          <w:tcPr>
            <w:tcW w:w="40" w:type="dxa"/>
            <w:vAlign w:val="bottom"/>
            <w:tcBorders>
              <w:bottom w:val="single" w:sz="8" w:color="E9F9D8"/>
            </w:tcBorders>
            <w:shd w:val="clear" w:color="auto" w:fill="E9F9D8"/>
          </w:tcPr>
          <w:p>
            <w:pPr>
              <w:spacing w:after="0"/>
              <w:rPr>
                <w:sz w:val="11"/>
                <w:szCs w:val="11"/>
                <w:color w:val="auto"/>
              </w:rPr>
            </w:pPr>
          </w:p>
        </w:tc>
        <w:tc>
          <w:tcPr>
            <w:tcW w:w="860" w:type="dxa"/>
            <w:vAlign w:val="bottom"/>
            <w:tcBorders>
              <w:bottom w:val="single" w:sz="8" w:color="E9F9D8"/>
            </w:tcBorders>
            <w:shd w:val="clear" w:color="auto" w:fill="E9F9D8"/>
          </w:tcPr>
          <w:p>
            <w:pPr>
              <w:spacing w:after="0"/>
              <w:rPr>
                <w:sz w:val="11"/>
                <w:szCs w:val="11"/>
                <w:color w:val="auto"/>
              </w:rPr>
            </w:pPr>
          </w:p>
        </w:tc>
        <w:tc>
          <w:tcPr>
            <w:tcW w:w="80" w:type="dxa"/>
            <w:vAlign w:val="bottom"/>
            <w:tcBorders>
              <w:bottom w:val="single" w:sz="8" w:color="E9F9D8"/>
            </w:tcBorders>
            <w:shd w:val="clear" w:color="auto" w:fill="E9F9D8"/>
          </w:tcPr>
          <w:p>
            <w:pPr>
              <w:spacing w:after="0"/>
              <w:rPr>
                <w:sz w:val="11"/>
                <w:szCs w:val="11"/>
                <w:color w:val="auto"/>
              </w:rPr>
            </w:pPr>
          </w:p>
        </w:tc>
        <w:tc>
          <w:tcPr>
            <w:tcW w:w="1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40" w:type="dxa"/>
            <w:vAlign w:val="bottom"/>
            <w:tcBorders>
              <w:bottom w:val="single" w:sz="8" w:color="1F2668"/>
            </w:tcBorders>
            <w:vMerge w:val="continue"/>
          </w:tcPr>
          <w:p>
            <w:pPr>
              <w:spacing w:after="0"/>
              <w:rPr>
                <w:sz w:val="11"/>
                <w:szCs w:val="11"/>
                <w:color w:val="auto"/>
              </w:rPr>
            </w:pPr>
          </w:p>
        </w:tc>
        <w:tc>
          <w:tcPr>
            <w:tcW w:w="40" w:type="dxa"/>
            <w:vAlign w:val="bottom"/>
            <w:tcBorders>
              <w:bottom w:val="single" w:sz="8" w:color="1F2668"/>
            </w:tcBorders>
          </w:tcPr>
          <w:p>
            <w:pPr>
              <w:spacing w:after="0"/>
              <w:rPr>
                <w:sz w:val="11"/>
                <w:szCs w:val="11"/>
                <w:color w:val="auto"/>
              </w:rPr>
            </w:pPr>
          </w:p>
        </w:tc>
        <w:tc>
          <w:tcPr>
            <w:tcW w:w="120" w:type="dxa"/>
            <w:vAlign w:val="bottom"/>
            <w:tcBorders>
              <w:bottom w:val="single" w:sz="8" w:color="1F2668"/>
            </w:tcBorders>
          </w:tcPr>
          <w:p>
            <w:pPr>
              <w:spacing w:after="0"/>
              <w:rPr>
                <w:sz w:val="11"/>
                <w:szCs w:val="11"/>
                <w:color w:val="auto"/>
              </w:rPr>
            </w:pPr>
          </w:p>
        </w:tc>
        <w:tc>
          <w:tcPr>
            <w:tcW w:w="3100" w:type="dxa"/>
            <w:vAlign w:val="bottom"/>
            <w:tcBorders>
              <w:bottom w:val="single" w:sz="8" w:color="1F2668"/>
            </w:tcBorders>
            <w:gridSpan w:val="3"/>
            <w:vMerge w:val="continue"/>
          </w:tcPr>
          <w:p>
            <w:pPr>
              <w:spacing w:after="0"/>
              <w:rPr>
                <w:sz w:val="11"/>
                <w:szCs w:val="11"/>
                <w:color w:val="auto"/>
              </w:rPr>
            </w:pPr>
          </w:p>
        </w:tc>
        <w:tc>
          <w:tcPr>
            <w:tcW w:w="780" w:type="dxa"/>
            <w:vAlign w:val="bottom"/>
            <w:tcBorders>
              <w:bottom w:val="single" w:sz="8" w:color="1F2668"/>
            </w:tcBorders>
            <w:vMerge w:val="continue"/>
          </w:tcPr>
          <w:p>
            <w:pPr>
              <w:spacing w:after="0"/>
              <w:rPr>
                <w:sz w:val="11"/>
                <w:szCs w:val="11"/>
                <w:color w:val="auto"/>
              </w:rPr>
            </w:pPr>
          </w:p>
        </w:tc>
        <w:tc>
          <w:tcPr>
            <w:tcW w:w="40" w:type="dxa"/>
            <w:vAlign w:val="bottom"/>
            <w:tcBorders>
              <w:bottom w:val="single" w:sz="8" w:color="1F2668"/>
            </w:tcBorders>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20" w:type="dxa"/>
            <w:vAlign w:val="bottom"/>
          </w:tcPr>
          <w:p>
            <w:pPr>
              <w:spacing w:after="0"/>
              <w:rPr>
                <w:sz w:val="11"/>
                <w:szCs w:val="11"/>
                <w:color w:val="auto"/>
              </w:rPr>
            </w:pPr>
          </w:p>
        </w:tc>
        <w:tc>
          <w:tcPr>
            <w:tcW w:w="2380" w:type="dxa"/>
            <w:vAlign w:val="bottom"/>
            <w:gridSpan w:val="3"/>
            <w:shd w:val="clear" w:color="auto" w:fill="1F2668"/>
          </w:tcPr>
          <w:p>
            <w:pPr>
              <w:ind w:left="140"/>
              <w:spacing w:after="0" w:line="135" w:lineRule="exact"/>
              <w:rPr>
                <w:sz w:val="20"/>
                <w:szCs w:val="20"/>
                <w:color w:val="auto"/>
              </w:rPr>
            </w:pPr>
            <w:r>
              <w:rPr>
                <w:rFonts w:ascii="Arial" w:cs="Arial" w:eastAsia="Arial" w:hAnsi="Arial"/>
                <w:sz w:val="13"/>
                <w:szCs w:val="13"/>
                <w:color w:val="FFFFFF"/>
              </w:rPr>
              <w:t>of SUMMIT and seeking a Times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shd w:val="clear" w:color="auto" w:fill="83AD40"/>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shd w:val="clear" w:color="auto" w:fill="E9F9D8"/>
          </w:tcPr>
          <w:p>
            <w:pPr>
              <w:spacing w:after="0"/>
              <w:rPr>
                <w:sz w:val="11"/>
                <w:szCs w:val="11"/>
                <w:color w:val="auto"/>
              </w:rPr>
            </w:pPr>
          </w:p>
        </w:tc>
        <w:tc>
          <w:tcPr>
            <w:tcW w:w="40" w:type="dxa"/>
            <w:vAlign w:val="bottom"/>
            <w:shd w:val="clear" w:color="auto" w:fill="E9F9D8"/>
          </w:tcPr>
          <w:p>
            <w:pPr>
              <w:spacing w:after="0"/>
              <w:rPr>
                <w:sz w:val="11"/>
                <w:szCs w:val="11"/>
                <w:color w:val="auto"/>
              </w:rPr>
            </w:pPr>
          </w:p>
        </w:tc>
        <w:tc>
          <w:tcPr>
            <w:tcW w:w="860" w:type="dxa"/>
            <w:vAlign w:val="bottom"/>
            <w:shd w:val="clear" w:color="auto" w:fill="E9F9D8"/>
          </w:tcPr>
          <w:p>
            <w:pPr>
              <w:spacing w:after="0"/>
              <w:rPr>
                <w:sz w:val="11"/>
                <w:szCs w:val="11"/>
                <w:color w:val="auto"/>
              </w:rPr>
            </w:pPr>
          </w:p>
        </w:tc>
        <w:tc>
          <w:tcPr>
            <w:tcW w:w="80" w:type="dxa"/>
            <w:vAlign w:val="bottom"/>
            <w:shd w:val="clear" w:color="auto" w:fill="E9F9D8"/>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jc w:val="right"/>
              <w:ind w:right="48"/>
              <w:spacing w:after="0" w:line="135" w:lineRule="exact"/>
              <w:rPr>
                <w:sz w:val="20"/>
                <w:szCs w:val="20"/>
                <w:color w:val="auto"/>
              </w:rPr>
            </w:pPr>
            <w:r>
              <w:rPr>
                <w:rFonts w:ascii="Arial" w:cs="Arial" w:eastAsia="Arial" w:hAnsi="Arial"/>
                <w:sz w:val="14"/>
                <w:szCs w:val="14"/>
                <w:color w:val="1F2668"/>
              </w:rPr>
              <w:t>Projected</w:t>
            </w: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820" w:type="dxa"/>
            <w:vAlign w:val="bottom"/>
          </w:tcPr>
          <w:p>
            <w:pPr>
              <w:spacing w:after="0"/>
              <w:rPr>
                <w:sz w:val="15"/>
                <w:szCs w:val="15"/>
                <w:color w:val="auto"/>
              </w:rPr>
            </w:pPr>
          </w:p>
        </w:tc>
        <w:tc>
          <w:tcPr>
            <w:tcW w:w="2380" w:type="dxa"/>
            <w:vAlign w:val="bottom"/>
            <w:gridSpan w:val="3"/>
            <w:shd w:val="clear" w:color="auto" w:fill="1F2668"/>
          </w:tcPr>
          <w:p>
            <w:pPr>
              <w:ind w:left="140"/>
              <w:spacing w:after="0"/>
              <w:rPr>
                <w:sz w:val="20"/>
                <w:szCs w:val="20"/>
                <w:color w:val="auto"/>
              </w:rPr>
            </w:pPr>
            <w:r>
              <w:rPr>
                <w:rFonts w:ascii="Arial" w:cs="Arial" w:eastAsia="Arial" w:hAnsi="Arial"/>
                <w:sz w:val="13"/>
                <w:szCs w:val="13"/>
                <w:color w:val="FFFFFF"/>
              </w:rPr>
              <w:t>Square casino license.</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shd w:val="clear" w:color="auto" w:fill="83AD40"/>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shd w:val="clear" w:color="auto" w:fill="E9F9D8"/>
          </w:tcPr>
          <w:p>
            <w:pPr>
              <w:spacing w:after="0"/>
              <w:rPr>
                <w:sz w:val="15"/>
                <w:szCs w:val="15"/>
                <w:color w:val="auto"/>
              </w:rPr>
            </w:pPr>
          </w:p>
        </w:tc>
        <w:tc>
          <w:tcPr>
            <w:tcW w:w="40" w:type="dxa"/>
            <w:vAlign w:val="bottom"/>
            <w:shd w:val="clear" w:color="auto" w:fill="E9F9D8"/>
          </w:tcPr>
          <w:p>
            <w:pPr>
              <w:spacing w:after="0"/>
              <w:rPr>
                <w:sz w:val="15"/>
                <w:szCs w:val="15"/>
                <w:color w:val="auto"/>
              </w:rPr>
            </w:pPr>
          </w:p>
        </w:tc>
        <w:tc>
          <w:tcPr>
            <w:tcW w:w="860" w:type="dxa"/>
            <w:vAlign w:val="bottom"/>
            <w:shd w:val="clear" w:color="auto" w:fill="E9F9D8"/>
          </w:tcPr>
          <w:p>
            <w:pPr>
              <w:spacing w:after="0"/>
              <w:rPr>
                <w:sz w:val="15"/>
                <w:szCs w:val="15"/>
                <w:color w:val="auto"/>
              </w:rPr>
            </w:pPr>
          </w:p>
        </w:tc>
        <w:tc>
          <w:tcPr>
            <w:tcW w:w="80" w:type="dxa"/>
            <w:vAlign w:val="bottom"/>
            <w:shd w:val="clear" w:color="auto" w:fill="E9F9D8"/>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1F2668"/>
              </w:rPr>
              <w:t>Earned</w:t>
            </w: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0" w:type="dxa"/>
            <w:vAlign w:val="bottom"/>
          </w:tcPr>
          <w:p>
            <w:pPr>
              <w:spacing w:after="0"/>
              <w:rPr>
                <w:sz w:val="16"/>
                <w:szCs w:val="16"/>
                <w:color w:val="auto"/>
              </w:rPr>
            </w:pPr>
          </w:p>
        </w:tc>
        <w:tc>
          <w:tcPr>
            <w:tcW w:w="2380" w:type="dxa"/>
            <w:vAlign w:val="bottom"/>
            <w:gridSpan w:val="3"/>
            <w:shd w:val="clear" w:color="auto" w:fill="1F2668"/>
          </w:tcPr>
          <w:p>
            <w:pPr>
              <w:ind w:left="140"/>
              <w:spacing w:after="0"/>
              <w:rPr>
                <w:sz w:val="20"/>
                <w:szCs w:val="20"/>
                <w:color w:val="auto"/>
              </w:rPr>
            </w:pPr>
            <w:r>
              <w:rPr>
                <w:rFonts w:ascii="Arial" w:cs="Arial" w:eastAsia="Arial" w:hAnsi="Arial"/>
                <w:sz w:val="13"/>
                <w:szCs w:val="13"/>
                <w:color w:val="FFFFFF"/>
              </w:rPr>
              <w:t>In particular, Mr. Levine continued</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shd w:val="clear" w:color="auto" w:fill="83AD40"/>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shd w:val="clear" w:color="auto" w:fill="E9F9D8"/>
          </w:tcPr>
          <w:p>
            <w:pPr>
              <w:spacing w:after="0"/>
              <w:rPr>
                <w:sz w:val="20"/>
                <w:szCs w:val="20"/>
                <w:color w:val="auto"/>
              </w:rPr>
            </w:pPr>
            <w:r>
              <w:rPr>
                <w:rFonts w:ascii="Arial" w:cs="Arial" w:eastAsia="Arial" w:hAnsi="Arial"/>
                <w:sz w:val="14"/>
                <w:szCs w:val="14"/>
                <w:color w:val="1F2668"/>
              </w:rPr>
              <w:t>​</w:t>
            </w:r>
          </w:p>
        </w:tc>
        <w:tc>
          <w:tcPr>
            <w:tcW w:w="40" w:type="dxa"/>
            <w:vAlign w:val="bottom"/>
            <w:shd w:val="clear" w:color="auto" w:fill="E9F9D8"/>
          </w:tcPr>
          <w:p>
            <w:pPr>
              <w:spacing w:after="0"/>
              <w:rPr>
                <w:sz w:val="16"/>
                <w:szCs w:val="16"/>
                <w:color w:val="auto"/>
              </w:rPr>
            </w:pPr>
          </w:p>
        </w:tc>
        <w:tc>
          <w:tcPr>
            <w:tcW w:w="860" w:type="dxa"/>
            <w:vAlign w:val="bottom"/>
            <w:shd w:val="clear" w:color="auto" w:fill="E9F9D8"/>
          </w:tcPr>
          <w:p>
            <w:pPr>
              <w:spacing w:after="0"/>
              <w:rPr>
                <w:sz w:val="16"/>
                <w:szCs w:val="16"/>
                <w:color w:val="auto"/>
              </w:rPr>
            </w:pPr>
          </w:p>
        </w:tc>
        <w:tc>
          <w:tcPr>
            <w:tcW w:w="80" w:type="dxa"/>
            <w:vAlign w:val="bottom"/>
            <w:shd w:val="clear" w:color="auto" w:fill="E9F9D8"/>
          </w:tcPr>
          <w:p>
            <w:pPr>
              <w:spacing w:after="0"/>
              <w:rPr>
                <w:sz w:val="16"/>
                <w:szCs w:val="16"/>
                <w:color w:val="auto"/>
              </w:rPr>
            </w:pPr>
          </w:p>
        </w:tc>
        <w:tc>
          <w:tcPr>
            <w:tcW w:w="980" w:type="dxa"/>
            <w:vAlign w:val="bottom"/>
            <w:gridSpan w:val="3"/>
          </w:tcPr>
          <w:p>
            <w:pPr>
              <w:ind w:left="60"/>
              <w:spacing w:after="0"/>
              <w:rPr>
                <w:sz w:val="20"/>
                <w:szCs w:val="20"/>
                <w:color w:val="auto"/>
              </w:rPr>
            </w:pPr>
            <w:r>
              <w:rPr>
                <w:rFonts w:ascii="Arial" w:cs="Arial" w:eastAsia="Arial" w:hAnsi="Arial"/>
                <w:sz w:val="14"/>
                <w:szCs w:val="14"/>
                <w:color w:val="1F2668"/>
              </w:rPr>
              <w:t>​​</w:t>
            </w:r>
          </w:p>
        </w:tc>
        <w:tc>
          <w:tcPr>
            <w:tcW w:w="300" w:type="dxa"/>
            <w:vAlign w:val="bottom"/>
            <w:gridSpan w:val="4"/>
          </w:tcPr>
          <w:p>
            <w:pPr>
              <w:jc w:val="center"/>
              <w:spacing w:after="0"/>
              <w:rPr>
                <w:sz w:val="20"/>
                <w:szCs w:val="20"/>
                <w:color w:val="auto"/>
              </w:rPr>
            </w:pPr>
            <w:r>
              <w:rPr>
                <w:rFonts w:ascii="Arial" w:cs="Arial" w:eastAsia="Arial" w:hAnsi="Arial"/>
                <w:sz w:val="14"/>
                <w:szCs w:val="14"/>
                <w:color w:val="1F2668"/>
              </w:rPr>
              <w:t>​ ​​</w:t>
            </w:r>
          </w:p>
        </w:tc>
        <w:tc>
          <w:tcPr>
            <w:tcW w:w="1100" w:type="dxa"/>
            <w:vAlign w:val="bottom"/>
          </w:tcPr>
          <w:p>
            <w:pPr>
              <w:jc w:val="right"/>
              <w:ind w:right="171"/>
              <w:spacing w:after="0" w:line="184" w:lineRule="exact"/>
              <w:rPr>
                <w:sz w:val="20"/>
                <w:szCs w:val="20"/>
                <w:color w:val="auto"/>
              </w:rPr>
            </w:pPr>
            <w:r>
              <w:rPr>
                <w:rFonts w:ascii="Arial" w:cs="Arial" w:eastAsia="Arial" w:hAnsi="Arial"/>
                <w:sz w:val="12"/>
                <w:szCs w:val="12"/>
                <w:color w:val="1F2668"/>
              </w:rPr>
              <w:t xml:space="preserve">Threshold </w:t>
            </w:r>
            <w:r>
              <w:rPr>
                <w:rFonts w:ascii="Arial" w:cs="Arial" w:eastAsia="Arial" w:hAnsi="Arial"/>
                <w:sz w:val="21"/>
                <w:szCs w:val="21"/>
                <w:color w:val="1F2668"/>
                <w:vertAlign w:val="subscript"/>
              </w:rPr>
              <w:t>​​</w:t>
            </w:r>
          </w:p>
        </w:tc>
        <w:tc>
          <w:tcPr>
            <w:tcW w:w="820" w:type="dxa"/>
            <w:vAlign w:val="bottom"/>
          </w:tcPr>
          <w:p>
            <w:pPr>
              <w:jc w:val="right"/>
              <w:ind w:right="75"/>
              <w:spacing w:after="0" w:line="184" w:lineRule="exact"/>
              <w:rPr>
                <w:sz w:val="20"/>
                <w:szCs w:val="20"/>
                <w:color w:val="auto"/>
              </w:rPr>
            </w:pPr>
            <w:r>
              <w:rPr>
                <w:rFonts w:ascii="Arial" w:cs="Arial" w:eastAsia="Arial" w:hAnsi="Arial"/>
                <w:sz w:val="12"/>
                <w:szCs w:val="12"/>
                <w:color w:val="1F2668"/>
              </w:rPr>
              <w:t xml:space="preserve">Target </w:t>
            </w:r>
            <w:r>
              <w:rPr>
                <w:rFonts w:ascii="Arial" w:cs="Arial" w:eastAsia="Arial" w:hAnsi="Arial"/>
                <w:sz w:val="21"/>
                <w:szCs w:val="21"/>
                <w:color w:val="1F2668"/>
                <w:vertAlign w:val="subscript"/>
              </w:rPr>
              <w:t>​​</w:t>
            </w:r>
          </w:p>
        </w:tc>
        <w:tc>
          <w:tcPr>
            <w:tcW w:w="1960" w:type="dxa"/>
            <w:vAlign w:val="bottom"/>
            <w:gridSpan w:val="2"/>
          </w:tcPr>
          <w:p>
            <w:pPr>
              <w:jc w:val="right"/>
              <w:ind w:right="8"/>
              <w:spacing w:after="0" w:line="184" w:lineRule="exact"/>
              <w:rPr>
                <w:sz w:val="20"/>
                <w:szCs w:val="20"/>
                <w:color w:val="auto"/>
              </w:rPr>
            </w:pPr>
            <w:r>
              <w:rPr>
                <w:rFonts w:ascii="Arial" w:cs="Arial" w:eastAsia="Arial" w:hAnsi="Arial"/>
                <w:sz w:val="12"/>
                <w:szCs w:val="12"/>
                <w:color w:val="1F2668"/>
              </w:rPr>
              <w:t xml:space="preserve">Maximum </w:t>
            </w:r>
            <w:r>
              <w:rPr>
                <w:rFonts w:ascii="Arial" w:cs="Arial" w:eastAsia="Arial" w:hAnsi="Arial"/>
                <w:sz w:val="21"/>
                <w:szCs w:val="21"/>
                <w:color w:val="1F2668"/>
                <w:vertAlign w:val="subscript"/>
              </w:rPr>
              <w:t>​​</w:t>
            </w:r>
            <w:r>
              <w:rPr>
                <w:rFonts w:ascii="Arial" w:cs="Arial" w:eastAsia="Arial" w:hAnsi="Arial"/>
                <w:sz w:val="12"/>
                <w:szCs w:val="12"/>
                <w:color w:val="1F2668"/>
              </w:rPr>
              <w:t xml:space="preserve"> as of 12/31/2024</w:t>
            </w:r>
          </w:p>
        </w:tc>
        <w:tc>
          <w:tcPr>
            <w:tcW w:w="40" w:type="dxa"/>
            <w:vAlign w:val="bottom"/>
          </w:tcPr>
          <w:p>
            <w:pPr>
              <w:spacing w:after="0"/>
              <w:rPr>
                <w:sz w:val="16"/>
                <w:szCs w:val="16"/>
                <w:color w:val="auto"/>
              </w:rPr>
            </w:pPr>
          </w:p>
        </w:tc>
        <w:tc>
          <w:tcPr>
            <w:tcW w:w="840" w:type="dxa"/>
            <w:vAlign w:val="bottom"/>
          </w:tcPr>
          <w:p>
            <w:pPr>
              <w:spacing w:after="0"/>
              <w:rPr>
                <w:sz w:val="20"/>
                <w:szCs w:val="20"/>
                <w:color w:val="auto"/>
              </w:rPr>
            </w:pPr>
            <w:r>
              <w:rPr>
                <w:rFonts w:ascii="Arial" w:cs="Arial" w:eastAsia="Arial" w:hAnsi="Arial"/>
                <w:sz w:val="14"/>
                <w:szCs w:val="14"/>
                <w:color w:val="1F2668"/>
              </w:rPr>
              <w:t>​</w:t>
            </w:r>
          </w:p>
        </w:tc>
        <w:tc>
          <w:tcPr>
            <w:tcW w:w="0" w:type="dxa"/>
            <w:vAlign w:val="bottom"/>
          </w:tcPr>
          <w:p>
            <w:pPr>
              <w:spacing w:after="0"/>
              <w:rPr>
                <w:sz w:val="1"/>
                <w:szCs w:val="1"/>
                <w:color w:val="auto"/>
              </w:rPr>
            </w:pPr>
          </w:p>
        </w:tc>
      </w:tr>
      <w:tr>
        <w:trPr>
          <w:trHeight w:val="41"/>
        </w:trPr>
        <w:tc>
          <w:tcPr>
            <w:tcW w:w="820" w:type="dxa"/>
            <w:vAlign w:val="bottom"/>
          </w:tcPr>
          <w:p>
            <w:pPr>
              <w:spacing w:after="0"/>
              <w:rPr>
                <w:sz w:val="3"/>
                <w:szCs w:val="3"/>
                <w:color w:val="auto"/>
              </w:rPr>
            </w:pPr>
          </w:p>
        </w:tc>
        <w:tc>
          <w:tcPr>
            <w:tcW w:w="2380" w:type="dxa"/>
            <w:vAlign w:val="bottom"/>
            <w:gridSpan w:val="3"/>
            <w:vMerge w:val="restart"/>
            <w:shd w:val="clear" w:color="auto" w:fill="1F2668"/>
          </w:tcPr>
          <w:p>
            <w:pPr>
              <w:ind w:left="140"/>
              <w:spacing w:after="0"/>
              <w:rPr>
                <w:sz w:val="20"/>
                <w:szCs w:val="20"/>
                <w:color w:val="auto"/>
              </w:rPr>
            </w:pPr>
            <w:r>
              <w:rPr>
                <w:rFonts w:ascii="Arial" w:cs="Arial" w:eastAsia="Arial" w:hAnsi="Arial"/>
                <w:sz w:val="13"/>
                <w:szCs w:val="13"/>
                <w:color w:val="FFFFFF"/>
              </w:rPr>
              <w:t>to provide key insight into all</w:t>
            </w: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shd w:val="clear" w:color="auto" w:fill="83AD40"/>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shd w:val="clear" w:color="auto" w:fill="E9F9D8"/>
          </w:tcPr>
          <w:p>
            <w:pPr>
              <w:spacing w:after="0"/>
              <w:rPr>
                <w:sz w:val="3"/>
                <w:szCs w:val="3"/>
                <w:color w:val="auto"/>
              </w:rPr>
            </w:pPr>
          </w:p>
        </w:tc>
        <w:tc>
          <w:tcPr>
            <w:tcW w:w="40" w:type="dxa"/>
            <w:vAlign w:val="bottom"/>
            <w:shd w:val="clear" w:color="auto" w:fill="E9F9D8"/>
          </w:tcPr>
          <w:p>
            <w:pPr>
              <w:spacing w:after="0"/>
              <w:rPr>
                <w:sz w:val="3"/>
                <w:szCs w:val="3"/>
                <w:color w:val="auto"/>
              </w:rPr>
            </w:pPr>
          </w:p>
        </w:tc>
        <w:tc>
          <w:tcPr>
            <w:tcW w:w="860" w:type="dxa"/>
            <w:vAlign w:val="bottom"/>
            <w:shd w:val="clear" w:color="auto" w:fill="E9F9D8"/>
          </w:tcPr>
          <w:p>
            <w:pPr>
              <w:spacing w:after="0"/>
              <w:rPr>
                <w:sz w:val="3"/>
                <w:szCs w:val="3"/>
                <w:color w:val="auto"/>
              </w:rPr>
            </w:pPr>
          </w:p>
        </w:tc>
        <w:tc>
          <w:tcPr>
            <w:tcW w:w="80" w:type="dxa"/>
            <w:vAlign w:val="bottom"/>
            <w:vMerge w:val="restart"/>
            <w:shd w:val="clear" w:color="auto" w:fill="E9F9D8"/>
          </w:tcPr>
          <w:p>
            <w:pPr>
              <w:spacing w:after="0"/>
              <w:rPr>
                <w:sz w:val="3"/>
                <w:szCs w:val="3"/>
                <w:color w:val="auto"/>
              </w:rPr>
            </w:pPr>
          </w:p>
        </w:tc>
        <w:tc>
          <w:tcPr>
            <w:tcW w:w="980" w:type="dxa"/>
            <w:vAlign w:val="bottom"/>
            <w:gridSpan w:val="3"/>
            <w:vMerge w:val="restart"/>
          </w:tcPr>
          <w:p>
            <w:pPr>
              <w:spacing w:after="0" w:line="163"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3"/>
                <w:szCs w:val="3"/>
                <w:color w:val="auto"/>
              </w:rPr>
            </w:pPr>
          </w:p>
        </w:tc>
        <w:tc>
          <w:tcPr>
            <w:tcW w:w="200" w:type="dxa"/>
            <w:vAlign w:val="bottom"/>
            <w:gridSpan w:val="3"/>
            <w:shd w:val="clear" w:color="auto" w:fill="4B5088"/>
          </w:tcPr>
          <w:p>
            <w:pPr>
              <w:spacing w:after="0"/>
              <w:rPr>
                <w:sz w:val="3"/>
                <w:szCs w:val="3"/>
                <w:color w:val="auto"/>
              </w:rPr>
            </w:pPr>
          </w:p>
        </w:tc>
        <w:tc>
          <w:tcPr>
            <w:tcW w:w="1100" w:type="dxa"/>
            <w:vAlign w:val="bottom"/>
            <w:shd w:val="clear" w:color="auto" w:fill="4B5088"/>
          </w:tcPr>
          <w:p>
            <w:pPr>
              <w:spacing w:after="0"/>
              <w:rPr>
                <w:sz w:val="3"/>
                <w:szCs w:val="3"/>
                <w:color w:val="auto"/>
              </w:rPr>
            </w:pPr>
          </w:p>
        </w:tc>
        <w:tc>
          <w:tcPr>
            <w:tcW w:w="820" w:type="dxa"/>
            <w:vAlign w:val="bottom"/>
            <w:shd w:val="clear" w:color="auto" w:fill="4B5088"/>
          </w:tcPr>
          <w:p>
            <w:pPr>
              <w:spacing w:after="0"/>
              <w:rPr>
                <w:sz w:val="3"/>
                <w:szCs w:val="3"/>
                <w:color w:val="auto"/>
              </w:rPr>
            </w:pPr>
          </w:p>
        </w:tc>
        <w:tc>
          <w:tcPr>
            <w:tcW w:w="1180" w:type="dxa"/>
            <w:vAlign w:val="bottom"/>
            <w:shd w:val="clear" w:color="auto" w:fill="4B5088"/>
          </w:tcPr>
          <w:p>
            <w:pPr>
              <w:spacing w:after="0"/>
              <w:rPr>
                <w:sz w:val="3"/>
                <w:szCs w:val="3"/>
                <w:color w:val="auto"/>
              </w:rPr>
            </w:pPr>
          </w:p>
        </w:tc>
        <w:tc>
          <w:tcPr>
            <w:tcW w:w="780" w:type="dxa"/>
            <w:vAlign w:val="bottom"/>
            <w:shd w:val="clear" w:color="auto" w:fill="4B5088"/>
          </w:tcPr>
          <w:p>
            <w:pPr>
              <w:spacing w:after="0"/>
              <w:rPr>
                <w:sz w:val="3"/>
                <w:szCs w:val="3"/>
                <w:color w:val="auto"/>
              </w:rPr>
            </w:pPr>
          </w:p>
        </w:tc>
        <w:tc>
          <w:tcPr>
            <w:tcW w:w="40" w:type="dxa"/>
            <w:vAlign w:val="bottom"/>
            <w:shd w:val="clear" w:color="auto" w:fill="4B5088"/>
          </w:tcPr>
          <w:p>
            <w:pPr>
              <w:spacing w:after="0"/>
              <w:rPr>
                <w:sz w:val="3"/>
                <w:szCs w:val="3"/>
                <w:color w:val="auto"/>
              </w:rPr>
            </w:pPr>
          </w:p>
        </w:tc>
        <w:tc>
          <w:tcPr>
            <w:tcW w:w="840" w:type="dxa"/>
            <w:vAlign w:val="bottom"/>
            <w:vMerge w:val="restart"/>
          </w:tcPr>
          <w:p>
            <w:pPr>
              <w:spacing w:after="0" w:line="163"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2380" w:type="dxa"/>
            <w:vAlign w:val="bottom"/>
            <w:gridSpan w:val="3"/>
            <w:vMerge w:val="continue"/>
            <w:shd w:val="clear" w:color="auto" w:fill="1F2668"/>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shd w:val="clear" w:color="auto" w:fill="83AD40"/>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shd w:val="clear" w:color="auto" w:fill="E9F9D8"/>
          </w:tcPr>
          <w:p>
            <w:pPr>
              <w:spacing w:after="0"/>
              <w:rPr>
                <w:sz w:val="10"/>
                <w:szCs w:val="10"/>
                <w:color w:val="auto"/>
              </w:rPr>
            </w:pPr>
          </w:p>
        </w:tc>
        <w:tc>
          <w:tcPr>
            <w:tcW w:w="40" w:type="dxa"/>
            <w:vAlign w:val="bottom"/>
            <w:shd w:val="clear" w:color="auto" w:fill="E9F9D8"/>
          </w:tcPr>
          <w:p>
            <w:pPr>
              <w:spacing w:after="0"/>
              <w:rPr>
                <w:sz w:val="10"/>
                <w:szCs w:val="10"/>
                <w:color w:val="auto"/>
              </w:rPr>
            </w:pPr>
          </w:p>
        </w:tc>
        <w:tc>
          <w:tcPr>
            <w:tcW w:w="860" w:type="dxa"/>
            <w:vAlign w:val="bottom"/>
            <w:shd w:val="clear" w:color="auto" w:fill="E9F9D8"/>
          </w:tcPr>
          <w:p>
            <w:pPr>
              <w:spacing w:after="0"/>
              <w:rPr>
                <w:sz w:val="10"/>
                <w:szCs w:val="10"/>
                <w:color w:val="auto"/>
              </w:rPr>
            </w:pPr>
          </w:p>
        </w:tc>
        <w:tc>
          <w:tcPr>
            <w:tcW w:w="80" w:type="dxa"/>
            <w:vAlign w:val="bottom"/>
            <w:vMerge w:val="continue"/>
            <w:shd w:val="clear" w:color="auto" w:fill="E9F9D8"/>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300" w:type="dxa"/>
            <w:vAlign w:val="bottom"/>
            <w:gridSpan w:val="4"/>
          </w:tcPr>
          <w:p>
            <w:pPr>
              <w:jc w:val="center"/>
              <w:spacing w:after="0" w:line="122"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151"/>
              <w:spacing w:after="0" w:line="122" w:lineRule="exact"/>
              <w:rPr>
                <w:sz w:val="20"/>
                <w:szCs w:val="20"/>
                <w:color w:val="auto"/>
              </w:rPr>
            </w:pPr>
            <w:r>
              <w:rPr>
                <w:rFonts w:ascii="Arial" w:cs="Arial" w:eastAsia="Arial" w:hAnsi="Arial"/>
                <w:sz w:val="14"/>
                <w:szCs w:val="14"/>
                <w:color w:val="auto"/>
              </w:rPr>
              <w:t>5,619 ​​</w:t>
            </w:r>
          </w:p>
        </w:tc>
        <w:tc>
          <w:tcPr>
            <w:tcW w:w="820" w:type="dxa"/>
            <w:vAlign w:val="bottom"/>
          </w:tcPr>
          <w:p>
            <w:pPr>
              <w:jc w:val="right"/>
              <w:ind w:right="75"/>
              <w:spacing w:after="0" w:line="122" w:lineRule="exact"/>
              <w:rPr>
                <w:sz w:val="20"/>
                <w:szCs w:val="20"/>
                <w:color w:val="auto"/>
              </w:rPr>
            </w:pPr>
            <w:r>
              <w:rPr>
                <w:rFonts w:ascii="Arial" w:cs="Arial" w:eastAsia="Arial" w:hAnsi="Arial"/>
                <w:sz w:val="14"/>
                <w:szCs w:val="14"/>
                <w:color w:val="auto"/>
              </w:rPr>
              <w:t>11,988 ​​</w:t>
            </w:r>
          </w:p>
        </w:tc>
        <w:tc>
          <w:tcPr>
            <w:tcW w:w="1180" w:type="dxa"/>
            <w:vAlign w:val="bottom"/>
          </w:tcPr>
          <w:p>
            <w:pPr>
              <w:ind w:left="160"/>
              <w:spacing w:after="0" w:line="122" w:lineRule="exact"/>
              <w:rPr>
                <w:sz w:val="20"/>
                <w:szCs w:val="20"/>
                <w:color w:val="auto"/>
              </w:rPr>
            </w:pPr>
            <w:r>
              <w:rPr>
                <w:rFonts w:ascii="Arial" w:cs="Arial" w:eastAsia="Arial" w:hAnsi="Arial"/>
                <w:sz w:val="14"/>
                <w:szCs w:val="14"/>
                <w:color w:val="auto"/>
              </w:rPr>
              <w:t>26,972 ​​</w:t>
            </w:r>
          </w:p>
        </w:tc>
        <w:tc>
          <w:tcPr>
            <w:tcW w:w="780" w:type="dxa"/>
            <w:vAlign w:val="bottom"/>
          </w:tcPr>
          <w:p>
            <w:pPr>
              <w:jc w:val="right"/>
              <w:ind w:right="8"/>
              <w:spacing w:after="0" w:line="122" w:lineRule="exact"/>
              <w:rPr>
                <w:sz w:val="20"/>
                <w:szCs w:val="20"/>
                <w:color w:val="auto"/>
              </w:rPr>
            </w:pPr>
            <w:r>
              <w:rPr>
                <w:rFonts w:ascii="Arial" w:cs="Arial" w:eastAsia="Arial" w:hAnsi="Arial"/>
                <w:sz w:val="14"/>
                <w:szCs w:val="14"/>
                <w:color w:val="auto"/>
              </w:rPr>
              <w:t>24,275</w:t>
            </w:r>
          </w:p>
        </w:tc>
        <w:tc>
          <w:tcPr>
            <w:tcW w:w="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820" w:type="dxa"/>
            <w:vAlign w:val="bottom"/>
          </w:tcPr>
          <w:p>
            <w:pPr>
              <w:spacing w:after="0"/>
              <w:rPr>
                <w:sz w:val="7"/>
                <w:szCs w:val="7"/>
                <w:color w:val="auto"/>
              </w:rPr>
            </w:pPr>
          </w:p>
        </w:tc>
        <w:tc>
          <w:tcPr>
            <w:tcW w:w="2380" w:type="dxa"/>
            <w:vAlign w:val="bottom"/>
            <w:tcBorders>
              <w:bottom w:val="single" w:sz="8" w:color="1F2668"/>
            </w:tcBorders>
            <w:gridSpan w:val="3"/>
            <w:shd w:val="clear" w:color="auto" w:fill="1F2668"/>
          </w:tcPr>
          <w:p>
            <w:pPr>
              <w:ind w:left="140"/>
              <w:spacing w:after="0" w:line="75" w:lineRule="exact"/>
              <w:rPr>
                <w:sz w:val="20"/>
                <w:szCs w:val="20"/>
                <w:color w:val="auto"/>
              </w:rPr>
            </w:pPr>
            <w:r>
              <w:rPr>
                <w:rFonts w:ascii="Arial" w:cs="Arial" w:eastAsia="Arial" w:hAnsi="Arial"/>
                <w:sz w:val="8"/>
                <w:szCs w:val="8"/>
                <w:color w:val="FFFFFF"/>
              </w:rPr>
              <w:t>aspects of the Company’s strategic</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Borders>
              <w:bottom w:val="single" w:sz="8" w:color="83AD40"/>
            </w:tcBorders>
            <w:shd w:val="clear" w:color="auto" w:fill="83AD40"/>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E9F9D8"/>
            </w:tcBorders>
            <w:vMerge w:val="restart"/>
            <w:shd w:val="clear" w:color="auto" w:fill="E9F9D8"/>
          </w:tcPr>
          <w:p>
            <w:pPr>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E9F9D8"/>
            </w:tcBorders>
            <w:gridSpan w:val="2"/>
            <w:vMerge w:val="restart"/>
            <w:shd w:val="clear" w:color="auto" w:fill="E9F9D8"/>
          </w:tcPr>
          <w:p>
            <w:pPr>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E9F9D8"/>
            </w:tcBorders>
            <w:shd w:val="clear" w:color="auto" w:fill="E9F9D8"/>
          </w:tcPr>
          <w:p>
            <w:pPr>
              <w:spacing w:after="0"/>
              <w:rPr>
                <w:sz w:val="7"/>
                <w:szCs w:val="7"/>
                <w:color w:val="auto"/>
              </w:rPr>
            </w:pPr>
          </w:p>
        </w:tc>
        <w:tc>
          <w:tcPr>
            <w:tcW w:w="980" w:type="dxa"/>
            <w:vAlign w:val="bottom"/>
            <w:gridSpan w:val="3"/>
            <w:vMerge w:val="restart"/>
          </w:tcPr>
          <w:p>
            <w:pPr>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7"/>
                <w:szCs w:val="7"/>
                <w:color w:val="auto"/>
              </w:rPr>
            </w:pPr>
          </w:p>
        </w:tc>
        <w:tc>
          <w:tcPr>
            <w:tcW w:w="40" w:type="dxa"/>
            <w:vAlign w:val="bottom"/>
            <w:tcBorders>
              <w:bottom w:val="single" w:sz="8" w:color="4B5088"/>
            </w:tcBorders>
          </w:tcPr>
          <w:p>
            <w:pPr>
              <w:spacing w:after="0"/>
              <w:rPr>
                <w:sz w:val="7"/>
                <w:szCs w:val="7"/>
                <w:color w:val="auto"/>
              </w:rPr>
            </w:pPr>
          </w:p>
        </w:tc>
        <w:tc>
          <w:tcPr>
            <w:tcW w:w="40" w:type="dxa"/>
            <w:vAlign w:val="bottom"/>
            <w:tcBorders>
              <w:bottom w:val="single" w:sz="8" w:color="4B5088"/>
            </w:tcBorders>
          </w:tcPr>
          <w:p>
            <w:pPr>
              <w:spacing w:after="0"/>
              <w:rPr>
                <w:sz w:val="7"/>
                <w:szCs w:val="7"/>
                <w:color w:val="auto"/>
              </w:rPr>
            </w:pPr>
          </w:p>
        </w:tc>
        <w:tc>
          <w:tcPr>
            <w:tcW w:w="120" w:type="dxa"/>
            <w:vAlign w:val="bottom"/>
            <w:tcBorders>
              <w:bottom w:val="single" w:sz="8" w:color="4B5088"/>
            </w:tcBorders>
          </w:tcPr>
          <w:p>
            <w:pPr>
              <w:spacing w:after="0"/>
              <w:rPr>
                <w:sz w:val="7"/>
                <w:szCs w:val="7"/>
                <w:color w:val="auto"/>
              </w:rPr>
            </w:pPr>
          </w:p>
        </w:tc>
        <w:tc>
          <w:tcPr>
            <w:tcW w:w="1100" w:type="dxa"/>
            <w:vAlign w:val="bottom"/>
            <w:tcBorders>
              <w:bottom w:val="single" w:sz="8" w:color="4B5088"/>
            </w:tcBorders>
          </w:tcPr>
          <w:p>
            <w:pPr>
              <w:spacing w:after="0"/>
              <w:rPr>
                <w:sz w:val="7"/>
                <w:szCs w:val="7"/>
                <w:color w:val="auto"/>
              </w:rPr>
            </w:pPr>
          </w:p>
        </w:tc>
        <w:tc>
          <w:tcPr>
            <w:tcW w:w="820" w:type="dxa"/>
            <w:vAlign w:val="bottom"/>
            <w:tcBorders>
              <w:bottom w:val="single" w:sz="8" w:color="4B5088"/>
            </w:tcBorders>
          </w:tcPr>
          <w:p>
            <w:pPr>
              <w:spacing w:after="0"/>
              <w:rPr>
                <w:sz w:val="7"/>
                <w:szCs w:val="7"/>
                <w:color w:val="auto"/>
              </w:rPr>
            </w:pPr>
          </w:p>
        </w:tc>
        <w:tc>
          <w:tcPr>
            <w:tcW w:w="1180" w:type="dxa"/>
            <w:vAlign w:val="bottom"/>
            <w:tcBorders>
              <w:bottom w:val="single" w:sz="8" w:color="4B5088"/>
            </w:tcBorders>
          </w:tcPr>
          <w:p>
            <w:pPr>
              <w:spacing w:after="0"/>
              <w:rPr>
                <w:sz w:val="7"/>
                <w:szCs w:val="7"/>
                <w:color w:val="auto"/>
              </w:rPr>
            </w:pPr>
          </w:p>
        </w:tc>
        <w:tc>
          <w:tcPr>
            <w:tcW w:w="780" w:type="dxa"/>
            <w:vAlign w:val="bottom"/>
            <w:tcBorders>
              <w:bottom w:val="single" w:sz="8" w:color="4B5088"/>
            </w:tcBorders>
          </w:tcPr>
          <w:p>
            <w:pPr>
              <w:spacing w:after="0"/>
              <w:rPr>
                <w:sz w:val="7"/>
                <w:szCs w:val="7"/>
                <w:color w:val="auto"/>
              </w:rPr>
            </w:pPr>
          </w:p>
        </w:tc>
        <w:tc>
          <w:tcPr>
            <w:tcW w:w="40" w:type="dxa"/>
            <w:vAlign w:val="bottom"/>
            <w:tcBorders>
              <w:bottom w:val="single" w:sz="8" w:color="4B5088"/>
            </w:tcBorders>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820" w:type="dxa"/>
            <w:vAlign w:val="bottom"/>
          </w:tcPr>
          <w:p>
            <w:pPr>
              <w:spacing w:after="0"/>
              <w:rPr>
                <w:sz w:val="12"/>
                <w:szCs w:val="12"/>
                <w:color w:val="auto"/>
              </w:rPr>
            </w:pPr>
          </w:p>
        </w:tc>
        <w:tc>
          <w:tcPr>
            <w:tcW w:w="2380" w:type="dxa"/>
            <w:vAlign w:val="bottom"/>
            <w:gridSpan w:val="3"/>
            <w:shd w:val="clear" w:color="auto" w:fill="1F2668"/>
          </w:tcPr>
          <w:p>
            <w:pPr>
              <w:ind w:left="140"/>
              <w:spacing w:after="0" w:line="143" w:lineRule="exact"/>
              <w:rPr>
                <w:sz w:val="20"/>
                <w:szCs w:val="20"/>
                <w:color w:val="auto"/>
              </w:rPr>
            </w:pPr>
            <w:r>
              <w:rPr>
                <w:rFonts w:ascii="Arial" w:cs="Arial" w:eastAsia="Arial" w:hAnsi="Arial"/>
                <w:sz w:val="13"/>
                <w:szCs w:val="13"/>
                <w:color w:val="FFFFFF"/>
              </w:rPr>
              <w:t>decision-making throughout the</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shd w:val="clear" w:color="auto" w:fill="83AD40"/>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vMerge w:val="continue"/>
            <w:shd w:val="clear" w:color="auto" w:fill="E9F9D8"/>
          </w:tcPr>
          <w:p>
            <w:pPr>
              <w:spacing w:after="0"/>
              <w:rPr>
                <w:sz w:val="12"/>
                <w:szCs w:val="12"/>
                <w:color w:val="auto"/>
              </w:rPr>
            </w:pPr>
          </w:p>
        </w:tc>
        <w:tc>
          <w:tcPr>
            <w:tcW w:w="900" w:type="dxa"/>
            <w:vAlign w:val="bottom"/>
            <w:gridSpan w:val="2"/>
            <w:vMerge w:val="continue"/>
            <w:shd w:val="clear" w:color="auto" w:fill="E9F9D8"/>
          </w:tcPr>
          <w:p>
            <w:pPr>
              <w:spacing w:after="0"/>
              <w:rPr>
                <w:sz w:val="12"/>
                <w:szCs w:val="12"/>
                <w:color w:val="auto"/>
              </w:rPr>
            </w:pPr>
          </w:p>
        </w:tc>
        <w:tc>
          <w:tcPr>
            <w:tcW w:w="80" w:type="dxa"/>
            <w:vAlign w:val="bottom"/>
            <w:shd w:val="clear" w:color="auto" w:fill="E9F9D8"/>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40" w:type="dxa"/>
            <w:vAlign w:val="bottom"/>
            <w:gridSpan w:val="2"/>
          </w:tcPr>
          <w:p>
            <w:pPr>
              <w:ind w:left="40"/>
              <w:spacing w:after="0" w:line="143" w:lineRule="exact"/>
              <w:rPr>
                <w:sz w:val="20"/>
                <w:szCs w:val="20"/>
                <w:color w:val="auto"/>
              </w:rPr>
            </w:pPr>
            <w:r>
              <w:rPr>
                <w:rFonts w:ascii="Arial" w:cs="Arial" w:eastAsia="Arial" w:hAnsi="Arial"/>
                <w:sz w:val="15"/>
                <w:szCs w:val="15"/>
                <w:color w:val="auto"/>
              </w:rPr>
              <w:t>​​</w:t>
            </w:r>
          </w:p>
        </w:tc>
        <w:tc>
          <w:tcPr>
            <w:tcW w:w="4040" w:type="dxa"/>
            <w:vAlign w:val="bottom"/>
            <w:gridSpan w:val="6"/>
            <w:vMerge w:val="restart"/>
          </w:tcPr>
          <w:p>
            <w:pPr>
              <w:ind w:left="20"/>
              <w:spacing w:after="0"/>
              <w:rPr>
                <w:sz w:val="20"/>
                <w:szCs w:val="20"/>
                <w:color w:val="auto"/>
              </w:rPr>
            </w:pPr>
            <w:r>
              <w:rPr>
                <w:rFonts w:ascii="Arial" w:cs="Arial" w:eastAsia="Arial" w:hAnsi="Arial"/>
                <w:sz w:val="15"/>
                <w:szCs w:val="15"/>
                <w:color w:val="auto"/>
              </w:rPr>
              <w:t>The actual number of LTIP units earned will be determined</w:t>
            </w:r>
          </w:p>
        </w:tc>
        <w:tc>
          <w:tcPr>
            <w:tcW w:w="880" w:type="dxa"/>
            <w:vAlign w:val="bottom"/>
            <w:gridSpan w:val="2"/>
          </w:tcPr>
          <w:p>
            <w:pPr>
              <w:ind w:left="20"/>
              <w:spacing w:after="0" w:line="143"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34"/>
        </w:trPr>
        <w:tc>
          <w:tcPr>
            <w:tcW w:w="820" w:type="dxa"/>
            <w:vAlign w:val="bottom"/>
          </w:tcPr>
          <w:p>
            <w:pPr>
              <w:spacing w:after="0"/>
              <w:rPr>
                <w:sz w:val="11"/>
                <w:szCs w:val="11"/>
                <w:color w:val="auto"/>
              </w:rPr>
            </w:pPr>
          </w:p>
        </w:tc>
        <w:tc>
          <w:tcPr>
            <w:tcW w:w="2380" w:type="dxa"/>
            <w:vAlign w:val="bottom"/>
            <w:gridSpan w:val="3"/>
            <w:shd w:val="clear" w:color="auto" w:fill="1F2668"/>
          </w:tcPr>
          <w:p>
            <w:pPr>
              <w:ind w:left="140"/>
              <w:spacing w:after="0" w:line="134" w:lineRule="exact"/>
              <w:rPr>
                <w:sz w:val="20"/>
                <w:szCs w:val="20"/>
                <w:color w:val="auto"/>
              </w:rPr>
            </w:pPr>
            <w:r>
              <w:rPr>
                <w:rFonts w:ascii="Arial" w:cs="Arial" w:eastAsia="Arial" w:hAnsi="Arial"/>
                <w:sz w:val="13"/>
                <w:szCs w:val="13"/>
                <w:color w:val="FFFFFF"/>
              </w:rPr>
              <w:t>year. The General Counsel position</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shd w:val="clear" w:color="auto" w:fill="83AD40"/>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shd w:val="clear" w:color="auto" w:fill="E9F9D8"/>
          </w:tcPr>
          <w:p>
            <w:pPr>
              <w:spacing w:after="0"/>
              <w:rPr>
                <w:sz w:val="11"/>
                <w:szCs w:val="11"/>
                <w:color w:val="auto"/>
              </w:rPr>
            </w:pPr>
          </w:p>
        </w:tc>
        <w:tc>
          <w:tcPr>
            <w:tcW w:w="40" w:type="dxa"/>
            <w:vAlign w:val="bottom"/>
            <w:shd w:val="clear" w:color="auto" w:fill="E9F9D8"/>
          </w:tcPr>
          <w:p>
            <w:pPr>
              <w:spacing w:after="0"/>
              <w:rPr>
                <w:sz w:val="11"/>
                <w:szCs w:val="11"/>
                <w:color w:val="auto"/>
              </w:rPr>
            </w:pPr>
          </w:p>
        </w:tc>
        <w:tc>
          <w:tcPr>
            <w:tcW w:w="860" w:type="dxa"/>
            <w:vAlign w:val="bottom"/>
            <w:shd w:val="clear" w:color="auto" w:fill="E9F9D8"/>
          </w:tcPr>
          <w:p>
            <w:pPr>
              <w:spacing w:after="0"/>
              <w:rPr>
                <w:sz w:val="11"/>
                <w:szCs w:val="11"/>
                <w:color w:val="auto"/>
              </w:rPr>
            </w:pPr>
          </w:p>
        </w:tc>
        <w:tc>
          <w:tcPr>
            <w:tcW w:w="80" w:type="dxa"/>
            <w:vAlign w:val="bottom"/>
            <w:shd w:val="clear" w:color="auto" w:fill="E9F9D8"/>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40" w:type="dxa"/>
            <w:vAlign w:val="bottom"/>
            <w:gridSpan w:val="6"/>
            <w:vMerge w:val="continue"/>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2380" w:type="dxa"/>
            <w:vAlign w:val="bottom"/>
            <w:gridSpan w:val="3"/>
            <w:shd w:val="clear" w:color="auto" w:fill="1F2668"/>
          </w:tcPr>
          <w:p>
            <w:pPr>
              <w:ind w:left="140"/>
              <w:spacing w:after="0"/>
              <w:rPr>
                <w:sz w:val="20"/>
                <w:szCs w:val="20"/>
                <w:color w:val="auto"/>
              </w:rPr>
            </w:pPr>
            <w:r>
              <w:rPr>
                <w:rFonts w:ascii="Arial" w:cs="Arial" w:eastAsia="Arial" w:hAnsi="Arial"/>
                <w:sz w:val="13"/>
                <w:szCs w:val="13"/>
                <w:color w:val="FFFFFF"/>
              </w:rPr>
              <w:t>is a critical member of a senior</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shd w:val="clear" w:color="auto" w:fill="83AD40"/>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shd w:val="clear" w:color="auto" w:fill="E9F9D8"/>
          </w:tcPr>
          <w:p>
            <w:pPr>
              <w:spacing w:after="0"/>
              <w:rPr>
                <w:sz w:val="12"/>
                <w:szCs w:val="12"/>
                <w:color w:val="auto"/>
              </w:rPr>
            </w:pPr>
          </w:p>
        </w:tc>
        <w:tc>
          <w:tcPr>
            <w:tcW w:w="40" w:type="dxa"/>
            <w:vAlign w:val="bottom"/>
            <w:shd w:val="clear" w:color="auto" w:fill="E9F9D8"/>
          </w:tcPr>
          <w:p>
            <w:pPr>
              <w:spacing w:after="0"/>
              <w:rPr>
                <w:sz w:val="12"/>
                <w:szCs w:val="12"/>
                <w:color w:val="auto"/>
              </w:rPr>
            </w:pPr>
          </w:p>
        </w:tc>
        <w:tc>
          <w:tcPr>
            <w:tcW w:w="860" w:type="dxa"/>
            <w:vAlign w:val="bottom"/>
            <w:shd w:val="clear" w:color="auto" w:fill="E9F9D8"/>
          </w:tcPr>
          <w:p>
            <w:pPr>
              <w:spacing w:after="0"/>
              <w:rPr>
                <w:sz w:val="12"/>
                <w:szCs w:val="12"/>
                <w:color w:val="auto"/>
              </w:rPr>
            </w:pPr>
          </w:p>
        </w:tc>
        <w:tc>
          <w:tcPr>
            <w:tcW w:w="80" w:type="dxa"/>
            <w:vAlign w:val="bottom"/>
            <w:shd w:val="clear" w:color="auto" w:fill="E9F9D8"/>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40" w:type="dxa"/>
            <w:vAlign w:val="bottom"/>
            <w:gridSpan w:val="6"/>
          </w:tcPr>
          <w:p>
            <w:pPr>
              <w:ind w:left="20"/>
              <w:spacing w:after="0" w:line="149" w:lineRule="exact"/>
              <w:rPr>
                <w:sz w:val="20"/>
                <w:szCs w:val="20"/>
                <w:color w:val="auto"/>
              </w:rPr>
            </w:pPr>
            <w:r>
              <w:rPr>
                <w:rFonts w:ascii="Arial" w:cs="Arial" w:eastAsia="Arial" w:hAnsi="Arial"/>
                <w:sz w:val="15"/>
                <w:szCs w:val="15"/>
                <w:color w:val="auto"/>
              </w:rPr>
              <w:t>based on Company performance measured after the end of</w:t>
            </w: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20" w:type="dxa"/>
            <w:vAlign w:val="bottom"/>
          </w:tcPr>
          <w:p>
            <w:pPr>
              <w:spacing w:after="0"/>
              <w:rPr>
                <w:sz w:val="14"/>
                <w:szCs w:val="14"/>
                <w:color w:val="auto"/>
              </w:rPr>
            </w:pPr>
          </w:p>
        </w:tc>
        <w:tc>
          <w:tcPr>
            <w:tcW w:w="2380" w:type="dxa"/>
            <w:vAlign w:val="bottom"/>
            <w:gridSpan w:val="3"/>
            <w:shd w:val="clear" w:color="auto" w:fill="1F2668"/>
          </w:tcPr>
          <w:p>
            <w:pPr>
              <w:ind w:left="140"/>
              <w:spacing w:after="0"/>
              <w:rPr>
                <w:sz w:val="20"/>
                <w:szCs w:val="20"/>
                <w:color w:val="auto"/>
              </w:rPr>
            </w:pPr>
            <w:r>
              <w:rPr>
                <w:rFonts w:ascii="Arial" w:cs="Arial" w:eastAsia="Arial" w:hAnsi="Arial"/>
                <w:sz w:val="13"/>
                <w:szCs w:val="13"/>
                <w:color w:val="FFFFFF"/>
              </w:rPr>
              <w:t>management team that executed</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shd w:val="clear" w:color="auto" w:fill="83AD40"/>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shd w:val="clear" w:color="auto" w:fill="E9F9D8"/>
          </w:tcPr>
          <w:p>
            <w:pPr>
              <w:spacing w:after="0"/>
              <w:rPr>
                <w:sz w:val="14"/>
                <w:szCs w:val="14"/>
                <w:color w:val="auto"/>
              </w:rPr>
            </w:pPr>
          </w:p>
        </w:tc>
        <w:tc>
          <w:tcPr>
            <w:tcW w:w="40" w:type="dxa"/>
            <w:vAlign w:val="bottom"/>
            <w:shd w:val="clear" w:color="auto" w:fill="E9F9D8"/>
          </w:tcPr>
          <w:p>
            <w:pPr>
              <w:spacing w:after="0"/>
              <w:rPr>
                <w:sz w:val="14"/>
                <w:szCs w:val="14"/>
                <w:color w:val="auto"/>
              </w:rPr>
            </w:pPr>
          </w:p>
        </w:tc>
        <w:tc>
          <w:tcPr>
            <w:tcW w:w="860" w:type="dxa"/>
            <w:vAlign w:val="bottom"/>
            <w:shd w:val="clear" w:color="auto" w:fill="E9F9D8"/>
          </w:tcPr>
          <w:p>
            <w:pPr>
              <w:spacing w:after="0"/>
              <w:rPr>
                <w:sz w:val="14"/>
                <w:szCs w:val="14"/>
                <w:color w:val="auto"/>
              </w:rPr>
            </w:pPr>
          </w:p>
        </w:tc>
        <w:tc>
          <w:tcPr>
            <w:tcW w:w="80" w:type="dxa"/>
            <w:vAlign w:val="bottom"/>
            <w:shd w:val="clear" w:color="auto" w:fill="E9F9D8"/>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40" w:type="dxa"/>
            <w:vAlign w:val="bottom"/>
            <w:gridSpan w:val="6"/>
          </w:tcPr>
          <w:p>
            <w:pPr>
              <w:ind w:left="20"/>
              <w:spacing w:after="0" w:line="161" w:lineRule="exact"/>
              <w:rPr>
                <w:sz w:val="20"/>
                <w:szCs w:val="20"/>
                <w:color w:val="auto"/>
              </w:rPr>
            </w:pPr>
            <w:r>
              <w:rPr>
                <w:rFonts w:ascii="Arial" w:cs="Arial" w:eastAsia="Arial" w:hAnsi="Arial"/>
                <w:sz w:val="15"/>
                <w:szCs w:val="15"/>
                <w:color w:val="auto"/>
              </w:rPr>
              <w:t>the full performance period ending December 31, 2026,</w:t>
            </w: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2380" w:type="dxa"/>
            <w:vAlign w:val="bottom"/>
            <w:gridSpan w:val="3"/>
            <w:shd w:val="clear" w:color="auto" w:fill="1F2668"/>
          </w:tcPr>
          <w:p>
            <w:pPr>
              <w:ind w:left="140"/>
              <w:spacing w:after="0"/>
              <w:rPr>
                <w:sz w:val="20"/>
                <w:szCs w:val="20"/>
                <w:color w:val="auto"/>
              </w:rPr>
            </w:pPr>
            <w:r>
              <w:rPr>
                <w:rFonts w:ascii="Arial" w:cs="Arial" w:eastAsia="Arial" w:hAnsi="Arial"/>
                <w:sz w:val="13"/>
                <w:szCs w:val="13"/>
                <w:color w:val="FFFFFF"/>
              </w:rPr>
              <w:t>on the Company’s ambitious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shd w:val="clear" w:color="auto" w:fill="83AD40"/>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shd w:val="clear" w:color="auto" w:fill="E9F9D8"/>
          </w:tcPr>
          <w:p>
            <w:pPr>
              <w:spacing w:after="0"/>
              <w:rPr>
                <w:sz w:val="14"/>
                <w:szCs w:val="14"/>
                <w:color w:val="auto"/>
              </w:rPr>
            </w:pPr>
          </w:p>
        </w:tc>
        <w:tc>
          <w:tcPr>
            <w:tcW w:w="40" w:type="dxa"/>
            <w:vAlign w:val="bottom"/>
            <w:shd w:val="clear" w:color="auto" w:fill="E9F9D8"/>
          </w:tcPr>
          <w:p>
            <w:pPr>
              <w:spacing w:after="0"/>
              <w:rPr>
                <w:sz w:val="14"/>
                <w:szCs w:val="14"/>
                <w:color w:val="auto"/>
              </w:rPr>
            </w:pPr>
          </w:p>
        </w:tc>
        <w:tc>
          <w:tcPr>
            <w:tcW w:w="860" w:type="dxa"/>
            <w:vAlign w:val="bottom"/>
            <w:shd w:val="clear" w:color="auto" w:fill="E9F9D8"/>
          </w:tcPr>
          <w:p>
            <w:pPr>
              <w:spacing w:after="0"/>
              <w:rPr>
                <w:sz w:val="14"/>
                <w:szCs w:val="14"/>
                <w:color w:val="auto"/>
              </w:rPr>
            </w:pPr>
          </w:p>
        </w:tc>
        <w:tc>
          <w:tcPr>
            <w:tcW w:w="80" w:type="dxa"/>
            <w:vAlign w:val="bottom"/>
            <w:shd w:val="clear" w:color="auto" w:fill="E9F9D8"/>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40" w:type="dxa"/>
            <w:vAlign w:val="bottom"/>
            <w:gridSpan w:val="6"/>
          </w:tcPr>
          <w:p>
            <w:pPr>
              <w:ind w:left="20"/>
              <w:spacing w:after="0" w:line="162" w:lineRule="exact"/>
              <w:rPr>
                <w:sz w:val="20"/>
                <w:szCs w:val="20"/>
                <w:color w:val="auto"/>
              </w:rPr>
            </w:pPr>
            <w:r>
              <w:rPr>
                <w:rFonts w:ascii="Arial" w:cs="Arial" w:eastAsia="Arial" w:hAnsi="Arial"/>
                <w:sz w:val="15"/>
                <w:szCs w:val="15"/>
                <w:color w:val="auto"/>
              </w:rPr>
              <w:t>based on our absolute and relative TSR, with earned LTIP</w:t>
            </w: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820" w:type="dxa"/>
            <w:vAlign w:val="bottom"/>
          </w:tcPr>
          <w:p>
            <w:pPr>
              <w:spacing w:after="0"/>
              <w:rPr>
                <w:sz w:val="8"/>
                <w:szCs w:val="8"/>
                <w:color w:val="auto"/>
              </w:rPr>
            </w:pPr>
          </w:p>
        </w:tc>
        <w:tc>
          <w:tcPr>
            <w:tcW w:w="2380" w:type="dxa"/>
            <w:vAlign w:val="bottom"/>
            <w:gridSpan w:val="3"/>
            <w:shd w:val="clear" w:color="auto" w:fill="1F2668"/>
          </w:tcPr>
          <w:p>
            <w:pPr>
              <w:ind w:left="140"/>
              <w:spacing w:after="0" w:line="95" w:lineRule="exact"/>
              <w:rPr>
                <w:sz w:val="20"/>
                <w:szCs w:val="20"/>
                <w:color w:val="auto"/>
              </w:rPr>
            </w:pPr>
            <w:r>
              <w:rPr>
                <w:rFonts w:ascii="Arial" w:cs="Arial" w:eastAsia="Arial" w:hAnsi="Arial"/>
                <w:sz w:val="11"/>
                <w:szCs w:val="11"/>
                <w:color w:val="FFFFFF"/>
              </w:rPr>
              <w:t>strategy for 2024 and guided the</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shd w:val="clear" w:color="auto" w:fill="83AD40"/>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shd w:val="clear" w:color="auto" w:fill="E9F9D8"/>
          </w:tcPr>
          <w:p>
            <w:pPr>
              <w:spacing w:after="0"/>
              <w:rPr>
                <w:sz w:val="8"/>
                <w:szCs w:val="8"/>
                <w:color w:val="auto"/>
              </w:rPr>
            </w:pPr>
          </w:p>
        </w:tc>
        <w:tc>
          <w:tcPr>
            <w:tcW w:w="40" w:type="dxa"/>
            <w:vAlign w:val="bottom"/>
            <w:shd w:val="clear" w:color="auto" w:fill="E9F9D8"/>
          </w:tcPr>
          <w:p>
            <w:pPr>
              <w:spacing w:after="0"/>
              <w:rPr>
                <w:sz w:val="8"/>
                <w:szCs w:val="8"/>
                <w:color w:val="auto"/>
              </w:rPr>
            </w:pPr>
          </w:p>
        </w:tc>
        <w:tc>
          <w:tcPr>
            <w:tcW w:w="860" w:type="dxa"/>
            <w:vAlign w:val="bottom"/>
            <w:shd w:val="clear" w:color="auto" w:fill="E9F9D8"/>
          </w:tcPr>
          <w:p>
            <w:pPr>
              <w:spacing w:after="0"/>
              <w:rPr>
                <w:sz w:val="8"/>
                <w:szCs w:val="8"/>
                <w:color w:val="auto"/>
              </w:rPr>
            </w:pPr>
          </w:p>
        </w:tc>
        <w:tc>
          <w:tcPr>
            <w:tcW w:w="80" w:type="dxa"/>
            <w:vAlign w:val="bottom"/>
            <w:shd w:val="clear" w:color="auto" w:fill="E9F9D8"/>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40" w:type="dxa"/>
            <w:vAlign w:val="bottom"/>
            <w:gridSpan w:val="6"/>
            <w:vMerge w:val="restart"/>
          </w:tcPr>
          <w:p>
            <w:pPr>
              <w:ind w:left="20"/>
              <w:spacing w:after="0"/>
              <w:rPr>
                <w:sz w:val="20"/>
                <w:szCs w:val="20"/>
                <w:color w:val="auto"/>
              </w:rPr>
            </w:pPr>
            <w:r>
              <w:rPr>
                <w:rFonts w:ascii="Arial" w:cs="Arial" w:eastAsia="Arial" w:hAnsi="Arial"/>
                <w:sz w:val="15"/>
                <w:szCs w:val="15"/>
                <w:color w:val="auto"/>
              </w:rPr>
              <w:t>units vesting 50% as of December 31, 2026 and 50% as of</w:t>
            </w: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20" w:type="dxa"/>
            <w:vAlign w:val="bottom"/>
          </w:tcPr>
          <w:p>
            <w:pPr>
              <w:spacing w:after="0"/>
              <w:rPr>
                <w:sz w:val="7"/>
                <w:szCs w:val="7"/>
                <w:color w:val="auto"/>
              </w:rPr>
            </w:pPr>
          </w:p>
        </w:tc>
        <w:tc>
          <w:tcPr>
            <w:tcW w:w="2380" w:type="dxa"/>
            <w:vAlign w:val="bottom"/>
            <w:gridSpan w:val="3"/>
            <w:vMerge w:val="restart"/>
            <w:shd w:val="clear" w:color="auto" w:fill="1F2668"/>
          </w:tcPr>
          <w:p>
            <w:pPr>
              <w:ind w:left="140"/>
              <w:spacing w:after="0" w:line="135" w:lineRule="exact"/>
              <w:rPr>
                <w:sz w:val="20"/>
                <w:szCs w:val="20"/>
                <w:color w:val="auto"/>
              </w:rPr>
            </w:pPr>
            <w:r>
              <w:rPr>
                <w:rFonts w:ascii="Arial" w:cs="Arial" w:eastAsia="Arial" w:hAnsi="Arial"/>
                <w:sz w:val="13"/>
                <w:szCs w:val="13"/>
                <w:color w:val="FFFFFF"/>
              </w:rPr>
              <w:t>Company through a challenging</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shd w:val="clear" w:color="auto" w:fill="83AD40"/>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shd w:val="clear" w:color="auto" w:fill="E9F9D8"/>
          </w:tcPr>
          <w:p>
            <w:pPr>
              <w:spacing w:after="0"/>
              <w:rPr>
                <w:sz w:val="7"/>
                <w:szCs w:val="7"/>
                <w:color w:val="auto"/>
              </w:rPr>
            </w:pPr>
          </w:p>
        </w:tc>
        <w:tc>
          <w:tcPr>
            <w:tcW w:w="40" w:type="dxa"/>
            <w:vAlign w:val="bottom"/>
            <w:shd w:val="clear" w:color="auto" w:fill="E9F9D8"/>
          </w:tcPr>
          <w:p>
            <w:pPr>
              <w:spacing w:after="0"/>
              <w:rPr>
                <w:sz w:val="7"/>
                <w:szCs w:val="7"/>
                <w:color w:val="auto"/>
              </w:rPr>
            </w:pPr>
          </w:p>
        </w:tc>
        <w:tc>
          <w:tcPr>
            <w:tcW w:w="860" w:type="dxa"/>
            <w:vAlign w:val="bottom"/>
            <w:shd w:val="clear" w:color="auto" w:fill="E9F9D8"/>
          </w:tcPr>
          <w:p>
            <w:pPr>
              <w:spacing w:after="0"/>
              <w:rPr>
                <w:sz w:val="7"/>
                <w:szCs w:val="7"/>
                <w:color w:val="auto"/>
              </w:rPr>
            </w:pPr>
          </w:p>
        </w:tc>
        <w:tc>
          <w:tcPr>
            <w:tcW w:w="80" w:type="dxa"/>
            <w:vAlign w:val="bottom"/>
            <w:shd w:val="clear" w:color="auto" w:fill="E9F9D8"/>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40" w:type="dxa"/>
            <w:vAlign w:val="bottom"/>
            <w:gridSpan w:val="6"/>
            <w:vMerge w:val="continue"/>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820" w:type="dxa"/>
            <w:vAlign w:val="bottom"/>
          </w:tcPr>
          <w:p>
            <w:pPr>
              <w:spacing w:after="0"/>
              <w:rPr>
                <w:sz w:val="3"/>
                <w:szCs w:val="3"/>
                <w:color w:val="auto"/>
              </w:rPr>
            </w:pPr>
          </w:p>
        </w:tc>
        <w:tc>
          <w:tcPr>
            <w:tcW w:w="2380" w:type="dxa"/>
            <w:vAlign w:val="bottom"/>
            <w:gridSpan w:val="3"/>
            <w:vMerge w:val="continue"/>
            <w:shd w:val="clear" w:color="auto" w:fill="1F2668"/>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shd w:val="clear" w:color="auto" w:fill="83AD40"/>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shd w:val="clear" w:color="auto" w:fill="E9F9D8"/>
          </w:tcPr>
          <w:p>
            <w:pPr>
              <w:spacing w:after="0"/>
              <w:rPr>
                <w:sz w:val="3"/>
                <w:szCs w:val="3"/>
                <w:color w:val="auto"/>
              </w:rPr>
            </w:pPr>
          </w:p>
        </w:tc>
        <w:tc>
          <w:tcPr>
            <w:tcW w:w="40" w:type="dxa"/>
            <w:vAlign w:val="bottom"/>
            <w:shd w:val="clear" w:color="auto" w:fill="E9F9D8"/>
          </w:tcPr>
          <w:p>
            <w:pPr>
              <w:spacing w:after="0"/>
              <w:rPr>
                <w:sz w:val="3"/>
                <w:szCs w:val="3"/>
                <w:color w:val="auto"/>
              </w:rPr>
            </w:pPr>
          </w:p>
        </w:tc>
        <w:tc>
          <w:tcPr>
            <w:tcW w:w="860" w:type="dxa"/>
            <w:vAlign w:val="bottom"/>
            <w:shd w:val="clear" w:color="auto" w:fill="E9F9D8"/>
          </w:tcPr>
          <w:p>
            <w:pPr>
              <w:spacing w:after="0"/>
              <w:rPr>
                <w:sz w:val="3"/>
                <w:szCs w:val="3"/>
                <w:color w:val="auto"/>
              </w:rPr>
            </w:pPr>
          </w:p>
        </w:tc>
        <w:tc>
          <w:tcPr>
            <w:tcW w:w="80" w:type="dxa"/>
            <w:vAlign w:val="bottom"/>
            <w:shd w:val="clear" w:color="auto" w:fill="E9F9D8"/>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80" w:type="dxa"/>
            <w:vAlign w:val="bottom"/>
            <w:gridSpan w:val="4"/>
            <w:vMerge w:val="restart"/>
          </w:tcPr>
          <w:p>
            <w:pPr>
              <w:ind w:left="20"/>
              <w:spacing w:after="0"/>
              <w:rPr>
                <w:sz w:val="20"/>
                <w:szCs w:val="20"/>
                <w:color w:val="auto"/>
              </w:rPr>
            </w:pPr>
            <w:r>
              <w:rPr>
                <w:rFonts w:ascii="Arial" w:cs="Arial" w:eastAsia="Arial" w:hAnsi="Arial"/>
                <w:sz w:val="15"/>
                <w:szCs w:val="15"/>
                <w:color w:val="auto"/>
              </w:rPr>
              <w:t>December 31, 2027.</w:t>
            </w: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1"/>
        </w:trPr>
        <w:tc>
          <w:tcPr>
            <w:tcW w:w="820" w:type="dxa"/>
            <w:vAlign w:val="bottom"/>
          </w:tcPr>
          <w:p>
            <w:pPr>
              <w:spacing w:after="0"/>
              <w:rPr>
                <w:sz w:val="12"/>
                <w:szCs w:val="12"/>
                <w:color w:val="auto"/>
              </w:rPr>
            </w:pPr>
          </w:p>
        </w:tc>
        <w:tc>
          <w:tcPr>
            <w:tcW w:w="2380" w:type="dxa"/>
            <w:vAlign w:val="bottom"/>
            <w:tcBorders>
              <w:bottom w:val="single" w:sz="8" w:color="1F2668"/>
            </w:tcBorders>
            <w:gridSpan w:val="3"/>
            <w:shd w:val="clear" w:color="auto" w:fill="1F2668"/>
          </w:tcPr>
          <w:p>
            <w:pPr>
              <w:ind w:left="140"/>
              <w:spacing w:after="0" w:line="135" w:lineRule="exact"/>
              <w:rPr>
                <w:sz w:val="20"/>
                <w:szCs w:val="20"/>
                <w:color w:val="auto"/>
              </w:rPr>
            </w:pPr>
            <w:r>
              <w:rPr>
                <w:rFonts w:ascii="Arial" w:cs="Arial" w:eastAsia="Arial" w:hAnsi="Arial"/>
                <w:sz w:val="13"/>
                <w:szCs w:val="13"/>
                <w:color w:val="FFFFFF"/>
              </w:rPr>
              <w:t>operating environment to continue</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bottom w:val="single" w:sz="8" w:color="83AD40"/>
            </w:tcBorders>
            <w:shd w:val="clear" w:color="auto" w:fill="83AD40"/>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Borders>
              <w:bottom w:val="single" w:sz="8" w:color="E9F9D8"/>
            </w:tcBorders>
            <w:shd w:val="clear" w:color="auto" w:fill="E9F9D8"/>
          </w:tcPr>
          <w:p>
            <w:pPr>
              <w:spacing w:after="0"/>
              <w:rPr>
                <w:sz w:val="12"/>
                <w:szCs w:val="12"/>
                <w:color w:val="auto"/>
              </w:rPr>
            </w:pPr>
          </w:p>
        </w:tc>
        <w:tc>
          <w:tcPr>
            <w:tcW w:w="40" w:type="dxa"/>
            <w:vAlign w:val="bottom"/>
            <w:tcBorders>
              <w:bottom w:val="single" w:sz="8" w:color="E9F9D8"/>
            </w:tcBorders>
            <w:shd w:val="clear" w:color="auto" w:fill="E9F9D8"/>
          </w:tcPr>
          <w:p>
            <w:pPr>
              <w:spacing w:after="0"/>
              <w:rPr>
                <w:sz w:val="12"/>
                <w:szCs w:val="12"/>
                <w:color w:val="auto"/>
              </w:rPr>
            </w:pPr>
          </w:p>
        </w:tc>
        <w:tc>
          <w:tcPr>
            <w:tcW w:w="860" w:type="dxa"/>
            <w:vAlign w:val="bottom"/>
            <w:tcBorders>
              <w:bottom w:val="single" w:sz="8" w:color="E9F9D8"/>
            </w:tcBorders>
            <w:shd w:val="clear" w:color="auto" w:fill="E9F9D8"/>
          </w:tcPr>
          <w:p>
            <w:pPr>
              <w:spacing w:after="0"/>
              <w:rPr>
                <w:sz w:val="12"/>
                <w:szCs w:val="12"/>
                <w:color w:val="auto"/>
              </w:rPr>
            </w:pPr>
          </w:p>
        </w:tc>
        <w:tc>
          <w:tcPr>
            <w:tcW w:w="80" w:type="dxa"/>
            <w:vAlign w:val="bottom"/>
            <w:tcBorders>
              <w:bottom w:val="single" w:sz="8" w:color="E9F9D8"/>
            </w:tcBorders>
            <w:shd w:val="clear" w:color="auto" w:fill="E9F9D8"/>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80" w:type="dxa"/>
            <w:vAlign w:val="bottom"/>
            <w:gridSpan w:val="4"/>
            <w:vMerge w:val="continue"/>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380" w:type="dxa"/>
            <w:vAlign w:val="bottom"/>
            <w:gridSpan w:val="3"/>
            <w:vMerge w:val="restart"/>
            <w:shd w:val="clear" w:color="auto" w:fill="1F2668"/>
          </w:tcPr>
          <w:p>
            <w:pPr>
              <w:ind w:left="140"/>
              <w:spacing w:after="0" w:line="123" w:lineRule="exact"/>
              <w:rPr>
                <w:sz w:val="20"/>
                <w:szCs w:val="20"/>
                <w:color w:val="auto"/>
              </w:rPr>
            </w:pPr>
            <w:r>
              <w:rPr>
                <w:rFonts w:ascii="Arial" w:cs="Arial" w:eastAsia="Arial" w:hAnsi="Arial"/>
                <w:sz w:val="13"/>
                <w:szCs w:val="13"/>
                <w:color w:val="FFFFFF"/>
              </w:rPr>
              <w:t>to deliver extraordinary returns to</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83AD4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4B5088"/>
          </w:tcPr>
          <w:p>
            <w:pPr>
              <w:spacing w:after="0" w:line="20" w:lineRule="exact"/>
              <w:rPr>
                <w:sz w:val="1"/>
                <w:szCs w:val="1"/>
                <w:color w:val="auto"/>
              </w:rPr>
            </w:pPr>
          </w:p>
        </w:tc>
        <w:tc>
          <w:tcPr>
            <w:tcW w:w="40" w:type="dxa"/>
            <w:vAlign w:val="bottom"/>
            <w:shd w:val="clear" w:color="auto" w:fill="4B5088"/>
          </w:tcPr>
          <w:p>
            <w:pPr>
              <w:spacing w:after="0" w:line="20" w:lineRule="exact"/>
              <w:rPr>
                <w:sz w:val="1"/>
                <w:szCs w:val="1"/>
                <w:color w:val="auto"/>
              </w:rPr>
            </w:pPr>
          </w:p>
        </w:tc>
        <w:tc>
          <w:tcPr>
            <w:tcW w:w="860" w:type="dxa"/>
            <w:vAlign w:val="bottom"/>
            <w:shd w:val="clear" w:color="auto" w:fill="4B5088"/>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100" w:type="dxa"/>
            <w:vAlign w:val="bottom"/>
            <w:tcBorders>
              <w:left w:val="single" w:sz="8" w:color="4B5088"/>
            </w:tcBorders>
            <w:shd w:val="clear" w:color="auto" w:fill="4B5088"/>
          </w:tcPr>
          <w:p>
            <w:pPr>
              <w:spacing w:after="0" w:line="20" w:lineRule="exact"/>
              <w:rPr>
                <w:sz w:val="1"/>
                <w:szCs w:val="1"/>
                <w:color w:val="auto"/>
              </w:rPr>
            </w:pPr>
          </w:p>
        </w:tc>
        <w:tc>
          <w:tcPr>
            <w:tcW w:w="40" w:type="dxa"/>
            <w:vAlign w:val="bottom"/>
            <w:shd w:val="clear" w:color="auto" w:fill="4B5088"/>
          </w:tcPr>
          <w:p>
            <w:pPr>
              <w:spacing w:after="0" w:line="20" w:lineRule="exact"/>
              <w:rPr>
                <w:sz w:val="1"/>
                <w:szCs w:val="1"/>
                <w:color w:val="auto"/>
              </w:rPr>
            </w:pPr>
          </w:p>
        </w:tc>
        <w:tc>
          <w:tcPr>
            <w:tcW w:w="840" w:type="dxa"/>
            <w:vAlign w:val="bottom"/>
            <w:shd w:val="clear" w:color="auto" w:fill="4B5088"/>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40" w:type="dxa"/>
            <w:vAlign w:val="bottom"/>
            <w:shd w:val="clear" w:color="auto" w:fill="4B5088"/>
          </w:tcPr>
          <w:p>
            <w:pPr>
              <w:spacing w:after="0" w:line="20" w:lineRule="exact"/>
              <w:rPr>
                <w:sz w:val="1"/>
                <w:szCs w:val="1"/>
                <w:color w:val="auto"/>
              </w:rPr>
            </w:pPr>
          </w:p>
        </w:tc>
        <w:tc>
          <w:tcPr>
            <w:tcW w:w="40" w:type="dxa"/>
            <w:vAlign w:val="bottom"/>
            <w:shd w:val="clear" w:color="auto" w:fill="4B5088"/>
          </w:tcPr>
          <w:p>
            <w:pPr>
              <w:spacing w:after="0" w:line="20" w:lineRule="exact"/>
              <w:rPr>
                <w:sz w:val="1"/>
                <w:szCs w:val="1"/>
                <w:color w:val="auto"/>
              </w:rPr>
            </w:pPr>
          </w:p>
        </w:tc>
        <w:tc>
          <w:tcPr>
            <w:tcW w:w="120" w:type="dxa"/>
            <w:vAlign w:val="bottom"/>
            <w:shd w:val="clear" w:color="auto" w:fill="4B5088"/>
          </w:tcPr>
          <w:p>
            <w:pPr>
              <w:spacing w:after="0" w:line="20" w:lineRule="exact"/>
              <w:rPr>
                <w:sz w:val="1"/>
                <w:szCs w:val="1"/>
                <w:color w:val="auto"/>
              </w:rPr>
            </w:pPr>
          </w:p>
        </w:tc>
        <w:tc>
          <w:tcPr>
            <w:tcW w:w="1100" w:type="dxa"/>
            <w:vAlign w:val="bottom"/>
            <w:shd w:val="clear" w:color="auto" w:fill="4B5088"/>
          </w:tcPr>
          <w:p>
            <w:pPr>
              <w:spacing w:after="0" w:line="20" w:lineRule="exact"/>
              <w:rPr>
                <w:sz w:val="1"/>
                <w:szCs w:val="1"/>
                <w:color w:val="auto"/>
              </w:rPr>
            </w:pPr>
          </w:p>
        </w:tc>
        <w:tc>
          <w:tcPr>
            <w:tcW w:w="820" w:type="dxa"/>
            <w:vAlign w:val="bottom"/>
            <w:shd w:val="clear" w:color="auto" w:fill="4B5088"/>
          </w:tcPr>
          <w:p>
            <w:pPr>
              <w:spacing w:after="0" w:line="20" w:lineRule="exact"/>
              <w:rPr>
                <w:sz w:val="1"/>
                <w:szCs w:val="1"/>
                <w:color w:val="auto"/>
              </w:rPr>
            </w:pPr>
          </w:p>
        </w:tc>
        <w:tc>
          <w:tcPr>
            <w:tcW w:w="1180" w:type="dxa"/>
            <w:vAlign w:val="bottom"/>
            <w:shd w:val="clear" w:color="auto" w:fill="4B5088"/>
          </w:tcPr>
          <w:p>
            <w:pPr>
              <w:spacing w:after="0" w:line="20" w:lineRule="exact"/>
              <w:rPr>
                <w:sz w:val="1"/>
                <w:szCs w:val="1"/>
                <w:color w:val="auto"/>
              </w:rPr>
            </w:pPr>
          </w:p>
        </w:tc>
        <w:tc>
          <w:tcPr>
            <w:tcW w:w="780" w:type="dxa"/>
            <w:vAlign w:val="bottom"/>
            <w:shd w:val="clear" w:color="auto" w:fill="4B5088"/>
          </w:tcPr>
          <w:p>
            <w:pPr>
              <w:spacing w:after="0" w:line="20" w:lineRule="exact"/>
              <w:rPr>
                <w:sz w:val="1"/>
                <w:szCs w:val="1"/>
                <w:color w:val="auto"/>
              </w:rPr>
            </w:pPr>
          </w:p>
        </w:tc>
        <w:tc>
          <w:tcPr>
            <w:tcW w:w="40" w:type="dxa"/>
            <w:vAlign w:val="bottom"/>
            <w:shd w:val="clear" w:color="auto" w:fill="4B508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20" w:type="dxa"/>
            <w:vAlign w:val="bottom"/>
          </w:tcPr>
          <w:p>
            <w:pPr>
              <w:spacing w:after="0"/>
              <w:rPr>
                <w:sz w:val="8"/>
                <w:szCs w:val="8"/>
                <w:color w:val="auto"/>
              </w:rPr>
            </w:pPr>
          </w:p>
        </w:tc>
        <w:tc>
          <w:tcPr>
            <w:tcW w:w="2380" w:type="dxa"/>
            <w:vAlign w:val="bottom"/>
            <w:gridSpan w:val="3"/>
            <w:vMerge w:val="continue"/>
            <w:shd w:val="clear" w:color="auto" w:fill="1F2668"/>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shd w:val="clear" w:color="auto" w:fill="83AD40"/>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vMerge w:val="restart"/>
            <w:shd w:val="clear" w:color="auto" w:fill="E9F9D8"/>
          </w:tcPr>
          <w:p>
            <w:pPr>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shd w:val="clear" w:color="auto" w:fill="E9F9D8"/>
          </w:tcPr>
          <w:p>
            <w:pPr>
              <w:spacing w:after="0"/>
              <w:rPr>
                <w:sz w:val="20"/>
                <w:szCs w:val="20"/>
                <w:color w:val="auto"/>
              </w:rPr>
            </w:pPr>
            <w:r>
              <w:rPr>
                <w:rFonts w:ascii="Arial" w:cs="Arial" w:eastAsia="Arial" w:hAnsi="Arial"/>
                <w:sz w:val="32"/>
                <w:szCs w:val="32"/>
                <w:color w:val="1F2668"/>
              </w:rPr>
              <w:t>45%</w:t>
            </w:r>
          </w:p>
        </w:tc>
        <w:tc>
          <w:tcPr>
            <w:tcW w:w="80" w:type="dxa"/>
            <w:vAlign w:val="bottom"/>
            <w:shd w:val="clear" w:color="auto" w:fill="E9F9D8"/>
          </w:tcPr>
          <w:p>
            <w:pPr>
              <w:spacing w:after="0"/>
              <w:rPr>
                <w:sz w:val="8"/>
                <w:szCs w:val="8"/>
                <w:color w:val="auto"/>
              </w:rPr>
            </w:pPr>
          </w:p>
        </w:tc>
        <w:tc>
          <w:tcPr>
            <w:tcW w:w="100" w:type="dxa"/>
            <w:vAlign w:val="bottom"/>
            <w:vMerge w:val="restart"/>
          </w:tcPr>
          <w:p>
            <w:pPr>
              <w:spacing w:after="0"/>
              <w:rPr>
                <w:sz w:val="20"/>
                <w:szCs w:val="20"/>
                <w:color w:val="auto"/>
              </w:rPr>
            </w:pPr>
            <w:r>
              <w:rPr>
                <w:rFonts w:ascii="Arial" w:cs="Arial" w:eastAsia="Arial" w:hAnsi="Arial"/>
                <w:sz w:val="15"/>
                <w:szCs w:val="15"/>
                <w:color w:val="auto"/>
              </w:rPr>
              <w:t>​​</w:t>
            </w:r>
          </w:p>
        </w:tc>
        <w:tc>
          <w:tcPr>
            <w:tcW w:w="880" w:type="dxa"/>
            <w:vAlign w:val="bottom"/>
            <w:gridSpan w:val="2"/>
            <w:vMerge w:val="restart"/>
          </w:tcPr>
          <w:p>
            <w:pPr>
              <w:spacing w:after="0"/>
              <w:rPr>
                <w:sz w:val="20"/>
                <w:szCs w:val="20"/>
                <w:color w:val="auto"/>
              </w:rPr>
            </w:pPr>
            <w:r>
              <w:rPr>
                <w:rFonts w:ascii="Arial" w:cs="Arial" w:eastAsia="Arial" w:hAnsi="Arial"/>
                <w:sz w:val="32"/>
                <w:szCs w:val="32"/>
                <w:color w:val="1F2668"/>
              </w:rPr>
              <w:t>35%</w:t>
            </w:r>
          </w:p>
        </w:tc>
        <w:tc>
          <w:tcPr>
            <w:tcW w:w="2220" w:type="dxa"/>
            <w:vAlign w:val="bottom"/>
            <w:gridSpan w:val="6"/>
            <w:vMerge w:val="restart"/>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b w:val="1"/>
                <w:bCs w:val="1"/>
                <w:color w:val="auto"/>
              </w:rPr>
              <w:t>Time-Based Equity Awards</w:t>
            </w: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34"/>
        </w:trPr>
        <w:tc>
          <w:tcPr>
            <w:tcW w:w="820" w:type="dxa"/>
            <w:vAlign w:val="bottom"/>
          </w:tcPr>
          <w:p>
            <w:pPr>
              <w:spacing w:after="0"/>
              <w:rPr>
                <w:sz w:val="11"/>
                <w:szCs w:val="11"/>
                <w:color w:val="auto"/>
              </w:rPr>
            </w:pPr>
          </w:p>
        </w:tc>
        <w:tc>
          <w:tcPr>
            <w:tcW w:w="2380" w:type="dxa"/>
            <w:vAlign w:val="bottom"/>
            <w:gridSpan w:val="3"/>
            <w:shd w:val="clear" w:color="auto" w:fill="1F2668"/>
          </w:tcPr>
          <w:p>
            <w:pPr>
              <w:ind w:left="140"/>
              <w:spacing w:after="0" w:line="134" w:lineRule="exact"/>
              <w:rPr>
                <w:sz w:val="20"/>
                <w:szCs w:val="20"/>
                <w:color w:val="auto"/>
              </w:rPr>
            </w:pPr>
            <w:r>
              <w:rPr>
                <w:rFonts w:ascii="Arial" w:cs="Arial" w:eastAsia="Arial" w:hAnsi="Arial"/>
                <w:sz w:val="13"/>
                <w:szCs w:val="13"/>
                <w:color w:val="FFFFFF"/>
              </w:rPr>
              <w:t>stockholders for the second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shd w:val="clear" w:color="auto" w:fill="83AD40"/>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vMerge w:val="continue"/>
            <w:shd w:val="clear" w:color="auto" w:fill="E9F9D8"/>
          </w:tcPr>
          <w:p>
            <w:pPr>
              <w:spacing w:after="0"/>
              <w:rPr>
                <w:sz w:val="11"/>
                <w:szCs w:val="11"/>
                <w:color w:val="auto"/>
              </w:rPr>
            </w:pPr>
          </w:p>
        </w:tc>
        <w:tc>
          <w:tcPr>
            <w:tcW w:w="900" w:type="dxa"/>
            <w:vAlign w:val="bottom"/>
            <w:gridSpan w:val="2"/>
            <w:vMerge w:val="continue"/>
            <w:shd w:val="clear" w:color="auto" w:fill="E9F9D8"/>
          </w:tcPr>
          <w:p>
            <w:pPr>
              <w:spacing w:after="0"/>
              <w:rPr>
                <w:sz w:val="11"/>
                <w:szCs w:val="11"/>
                <w:color w:val="auto"/>
              </w:rPr>
            </w:pPr>
          </w:p>
        </w:tc>
        <w:tc>
          <w:tcPr>
            <w:tcW w:w="80" w:type="dxa"/>
            <w:vAlign w:val="bottom"/>
            <w:shd w:val="clear" w:color="auto" w:fill="E9F9D8"/>
          </w:tcPr>
          <w:p>
            <w:pPr>
              <w:spacing w:after="0"/>
              <w:rPr>
                <w:sz w:val="11"/>
                <w:szCs w:val="11"/>
                <w:color w:val="auto"/>
              </w:rPr>
            </w:pPr>
          </w:p>
        </w:tc>
        <w:tc>
          <w:tcPr>
            <w:tcW w:w="100" w:type="dxa"/>
            <w:vAlign w:val="bottom"/>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2220" w:type="dxa"/>
            <w:vAlign w:val="bottom"/>
            <w:gridSpan w:val="6"/>
            <w:vMerge w:val="continue"/>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20" w:type="dxa"/>
            <w:vAlign w:val="bottom"/>
          </w:tcPr>
          <w:p>
            <w:pPr>
              <w:spacing w:after="0"/>
              <w:rPr>
                <w:sz w:val="11"/>
                <w:szCs w:val="11"/>
                <w:color w:val="auto"/>
              </w:rPr>
            </w:pPr>
          </w:p>
        </w:tc>
        <w:tc>
          <w:tcPr>
            <w:tcW w:w="2380" w:type="dxa"/>
            <w:vAlign w:val="bottom"/>
            <w:gridSpan w:val="3"/>
            <w:shd w:val="clear" w:color="auto" w:fill="1F2668"/>
          </w:tcPr>
          <w:p>
            <w:pPr>
              <w:ind w:left="140"/>
              <w:spacing w:after="0" w:line="135" w:lineRule="exact"/>
              <w:rPr>
                <w:sz w:val="20"/>
                <w:szCs w:val="20"/>
                <w:color w:val="auto"/>
              </w:rPr>
            </w:pPr>
            <w:r>
              <w:rPr>
                <w:rFonts w:ascii="Arial" w:cs="Arial" w:eastAsia="Arial" w:hAnsi="Arial"/>
                <w:sz w:val="13"/>
                <w:szCs w:val="13"/>
                <w:color w:val="FFFFFF"/>
              </w:rPr>
              <w:t>consecutive year.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shd w:val="clear" w:color="auto" w:fill="83AD40"/>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shd w:val="clear" w:color="auto" w:fill="E9F9D8"/>
          </w:tcPr>
          <w:p>
            <w:pPr>
              <w:spacing w:after="0"/>
              <w:rPr>
                <w:sz w:val="11"/>
                <w:szCs w:val="11"/>
                <w:color w:val="auto"/>
              </w:rPr>
            </w:pPr>
          </w:p>
        </w:tc>
        <w:tc>
          <w:tcPr>
            <w:tcW w:w="900" w:type="dxa"/>
            <w:vAlign w:val="bottom"/>
            <w:gridSpan w:val="2"/>
            <w:vMerge w:val="continue"/>
            <w:shd w:val="clear" w:color="auto" w:fill="E9F9D8"/>
          </w:tcPr>
          <w:p>
            <w:pPr>
              <w:spacing w:after="0"/>
              <w:rPr>
                <w:sz w:val="11"/>
                <w:szCs w:val="11"/>
                <w:color w:val="auto"/>
              </w:rPr>
            </w:pPr>
          </w:p>
        </w:tc>
        <w:tc>
          <w:tcPr>
            <w:tcW w:w="80" w:type="dxa"/>
            <w:vAlign w:val="bottom"/>
            <w:shd w:val="clear" w:color="auto" w:fill="E9F9D8"/>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40" w:type="dxa"/>
            <w:vAlign w:val="bottom"/>
            <w:gridSpan w:val="6"/>
          </w:tcPr>
          <w:p>
            <w:pPr>
              <w:ind w:left="20"/>
              <w:spacing w:after="0" w:line="135" w:lineRule="exact"/>
              <w:rPr>
                <w:sz w:val="20"/>
                <w:szCs w:val="20"/>
                <w:color w:val="auto"/>
              </w:rPr>
            </w:pPr>
            <w:r>
              <w:rPr>
                <w:rFonts w:ascii="Arial" w:cs="Arial" w:eastAsia="Arial" w:hAnsi="Arial"/>
                <w:sz w:val="15"/>
                <w:szCs w:val="15"/>
                <w:color w:val="auto"/>
              </w:rPr>
              <w:t>The Committee granted time-based awards in January 2025</w:t>
            </w: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2380" w:type="dxa"/>
            <w:vAlign w:val="bottom"/>
            <w:gridSpan w:val="3"/>
            <w:shd w:val="clear" w:color="auto" w:fill="1F2668"/>
          </w:tcPr>
          <w:p>
            <w:pPr>
              <w:ind w:left="140"/>
              <w:spacing w:after="0"/>
              <w:rPr>
                <w:sz w:val="20"/>
                <w:szCs w:val="20"/>
                <w:color w:val="auto"/>
              </w:rPr>
            </w:pPr>
            <w:r>
              <w:rPr>
                <w:rFonts w:ascii="Arial" w:cs="Arial" w:eastAsia="Arial" w:hAnsi="Arial"/>
                <w:sz w:val="13"/>
                <w:szCs w:val="13"/>
                <w:b w:val="1"/>
                <w:bCs w:val="1"/>
                <w:color w:val="FFFFFF"/>
              </w:rPr>
              <w:t>The Total Direct Compensation</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shd w:val="clear" w:color="auto" w:fill="83AD40"/>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shd w:val="clear" w:color="auto" w:fill="E9F9D8"/>
          </w:tcPr>
          <w:p>
            <w:pPr>
              <w:spacing w:after="0"/>
              <w:rPr>
                <w:sz w:val="18"/>
                <w:szCs w:val="18"/>
                <w:color w:val="auto"/>
              </w:rPr>
            </w:pPr>
          </w:p>
        </w:tc>
        <w:tc>
          <w:tcPr>
            <w:tcW w:w="900" w:type="dxa"/>
            <w:vAlign w:val="bottom"/>
            <w:gridSpan w:val="2"/>
            <w:shd w:val="clear" w:color="auto" w:fill="E9F9D8"/>
          </w:tcPr>
          <w:p>
            <w:pPr>
              <w:spacing w:after="0"/>
              <w:rPr>
                <w:sz w:val="20"/>
                <w:szCs w:val="20"/>
                <w:color w:val="auto"/>
              </w:rPr>
            </w:pPr>
            <w:r>
              <w:rPr>
                <w:rFonts w:ascii="Arial" w:cs="Arial" w:eastAsia="Arial" w:hAnsi="Arial"/>
                <w:sz w:val="16"/>
                <w:szCs w:val="16"/>
                <w:b w:val="1"/>
                <w:bCs w:val="1"/>
                <w:color w:val="auto"/>
              </w:rPr>
              <w:t>$1,812,500</w:t>
            </w:r>
          </w:p>
        </w:tc>
        <w:tc>
          <w:tcPr>
            <w:tcW w:w="80" w:type="dxa"/>
            <w:vAlign w:val="bottom"/>
            <w:shd w:val="clear" w:color="auto" w:fill="E9F9D8"/>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$1,090,304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40" w:type="dxa"/>
            <w:vAlign w:val="bottom"/>
            <w:gridSpan w:val="6"/>
          </w:tcPr>
          <w:p>
            <w:pPr>
              <w:ind w:left="20"/>
              <w:spacing w:after="0"/>
              <w:rPr>
                <w:sz w:val="20"/>
                <w:szCs w:val="20"/>
                <w:color w:val="auto"/>
              </w:rPr>
            </w:pPr>
            <w:r>
              <w:rPr>
                <w:rFonts w:ascii="Arial" w:cs="Arial" w:eastAsia="Arial" w:hAnsi="Arial"/>
                <w:sz w:val="15"/>
                <w:szCs w:val="15"/>
                <w:color w:val="auto"/>
              </w:rPr>
              <w:t>based on the Company’s 2024 performance. The awards</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820" w:type="dxa"/>
            <w:vAlign w:val="bottom"/>
          </w:tcPr>
          <w:p>
            <w:pPr>
              <w:spacing w:after="0"/>
              <w:rPr>
                <w:sz w:val="7"/>
                <w:szCs w:val="7"/>
                <w:color w:val="auto"/>
              </w:rPr>
            </w:pPr>
          </w:p>
        </w:tc>
        <w:tc>
          <w:tcPr>
            <w:tcW w:w="2380" w:type="dxa"/>
            <w:vAlign w:val="bottom"/>
            <w:gridSpan w:val="3"/>
            <w:vMerge w:val="restart"/>
            <w:shd w:val="clear" w:color="auto" w:fill="1F2668"/>
          </w:tcPr>
          <w:p>
            <w:pPr>
              <w:ind w:left="140"/>
              <w:spacing w:after="0" w:line="148" w:lineRule="exact"/>
              <w:rPr>
                <w:sz w:val="20"/>
                <w:szCs w:val="20"/>
                <w:color w:val="auto"/>
              </w:rPr>
            </w:pPr>
            <w:r>
              <w:rPr>
                <w:rFonts w:ascii="Arial" w:cs="Arial" w:eastAsia="Arial" w:hAnsi="Arial"/>
                <w:sz w:val="13"/>
                <w:szCs w:val="13"/>
                <w:b w:val="1"/>
                <w:bCs w:val="1"/>
                <w:color w:val="FFFFFF"/>
              </w:rPr>
              <w:t>approved by the Committee for</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shd w:val="clear" w:color="auto" w:fill="83AD40"/>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shd w:val="clear" w:color="auto" w:fill="E9F9D8"/>
          </w:tcPr>
          <w:p>
            <w:pPr>
              <w:spacing w:after="0"/>
              <w:rPr>
                <w:sz w:val="7"/>
                <w:szCs w:val="7"/>
                <w:color w:val="auto"/>
              </w:rPr>
            </w:pPr>
          </w:p>
        </w:tc>
        <w:tc>
          <w:tcPr>
            <w:tcW w:w="40" w:type="dxa"/>
            <w:vAlign w:val="bottom"/>
            <w:shd w:val="clear" w:color="auto" w:fill="E9F9D8"/>
          </w:tcPr>
          <w:p>
            <w:pPr>
              <w:spacing w:after="0"/>
              <w:rPr>
                <w:sz w:val="7"/>
                <w:szCs w:val="7"/>
                <w:color w:val="auto"/>
              </w:rPr>
            </w:pPr>
          </w:p>
        </w:tc>
        <w:tc>
          <w:tcPr>
            <w:tcW w:w="860" w:type="dxa"/>
            <w:vAlign w:val="bottom"/>
            <w:shd w:val="clear" w:color="auto" w:fill="E9F9D8"/>
          </w:tcPr>
          <w:p>
            <w:pPr>
              <w:spacing w:after="0"/>
              <w:rPr>
                <w:sz w:val="7"/>
                <w:szCs w:val="7"/>
                <w:color w:val="auto"/>
              </w:rPr>
            </w:pPr>
          </w:p>
        </w:tc>
        <w:tc>
          <w:tcPr>
            <w:tcW w:w="80" w:type="dxa"/>
            <w:vAlign w:val="bottom"/>
            <w:shd w:val="clear" w:color="auto" w:fill="E9F9D8"/>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40" w:type="dxa"/>
            <w:vAlign w:val="bottom"/>
            <w:gridSpan w:val="6"/>
          </w:tcPr>
          <w:p>
            <w:pPr>
              <w:ind w:left="20"/>
              <w:spacing w:after="0" w:line="91" w:lineRule="exact"/>
              <w:rPr>
                <w:sz w:val="20"/>
                <w:szCs w:val="20"/>
                <w:color w:val="auto"/>
              </w:rPr>
            </w:pPr>
            <w:r>
              <w:rPr>
                <w:rFonts w:ascii="Arial" w:cs="Arial" w:eastAsia="Arial" w:hAnsi="Arial"/>
                <w:sz w:val="10"/>
                <w:szCs w:val="10"/>
                <w:color w:val="auto"/>
              </w:rPr>
              <w:t xml:space="preserve">had a target value of </w:t>
            </w:r>
            <w:r>
              <w:rPr>
                <w:rFonts w:ascii="Arial" w:cs="Arial" w:eastAsia="Arial" w:hAnsi="Arial"/>
                <w:sz w:val="10"/>
                <w:szCs w:val="10"/>
                <w:b w:val="1"/>
                <w:bCs w:val="1"/>
                <w:color w:val="auto"/>
              </w:rPr>
              <w:t>$1,812,500</w:t>
            </w:r>
            <w:r>
              <w:rPr>
                <w:rFonts w:ascii="Arial" w:cs="Arial" w:eastAsia="Arial" w:hAnsi="Arial"/>
                <w:sz w:val="10"/>
                <w:szCs w:val="10"/>
                <w:color w:val="auto"/>
              </w:rPr>
              <w:t>. The corresponding 26,564</w:t>
            </w: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820" w:type="dxa"/>
            <w:vAlign w:val="bottom"/>
          </w:tcPr>
          <w:p>
            <w:pPr>
              <w:spacing w:after="0"/>
              <w:rPr>
                <w:sz w:val="4"/>
                <w:szCs w:val="4"/>
                <w:color w:val="auto"/>
              </w:rPr>
            </w:pPr>
          </w:p>
        </w:tc>
        <w:tc>
          <w:tcPr>
            <w:tcW w:w="2380" w:type="dxa"/>
            <w:vAlign w:val="bottom"/>
            <w:gridSpan w:val="3"/>
            <w:vMerge w:val="continue"/>
            <w:shd w:val="clear" w:color="auto" w:fill="1F2668"/>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shd w:val="clear" w:color="auto" w:fill="83AD40"/>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shd w:val="clear" w:color="auto" w:fill="E9F9D8"/>
          </w:tcPr>
          <w:p>
            <w:pPr>
              <w:spacing w:after="0"/>
              <w:rPr>
                <w:sz w:val="4"/>
                <w:szCs w:val="4"/>
                <w:color w:val="auto"/>
              </w:rPr>
            </w:pPr>
          </w:p>
        </w:tc>
        <w:tc>
          <w:tcPr>
            <w:tcW w:w="40" w:type="dxa"/>
            <w:vAlign w:val="bottom"/>
            <w:shd w:val="clear" w:color="auto" w:fill="E9F9D8"/>
          </w:tcPr>
          <w:p>
            <w:pPr>
              <w:spacing w:after="0"/>
              <w:rPr>
                <w:sz w:val="4"/>
                <w:szCs w:val="4"/>
                <w:color w:val="auto"/>
              </w:rPr>
            </w:pPr>
          </w:p>
        </w:tc>
        <w:tc>
          <w:tcPr>
            <w:tcW w:w="860" w:type="dxa"/>
            <w:vAlign w:val="bottom"/>
            <w:shd w:val="clear" w:color="auto" w:fill="E9F9D8"/>
          </w:tcPr>
          <w:p>
            <w:pPr>
              <w:spacing w:after="0"/>
              <w:rPr>
                <w:sz w:val="4"/>
                <w:szCs w:val="4"/>
                <w:color w:val="auto"/>
              </w:rPr>
            </w:pPr>
          </w:p>
        </w:tc>
        <w:tc>
          <w:tcPr>
            <w:tcW w:w="80" w:type="dxa"/>
            <w:vAlign w:val="bottom"/>
            <w:shd w:val="clear" w:color="auto" w:fill="E9F9D8"/>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40" w:type="dxa"/>
            <w:vAlign w:val="bottom"/>
            <w:gridSpan w:val="6"/>
            <w:vMerge w:val="restart"/>
          </w:tcPr>
          <w:p>
            <w:pPr>
              <w:ind w:left="20"/>
              <w:spacing w:after="0"/>
              <w:rPr>
                <w:sz w:val="20"/>
                <w:szCs w:val="20"/>
                <w:color w:val="auto"/>
              </w:rPr>
            </w:pPr>
            <w:r>
              <w:rPr>
                <w:rFonts w:ascii="Arial" w:cs="Arial" w:eastAsia="Arial" w:hAnsi="Arial"/>
                <w:sz w:val="15"/>
                <w:szCs w:val="15"/>
                <w:color w:val="auto"/>
              </w:rPr>
              <w:t>LTIP units will vest on January 1, 2026, subject to continued</w:t>
            </w: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820" w:type="dxa"/>
            <w:vAlign w:val="bottom"/>
          </w:tcPr>
          <w:p>
            <w:pPr>
              <w:spacing w:after="0"/>
              <w:rPr>
                <w:sz w:val="11"/>
                <w:szCs w:val="11"/>
                <w:color w:val="auto"/>
              </w:rPr>
            </w:pPr>
          </w:p>
        </w:tc>
        <w:tc>
          <w:tcPr>
            <w:tcW w:w="2380" w:type="dxa"/>
            <w:vAlign w:val="bottom"/>
            <w:gridSpan w:val="3"/>
            <w:shd w:val="clear" w:color="auto" w:fill="1F2668"/>
          </w:tcPr>
          <w:p>
            <w:pPr>
              <w:ind w:left="140"/>
              <w:spacing w:after="0" w:line="136" w:lineRule="exact"/>
              <w:rPr>
                <w:sz w:val="20"/>
                <w:szCs w:val="20"/>
                <w:color w:val="auto"/>
              </w:rPr>
            </w:pPr>
            <w:r>
              <w:rPr>
                <w:rFonts w:ascii="Arial" w:cs="Arial" w:eastAsia="Arial" w:hAnsi="Arial"/>
                <w:sz w:val="13"/>
                <w:szCs w:val="13"/>
                <w:b w:val="1"/>
                <w:bCs w:val="1"/>
                <w:color w:val="FFFFFF"/>
              </w:rPr>
              <w:t>Mr. Levine for 2024 is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shd w:val="clear" w:color="auto" w:fill="83AD40"/>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shd w:val="clear" w:color="auto" w:fill="E9F9D8"/>
          </w:tcPr>
          <w:p>
            <w:pPr>
              <w:spacing w:after="0"/>
              <w:rPr>
                <w:sz w:val="11"/>
                <w:szCs w:val="11"/>
                <w:color w:val="auto"/>
              </w:rPr>
            </w:pPr>
          </w:p>
        </w:tc>
        <w:tc>
          <w:tcPr>
            <w:tcW w:w="40" w:type="dxa"/>
            <w:vAlign w:val="bottom"/>
            <w:shd w:val="clear" w:color="auto" w:fill="E9F9D8"/>
          </w:tcPr>
          <w:p>
            <w:pPr>
              <w:spacing w:after="0"/>
              <w:rPr>
                <w:sz w:val="11"/>
                <w:szCs w:val="11"/>
                <w:color w:val="auto"/>
              </w:rPr>
            </w:pPr>
          </w:p>
        </w:tc>
        <w:tc>
          <w:tcPr>
            <w:tcW w:w="860" w:type="dxa"/>
            <w:vAlign w:val="bottom"/>
            <w:shd w:val="clear" w:color="auto" w:fill="E9F9D8"/>
          </w:tcPr>
          <w:p>
            <w:pPr>
              <w:spacing w:after="0"/>
              <w:rPr>
                <w:sz w:val="11"/>
                <w:szCs w:val="11"/>
                <w:color w:val="auto"/>
              </w:rPr>
            </w:pPr>
          </w:p>
        </w:tc>
        <w:tc>
          <w:tcPr>
            <w:tcW w:w="80" w:type="dxa"/>
            <w:vAlign w:val="bottom"/>
            <w:shd w:val="clear" w:color="auto" w:fill="E9F9D8"/>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40" w:type="dxa"/>
            <w:vAlign w:val="bottom"/>
            <w:gridSpan w:val="6"/>
            <w:vMerge w:val="continue"/>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820" w:type="dxa"/>
            <w:vAlign w:val="bottom"/>
          </w:tcPr>
          <w:p>
            <w:pPr>
              <w:spacing w:after="0"/>
              <w:rPr>
                <w:sz w:val="12"/>
                <w:szCs w:val="12"/>
                <w:color w:val="auto"/>
              </w:rPr>
            </w:pPr>
          </w:p>
        </w:tc>
        <w:tc>
          <w:tcPr>
            <w:tcW w:w="2380" w:type="dxa"/>
            <w:vAlign w:val="bottom"/>
            <w:gridSpan w:val="3"/>
            <w:shd w:val="clear" w:color="auto" w:fill="1F2668"/>
          </w:tcPr>
          <w:p>
            <w:pPr>
              <w:ind w:left="140"/>
              <w:spacing w:after="0" w:line="148" w:lineRule="exact"/>
              <w:rPr>
                <w:sz w:val="20"/>
                <w:szCs w:val="20"/>
                <w:color w:val="auto"/>
              </w:rPr>
            </w:pPr>
            <w:r>
              <w:rPr>
                <w:rFonts w:ascii="Arial" w:cs="Arial" w:eastAsia="Arial" w:hAnsi="Arial"/>
                <w:sz w:val="13"/>
                <w:szCs w:val="13"/>
                <w:b w:val="1"/>
                <w:bCs w:val="1"/>
                <w:color w:val="FFFFFF"/>
              </w:rPr>
              <w:t>approximately 27% higher than</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shd w:val="clear" w:color="auto" w:fill="83AD40"/>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shd w:val="clear" w:color="auto" w:fill="E9F9D8"/>
          </w:tcPr>
          <w:p>
            <w:pPr>
              <w:spacing w:after="0"/>
              <w:rPr>
                <w:sz w:val="12"/>
                <w:szCs w:val="12"/>
                <w:color w:val="auto"/>
              </w:rPr>
            </w:pPr>
          </w:p>
        </w:tc>
        <w:tc>
          <w:tcPr>
            <w:tcW w:w="40" w:type="dxa"/>
            <w:vAlign w:val="bottom"/>
            <w:shd w:val="clear" w:color="auto" w:fill="E9F9D8"/>
          </w:tcPr>
          <w:p>
            <w:pPr>
              <w:spacing w:after="0"/>
              <w:rPr>
                <w:sz w:val="12"/>
                <w:szCs w:val="12"/>
                <w:color w:val="auto"/>
              </w:rPr>
            </w:pPr>
          </w:p>
        </w:tc>
        <w:tc>
          <w:tcPr>
            <w:tcW w:w="860" w:type="dxa"/>
            <w:vAlign w:val="bottom"/>
            <w:shd w:val="clear" w:color="auto" w:fill="E9F9D8"/>
          </w:tcPr>
          <w:p>
            <w:pPr>
              <w:spacing w:after="0"/>
              <w:rPr>
                <w:sz w:val="12"/>
                <w:szCs w:val="12"/>
                <w:color w:val="auto"/>
              </w:rPr>
            </w:pPr>
          </w:p>
        </w:tc>
        <w:tc>
          <w:tcPr>
            <w:tcW w:w="80" w:type="dxa"/>
            <w:vAlign w:val="bottom"/>
            <w:shd w:val="clear" w:color="auto" w:fill="E9F9D8"/>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3"/>
          </w:tcPr>
          <w:p>
            <w:pPr>
              <w:ind w:left="20"/>
              <w:spacing w:after="0" w:line="147" w:lineRule="exact"/>
              <w:rPr>
                <w:sz w:val="20"/>
                <w:szCs w:val="20"/>
                <w:color w:val="auto"/>
              </w:rPr>
            </w:pPr>
            <w:r>
              <w:rPr>
                <w:rFonts w:ascii="Arial" w:cs="Arial" w:eastAsia="Arial" w:hAnsi="Arial"/>
                <w:sz w:val="15"/>
                <w:szCs w:val="15"/>
                <w:color w:val="auto"/>
              </w:rPr>
              <w:t>employment.</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20" w:type="dxa"/>
            <w:vAlign w:val="bottom"/>
          </w:tcPr>
          <w:p>
            <w:pPr>
              <w:spacing w:after="0"/>
              <w:rPr>
                <w:sz w:val="16"/>
                <w:szCs w:val="16"/>
                <w:color w:val="auto"/>
              </w:rPr>
            </w:pPr>
          </w:p>
        </w:tc>
        <w:tc>
          <w:tcPr>
            <w:tcW w:w="2380" w:type="dxa"/>
            <w:vAlign w:val="bottom"/>
            <w:gridSpan w:val="3"/>
            <w:shd w:val="clear" w:color="auto" w:fill="1F2668"/>
          </w:tcPr>
          <w:p>
            <w:pPr>
              <w:ind w:left="140"/>
              <w:spacing w:after="0"/>
              <w:rPr>
                <w:sz w:val="20"/>
                <w:szCs w:val="20"/>
                <w:color w:val="auto"/>
              </w:rPr>
            </w:pPr>
            <w:r>
              <w:rPr>
                <w:rFonts w:ascii="Arial" w:cs="Arial" w:eastAsia="Arial" w:hAnsi="Arial"/>
                <w:sz w:val="13"/>
                <w:szCs w:val="13"/>
                <w:b w:val="1"/>
                <w:bCs w:val="1"/>
                <w:color w:val="FFFFFF"/>
              </w:rPr>
              <w:t>the Summary Compensation</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shd w:val="clear" w:color="auto" w:fill="83AD40"/>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shd w:val="clear" w:color="auto" w:fill="E9F9D8"/>
          </w:tcPr>
          <w:p>
            <w:pPr>
              <w:spacing w:after="0"/>
              <w:rPr>
                <w:sz w:val="16"/>
                <w:szCs w:val="16"/>
                <w:color w:val="auto"/>
              </w:rPr>
            </w:pPr>
          </w:p>
        </w:tc>
        <w:tc>
          <w:tcPr>
            <w:tcW w:w="40" w:type="dxa"/>
            <w:vAlign w:val="bottom"/>
            <w:shd w:val="clear" w:color="auto" w:fill="E9F9D8"/>
          </w:tcPr>
          <w:p>
            <w:pPr>
              <w:spacing w:after="0"/>
              <w:rPr>
                <w:sz w:val="16"/>
                <w:szCs w:val="16"/>
                <w:color w:val="auto"/>
              </w:rPr>
            </w:pPr>
          </w:p>
        </w:tc>
        <w:tc>
          <w:tcPr>
            <w:tcW w:w="860" w:type="dxa"/>
            <w:vAlign w:val="bottom"/>
            <w:shd w:val="clear" w:color="auto" w:fill="E9F9D8"/>
          </w:tcPr>
          <w:p>
            <w:pPr>
              <w:spacing w:after="0"/>
              <w:rPr>
                <w:sz w:val="16"/>
                <w:szCs w:val="16"/>
                <w:color w:val="auto"/>
              </w:rPr>
            </w:pPr>
          </w:p>
        </w:tc>
        <w:tc>
          <w:tcPr>
            <w:tcW w:w="80" w:type="dxa"/>
            <w:vAlign w:val="bottom"/>
            <w:shd w:val="clear" w:color="auto" w:fill="E9F9D8"/>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40" w:type="dxa"/>
            <w:vAlign w:val="bottom"/>
            <w:gridSpan w:val="6"/>
          </w:tcPr>
          <w:p>
            <w:pPr>
              <w:ind w:left="20"/>
              <w:spacing w:after="0"/>
              <w:rPr>
                <w:sz w:val="20"/>
                <w:szCs w:val="20"/>
                <w:color w:val="auto"/>
              </w:rPr>
            </w:pPr>
            <w:r>
              <w:rPr>
                <w:rFonts w:ascii="Arial" w:cs="Arial" w:eastAsia="Arial" w:hAnsi="Arial"/>
                <w:sz w:val="15"/>
                <w:szCs w:val="15"/>
                <w:b w:val="1"/>
                <w:bCs w:val="1"/>
                <w:color w:val="auto"/>
              </w:rPr>
              <w:t>The SCT amount represents the grant date value of</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820" w:type="dxa"/>
            <w:vAlign w:val="bottom"/>
          </w:tcPr>
          <w:p>
            <w:pPr>
              <w:spacing w:after="0"/>
              <w:rPr>
                <w:sz w:val="7"/>
                <w:szCs w:val="7"/>
                <w:color w:val="auto"/>
              </w:rPr>
            </w:pPr>
          </w:p>
        </w:tc>
        <w:tc>
          <w:tcPr>
            <w:tcW w:w="2380" w:type="dxa"/>
            <w:vAlign w:val="bottom"/>
            <w:gridSpan w:val="3"/>
            <w:shd w:val="clear" w:color="auto" w:fill="1F2668"/>
          </w:tcPr>
          <w:p>
            <w:pPr>
              <w:ind w:left="140"/>
              <w:spacing w:after="0" w:line="81" w:lineRule="exact"/>
              <w:rPr>
                <w:sz w:val="20"/>
                <w:szCs w:val="20"/>
                <w:color w:val="auto"/>
              </w:rPr>
            </w:pPr>
            <w:r>
              <w:rPr>
                <w:rFonts w:ascii="Arial" w:cs="Arial" w:eastAsia="Arial" w:hAnsi="Arial"/>
                <w:sz w:val="9"/>
                <w:szCs w:val="9"/>
                <w:b w:val="1"/>
                <w:bCs w:val="1"/>
                <w:color w:val="FFFFFF"/>
              </w:rPr>
              <w:t>Table amount for 2024 due</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shd w:val="clear" w:color="auto" w:fill="83AD40"/>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shd w:val="clear" w:color="auto" w:fill="E9F9D8"/>
          </w:tcPr>
          <w:p>
            <w:pPr>
              <w:spacing w:after="0"/>
              <w:rPr>
                <w:sz w:val="7"/>
                <w:szCs w:val="7"/>
                <w:color w:val="auto"/>
              </w:rPr>
            </w:pPr>
          </w:p>
        </w:tc>
        <w:tc>
          <w:tcPr>
            <w:tcW w:w="40" w:type="dxa"/>
            <w:vAlign w:val="bottom"/>
            <w:shd w:val="clear" w:color="auto" w:fill="E9F9D8"/>
          </w:tcPr>
          <w:p>
            <w:pPr>
              <w:spacing w:after="0"/>
              <w:rPr>
                <w:sz w:val="7"/>
                <w:szCs w:val="7"/>
                <w:color w:val="auto"/>
              </w:rPr>
            </w:pPr>
          </w:p>
        </w:tc>
        <w:tc>
          <w:tcPr>
            <w:tcW w:w="860" w:type="dxa"/>
            <w:vAlign w:val="bottom"/>
            <w:shd w:val="clear" w:color="auto" w:fill="E9F9D8"/>
          </w:tcPr>
          <w:p>
            <w:pPr>
              <w:spacing w:after="0"/>
              <w:rPr>
                <w:sz w:val="7"/>
                <w:szCs w:val="7"/>
                <w:color w:val="auto"/>
              </w:rPr>
            </w:pPr>
          </w:p>
        </w:tc>
        <w:tc>
          <w:tcPr>
            <w:tcW w:w="80" w:type="dxa"/>
            <w:vAlign w:val="bottom"/>
            <w:shd w:val="clear" w:color="auto" w:fill="E9F9D8"/>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40" w:type="dxa"/>
            <w:vAlign w:val="bottom"/>
            <w:gridSpan w:val="6"/>
            <w:vMerge w:val="restart"/>
          </w:tcPr>
          <w:p>
            <w:pPr>
              <w:ind w:left="20"/>
              <w:spacing w:after="0"/>
              <w:rPr>
                <w:sz w:val="20"/>
                <w:szCs w:val="20"/>
                <w:color w:val="auto"/>
              </w:rPr>
            </w:pPr>
            <w:r>
              <w:rPr>
                <w:rFonts w:ascii="Arial" w:cs="Arial" w:eastAsia="Arial" w:hAnsi="Arial"/>
                <w:sz w:val="15"/>
                <w:szCs w:val="15"/>
                <w:b w:val="1"/>
                <w:bCs w:val="1"/>
                <w:color w:val="auto"/>
              </w:rPr>
              <w:t>equity awards granted in 2024 for 2023 performance,</w:t>
            </w: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820" w:type="dxa"/>
            <w:vAlign w:val="bottom"/>
          </w:tcPr>
          <w:p>
            <w:pPr>
              <w:spacing w:after="0"/>
              <w:rPr>
                <w:sz w:val="8"/>
                <w:szCs w:val="8"/>
                <w:color w:val="auto"/>
              </w:rPr>
            </w:pPr>
          </w:p>
        </w:tc>
        <w:tc>
          <w:tcPr>
            <w:tcW w:w="2380" w:type="dxa"/>
            <w:vAlign w:val="bottom"/>
            <w:gridSpan w:val="3"/>
            <w:vMerge w:val="restart"/>
            <w:shd w:val="clear" w:color="auto" w:fill="1F2668"/>
          </w:tcPr>
          <w:p>
            <w:pPr>
              <w:ind w:left="140"/>
              <w:spacing w:after="0" w:line="148" w:lineRule="exact"/>
              <w:rPr>
                <w:sz w:val="20"/>
                <w:szCs w:val="20"/>
                <w:color w:val="auto"/>
              </w:rPr>
            </w:pPr>
            <w:r>
              <w:rPr>
                <w:rFonts w:ascii="Arial" w:cs="Arial" w:eastAsia="Arial" w:hAnsi="Arial"/>
                <w:sz w:val="13"/>
                <w:szCs w:val="13"/>
                <w:b w:val="1"/>
                <w:bCs w:val="1"/>
                <w:color w:val="FFFFFF"/>
              </w:rPr>
              <w:t>primarily to the form and timing</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shd w:val="clear" w:color="auto" w:fill="83AD40"/>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shd w:val="clear" w:color="auto" w:fill="E9F9D8"/>
          </w:tcPr>
          <w:p>
            <w:pPr>
              <w:spacing w:after="0"/>
              <w:rPr>
                <w:sz w:val="8"/>
                <w:szCs w:val="8"/>
                <w:color w:val="auto"/>
              </w:rPr>
            </w:pPr>
          </w:p>
        </w:tc>
        <w:tc>
          <w:tcPr>
            <w:tcW w:w="40" w:type="dxa"/>
            <w:vAlign w:val="bottom"/>
            <w:shd w:val="clear" w:color="auto" w:fill="E9F9D8"/>
          </w:tcPr>
          <w:p>
            <w:pPr>
              <w:spacing w:after="0"/>
              <w:rPr>
                <w:sz w:val="8"/>
                <w:szCs w:val="8"/>
                <w:color w:val="auto"/>
              </w:rPr>
            </w:pPr>
          </w:p>
        </w:tc>
        <w:tc>
          <w:tcPr>
            <w:tcW w:w="860" w:type="dxa"/>
            <w:vAlign w:val="bottom"/>
            <w:shd w:val="clear" w:color="auto" w:fill="E9F9D8"/>
          </w:tcPr>
          <w:p>
            <w:pPr>
              <w:spacing w:after="0"/>
              <w:rPr>
                <w:sz w:val="8"/>
                <w:szCs w:val="8"/>
                <w:color w:val="auto"/>
              </w:rPr>
            </w:pPr>
          </w:p>
        </w:tc>
        <w:tc>
          <w:tcPr>
            <w:tcW w:w="80" w:type="dxa"/>
            <w:vAlign w:val="bottom"/>
            <w:shd w:val="clear" w:color="auto" w:fill="E9F9D8"/>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40" w:type="dxa"/>
            <w:vAlign w:val="bottom"/>
            <w:gridSpan w:val="6"/>
            <w:vMerge w:val="continue"/>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820" w:type="dxa"/>
            <w:vAlign w:val="bottom"/>
          </w:tcPr>
          <w:p>
            <w:pPr>
              <w:spacing w:after="0"/>
              <w:rPr>
                <w:sz w:val="3"/>
                <w:szCs w:val="3"/>
                <w:color w:val="auto"/>
              </w:rPr>
            </w:pPr>
          </w:p>
        </w:tc>
        <w:tc>
          <w:tcPr>
            <w:tcW w:w="2380" w:type="dxa"/>
            <w:vAlign w:val="bottom"/>
            <w:gridSpan w:val="3"/>
            <w:vMerge w:val="continue"/>
            <w:shd w:val="clear" w:color="auto" w:fill="1F2668"/>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shd w:val="clear" w:color="auto" w:fill="83AD40"/>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shd w:val="clear" w:color="auto" w:fill="E9F9D8"/>
          </w:tcPr>
          <w:p>
            <w:pPr>
              <w:spacing w:after="0"/>
              <w:rPr>
                <w:sz w:val="3"/>
                <w:szCs w:val="3"/>
                <w:color w:val="auto"/>
              </w:rPr>
            </w:pPr>
          </w:p>
        </w:tc>
        <w:tc>
          <w:tcPr>
            <w:tcW w:w="40" w:type="dxa"/>
            <w:vAlign w:val="bottom"/>
            <w:shd w:val="clear" w:color="auto" w:fill="E9F9D8"/>
          </w:tcPr>
          <w:p>
            <w:pPr>
              <w:spacing w:after="0"/>
              <w:rPr>
                <w:sz w:val="3"/>
                <w:szCs w:val="3"/>
                <w:color w:val="auto"/>
              </w:rPr>
            </w:pPr>
          </w:p>
        </w:tc>
        <w:tc>
          <w:tcPr>
            <w:tcW w:w="860" w:type="dxa"/>
            <w:vAlign w:val="bottom"/>
            <w:shd w:val="clear" w:color="auto" w:fill="E9F9D8"/>
          </w:tcPr>
          <w:p>
            <w:pPr>
              <w:spacing w:after="0"/>
              <w:rPr>
                <w:sz w:val="3"/>
                <w:szCs w:val="3"/>
                <w:color w:val="auto"/>
              </w:rPr>
            </w:pPr>
          </w:p>
        </w:tc>
        <w:tc>
          <w:tcPr>
            <w:tcW w:w="80" w:type="dxa"/>
            <w:vAlign w:val="bottom"/>
            <w:shd w:val="clear" w:color="auto" w:fill="E9F9D8"/>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40" w:type="dxa"/>
            <w:vAlign w:val="bottom"/>
            <w:gridSpan w:val="6"/>
            <w:vMerge w:val="restart"/>
          </w:tcPr>
          <w:p>
            <w:pPr>
              <w:ind w:left="20"/>
              <w:spacing w:after="0"/>
              <w:rPr>
                <w:sz w:val="20"/>
                <w:szCs w:val="20"/>
                <w:color w:val="auto"/>
              </w:rPr>
            </w:pPr>
            <w:r>
              <w:rPr>
                <w:rFonts w:ascii="Arial" w:cs="Arial" w:eastAsia="Arial" w:hAnsi="Arial"/>
                <w:sz w:val="15"/>
                <w:szCs w:val="15"/>
                <w:b w:val="1"/>
                <w:bCs w:val="1"/>
                <w:color w:val="auto"/>
              </w:rPr>
              <w:t>which was based on the minimum target amount in</w:t>
            </w: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6"/>
        </w:trPr>
        <w:tc>
          <w:tcPr>
            <w:tcW w:w="820" w:type="dxa"/>
            <w:vAlign w:val="bottom"/>
          </w:tcPr>
          <w:p>
            <w:pPr>
              <w:spacing w:after="0"/>
              <w:rPr>
                <w:sz w:val="11"/>
                <w:szCs w:val="11"/>
                <w:color w:val="auto"/>
              </w:rPr>
            </w:pPr>
          </w:p>
        </w:tc>
        <w:tc>
          <w:tcPr>
            <w:tcW w:w="2380" w:type="dxa"/>
            <w:vAlign w:val="bottom"/>
            <w:gridSpan w:val="3"/>
            <w:shd w:val="clear" w:color="auto" w:fill="1F2668"/>
          </w:tcPr>
          <w:p>
            <w:pPr>
              <w:ind w:left="140"/>
              <w:spacing w:after="0" w:line="136" w:lineRule="exact"/>
              <w:rPr>
                <w:sz w:val="20"/>
                <w:szCs w:val="20"/>
                <w:color w:val="auto"/>
              </w:rPr>
            </w:pPr>
            <w:r>
              <w:rPr>
                <w:rFonts w:ascii="Arial" w:cs="Arial" w:eastAsia="Arial" w:hAnsi="Arial"/>
                <w:sz w:val="13"/>
                <w:szCs w:val="13"/>
                <w:b w:val="1"/>
                <w:bCs w:val="1"/>
                <w:color w:val="FFFFFF"/>
              </w:rPr>
              <w:t>of Mr. Levine’s annual bonus and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shd w:val="clear" w:color="auto" w:fill="83AD40"/>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shd w:val="clear" w:color="auto" w:fill="E9F9D8"/>
          </w:tcPr>
          <w:p>
            <w:pPr>
              <w:spacing w:after="0"/>
              <w:rPr>
                <w:sz w:val="11"/>
                <w:szCs w:val="11"/>
                <w:color w:val="auto"/>
              </w:rPr>
            </w:pPr>
          </w:p>
        </w:tc>
        <w:tc>
          <w:tcPr>
            <w:tcW w:w="40" w:type="dxa"/>
            <w:vAlign w:val="bottom"/>
            <w:shd w:val="clear" w:color="auto" w:fill="E9F9D8"/>
          </w:tcPr>
          <w:p>
            <w:pPr>
              <w:spacing w:after="0"/>
              <w:rPr>
                <w:sz w:val="11"/>
                <w:szCs w:val="11"/>
                <w:color w:val="auto"/>
              </w:rPr>
            </w:pPr>
          </w:p>
        </w:tc>
        <w:tc>
          <w:tcPr>
            <w:tcW w:w="860" w:type="dxa"/>
            <w:vAlign w:val="bottom"/>
            <w:shd w:val="clear" w:color="auto" w:fill="E9F9D8"/>
          </w:tcPr>
          <w:p>
            <w:pPr>
              <w:spacing w:after="0"/>
              <w:rPr>
                <w:sz w:val="11"/>
                <w:szCs w:val="11"/>
                <w:color w:val="auto"/>
              </w:rPr>
            </w:pPr>
          </w:p>
        </w:tc>
        <w:tc>
          <w:tcPr>
            <w:tcW w:w="80" w:type="dxa"/>
            <w:vAlign w:val="bottom"/>
            <w:shd w:val="clear" w:color="auto" w:fill="E9F9D8"/>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40" w:type="dxa"/>
            <w:vAlign w:val="bottom"/>
            <w:gridSpan w:val="6"/>
            <w:vMerge w:val="continue"/>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20" w:type="dxa"/>
            <w:vAlign w:val="bottom"/>
          </w:tcPr>
          <w:p>
            <w:pPr>
              <w:spacing w:after="0"/>
              <w:rPr>
                <w:sz w:val="11"/>
                <w:szCs w:val="11"/>
                <w:color w:val="auto"/>
              </w:rPr>
            </w:pPr>
          </w:p>
        </w:tc>
        <w:tc>
          <w:tcPr>
            <w:tcW w:w="2380" w:type="dxa"/>
            <w:vAlign w:val="bottom"/>
            <w:gridSpan w:val="3"/>
            <w:shd w:val="clear" w:color="auto" w:fill="1F2668"/>
          </w:tcPr>
          <w:p>
            <w:pPr>
              <w:ind w:left="140"/>
              <w:spacing w:after="0" w:line="135" w:lineRule="exact"/>
              <w:rPr>
                <w:sz w:val="20"/>
                <w:szCs w:val="20"/>
                <w:color w:val="auto"/>
              </w:rPr>
            </w:pPr>
            <w:r>
              <w:rPr>
                <w:rFonts w:ascii="Arial" w:cs="Arial" w:eastAsia="Arial" w:hAnsi="Arial"/>
                <w:sz w:val="13"/>
                <w:szCs w:val="13"/>
                <w:b w:val="1"/>
                <w:bCs w:val="1"/>
                <w:color w:val="FFFFFF"/>
              </w:rPr>
              <w:t>annual time-based equity award,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shd w:val="clear" w:color="auto" w:fill="83AD40"/>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shd w:val="clear" w:color="auto" w:fill="E9F9D8"/>
          </w:tcPr>
          <w:p>
            <w:pPr>
              <w:spacing w:after="0"/>
              <w:rPr>
                <w:sz w:val="11"/>
                <w:szCs w:val="11"/>
                <w:color w:val="auto"/>
              </w:rPr>
            </w:pPr>
          </w:p>
        </w:tc>
        <w:tc>
          <w:tcPr>
            <w:tcW w:w="40" w:type="dxa"/>
            <w:vAlign w:val="bottom"/>
            <w:shd w:val="clear" w:color="auto" w:fill="E9F9D8"/>
          </w:tcPr>
          <w:p>
            <w:pPr>
              <w:spacing w:after="0"/>
              <w:rPr>
                <w:sz w:val="11"/>
                <w:szCs w:val="11"/>
                <w:color w:val="auto"/>
              </w:rPr>
            </w:pPr>
          </w:p>
        </w:tc>
        <w:tc>
          <w:tcPr>
            <w:tcW w:w="860" w:type="dxa"/>
            <w:vAlign w:val="bottom"/>
            <w:shd w:val="clear" w:color="auto" w:fill="E9F9D8"/>
          </w:tcPr>
          <w:p>
            <w:pPr>
              <w:spacing w:after="0"/>
              <w:rPr>
                <w:sz w:val="11"/>
                <w:szCs w:val="11"/>
                <w:color w:val="auto"/>
              </w:rPr>
            </w:pPr>
          </w:p>
        </w:tc>
        <w:tc>
          <w:tcPr>
            <w:tcW w:w="80" w:type="dxa"/>
            <w:vAlign w:val="bottom"/>
            <w:shd w:val="clear" w:color="auto" w:fill="E9F9D8"/>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60" w:type="dxa"/>
            <w:vAlign w:val="bottom"/>
            <w:gridSpan w:val="5"/>
          </w:tcPr>
          <w:p>
            <w:pPr>
              <w:ind w:left="20"/>
              <w:spacing w:after="0" w:line="135" w:lineRule="exact"/>
              <w:rPr>
                <w:sz w:val="20"/>
                <w:szCs w:val="20"/>
                <w:color w:val="auto"/>
              </w:rPr>
            </w:pPr>
            <w:r>
              <w:rPr>
                <w:rFonts w:ascii="Arial" w:cs="Arial" w:eastAsia="Arial" w:hAnsi="Arial"/>
                <w:sz w:val="15"/>
                <w:szCs w:val="15"/>
                <w:b w:val="1"/>
                <w:bCs w:val="1"/>
                <w:color w:val="auto"/>
              </w:rPr>
              <w:t>Mr. Levine’s prior employment agreement</w:t>
            </w:r>
            <w:r>
              <w:rPr>
                <w:rFonts w:ascii="Arial" w:cs="Arial" w:eastAsia="Arial" w:hAnsi="Arial"/>
                <w:sz w:val="15"/>
                <w:szCs w:val="15"/>
                <w:color w:val="auto"/>
              </w:rPr>
              <w:t>.</w:t>
            </w: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20" w:type="dxa"/>
            <w:vAlign w:val="bottom"/>
          </w:tcPr>
          <w:p>
            <w:pPr>
              <w:spacing w:after="0"/>
              <w:rPr>
                <w:sz w:val="8"/>
                <w:szCs w:val="8"/>
                <w:color w:val="auto"/>
              </w:rPr>
            </w:pPr>
          </w:p>
        </w:tc>
        <w:tc>
          <w:tcPr>
            <w:tcW w:w="2380" w:type="dxa"/>
            <w:vAlign w:val="bottom"/>
            <w:tcBorders>
              <w:bottom w:val="single" w:sz="8" w:color="1F2668"/>
            </w:tcBorders>
            <w:gridSpan w:val="3"/>
            <w:vMerge w:val="restart"/>
            <w:shd w:val="clear" w:color="auto" w:fill="1F2668"/>
          </w:tcPr>
          <w:p>
            <w:pPr>
              <w:ind w:left="140"/>
              <w:spacing w:after="0" w:line="148" w:lineRule="exact"/>
              <w:rPr>
                <w:sz w:val="20"/>
                <w:szCs w:val="20"/>
                <w:color w:val="auto"/>
              </w:rPr>
            </w:pPr>
            <w:r>
              <w:rPr>
                <w:rFonts w:ascii="Arial" w:cs="Arial" w:eastAsia="Arial" w:hAnsi="Arial"/>
                <w:sz w:val="13"/>
                <w:szCs w:val="13"/>
                <w:b w:val="1"/>
                <w:bCs w:val="1"/>
                <w:color w:val="FFFFFF"/>
              </w:rPr>
              <w:t>both of which were paid fully in</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bottom w:val="single" w:sz="8" w:color="83AD40"/>
            </w:tcBorders>
            <w:shd w:val="clear" w:color="auto" w:fill="83AD40"/>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bottom w:val="single" w:sz="8" w:color="4B5088"/>
            </w:tcBorders>
            <w:shd w:val="clear" w:color="auto" w:fill="E9F9D8"/>
          </w:tcPr>
          <w:p>
            <w:pPr>
              <w:spacing w:after="0"/>
              <w:rPr>
                <w:sz w:val="8"/>
                <w:szCs w:val="8"/>
                <w:color w:val="auto"/>
              </w:rPr>
            </w:pPr>
          </w:p>
        </w:tc>
        <w:tc>
          <w:tcPr>
            <w:tcW w:w="40" w:type="dxa"/>
            <w:vAlign w:val="bottom"/>
            <w:tcBorders>
              <w:bottom w:val="single" w:sz="8" w:color="4B5088"/>
            </w:tcBorders>
            <w:shd w:val="clear" w:color="auto" w:fill="E9F9D8"/>
          </w:tcPr>
          <w:p>
            <w:pPr>
              <w:spacing w:after="0"/>
              <w:rPr>
                <w:sz w:val="8"/>
                <w:szCs w:val="8"/>
                <w:color w:val="auto"/>
              </w:rPr>
            </w:pPr>
          </w:p>
        </w:tc>
        <w:tc>
          <w:tcPr>
            <w:tcW w:w="860" w:type="dxa"/>
            <w:vAlign w:val="bottom"/>
            <w:tcBorders>
              <w:bottom w:val="single" w:sz="8" w:color="4B5088"/>
            </w:tcBorders>
            <w:shd w:val="clear" w:color="auto" w:fill="E9F9D8"/>
          </w:tcPr>
          <w:p>
            <w:pPr>
              <w:spacing w:after="0"/>
              <w:rPr>
                <w:sz w:val="8"/>
                <w:szCs w:val="8"/>
                <w:color w:val="auto"/>
              </w:rPr>
            </w:pPr>
          </w:p>
        </w:tc>
        <w:tc>
          <w:tcPr>
            <w:tcW w:w="80" w:type="dxa"/>
            <w:vAlign w:val="bottom"/>
            <w:tcBorders>
              <w:bottom w:val="single" w:sz="8" w:color="4B5088"/>
            </w:tcBorders>
            <w:shd w:val="clear" w:color="auto" w:fill="E9F9D8"/>
          </w:tcPr>
          <w:p>
            <w:pPr>
              <w:spacing w:after="0"/>
              <w:rPr>
                <w:sz w:val="8"/>
                <w:szCs w:val="8"/>
                <w:color w:val="auto"/>
              </w:rPr>
            </w:pPr>
          </w:p>
        </w:tc>
        <w:tc>
          <w:tcPr>
            <w:tcW w:w="100" w:type="dxa"/>
            <w:vAlign w:val="bottom"/>
            <w:tcBorders>
              <w:bottom w:val="single" w:sz="8" w:color="4B5088"/>
            </w:tcBorders>
          </w:tcPr>
          <w:p>
            <w:pPr>
              <w:spacing w:after="0"/>
              <w:rPr>
                <w:sz w:val="8"/>
                <w:szCs w:val="8"/>
                <w:color w:val="auto"/>
              </w:rPr>
            </w:pPr>
          </w:p>
        </w:tc>
        <w:tc>
          <w:tcPr>
            <w:tcW w:w="40" w:type="dxa"/>
            <w:vAlign w:val="bottom"/>
            <w:tcBorders>
              <w:bottom w:val="single" w:sz="8" w:color="4B5088"/>
            </w:tcBorders>
          </w:tcPr>
          <w:p>
            <w:pPr>
              <w:spacing w:after="0"/>
              <w:rPr>
                <w:sz w:val="8"/>
                <w:szCs w:val="8"/>
                <w:color w:val="auto"/>
              </w:rPr>
            </w:pPr>
          </w:p>
        </w:tc>
        <w:tc>
          <w:tcPr>
            <w:tcW w:w="840" w:type="dxa"/>
            <w:vAlign w:val="bottom"/>
            <w:tcBorders>
              <w:bottom w:val="single" w:sz="8" w:color="4B5088"/>
            </w:tcBorders>
          </w:tcPr>
          <w:p>
            <w:pPr>
              <w:spacing w:after="0"/>
              <w:rPr>
                <w:sz w:val="8"/>
                <w:szCs w:val="8"/>
                <w:color w:val="auto"/>
              </w:rPr>
            </w:pPr>
          </w:p>
        </w:tc>
        <w:tc>
          <w:tcPr>
            <w:tcW w:w="100" w:type="dxa"/>
            <w:vAlign w:val="bottom"/>
            <w:tcBorders>
              <w:bottom w:val="single" w:sz="8" w:color="4B5088"/>
            </w:tcBorders>
          </w:tcPr>
          <w:p>
            <w:pPr>
              <w:spacing w:after="0"/>
              <w:rPr>
                <w:sz w:val="8"/>
                <w:szCs w:val="8"/>
                <w:color w:val="auto"/>
              </w:rPr>
            </w:pPr>
          </w:p>
        </w:tc>
        <w:tc>
          <w:tcPr>
            <w:tcW w:w="40" w:type="dxa"/>
            <w:vAlign w:val="bottom"/>
            <w:tcBorders>
              <w:bottom w:val="single" w:sz="8" w:color="4B5088"/>
            </w:tcBorders>
          </w:tcPr>
          <w:p>
            <w:pPr>
              <w:spacing w:after="0"/>
              <w:rPr>
                <w:sz w:val="8"/>
                <w:szCs w:val="8"/>
                <w:color w:val="auto"/>
              </w:rPr>
            </w:pPr>
          </w:p>
        </w:tc>
        <w:tc>
          <w:tcPr>
            <w:tcW w:w="40" w:type="dxa"/>
            <w:vAlign w:val="bottom"/>
            <w:tcBorders>
              <w:bottom w:val="single" w:sz="8" w:color="4B5088"/>
            </w:tcBorders>
          </w:tcPr>
          <w:p>
            <w:pPr>
              <w:spacing w:after="0"/>
              <w:rPr>
                <w:sz w:val="8"/>
                <w:szCs w:val="8"/>
                <w:color w:val="auto"/>
              </w:rPr>
            </w:pPr>
          </w:p>
        </w:tc>
        <w:tc>
          <w:tcPr>
            <w:tcW w:w="120" w:type="dxa"/>
            <w:vAlign w:val="bottom"/>
            <w:tcBorders>
              <w:bottom w:val="single" w:sz="8" w:color="4B5088"/>
            </w:tcBorders>
          </w:tcPr>
          <w:p>
            <w:pPr>
              <w:spacing w:after="0"/>
              <w:rPr>
                <w:sz w:val="8"/>
                <w:szCs w:val="8"/>
                <w:color w:val="auto"/>
              </w:rPr>
            </w:pPr>
          </w:p>
        </w:tc>
        <w:tc>
          <w:tcPr>
            <w:tcW w:w="1100" w:type="dxa"/>
            <w:vAlign w:val="bottom"/>
            <w:tcBorders>
              <w:bottom w:val="single" w:sz="8" w:color="4B5088"/>
            </w:tcBorders>
          </w:tcPr>
          <w:p>
            <w:pPr>
              <w:spacing w:after="0"/>
              <w:rPr>
                <w:sz w:val="8"/>
                <w:szCs w:val="8"/>
                <w:color w:val="auto"/>
              </w:rPr>
            </w:pPr>
          </w:p>
        </w:tc>
        <w:tc>
          <w:tcPr>
            <w:tcW w:w="820" w:type="dxa"/>
            <w:vAlign w:val="bottom"/>
            <w:tcBorders>
              <w:bottom w:val="single" w:sz="8" w:color="4B5088"/>
            </w:tcBorders>
          </w:tcPr>
          <w:p>
            <w:pPr>
              <w:spacing w:after="0"/>
              <w:rPr>
                <w:sz w:val="8"/>
                <w:szCs w:val="8"/>
                <w:color w:val="auto"/>
              </w:rPr>
            </w:pPr>
          </w:p>
        </w:tc>
        <w:tc>
          <w:tcPr>
            <w:tcW w:w="1180" w:type="dxa"/>
            <w:vAlign w:val="bottom"/>
            <w:tcBorders>
              <w:bottom w:val="single" w:sz="8" w:color="4B5088"/>
            </w:tcBorders>
          </w:tcPr>
          <w:p>
            <w:pPr>
              <w:spacing w:after="0"/>
              <w:rPr>
                <w:sz w:val="8"/>
                <w:szCs w:val="8"/>
                <w:color w:val="auto"/>
              </w:rPr>
            </w:pPr>
          </w:p>
        </w:tc>
        <w:tc>
          <w:tcPr>
            <w:tcW w:w="780" w:type="dxa"/>
            <w:vAlign w:val="bottom"/>
            <w:tcBorders>
              <w:bottom w:val="single" w:sz="8" w:color="4B5088"/>
            </w:tcBorders>
          </w:tcPr>
          <w:p>
            <w:pPr>
              <w:spacing w:after="0"/>
              <w:rPr>
                <w:sz w:val="8"/>
                <w:szCs w:val="8"/>
                <w:color w:val="auto"/>
              </w:rPr>
            </w:pPr>
          </w:p>
        </w:tc>
        <w:tc>
          <w:tcPr>
            <w:tcW w:w="40" w:type="dxa"/>
            <w:vAlign w:val="bottom"/>
            <w:tcBorders>
              <w:bottom w:val="single" w:sz="8" w:color="4B5088"/>
            </w:tcBorders>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820" w:type="dxa"/>
            <w:vAlign w:val="bottom"/>
          </w:tcPr>
          <w:p>
            <w:pPr>
              <w:spacing w:after="0"/>
              <w:rPr>
                <w:sz w:val="2"/>
                <w:szCs w:val="2"/>
                <w:color w:val="auto"/>
              </w:rPr>
            </w:pPr>
          </w:p>
        </w:tc>
        <w:tc>
          <w:tcPr>
            <w:tcW w:w="2380" w:type="dxa"/>
            <w:vAlign w:val="bottom"/>
            <w:gridSpan w:val="3"/>
            <w:vMerge w:val="continue"/>
            <w:shd w:val="clear" w:color="auto" w:fill="1F2668"/>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shd w:val="clear" w:color="auto" w:fill="83AD4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E9F9D8"/>
          </w:tcPr>
          <w:p>
            <w:pPr>
              <w:spacing w:after="0"/>
              <w:rPr>
                <w:sz w:val="2"/>
                <w:szCs w:val="2"/>
                <w:color w:val="auto"/>
              </w:rPr>
            </w:pPr>
          </w:p>
        </w:tc>
        <w:tc>
          <w:tcPr>
            <w:tcW w:w="980" w:type="dxa"/>
            <w:vAlign w:val="bottom"/>
            <w:gridSpan w:val="3"/>
            <w:vMerge w:val="restart"/>
            <w:shd w:val="clear" w:color="auto" w:fill="E9F9D8"/>
          </w:tcPr>
          <w:p>
            <w:pPr>
              <w:spacing w:after="0" w:line="330" w:lineRule="exact"/>
              <w:rPr>
                <w:sz w:val="20"/>
                <w:szCs w:val="20"/>
                <w:color w:val="auto"/>
              </w:rPr>
            </w:pPr>
            <w:r>
              <w:rPr>
                <w:rFonts w:ascii="Arial" w:cs="Arial" w:eastAsia="Arial" w:hAnsi="Arial"/>
                <w:sz w:val="32"/>
                <w:szCs w:val="32"/>
                <w:color w:val="1F2668"/>
              </w:rPr>
              <w:t>100%</w:t>
            </w:r>
          </w:p>
        </w:tc>
        <w:tc>
          <w:tcPr>
            <w:tcW w:w="980" w:type="dxa"/>
            <w:vAlign w:val="bottom"/>
            <w:gridSpan w:val="3"/>
            <w:vMerge w:val="restart"/>
          </w:tcPr>
          <w:p>
            <w:pPr>
              <w:spacing w:after="0" w:line="330"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1F2668"/>
              </w:rPr>
              <w:t>100%</w:t>
            </w: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40" w:type="dxa"/>
            <w:vAlign w:val="bottom"/>
            <w:gridSpan w:val="6"/>
            <w:vMerge w:val="restart"/>
          </w:tcPr>
          <w:p>
            <w:pPr>
              <w:ind w:left="20"/>
              <w:spacing w:after="0" w:line="169" w:lineRule="exact"/>
              <w:rPr>
                <w:sz w:val="20"/>
                <w:szCs w:val="20"/>
                <w:color w:val="auto"/>
              </w:rPr>
            </w:pPr>
            <w:r>
              <w:rPr>
                <w:rFonts w:ascii="Arial" w:cs="Arial" w:eastAsia="Arial" w:hAnsi="Arial"/>
                <w:sz w:val="15"/>
                <w:szCs w:val="15"/>
                <w:color w:val="auto"/>
              </w:rPr>
              <w:t>Both totals include $13,800 of “Other Compensation,” as</w:t>
            </w: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820" w:type="dxa"/>
            <w:vAlign w:val="bottom"/>
          </w:tcPr>
          <w:p>
            <w:pPr>
              <w:spacing w:after="0"/>
              <w:rPr>
                <w:sz w:val="11"/>
                <w:szCs w:val="11"/>
                <w:color w:val="auto"/>
              </w:rPr>
            </w:pPr>
          </w:p>
        </w:tc>
        <w:tc>
          <w:tcPr>
            <w:tcW w:w="2380" w:type="dxa"/>
            <w:vAlign w:val="bottom"/>
            <w:gridSpan w:val="3"/>
            <w:shd w:val="clear" w:color="auto" w:fill="1F2668"/>
          </w:tcPr>
          <w:p>
            <w:pPr>
              <w:ind w:left="140"/>
              <w:spacing w:after="0" w:line="136" w:lineRule="exact"/>
              <w:rPr>
                <w:sz w:val="20"/>
                <w:szCs w:val="20"/>
                <w:color w:val="auto"/>
              </w:rPr>
            </w:pPr>
            <w:r>
              <w:rPr>
                <w:rFonts w:ascii="Arial" w:cs="Arial" w:eastAsia="Arial" w:hAnsi="Arial"/>
                <w:sz w:val="13"/>
                <w:szCs w:val="13"/>
                <w:b w:val="1"/>
                <w:bCs w:val="1"/>
                <w:color w:val="FFFFFF"/>
              </w:rPr>
              <w:t>equity that was granted in</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shd w:val="clear" w:color="auto" w:fill="83AD40"/>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vMerge w:val="restart"/>
            <w:shd w:val="clear" w:color="auto" w:fill="E9F9D8"/>
          </w:tcPr>
          <w:p>
            <w:pPr>
              <w:spacing w:after="0"/>
              <w:rPr>
                <w:sz w:val="20"/>
                <w:szCs w:val="20"/>
                <w:color w:val="auto"/>
              </w:rPr>
            </w:pPr>
            <w:r>
              <w:rPr>
                <w:rFonts w:ascii="Arial" w:cs="Arial" w:eastAsia="Arial" w:hAnsi="Arial"/>
                <w:sz w:val="16"/>
                <w:szCs w:val="16"/>
                <w:color w:val="auto"/>
              </w:rPr>
              <w:t>​</w:t>
            </w:r>
          </w:p>
        </w:tc>
        <w:tc>
          <w:tcPr>
            <w:tcW w:w="980" w:type="dxa"/>
            <w:vAlign w:val="bottom"/>
            <w:gridSpan w:val="3"/>
            <w:vMerge w:val="continue"/>
            <w:shd w:val="clear" w:color="auto" w:fill="E9F9D8"/>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40" w:type="dxa"/>
            <w:vAlign w:val="bottom"/>
            <w:gridSpan w:val="6"/>
            <w:vMerge w:val="continue"/>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2380" w:type="dxa"/>
            <w:vAlign w:val="bottom"/>
            <w:gridSpan w:val="3"/>
            <w:shd w:val="clear" w:color="auto" w:fill="1F2668"/>
          </w:tcPr>
          <w:p>
            <w:pPr>
              <w:ind w:left="140"/>
              <w:spacing w:after="0"/>
              <w:rPr>
                <w:sz w:val="20"/>
                <w:szCs w:val="20"/>
                <w:color w:val="auto"/>
              </w:rPr>
            </w:pPr>
            <w:r>
              <w:rPr>
                <w:rFonts w:ascii="Arial" w:cs="Arial" w:eastAsia="Arial" w:hAnsi="Arial"/>
                <w:sz w:val="13"/>
                <w:szCs w:val="13"/>
                <w:b w:val="1"/>
                <w:bCs w:val="1"/>
                <w:color w:val="FFFFFF"/>
              </w:rPr>
              <w:t>January 2025, and therefore will</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shd w:val="clear" w:color="auto" w:fill="83AD40"/>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vMerge w:val="continue"/>
            <w:shd w:val="clear" w:color="auto" w:fill="E9F9D8"/>
          </w:tcPr>
          <w:p>
            <w:pPr>
              <w:spacing w:after="0"/>
              <w:rPr>
                <w:sz w:val="14"/>
                <w:szCs w:val="14"/>
                <w:color w:val="auto"/>
              </w:rPr>
            </w:pPr>
          </w:p>
        </w:tc>
        <w:tc>
          <w:tcPr>
            <w:tcW w:w="980" w:type="dxa"/>
            <w:vAlign w:val="bottom"/>
            <w:gridSpan w:val="3"/>
            <w:vMerge w:val="continue"/>
            <w:shd w:val="clear" w:color="auto" w:fill="E9F9D8"/>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3400" w:type="dxa"/>
            <w:vAlign w:val="bottom"/>
            <w:gridSpan w:val="7"/>
          </w:tcPr>
          <w:p>
            <w:pPr>
              <w:ind w:left="40"/>
              <w:spacing w:after="0" w:line="162"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1"/>
                <w:szCs w:val="11"/>
                <w:color w:val="auto"/>
              </w:rPr>
              <w:t>reflected in the Summary Compensation Table.</w:t>
            </w:r>
          </w:p>
        </w:tc>
        <w:tc>
          <w:tcPr>
            <w:tcW w:w="7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2380" w:type="dxa"/>
            <w:vAlign w:val="bottom"/>
            <w:gridSpan w:val="3"/>
            <w:shd w:val="clear" w:color="auto" w:fill="1F2668"/>
          </w:tcPr>
          <w:p>
            <w:pPr>
              <w:ind w:left="140"/>
              <w:spacing w:after="0" w:line="122" w:lineRule="exact"/>
              <w:rPr>
                <w:sz w:val="20"/>
                <w:szCs w:val="20"/>
                <w:color w:val="auto"/>
              </w:rPr>
            </w:pPr>
            <w:r>
              <w:rPr>
                <w:rFonts w:ascii="Arial" w:cs="Arial" w:eastAsia="Arial" w:hAnsi="Arial"/>
                <w:sz w:val="13"/>
                <w:szCs w:val="13"/>
                <w:b w:val="1"/>
                <w:bCs w:val="1"/>
                <w:color w:val="FFFFFF"/>
              </w:rPr>
              <w:t>not appear in the Summary</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shd w:val="clear" w:color="auto" w:fill="83AD40"/>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shd w:val="clear" w:color="auto" w:fill="E9F9D8"/>
          </w:tcPr>
          <w:p>
            <w:pPr>
              <w:spacing w:after="0"/>
              <w:rPr>
                <w:sz w:val="10"/>
                <w:szCs w:val="10"/>
                <w:color w:val="auto"/>
              </w:rPr>
            </w:pPr>
          </w:p>
        </w:tc>
        <w:tc>
          <w:tcPr>
            <w:tcW w:w="900" w:type="dxa"/>
            <w:vAlign w:val="bottom"/>
            <w:gridSpan w:val="2"/>
            <w:vMerge w:val="restart"/>
            <w:shd w:val="clear" w:color="auto" w:fill="E9F9D8"/>
          </w:tcPr>
          <w:p>
            <w:pPr>
              <w:spacing w:after="0"/>
              <w:rPr>
                <w:sz w:val="20"/>
                <w:szCs w:val="20"/>
                <w:color w:val="auto"/>
              </w:rPr>
            </w:pPr>
            <w:r>
              <w:rPr>
                <w:rFonts w:ascii="Arial" w:cs="Arial" w:eastAsia="Arial" w:hAnsi="Arial"/>
                <w:sz w:val="16"/>
                <w:szCs w:val="16"/>
                <w:b w:val="1"/>
                <w:bCs w:val="1"/>
                <w:color w:val="auto"/>
              </w:rPr>
              <w:t>$3,986,856</w:t>
            </w:r>
          </w:p>
        </w:tc>
        <w:tc>
          <w:tcPr>
            <w:tcW w:w="80" w:type="dxa"/>
            <w:vAlign w:val="bottom"/>
            <w:shd w:val="clear" w:color="auto" w:fill="E9F9D8"/>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$3,130,265</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820" w:type="dxa"/>
            <w:vAlign w:val="bottom"/>
          </w:tcPr>
          <w:p>
            <w:pPr>
              <w:spacing w:after="0"/>
              <w:rPr>
                <w:sz w:val="16"/>
                <w:szCs w:val="16"/>
                <w:color w:val="auto"/>
              </w:rPr>
            </w:pPr>
          </w:p>
        </w:tc>
        <w:tc>
          <w:tcPr>
            <w:tcW w:w="2380" w:type="dxa"/>
            <w:vAlign w:val="bottom"/>
            <w:tcBorders>
              <w:bottom w:val="single" w:sz="8" w:color="1F2668"/>
            </w:tcBorders>
            <w:gridSpan w:val="3"/>
            <w:shd w:val="clear" w:color="auto" w:fill="1F2668"/>
          </w:tcPr>
          <w:p>
            <w:pPr>
              <w:ind w:left="140"/>
              <w:spacing w:after="0" w:line="135" w:lineRule="exact"/>
              <w:rPr>
                <w:sz w:val="20"/>
                <w:szCs w:val="20"/>
                <w:color w:val="auto"/>
              </w:rPr>
            </w:pPr>
            <w:r>
              <w:rPr>
                <w:rFonts w:ascii="Arial" w:cs="Arial" w:eastAsia="Arial" w:hAnsi="Arial"/>
                <w:sz w:val="13"/>
                <w:szCs w:val="13"/>
                <w:b w:val="1"/>
                <w:bCs w:val="1"/>
                <w:color w:val="FFFFFF"/>
              </w:rPr>
              <w:t>Compensation Table until our</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bottom w:val="single" w:sz="8" w:color="83AD40"/>
            </w:tcBorders>
            <w:shd w:val="clear" w:color="auto" w:fill="83AD40"/>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Borders>
              <w:bottom w:val="single" w:sz="8" w:color="E9F9D8"/>
            </w:tcBorders>
            <w:shd w:val="clear" w:color="auto" w:fill="E9F9D8"/>
          </w:tcPr>
          <w:p>
            <w:pPr>
              <w:spacing w:after="0"/>
              <w:rPr>
                <w:sz w:val="16"/>
                <w:szCs w:val="16"/>
                <w:color w:val="auto"/>
              </w:rPr>
            </w:pPr>
          </w:p>
        </w:tc>
        <w:tc>
          <w:tcPr>
            <w:tcW w:w="900" w:type="dxa"/>
            <w:vAlign w:val="bottom"/>
            <w:tcBorders>
              <w:bottom w:val="single" w:sz="8" w:color="E9F9D8"/>
            </w:tcBorders>
            <w:gridSpan w:val="2"/>
            <w:vMerge w:val="continue"/>
            <w:shd w:val="clear" w:color="auto" w:fill="E9F9D8"/>
          </w:tcPr>
          <w:p>
            <w:pPr>
              <w:spacing w:after="0"/>
              <w:rPr>
                <w:sz w:val="16"/>
                <w:szCs w:val="16"/>
                <w:color w:val="auto"/>
              </w:rPr>
            </w:pPr>
          </w:p>
        </w:tc>
        <w:tc>
          <w:tcPr>
            <w:tcW w:w="80" w:type="dxa"/>
            <w:vAlign w:val="bottom"/>
            <w:tcBorders>
              <w:bottom w:val="single" w:sz="8" w:color="E9F9D8"/>
            </w:tcBorders>
            <w:shd w:val="clear" w:color="auto" w:fill="E9F9D8"/>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820" w:type="dxa"/>
            <w:vAlign w:val="bottom"/>
          </w:tcPr>
          <w:p>
            <w:pPr>
              <w:spacing w:after="0"/>
              <w:rPr>
                <w:sz w:val="9"/>
                <w:szCs w:val="9"/>
                <w:color w:val="auto"/>
              </w:rPr>
            </w:pPr>
          </w:p>
        </w:tc>
        <w:tc>
          <w:tcPr>
            <w:tcW w:w="2380" w:type="dxa"/>
            <w:vAlign w:val="bottom"/>
            <w:tcBorders>
              <w:top w:val="single" w:sz="8" w:color="1F2668"/>
            </w:tcBorders>
            <w:gridSpan w:val="3"/>
            <w:shd w:val="clear" w:color="auto" w:fill="1F2668"/>
          </w:tcPr>
          <w:p>
            <w:pPr>
              <w:ind w:left="140"/>
              <w:spacing w:after="0" w:line="113" w:lineRule="exact"/>
              <w:rPr>
                <w:sz w:val="20"/>
                <w:szCs w:val="20"/>
                <w:color w:val="auto"/>
              </w:rPr>
            </w:pPr>
            <w:r>
              <w:rPr>
                <w:rFonts w:ascii="Arial" w:cs="Arial" w:eastAsia="Arial" w:hAnsi="Arial"/>
                <w:sz w:val="13"/>
                <w:szCs w:val="13"/>
                <w:b w:val="1"/>
                <w:bCs w:val="1"/>
                <w:color w:val="FFFFFF"/>
              </w:rPr>
              <w:t>2026 proxy statement.</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83AD40"/>
            </w:tcBorders>
            <w:vMerge w:val="restart"/>
            <w:shd w:val="clear" w:color="auto" w:fill="83AD40"/>
          </w:tcPr>
          <w:p>
            <w:pPr>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top w:val="single" w:sz="8" w:color="4B5088"/>
            </w:tcBorders>
          </w:tcPr>
          <w:p>
            <w:pPr>
              <w:spacing w:after="0"/>
              <w:rPr>
                <w:sz w:val="9"/>
                <w:szCs w:val="9"/>
                <w:color w:val="auto"/>
              </w:rPr>
            </w:pPr>
          </w:p>
        </w:tc>
        <w:tc>
          <w:tcPr>
            <w:tcW w:w="40" w:type="dxa"/>
            <w:vAlign w:val="bottom"/>
            <w:tcBorders>
              <w:top w:val="single" w:sz="8" w:color="4B5088"/>
            </w:tcBorders>
          </w:tcPr>
          <w:p>
            <w:pPr>
              <w:spacing w:after="0"/>
              <w:rPr>
                <w:sz w:val="9"/>
                <w:szCs w:val="9"/>
                <w:color w:val="auto"/>
              </w:rPr>
            </w:pPr>
          </w:p>
        </w:tc>
        <w:tc>
          <w:tcPr>
            <w:tcW w:w="860" w:type="dxa"/>
            <w:vAlign w:val="bottom"/>
            <w:tcBorders>
              <w:top w:val="single" w:sz="8" w:color="4B5088"/>
            </w:tcBorders>
          </w:tcPr>
          <w:p>
            <w:pPr>
              <w:spacing w:after="0"/>
              <w:rPr>
                <w:sz w:val="9"/>
                <w:szCs w:val="9"/>
                <w:color w:val="auto"/>
              </w:rPr>
            </w:pPr>
          </w:p>
        </w:tc>
        <w:tc>
          <w:tcPr>
            <w:tcW w:w="80" w:type="dxa"/>
            <w:vAlign w:val="bottom"/>
            <w:tcBorders>
              <w:top w:val="single" w:sz="8" w:color="4B5088"/>
            </w:tcBorders>
          </w:tcPr>
          <w:p>
            <w:pPr>
              <w:spacing w:after="0"/>
              <w:rPr>
                <w:sz w:val="9"/>
                <w:szCs w:val="9"/>
                <w:color w:val="auto"/>
              </w:rPr>
            </w:pPr>
          </w:p>
        </w:tc>
        <w:tc>
          <w:tcPr>
            <w:tcW w:w="100" w:type="dxa"/>
            <w:vAlign w:val="bottom"/>
            <w:tcBorders>
              <w:top w:val="single" w:sz="8" w:color="4B5088"/>
            </w:tcBorders>
          </w:tcPr>
          <w:p>
            <w:pPr>
              <w:spacing w:after="0"/>
              <w:rPr>
                <w:sz w:val="9"/>
                <w:szCs w:val="9"/>
                <w:color w:val="auto"/>
              </w:rPr>
            </w:pPr>
          </w:p>
        </w:tc>
        <w:tc>
          <w:tcPr>
            <w:tcW w:w="40" w:type="dxa"/>
            <w:vAlign w:val="bottom"/>
            <w:tcBorders>
              <w:top w:val="single" w:sz="8" w:color="4B5088"/>
            </w:tcBorders>
          </w:tcPr>
          <w:p>
            <w:pPr>
              <w:spacing w:after="0"/>
              <w:rPr>
                <w:sz w:val="9"/>
                <w:szCs w:val="9"/>
                <w:color w:val="auto"/>
              </w:rPr>
            </w:pPr>
          </w:p>
        </w:tc>
        <w:tc>
          <w:tcPr>
            <w:tcW w:w="840" w:type="dxa"/>
            <w:vAlign w:val="bottom"/>
            <w:tcBorders>
              <w:top w:val="single" w:sz="8" w:color="4B5088"/>
            </w:tcBorders>
          </w:tcPr>
          <w:p>
            <w:pPr>
              <w:spacing w:after="0"/>
              <w:rPr>
                <w:sz w:val="9"/>
                <w:szCs w:val="9"/>
                <w:color w:val="auto"/>
              </w:rPr>
            </w:pPr>
          </w:p>
        </w:tc>
        <w:tc>
          <w:tcPr>
            <w:tcW w:w="100" w:type="dxa"/>
            <w:vAlign w:val="bottom"/>
            <w:tcBorders>
              <w:top w:val="single" w:sz="8" w:color="4B5088"/>
            </w:tcBorders>
          </w:tcPr>
          <w:p>
            <w:pPr>
              <w:spacing w:after="0"/>
              <w:rPr>
                <w:sz w:val="9"/>
                <w:szCs w:val="9"/>
                <w:color w:val="auto"/>
              </w:rPr>
            </w:pPr>
          </w:p>
        </w:tc>
        <w:tc>
          <w:tcPr>
            <w:tcW w:w="40" w:type="dxa"/>
            <w:vAlign w:val="bottom"/>
            <w:tcBorders>
              <w:top w:val="single" w:sz="8" w:color="4B5088"/>
            </w:tcBorders>
          </w:tcPr>
          <w:p>
            <w:pPr>
              <w:spacing w:after="0"/>
              <w:rPr>
                <w:sz w:val="9"/>
                <w:szCs w:val="9"/>
                <w:color w:val="auto"/>
              </w:rPr>
            </w:pPr>
          </w:p>
        </w:tc>
        <w:tc>
          <w:tcPr>
            <w:tcW w:w="40" w:type="dxa"/>
            <w:vAlign w:val="bottom"/>
            <w:tcBorders>
              <w:top w:val="single" w:sz="8" w:color="4B5088"/>
            </w:tcBorders>
          </w:tcPr>
          <w:p>
            <w:pPr>
              <w:spacing w:after="0"/>
              <w:rPr>
                <w:sz w:val="9"/>
                <w:szCs w:val="9"/>
                <w:color w:val="auto"/>
              </w:rPr>
            </w:pPr>
          </w:p>
        </w:tc>
        <w:tc>
          <w:tcPr>
            <w:tcW w:w="120" w:type="dxa"/>
            <w:vAlign w:val="bottom"/>
            <w:tcBorders>
              <w:top w:val="single" w:sz="8" w:color="4B5088"/>
            </w:tcBorders>
          </w:tcPr>
          <w:p>
            <w:pPr>
              <w:spacing w:after="0"/>
              <w:rPr>
                <w:sz w:val="9"/>
                <w:szCs w:val="9"/>
                <w:color w:val="auto"/>
              </w:rPr>
            </w:pPr>
          </w:p>
        </w:tc>
        <w:tc>
          <w:tcPr>
            <w:tcW w:w="1100" w:type="dxa"/>
            <w:vAlign w:val="bottom"/>
            <w:tcBorders>
              <w:top w:val="single" w:sz="8" w:color="4B5088"/>
            </w:tcBorders>
          </w:tcPr>
          <w:p>
            <w:pPr>
              <w:spacing w:after="0"/>
              <w:rPr>
                <w:sz w:val="9"/>
                <w:szCs w:val="9"/>
                <w:color w:val="auto"/>
              </w:rPr>
            </w:pPr>
          </w:p>
        </w:tc>
        <w:tc>
          <w:tcPr>
            <w:tcW w:w="820" w:type="dxa"/>
            <w:vAlign w:val="bottom"/>
            <w:tcBorders>
              <w:top w:val="single" w:sz="8" w:color="4B5088"/>
            </w:tcBorders>
          </w:tcPr>
          <w:p>
            <w:pPr>
              <w:spacing w:after="0"/>
              <w:rPr>
                <w:sz w:val="9"/>
                <w:szCs w:val="9"/>
                <w:color w:val="auto"/>
              </w:rPr>
            </w:pPr>
          </w:p>
        </w:tc>
        <w:tc>
          <w:tcPr>
            <w:tcW w:w="1180" w:type="dxa"/>
            <w:vAlign w:val="bottom"/>
            <w:tcBorders>
              <w:top w:val="single" w:sz="8" w:color="4B5088"/>
            </w:tcBorders>
          </w:tcPr>
          <w:p>
            <w:pPr>
              <w:spacing w:after="0"/>
              <w:rPr>
                <w:sz w:val="9"/>
                <w:szCs w:val="9"/>
                <w:color w:val="auto"/>
              </w:rPr>
            </w:pPr>
          </w:p>
        </w:tc>
        <w:tc>
          <w:tcPr>
            <w:tcW w:w="780" w:type="dxa"/>
            <w:vAlign w:val="bottom"/>
            <w:tcBorders>
              <w:top w:val="single" w:sz="8" w:color="4B5088"/>
            </w:tcBorders>
          </w:tcPr>
          <w:p>
            <w:pPr>
              <w:spacing w:after="0"/>
              <w:rPr>
                <w:sz w:val="9"/>
                <w:szCs w:val="9"/>
                <w:color w:val="auto"/>
              </w:rPr>
            </w:pPr>
          </w:p>
        </w:tc>
        <w:tc>
          <w:tcPr>
            <w:tcW w:w="40" w:type="dxa"/>
            <w:vAlign w:val="bottom"/>
            <w:tcBorders>
              <w:top w:val="single" w:sz="8" w:color="4B5088"/>
            </w:tcBorders>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4"/>
        </w:trPr>
        <w:tc>
          <w:tcPr>
            <w:tcW w:w="820" w:type="dxa"/>
            <w:vAlign w:val="bottom"/>
          </w:tcPr>
          <w:p>
            <w:pPr>
              <w:spacing w:after="0"/>
              <w:rPr>
                <w:sz w:val="24"/>
                <w:szCs w:val="24"/>
                <w:color w:val="auto"/>
              </w:rPr>
            </w:pPr>
          </w:p>
        </w:tc>
        <w:tc>
          <w:tcPr>
            <w:tcW w:w="200" w:type="dxa"/>
            <w:vAlign w:val="bottom"/>
            <w:tcBorders>
              <w:right w:val="single" w:sz="8" w:color="1F2668"/>
            </w:tcBorders>
            <w:shd w:val="clear" w:color="auto" w:fill="1F2668"/>
          </w:tcPr>
          <w:p>
            <w:pPr>
              <w:spacing w:after="0"/>
              <w:rPr>
                <w:sz w:val="24"/>
                <w:szCs w:val="24"/>
                <w:color w:val="auto"/>
              </w:rPr>
            </w:pPr>
          </w:p>
        </w:tc>
        <w:tc>
          <w:tcPr>
            <w:tcW w:w="440" w:type="dxa"/>
            <w:vAlign w:val="bottom"/>
            <w:shd w:val="clear" w:color="auto" w:fill="1F2668"/>
          </w:tcPr>
          <w:p>
            <w:pPr>
              <w:spacing w:after="0"/>
              <w:rPr>
                <w:sz w:val="24"/>
                <w:szCs w:val="24"/>
                <w:color w:val="auto"/>
              </w:rPr>
            </w:pPr>
          </w:p>
        </w:tc>
        <w:tc>
          <w:tcPr>
            <w:tcW w:w="1740" w:type="dxa"/>
            <w:vAlign w:val="bottom"/>
            <w:shd w:val="clear" w:color="auto" w:fill="1F2668"/>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vMerge w:val="restart"/>
          </w:tcPr>
          <w:p>
            <w:pPr>
              <w:spacing w:after="0"/>
              <w:rPr>
                <w:sz w:val="24"/>
                <w:szCs w:val="24"/>
                <w:color w:val="auto"/>
              </w:rPr>
            </w:pPr>
          </w:p>
        </w:tc>
        <w:tc>
          <w:tcPr>
            <w:tcW w:w="60" w:type="dxa"/>
            <w:vAlign w:val="bottom"/>
            <w:vMerge w:val="continue"/>
            <w:shd w:val="clear" w:color="auto" w:fill="83AD40"/>
          </w:tcPr>
          <w:p>
            <w:pPr>
              <w:spacing w:after="0"/>
              <w:rPr>
                <w:sz w:val="24"/>
                <w:szCs w:val="24"/>
                <w:color w:val="auto"/>
              </w:rPr>
            </w:pPr>
          </w:p>
        </w:tc>
        <w:tc>
          <w:tcPr>
            <w:tcW w:w="2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20" w:type="dxa"/>
            <w:vAlign w:val="bottom"/>
          </w:tcPr>
          <w:p>
            <w:pPr>
              <w:spacing w:after="0"/>
              <w:rPr>
                <w:sz w:val="24"/>
                <w:szCs w:val="24"/>
                <w:color w:val="auto"/>
              </w:rPr>
            </w:pPr>
          </w:p>
        </w:tc>
        <w:tc>
          <w:tcPr>
            <w:tcW w:w="200" w:type="dxa"/>
            <w:vAlign w:val="bottom"/>
            <w:tcBorders>
              <w:right w:val="single" w:sz="8" w:color="83AD40"/>
            </w:tcBorders>
          </w:tcPr>
          <w:p>
            <w:pPr>
              <w:spacing w:after="0"/>
              <w:rPr>
                <w:sz w:val="24"/>
                <w:szCs w:val="24"/>
                <w:color w:val="auto"/>
              </w:rPr>
            </w:pPr>
          </w:p>
        </w:tc>
        <w:tc>
          <w:tcPr>
            <w:tcW w:w="440" w:type="dxa"/>
            <w:vAlign w:val="bottom"/>
            <w:tcBorders>
              <w:bottom w:val="single" w:sz="8" w:color="83AD40"/>
            </w:tcBorders>
          </w:tcPr>
          <w:p>
            <w:pPr>
              <w:jc w:val="right"/>
              <w:ind w:right="272"/>
              <w:spacing w:after="0" w:line="243" w:lineRule="exact"/>
              <w:rPr>
                <w:sz w:val="20"/>
                <w:szCs w:val="20"/>
                <w:color w:val="auto"/>
              </w:rPr>
            </w:pPr>
            <w:r>
              <w:rPr>
                <w:rFonts w:ascii="Arial" w:cs="Arial" w:eastAsia="Arial" w:hAnsi="Arial"/>
                <w:sz w:val="22"/>
                <w:szCs w:val="22"/>
                <w:color w:val="auto"/>
              </w:rPr>
              <w:t>​</w:t>
            </w:r>
          </w:p>
        </w:tc>
        <w:tc>
          <w:tcPr>
            <w:tcW w:w="1740" w:type="dxa"/>
            <w:vAlign w:val="bottom"/>
            <w:tcBorders>
              <w:bottom w:val="single" w:sz="8" w:color="83AD40"/>
            </w:tcBorders>
          </w:tcPr>
          <w:p>
            <w:pPr>
              <w:spacing w:after="0"/>
              <w:rPr>
                <w:sz w:val="24"/>
                <w:szCs w:val="24"/>
                <w:color w:val="auto"/>
              </w:rPr>
            </w:pPr>
          </w:p>
        </w:tc>
        <w:tc>
          <w:tcPr>
            <w:tcW w:w="60" w:type="dxa"/>
            <w:vAlign w:val="bottom"/>
            <w:tcBorders>
              <w:bottom w:val="single" w:sz="8" w:color="83AD40"/>
            </w:tcBorders>
          </w:tcPr>
          <w:p>
            <w:pPr>
              <w:spacing w:after="0"/>
              <w:rPr>
                <w:sz w:val="24"/>
                <w:szCs w:val="24"/>
                <w:color w:val="auto"/>
              </w:rPr>
            </w:pPr>
          </w:p>
        </w:tc>
        <w:tc>
          <w:tcPr>
            <w:tcW w:w="40" w:type="dxa"/>
            <w:vAlign w:val="bottom"/>
            <w:tcBorders>
              <w:bottom w:val="single" w:sz="8" w:color="83AD40"/>
            </w:tcBorders>
            <w:vMerge w:val="continue"/>
          </w:tcPr>
          <w:p>
            <w:pPr>
              <w:spacing w:after="0"/>
              <w:rPr>
                <w:sz w:val="24"/>
                <w:szCs w:val="24"/>
                <w:color w:val="auto"/>
              </w:rPr>
            </w:pPr>
          </w:p>
        </w:tc>
        <w:tc>
          <w:tcPr>
            <w:tcW w:w="60" w:type="dxa"/>
            <w:vAlign w:val="bottom"/>
            <w:tcBorders>
              <w:bottom w:val="single" w:sz="8" w:color="83AD40"/>
            </w:tcBorders>
            <w:vMerge w:val="continue"/>
            <w:shd w:val="clear" w:color="auto" w:fill="83AD40"/>
          </w:tcPr>
          <w:p>
            <w:pPr>
              <w:spacing w:after="0"/>
              <w:rPr>
                <w:sz w:val="24"/>
                <w:szCs w:val="24"/>
                <w:color w:val="auto"/>
              </w:rPr>
            </w:pPr>
          </w:p>
        </w:tc>
        <w:tc>
          <w:tcPr>
            <w:tcW w:w="2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6"/>
        </w:trPr>
        <w:tc>
          <w:tcPr>
            <w:tcW w:w="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722630</wp:posOffset>
            </wp:positionH>
            <wp:positionV relativeFrom="paragraph">
              <wp:posOffset>-7903210</wp:posOffset>
            </wp:positionV>
            <wp:extent cx="2297430" cy="62147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297430" cy="62147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5100" w:type="dxa"/>
            <w:vAlign w:val="bottom"/>
          </w:tcPr>
          <w:p>
            <w:pPr>
              <w:spacing w:after="0"/>
              <w:rPr>
                <w:sz w:val="20"/>
                <w:szCs w:val="20"/>
                <w:color w:val="auto"/>
              </w:rPr>
            </w:pPr>
            <w:r>
              <w:rPr>
                <w:rFonts w:ascii="Arial" w:cs="Arial" w:eastAsia="Arial" w:hAnsi="Arial"/>
                <w:sz w:val="14"/>
                <w:szCs w:val="14"/>
                <w:b w:val="1"/>
                <w:bCs w:val="1"/>
                <w:color w:val="auto"/>
              </w:rPr>
              <w:t>​</w:t>
            </w:r>
          </w:p>
        </w:tc>
        <w:tc>
          <w:tcPr>
            <w:tcW w:w="3480" w:type="dxa"/>
            <w:vAlign w:val="bottom"/>
          </w:tcPr>
          <w:p>
            <w:pPr>
              <w:ind w:left="3100"/>
              <w:spacing w:after="0"/>
              <w:rPr>
                <w:sz w:val="20"/>
                <w:szCs w:val="20"/>
                <w:color w:val="auto"/>
              </w:rPr>
            </w:pPr>
            <w:r>
              <w:rPr>
                <w:rFonts w:ascii="Arial" w:cs="Arial" w:eastAsia="Arial" w:hAnsi="Arial"/>
                <w:sz w:val="14"/>
                <w:szCs w:val="14"/>
                <w:b w:val="1"/>
                <w:bCs w:val="1"/>
                <w:color w:val="auto"/>
              </w:rPr>
              <w:t>​ ​</w:t>
            </w:r>
          </w:p>
        </w:tc>
        <w:tc>
          <w:tcPr>
            <w:tcW w:w="480" w:type="dxa"/>
            <w:vAlign w:val="bottom"/>
            <w:vMerge w:val="restart"/>
          </w:tcPr>
          <w:p>
            <w:pPr>
              <w:jc w:val="right"/>
              <w:spacing w:after="0"/>
              <w:rPr>
                <w:sz w:val="20"/>
                <w:szCs w:val="20"/>
                <w:color w:val="auto"/>
              </w:rPr>
            </w:pPr>
            <w:r>
              <w:rPr>
                <w:rFonts w:ascii="Arial" w:cs="Arial" w:eastAsia="Arial" w:hAnsi="Arial"/>
                <w:sz w:val="22"/>
                <w:szCs w:val="22"/>
                <w:b w:val="1"/>
                <w:bCs w:val="1"/>
                <w:color w:val="1F2668"/>
              </w:rPr>
              <w:t>61</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5100" w:type="dxa"/>
            <w:vAlign w:val="bottom"/>
          </w:tcPr>
          <w:p>
            <w:pPr>
              <w:spacing w:after="0"/>
              <w:rPr>
                <w:sz w:val="20"/>
                <w:szCs w:val="20"/>
                <w:color w:val="auto"/>
              </w:rPr>
            </w:pPr>
            <w:r>
              <w:rPr>
                <w:rFonts w:ascii="Arial" w:cs="Arial" w:eastAsia="Arial" w:hAnsi="Arial"/>
                <w:sz w:val="14"/>
                <w:szCs w:val="14"/>
                <w:b w:val="1"/>
                <w:bCs w:val="1"/>
                <w:color w:val="auto"/>
              </w:rPr>
              <w:t>EXECUTIVE COMPENSATION</w:t>
            </w:r>
          </w:p>
        </w:tc>
        <w:tc>
          <w:tcPr>
            <w:tcW w:w="348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38"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Other Compensation Policies and Information</w:t>
      </w:r>
    </w:p>
    <w:p>
      <w:pPr>
        <w:spacing w:after="0" w:line="110"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83AD40"/>
        </w:rPr>
        <w:t>How We Determine Executive Compensation</w:t>
      </w:r>
    </w:p>
    <w:p>
      <w:pPr>
        <w:spacing w:after="0" w:line="144" w:lineRule="exact"/>
        <w:rPr>
          <w:sz w:val="20"/>
          <w:szCs w:val="20"/>
          <w:color w:val="auto"/>
        </w:rPr>
      </w:pPr>
    </w:p>
    <w:p>
      <w:pPr>
        <w:jc w:val="both"/>
        <w:ind w:left="820" w:right="100"/>
        <w:spacing w:after="0" w:line="301" w:lineRule="auto"/>
        <w:rPr>
          <w:sz w:val="20"/>
          <w:szCs w:val="20"/>
          <w:color w:val="auto"/>
        </w:rPr>
      </w:pPr>
      <w:r>
        <w:rPr>
          <w:rFonts w:ascii="Arial" w:cs="Arial" w:eastAsia="Arial" w:hAnsi="Arial"/>
          <w:sz w:val="16"/>
          <w:szCs w:val="16"/>
          <w:color w:val="auto"/>
        </w:rPr>
        <w:t>The Committee determines compensation for our named executive officers and is currently comprised of four of our independent directors, Lauren B. Dillard (Interim Chair), John H. Alschuler, Carol N. Brown and Peggy Lamb, who was appointed to the Board and the Committee in March 2025.</w:t>
      </w:r>
    </w:p>
    <w:p>
      <w:pPr>
        <w:spacing w:after="0" w:line="91" w:lineRule="exact"/>
        <w:rPr>
          <w:sz w:val="20"/>
          <w:szCs w:val="20"/>
          <w:color w:val="auto"/>
        </w:rPr>
      </w:pPr>
    </w:p>
    <w:p>
      <w:pPr>
        <w:ind w:left="820" w:right="60"/>
        <w:spacing w:after="0" w:line="321" w:lineRule="auto"/>
        <w:rPr>
          <w:sz w:val="20"/>
          <w:szCs w:val="20"/>
          <w:color w:val="auto"/>
        </w:rPr>
      </w:pPr>
      <w:r>
        <w:rPr>
          <w:rFonts w:ascii="Arial" w:cs="Arial" w:eastAsia="Arial" w:hAnsi="Arial"/>
          <w:sz w:val="16"/>
          <w:szCs w:val="16"/>
          <w:color w:val="auto"/>
        </w:rPr>
        <w:t>The Committee receives input from a number of sources each year to inform its final compensation determinations for our named executive officers. These final determinations are made solely by the Committee.</w:t>
      </w:r>
    </w:p>
    <w:p>
      <w:pPr>
        <w:sectPr>
          <w:pgSz w:w="11900" w:h="16838" w:orient="portrait"/>
          <w:cols w:equalWidth="0" w:num="1">
            <w:col w:w="9920"/>
          </w:cols>
          <w:pgMar w:left="580" w:top="97" w:right="1399" w:bottom="1440" w:gutter="0" w:footer="0" w:header="0"/>
        </w:sectPr>
      </w:pPr>
    </w:p>
    <w:p>
      <w:pPr>
        <w:spacing w:after="0" w:line="124" w:lineRule="exact"/>
        <w:rPr>
          <w:sz w:val="20"/>
          <w:szCs w:val="20"/>
          <w:color w:val="auto"/>
        </w:rPr>
      </w:pPr>
    </w:p>
    <w:p>
      <w:pPr>
        <w:ind w:left="2760" w:hanging="2051"/>
        <w:spacing w:after="0" w:line="205" w:lineRule="auto"/>
        <w:tabs>
          <w:tab w:leader="none" w:pos="2740" w:val="left"/>
        </w:tabs>
        <w:rPr>
          <w:sz w:val="20"/>
          <w:szCs w:val="20"/>
          <w:color w:val="auto"/>
        </w:rPr>
      </w:pPr>
      <w:r>
        <w:rPr>
          <w:rFonts w:ascii="Arial" w:cs="Arial" w:eastAsia="Arial" w:hAnsi="Arial"/>
          <w:sz w:val="30"/>
          <w:szCs w:val="30"/>
          <w:b w:val="1"/>
          <w:bCs w:val="1"/>
          <w:color w:val="FFFFFF"/>
          <w:vertAlign w:val="superscript"/>
        </w:rPr>
        <w:t>​</w:t>
      </w:r>
      <w:r>
        <w:rPr>
          <w:rFonts w:ascii="Arial" w:cs="Arial" w:eastAsia="Arial" w:hAnsi="Arial"/>
          <w:sz w:val="15"/>
          <w:szCs w:val="15"/>
          <w:b w:val="1"/>
          <w:bCs w:val="1"/>
          <w:color w:val="FFFFFF"/>
        </w:rPr>
        <w:t xml:space="preserve"> Results</w:t>
      </w:r>
      <w:r>
        <w:rPr>
          <w:sz w:val="20"/>
          <w:szCs w:val="20"/>
          <w:color w:val="auto"/>
        </w:rPr>
        <w:tab/>
      </w:r>
      <w:r>
        <w:rPr>
          <w:rFonts w:ascii="Arial" w:cs="Arial" w:eastAsia="Arial" w:hAnsi="Arial"/>
          <w:sz w:val="28"/>
          <w:szCs w:val="28"/>
          <w:b w:val="1"/>
          <w:bCs w:val="1"/>
          <w:color w:val="FFFFFF"/>
          <w:vertAlign w:val="superscript"/>
        </w:rPr>
        <w:t>​​</w:t>
      </w:r>
      <w:r>
        <w:rPr>
          <w:rFonts w:ascii="Arial" w:cs="Arial" w:eastAsia="Arial" w:hAnsi="Arial"/>
          <w:sz w:val="28"/>
          <w:szCs w:val="28"/>
          <w:b w:val="1"/>
          <w:bCs w:val="1"/>
          <w:color w:val="FFFFFF"/>
        </w:rPr>
        <w:t xml:space="preserve">The Committee considers and analyzes the data and information provided by its compensation </w:t>
      </w:r>
      <w:r>
        <w:rPr>
          <w:rFonts w:ascii="Arial" w:cs="Arial" w:eastAsia="Arial" w:hAnsi="Arial"/>
          <w:sz w:val="14"/>
          <w:szCs w:val="14"/>
          <w:b w:val="1"/>
          <w:bCs w:val="1"/>
          <w:color w:val="FFFFFF"/>
        </w:rPr>
        <w:t>advisors and our CEO, as well as input from members of the Board of Directors and stockholders, and then makes final compensation decisions for our named executive officers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-511175</wp:posOffset>
            </wp:positionV>
            <wp:extent cx="5760720" cy="51435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760720" cy="514350"/>
                    </a:xfrm>
                    <a:prstGeom prst="rect">
                      <a:avLst/>
                    </a:prstGeom>
                    <a:noFill/>
                  </pic:spPr>
                </pic:pic>
              </a:graphicData>
            </a:graphic>
          </wp:anchor>
        </w:drawing>
      </w:r>
    </w:p>
    <w:p>
      <w:pPr>
        <w:ind w:left="820"/>
        <w:spacing w:after="0" w:line="185" w:lineRule="auto"/>
        <w:rPr>
          <w:sz w:val="20"/>
          <w:szCs w:val="20"/>
          <w:color w:val="auto"/>
        </w:rPr>
      </w:pPr>
      <w:r>
        <w:rPr>
          <w:rFonts w:ascii="Arial" w:cs="Arial" w:eastAsia="Arial" w:hAnsi="Arial"/>
          <w:sz w:val="29"/>
          <w:szCs w:val="29"/>
          <w:color w:val="000000"/>
          <w:vertAlign w:val="superscript"/>
        </w:rPr>
        <w:t>​</w:t>
      </w:r>
      <w:r>
        <w:rPr>
          <w:rFonts w:ascii="Arial" w:cs="Arial" w:eastAsia="Arial" w:hAnsi="Arial"/>
          <w:sz w:val="15"/>
          <w:szCs w:val="15"/>
          <w:b w:val="1"/>
          <w:bCs w:val="1"/>
          <w:color w:val="1F2668"/>
        </w:rPr>
        <w:t xml:space="preserve"> Stockholder Engagement </w:t>
      </w:r>
      <w:r>
        <w:rPr>
          <w:rFonts w:ascii="Arial" w:cs="Arial" w:eastAsia="Arial" w:hAnsi="Arial"/>
          <w:sz w:val="29"/>
          <w:szCs w:val="29"/>
          <w:color w:val="000000"/>
          <w:vertAlign w:val="superscript"/>
        </w:rPr>
        <w:t>​​</w:t>
      </w:r>
      <w:r>
        <w:rPr>
          <w:rFonts w:ascii="Arial" w:cs="Arial" w:eastAsia="Arial" w:hAnsi="Arial"/>
          <w:sz w:val="15"/>
          <w:szCs w:val="15"/>
          <w:color w:val="000000"/>
        </w:rPr>
        <w:t>• The Committee Chair engages with a significant number of stockholders holding a</w:t>
      </w:r>
    </w:p>
    <w:p>
      <w:pPr>
        <w:ind w:left="3020" w:right="160"/>
        <w:spacing w:after="0" w:line="263" w:lineRule="auto"/>
        <w:rPr>
          <w:sz w:val="20"/>
          <w:szCs w:val="20"/>
          <w:color w:val="auto"/>
        </w:rPr>
      </w:pPr>
      <w:r>
        <w:rPr>
          <w:rFonts w:ascii="Arial" w:cs="Arial" w:eastAsia="Arial" w:hAnsi="Arial"/>
          <w:sz w:val="15"/>
          <w:szCs w:val="15"/>
          <w:color w:val="auto"/>
        </w:rPr>
        <w:t>substantial percentage of outstanding shares and considers all feedback it receives on current and prior compensation practices</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477" w:lineRule="exact"/>
        <w:rPr>
          <w:sz w:val="20"/>
          <w:szCs w:val="20"/>
          <w:color w:val="auto"/>
        </w:rPr>
      </w:pPr>
    </w:p>
    <w:p>
      <w:pPr>
        <w:sectPr>
          <w:pgSz w:w="11900" w:h="16838" w:orient="portrait"/>
          <w:cols w:equalWidth="0" w:num="2">
            <w:col w:w="9680" w:space="100"/>
            <w:col w:w="140"/>
          </w:cols>
          <w:pgMar w:left="580" w:top="97" w:right="1399" w:bottom="1440" w:gutter="0" w:footer="0" w:header="0"/>
          <w:type w:val="continuous"/>
        </w:sectPr>
      </w:pPr>
    </w:p>
    <w:tbl>
      <w:tblPr>
        <w:tblLayout w:type="fixed"/>
        <w:tblInd w:w="820" w:type="dxa"/>
        <w:tblCellMar>
          <w:top w:w="0" w:type="dxa"/>
          <w:left w:w="0" w:type="dxa"/>
          <w:bottom w:w="0" w:type="dxa"/>
          <w:right w:w="0" w:type="dxa"/>
        </w:tblCellMar>
      </w:tblPr>
      <w:tr>
        <w:trPr>
          <w:trHeight w:val="249"/>
        </w:trPr>
        <w:tc>
          <w:tcPr>
            <w:tcW w:w="1400" w:type="dxa"/>
            <w:vAlign w:val="bottom"/>
          </w:tcPr>
          <w:p>
            <w:pPr>
              <w:spacing w:after="0" w:line="249" w:lineRule="exact"/>
              <w:rPr>
                <w:sz w:val="20"/>
                <w:szCs w:val="20"/>
                <w:color w:val="auto"/>
              </w:rPr>
            </w:pPr>
            <w:r>
              <w:rPr>
                <w:rFonts w:ascii="Arial" w:cs="Arial" w:eastAsia="Arial" w:hAnsi="Arial"/>
                <w:sz w:val="28"/>
                <w:szCs w:val="28"/>
                <w:color w:val="000000"/>
                <w:vertAlign w:val="superscript"/>
              </w:rPr>
              <w:t>​</w:t>
            </w:r>
            <w:r>
              <w:rPr>
                <w:rFonts w:ascii="Arial" w:cs="Arial" w:eastAsia="Arial" w:hAnsi="Arial"/>
                <w:sz w:val="15"/>
                <w:szCs w:val="15"/>
                <w:b w:val="1"/>
                <w:bCs w:val="1"/>
                <w:color w:val="1F2668"/>
              </w:rPr>
              <w:t xml:space="preserve"> Full Board</w:t>
            </w:r>
          </w:p>
        </w:tc>
        <w:tc>
          <w:tcPr>
            <w:tcW w:w="640" w:type="dxa"/>
            <w:vAlign w:val="bottom"/>
          </w:tcPr>
          <w:p>
            <w:pPr>
              <w:ind w:left="540"/>
              <w:spacing w:after="0"/>
              <w:rPr>
                <w:sz w:val="20"/>
                <w:szCs w:val="20"/>
                <w:color w:val="auto"/>
              </w:rPr>
            </w:pPr>
            <w:r>
              <w:rPr>
                <w:rFonts w:ascii="Arial" w:cs="Arial" w:eastAsia="Arial" w:hAnsi="Arial"/>
                <w:sz w:val="15"/>
                <w:szCs w:val="15"/>
                <w:color w:val="auto"/>
              </w:rPr>
              <w:t>​​</w:t>
            </w:r>
          </w:p>
        </w:tc>
        <w:tc>
          <w:tcPr>
            <w:tcW w:w="6920" w:type="dxa"/>
            <w:vAlign w:val="bottom"/>
            <w:tcBorders>
              <w:top w:val="single" w:sz="8" w:color="83AD40"/>
            </w:tcBorders>
          </w:tcPr>
          <w:p>
            <w:pPr>
              <w:spacing w:after="0"/>
              <w:rPr>
                <w:sz w:val="20"/>
                <w:szCs w:val="20"/>
                <w:color w:val="auto"/>
              </w:rPr>
            </w:pPr>
            <w:r>
              <w:rPr>
                <w:rFonts w:ascii="Arial" w:cs="Arial" w:eastAsia="Arial" w:hAnsi="Arial"/>
                <w:sz w:val="15"/>
                <w:szCs w:val="15"/>
                <w:color w:val="auto"/>
              </w:rPr>
              <w:t>• The Committee regularly reports to the full Board to ensure management accountability with business</w:t>
            </w:r>
          </w:p>
        </w:tc>
        <w:tc>
          <w:tcPr>
            <w:tcW w:w="40" w:type="dxa"/>
            <w:vAlign w:val="bottom"/>
          </w:tcPr>
          <w:p>
            <w:pPr>
              <w:spacing w:after="0"/>
              <w:rPr>
                <w:sz w:val="20"/>
                <w:szCs w:val="20"/>
                <w:color w:val="auto"/>
              </w:rPr>
            </w:pPr>
            <w:r>
              <w:rPr>
                <w:rFonts w:ascii="Arial" w:cs="Arial" w:eastAsia="Arial" w:hAnsi="Arial"/>
                <w:sz w:val="15"/>
                <w:szCs w:val="15"/>
                <w:color w:val="auto"/>
              </w:rPr>
              <w:t>​</w:t>
            </w:r>
          </w:p>
        </w:tc>
      </w:tr>
      <w:tr>
        <w:trPr>
          <w:trHeight w:val="200"/>
        </w:trPr>
        <w:tc>
          <w:tcPr>
            <w:tcW w:w="1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960" w:type="dxa"/>
            <w:vAlign w:val="bottom"/>
            <w:gridSpan w:val="2"/>
          </w:tcPr>
          <w:p>
            <w:pPr>
              <w:ind w:left="160"/>
              <w:spacing w:after="0"/>
              <w:rPr>
                <w:sz w:val="20"/>
                <w:szCs w:val="20"/>
                <w:color w:val="auto"/>
              </w:rPr>
            </w:pPr>
            <w:r>
              <w:rPr>
                <w:rFonts w:ascii="Arial" w:cs="Arial" w:eastAsia="Arial" w:hAnsi="Arial"/>
                <w:sz w:val="15"/>
                <w:szCs w:val="15"/>
                <w:color w:val="auto"/>
              </w:rPr>
              <w:t>objectives and alignment with stockholders</w:t>
            </w:r>
          </w:p>
        </w:tc>
      </w:tr>
    </w:tbl>
    <w:p>
      <w:pPr>
        <w:spacing w:after="0" w:line="1" w:lineRule="exact"/>
        <w:rPr>
          <w:sz w:val="20"/>
          <w:szCs w:val="20"/>
          <w:color w:val="auto"/>
        </w:rPr>
      </w:pPr>
    </w:p>
    <w:p>
      <w:pPr>
        <w:sectPr>
          <w:pgSz w:w="11900" w:h="16838" w:orient="portrait"/>
          <w:cols w:equalWidth="0" w:num="1">
            <w:col w:w="9920"/>
          </w:cols>
          <w:pgMar w:left="580" w:top="97" w:right="1399" w:bottom="1440" w:gutter="0" w:footer="0" w:header="0"/>
          <w:type w:val="continuous"/>
        </w:sectPr>
      </w:pPr>
    </w:p>
    <w:tbl>
      <w:tblPr>
        <w:tblLayout w:type="fixed"/>
        <w:tblInd w:w="820" w:type="dxa"/>
        <w:tblCellMar>
          <w:top w:w="0" w:type="dxa"/>
          <w:left w:w="0" w:type="dxa"/>
          <w:bottom w:w="0" w:type="dxa"/>
          <w:right w:w="0" w:type="dxa"/>
        </w:tblCellMar>
      </w:tblPr>
      <w:tr>
        <w:trPr>
          <w:trHeight w:val="250"/>
        </w:trPr>
        <w:tc>
          <w:tcPr>
            <w:tcW w:w="1780" w:type="dxa"/>
            <w:vAlign w:val="bottom"/>
          </w:tcPr>
          <w:p>
            <w:pPr>
              <w:spacing w:after="0" w:line="250" w:lineRule="exact"/>
              <w:rPr>
                <w:sz w:val="20"/>
                <w:szCs w:val="20"/>
                <w:color w:val="auto"/>
              </w:rPr>
            </w:pPr>
            <w:r>
              <w:rPr>
                <w:rFonts w:ascii="Arial" w:cs="Arial" w:eastAsia="Arial" w:hAnsi="Arial"/>
                <w:sz w:val="28"/>
                <w:szCs w:val="28"/>
                <w:color w:val="000000"/>
                <w:vertAlign w:val="superscript"/>
              </w:rPr>
              <w:t>​</w:t>
            </w:r>
            <w:r>
              <w:rPr>
                <w:rFonts w:ascii="Arial" w:cs="Arial" w:eastAsia="Arial" w:hAnsi="Arial"/>
                <w:sz w:val="15"/>
                <w:szCs w:val="15"/>
                <w:b w:val="1"/>
                <w:bCs w:val="1"/>
                <w:color w:val="1F2668"/>
              </w:rPr>
              <w:t xml:space="preserve"> Committee and Chief</w:t>
            </w:r>
          </w:p>
        </w:tc>
        <w:tc>
          <w:tcPr>
            <w:tcW w:w="260" w:type="dxa"/>
            <w:vAlign w:val="bottom"/>
          </w:tcPr>
          <w:p>
            <w:pPr>
              <w:ind w:left="160"/>
              <w:spacing w:after="0"/>
              <w:rPr>
                <w:sz w:val="20"/>
                <w:szCs w:val="20"/>
                <w:color w:val="auto"/>
              </w:rPr>
            </w:pPr>
            <w:r>
              <w:rPr>
                <w:rFonts w:ascii="Arial" w:cs="Arial" w:eastAsia="Arial" w:hAnsi="Arial"/>
                <w:sz w:val="15"/>
                <w:szCs w:val="15"/>
                <w:color w:val="auto"/>
              </w:rPr>
              <w:t>​​</w:t>
            </w:r>
          </w:p>
        </w:tc>
        <w:tc>
          <w:tcPr>
            <w:tcW w:w="120" w:type="dxa"/>
            <w:vAlign w:val="bottom"/>
            <w:tcBorders>
              <w:top w:val="single" w:sz="8" w:color="83AD40"/>
            </w:tcBorders>
          </w:tcPr>
          <w:p>
            <w:pPr>
              <w:spacing w:after="0"/>
              <w:rPr>
                <w:sz w:val="20"/>
                <w:szCs w:val="20"/>
                <w:color w:val="auto"/>
              </w:rPr>
            </w:pPr>
            <w:r>
              <w:rPr>
                <w:rFonts w:ascii="Arial" w:cs="Arial" w:eastAsia="Arial" w:hAnsi="Arial"/>
                <w:sz w:val="15"/>
                <w:szCs w:val="15"/>
                <w:color w:val="auto"/>
              </w:rPr>
              <w:t>•</w:t>
            </w:r>
          </w:p>
        </w:tc>
        <w:tc>
          <w:tcPr>
            <w:tcW w:w="6800" w:type="dxa"/>
            <w:vAlign w:val="bottom"/>
            <w:tcBorders>
              <w:top w:val="single" w:sz="8" w:color="83AD40"/>
            </w:tcBorders>
          </w:tcPr>
          <w:p>
            <w:pPr>
              <w:ind w:left="40"/>
              <w:spacing w:after="0"/>
              <w:rPr>
                <w:sz w:val="20"/>
                <w:szCs w:val="20"/>
                <w:color w:val="auto"/>
              </w:rPr>
            </w:pPr>
            <w:r>
              <w:rPr>
                <w:rFonts w:ascii="Arial" w:cs="Arial" w:eastAsia="Arial" w:hAnsi="Arial"/>
                <w:sz w:val="15"/>
                <w:szCs w:val="15"/>
                <w:color w:val="auto"/>
              </w:rPr>
              <w:t>The Committee reviews named executive officer’s annual performance targets and criteria, the</w:t>
            </w:r>
          </w:p>
        </w:tc>
        <w:tc>
          <w:tcPr>
            <w:tcW w:w="0" w:type="dxa"/>
            <w:vAlign w:val="bottom"/>
          </w:tcPr>
          <w:p>
            <w:pPr>
              <w:spacing w:after="0"/>
              <w:rPr>
                <w:sz w:val="1"/>
                <w:szCs w:val="1"/>
                <w:color w:val="auto"/>
              </w:rPr>
            </w:pPr>
          </w:p>
        </w:tc>
      </w:tr>
      <w:tr>
        <w:trPr>
          <w:trHeight w:val="177"/>
        </w:trPr>
        <w:tc>
          <w:tcPr>
            <w:tcW w:w="1780" w:type="dxa"/>
            <w:vAlign w:val="bottom"/>
          </w:tcPr>
          <w:p>
            <w:pPr>
              <w:ind w:left="100"/>
              <w:spacing w:after="0"/>
              <w:rPr>
                <w:sz w:val="20"/>
                <w:szCs w:val="20"/>
                <w:color w:val="auto"/>
              </w:rPr>
            </w:pPr>
            <w:r>
              <w:rPr>
                <w:rFonts w:ascii="Arial" w:cs="Arial" w:eastAsia="Arial" w:hAnsi="Arial"/>
                <w:sz w:val="15"/>
                <w:szCs w:val="15"/>
                <w:b w:val="1"/>
                <w:bCs w:val="1"/>
                <w:color w:val="1F2668"/>
              </w:rPr>
              <w:t>Executive Officer</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0" w:type="dxa"/>
            <w:vAlign w:val="bottom"/>
          </w:tcPr>
          <w:p>
            <w:pPr>
              <w:ind w:left="40"/>
              <w:spacing w:after="0"/>
              <w:rPr>
                <w:sz w:val="20"/>
                <w:szCs w:val="20"/>
                <w:color w:val="auto"/>
              </w:rPr>
            </w:pPr>
            <w:r>
              <w:rPr>
                <w:rFonts w:ascii="Arial" w:cs="Arial" w:eastAsia="Arial" w:hAnsi="Arial"/>
                <w:sz w:val="15"/>
                <w:szCs w:val="15"/>
                <w:color w:val="auto"/>
              </w:rPr>
              <w:t>Company’s absolute and relative TSR, the individual NEO’s execution of the Company’s long-term</w:t>
            </w: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0" w:type="dxa"/>
            <w:vAlign w:val="bottom"/>
          </w:tcPr>
          <w:p>
            <w:pPr>
              <w:ind w:left="40"/>
              <w:spacing w:after="0"/>
              <w:rPr>
                <w:sz w:val="20"/>
                <w:szCs w:val="20"/>
                <w:color w:val="auto"/>
              </w:rPr>
            </w:pPr>
            <w:r>
              <w:rPr>
                <w:rFonts w:ascii="Arial" w:cs="Arial" w:eastAsia="Arial" w:hAnsi="Arial"/>
                <w:sz w:val="15"/>
                <w:szCs w:val="15"/>
                <w:color w:val="auto"/>
              </w:rPr>
              <w:t>strategy, peer benchmarking and other market data provided by independent compensation</w:t>
            </w:r>
          </w:p>
        </w:tc>
        <w:tc>
          <w:tcPr>
            <w:tcW w:w="0" w:type="dxa"/>
            <w:vAlign w:val="bottom"/>
          </w:tcPr>
          <w:p>
            <w:pPr>
              <w:spacing w:after="0"/>
              <w:rPr>
                <w:sz w:val="1"/>
                <w:szCs w:val="1"/>
                <w:color w:val="auto"/>
              </w:rPr>
            </w:pPr>
          </w:p>
        </w:tc>
      </w:tr>
      <w:tr>
        <w:trPr>
          <w:trHeight w:val="200"/>
        </w:trPr>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0" w:type="dxa"/>
            <w:vAlign w:val="bottom"/>
          </w:tcPr>
          <w:p>
            <w:pPr>
              <w:ind w:left="40"/>
              <w:spacing w:after="0"/>
              <w:rPr>
                <w:sz w:val="20"/>
                <w:szCs w:val="20"/>
                <w:color w:val="auto"/>
              </w:rPr>
            </w:pPr>
            <w:r>
              <w:rPr>
                <w:rFonts w:ascii="Arial" w:cs="Arial" w:eastAsia="Arial" w:hAnsi="Arial"/>
                <w:sz w:val="15"/>
                <w:szCs w:val="15"/>
                <w:color w:val="auto"/>
              </w:rPr>
              <w:t>consultants in formulating compensation recommendations</w:t>
            </w:r>
          </w:p>
        </w:tc>
        <w:tc>
          <w:tcPr>
            <w:tcW w:w="0" w:type="dxa"/>
            <w:vAlign w:val="bottom"/>
          </w:tcPr>
          <w:p>
            <w:pPr>
              <w:spacing w:after="0"/>
              <w:rPr>
                <w:sz w:val="1"/>
                <w:szCs w:val="1"/>
                <w:color w:val="auto"/>
              </w:rPr>
            </w:pPr>
          </w:p>
        </w:tc>
      </w:tr>
      <w:tr>
        <w:trPr>
          <w:trHeight w:val="313"/>
        </w:trPr>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6800" w:type="dxa"/>
            <w:vAlign w:val="bottom"/>
          </w:tcPr>
          <w:p>
            <w:pPr>
              <w:ind w:left="40"/>
              <w:spacing w:after="0"/>
              <w:rPr>
                <w:sz w:val="20"/>
                <w:szCs w:val="20"/>
                <w:color w:val="auto"/>
              </w:rPr>
            </w:pPr>
            <w:r>
              <w:rPr>
                <w:rFonts w:ascii="Arial" w:cs="Arial" w:eastAsia="Arial" w:hAnsi="Arial"/>
                <w:sz w:val="15"/>
                <w:szCs w:val="15"/>
                <w:color w:val="auto"/>
              </w:rPr>
              <w:t>At the request of the Committee, our CEO also receives and reviews this market data and provides</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0" w:type="dxa"/>
            <w:vAlign w:val="bottom"/>
          </w:tcPr>
          <w:p>
            <w:pPr>
              <w:ind w:left="40"/>
              <w:spacing w:after="0"/>
              <w:rPr>
                <w:sz w:val="20"/>
                <w:szCs w:val="20"/>
                <w:color w:val="auto"/>
              </w:rPr>
            </w:pPr>
            <w:r>
              <w:rPr>
                <w:rFonts w:ascii="Arial" w:cs="Arial" w:eastAsia="Arial" w:hAnsi="Arial"/>
                <w:sz w:val="15"/>
                <w:szCs w:val="15"/>
                <w:color w:val="auto"/>
              </w:rPr>
              <w:t>recommendations for the Committee’s consideration regarding the compensation of other named</w:t>
            </w:r>
          </w:p>
        </w:tc>
        <w:tc>
          <w:tcPr>
            <w:tcW w:w="0" w:type="dxa"/>
            <w:vAlign w:val="bottom"/>
          </w:tcPr>
          <w:p>
            <w:pPr>
              <w:spacing w:after="0"/>
              <w:rPr>
                <w:sz w:val="1"/>
                <w:szCs w:val="1"/>
                <w:color w:val="auto"/>
              </w:rPr>
            </w:pPr>
          </w:p>
        </w:tc>
      </w:tr>
      <w:tr>
        <w:trPr>
          <w:trHeight w:val="200"/>
        </w:trPr>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0" w:type="dxa"/>
            <w:vAlign w:val="bottom"/>
          </w:tcPr>
          <w:p>
            <w:pPr>
              <w:ind w:left="40"/>
              <w:spacing w:after="0"/>
              <w:rPr>
                <w:sz w:val="20"/>
                <w:szCs w:val="20"/>
                <w:color w:val="auto"/>
              </w:rPr>
            </w:pPr>
            <w:r>
              <w:rPr>
                <w:rFonts w:ascii="Arial" w:cs="Arial" w:eastAsia="Arial" w:hAnsi="Arial"/>
                <w:sz w:val="15"/>
                <w:szCs w:val="15"/>
                <w:color w:val="auto"/>
              </w:rPr>
              <w:t>executive officers</w:t>
            </w:r>
          </w:p>
        </w:tc>
        <w:tc>
          <w:tcPr>
            <w:tcW w:w="0" w:type="dxa"/>
            <w:vAlign w:val="bottom"/>
          </w:tcPr>
          <w:p>
            <w:pPr>
              <w:spacing w:after="0"/>
              <w:rPr>
                <w:sz w:val="1"/>
                <w:szCs w:val="1"/>
                <w:color w:val="auto"/>
              </w:rPr>
            </w:pPr>
          </w:p>
        </w:tc>
      </w:tr>
      <w:tr>
        <w:trPr>
          <w:trHeight w:val="74"/>
        </w:trPr>
        <w:tc>
          <w:tcPr>
            <w:tcW w:w="1780" w:type="dxa"/>
            <w:vAlign w:val="bottom"/>
            <w:vMerge w:val="restart"/>
          </w:tcPr>
          <w:p>
            <w:pPr>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b w:val="1"/>
                <w:bCs w:val="1"/>
                <w:color w:val="1F2668"/>
              </w:rPr>
              <w:t>Consultants</w:t>
            </w:r>
          </w:p>
        </w:tc>
        <w:tc>
          <w:tcPr>
            <w:tcW w:w="260" w:type="dxa"/>
            <w:vAlign w:val="bottom"/>
            <w:vMerge w:val="restart"/>
          </w:tcPr>
          <w:p>
            <w:pPr>
              <w:ind w:left="160"/>
              <w:spacing w:after="0"/>
              <w:rPr>
                <w:sz w:val="20"/>
                <w:szCs w:val="20"/>
                <w:color w:val="auto"/>
              </w:rPr>
            </w:pPr>
            <w:r>
              <w:rPr>
                <w:rFonts w:ascii="Arial" w:cs="Arial" w:eastAsia="Arial" w:hAnsi="Arial"/>
                <w:sz w:val="15"/>
                <w:szCs w:val="15"/>
                <w:color w:val="auto"/>
              </w:rPr>
              <w:t>​​</w:t>
            </w:r>
          </w:p>
        </w:tc>
        <w:tc>
          <w:tcPr>
            <w:tcW w:w="6920" w:type="dxa"/>
            <w:vAlign w:val="bottom"/>
            <w:tcBorders>
              <w:bottom w:val="single" w:sz="8" w:color="83AD40"/>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178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5"/>
                <w:szCs w:val="15"/>
                <w:color w:val="auto"/>
              </w:rPr>
              <w:t>Gressle &amp; McGinley LLC (through June 2024)</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3240" w:right="20" w:hanging="216"/>
        <w:spacing w:after="0" w:line="281" w:lineRule="auto"/>
        <w:rPr>
          <w:sz w:val="20"/>
          <w:szCs w:val="20"/>
          <w:color w:val="auto"/>
        </w:rPr>
      </w:pPr>
      <w:r>
        <w:rPr>
          <w:rFonts w:ascii="Arial" w:cs="Arial" w:eastAsia="Arial" w:hAnsi="Arial"/>
          <w:sz w:val="15"/>
          <w:szCs w:val="15"/>
          <w:color w:val="auto"/>
        </w:rPr>
        <w:t>– Retained as the Committee’s independent outside compensation adviser and regularly participates in compensation committee meetings</w:t>
      </w:r>
    </w:p>
    <w:p>
      <w:pPr>
        <w:spacing w:after="0" w:line="1" w:lineRule="exact"/>
        <w:rPr>
          <w:sz w:val="20"/>
          <w:szCs w:val="20"/>
          <w:color w:val="auto"/>
        </w:rPr>
      </w:pPr>
    </w:p>
    <w:p>
      <w:pPr>
        <w:ind w:left="3240" w:right="40" w:hanging="216"/>
        <w:spacing w:after="0" w:line="269" w:lineRule="auto"/>
        <w:rPr>
          <w:sz w:val="20"/>
          <w:szCs w:val="20"/>
          <w:color w:val="auto"/>
        </w:rPr>
      </w:pPr>
      <w:r>
        <w:rPr>
          <w:rFonts w:ascii="Arial" w:cs="Arial" w:eastAsia="Arial" w:hAnsi="Arial"/>
          <w:sz w:val="15"/>
          <w:szCs w:val="15"/>
          <w:color w:val="auto"/>
        </w:rPr>
        <w:t>– Provides updates and relevant data throughout the year on market conditions in light of our goals and objectives, including current market and peer group pay practices and then-existing policies of certain of our institutional investors, ISS, Glass Lewis and other governance groups</w:t>
      </w:r>
    </w:p>
    <w:p>
      <w:pPr>
        <w:ind w:left="3240" w:right="700" w:hanging="216"/>
        <w:spacing w:after="0" w:line="262" w:lineRule="auto"/>
        <w:rPr>
          <w:sz w:val="20"/>
          <w:szCs w:val="20"/>
          <w:color w:val="auto"/>
        </w:rPr>
      </w:pPr>
      <w:r>
        <w:rPr>
          <w:rFonts w:ascii="Arial" w:cs="Arial" w:eastAsia="Arial" w:hAnsi="Arial"/>
          <w:sz w:val="15"/>
          <w:szCs w:val="15"/>
          <w:color w:val="auto"/>
        </w:rPr>
        <w:t>– Offers the Committee independent analysis and recommendations concerning executive compensation</w:t>
      </w:r>
    </w:p>
    <w:p>
      <w:pPr>
        <w:spacing w:after="0" w:line="1" w:lineRule="exact"/>
        <w:rPr>
          <w:sz w:val="20"/>
          <w:szCs w:val="20"/>
          <w:color w:val="auto"/>
        </w:rPr>
      </w:pPr>
    </w:p>
    <w:p>
      <w:pPr>
        <w:ind w:left="3020"/>
        <w:spacing w:after="0"/>
        <w:rPr>
          <w:sz w:val="20"/>
          <w:szCs w:val="20"/>
          <w:color w:val="auto"/>
        </w:rPr>
      </w:pPr>
      <w:r>
        <w:rPr>
          <w:rFonts w:ascii="Arial" w:cs="Arial" w:eastAsia="Arial" w:hAnsi="Arial"/>
          <w:sz w:val="15"/>
          <w:szCs w:val="15"/>
          <w:color w:val="auto"/>
        </w:rPr>
        <w:t>–  Does not provide any additional services to the Company</w:t>
      </w:r>
    </w:p>
    <w:p>
      <w:pPr>
        <w:spacing w:after="0" w:line="125" w:lineRule="exact"/>
        <w:rPr>
          <w:sz w:val="20"/>
          <w:szCs w:val="20"/>
          <w:color w:val="auto"/>
        </w:rPr>
      </w:pPr>
    </w:p>
    <w:p>
      <w:pPr>
        <w:ind w:left="2860"/>
        <w:spacing w:after="0"/>
        <w:rPr>
          <w:sz w:val="20"/>
          <w:szCs w:val="20"/>
          <w:color w:val="auto"/>
        </w:rPr>
      </w:pPr>
      <w:r>
        <w:rPr>
          <w:rFonts w:ascii="Arial" w:cs="Arial" w:eastAsia="Arial" w:hAnsi="Arial"/>
          <w:sz w:val="15"/>
          <w:szCs w:val="15"/>
          <w:color w:val="auto"/>
        </w:rPr>
        <w:t>Ferguson Partners (since September 2024)</w:t>
      </w:r>
    </w:p>
    <w:p>
      <w:pPr>
        <w:spacing w:after="0" w:line="30" w:lineRule="exact"/>
        <w:rPr>
          <w:sz w:val="20"/>
          <w:szCs w:val="20"/>
          <w:color w:val="auto"/>
        </w:rPr>
      </w:pPr>
    </w:p>
    <w:p>
      <w:pPr>
        <w:ind w:left="3240" w:right="580" w:hanging="216"/>
        <w:spacing w:after="0" w:line="272" w:lineRule="auto"/>
        <w:rPr>
          <w:sz w:val="20"/>
          <w:szCs w:val="20"/>
          <w:color w:val="auto"/>
        </w:rPr>
      </w:pPr>
      <w:r>
        <w:rPr>
          <w:rFonts w:ascii="Arial" w:cs="Arial" w:eastAsia="Arial" w:hAnsi="Arial"/>
          <w:sz w:val="15"/>
          <w:szCs w:val="15"/>
          <w:color w:val="auto"/>
        </w:rPr>
        <w:t>– Assumed role of independent outside compensation adviser to the Committee, taking over responsibilities of Gressle &amp; McGinley LLC, described above</w:t>
      </w:r>
    </w:p>
    <w:p>
      <w:pPr>
        <w:ind w:left="3240" w:right="20" w:hanging="216"/>
        <w:spacing w:after="0" w:line="281" w:lineRule="auto"/>
        <w:rPr>
          <w:sz w:val="20"/>
          <w:szCs w:val="20"/>
          <w:color w:val="auto"/>
        </w:rPr>
      </w:pPr>
      <w:r>
        <w:rPr>
          <w:rFonts w:ascii="Arial" w:cs="Arial" w:eastAsia="Arial" w:hAnsi="Arial"/>
          <w:sz w:val="15"/>
          <w:szCs w:val="15"/>
          <w:color w:val="auto"/>
        </w:rPr>
        <w:t>– Provided services and analysis to the Committee in connection with the negotiation and structuring of our CEO’s compensation for 2025 and subsequent years</w:t>
      </w:r>
    </w:p>
    <w:p>
      <w:pPr>
        <w:spacing w:after="0" w:line="1" w:lineRule="exact"/>
        <w:rPr>
          <w:sz w:val="20"/>
          <w:szCs w:val="20"/>
          <w:color w:val="auto"/>
        </w:rPr>
      </w:pPr>
    </w:p>
    <w:p>
      <w:pPr>
        <w:ind w:left="3240" w:right="200" w:hanging="216"/>
        <w:spacing w:after="0" w:line="301" w:lineRule="auto"/>
        <w:rPr>
          <w:sz w:val="20"/>
          <w:szCs w:val="20"/>
          <w:color w:val="auto"/>
        </w:rPr>
      </w:pPr>
      <w:r>
        <w:rPr>
          <w:rFonts w:ascii="Arial" w:cs="Arial" w:eastAsia="Arial" w:hAnsi="Arial"/>
          <w:sz w:val="15"/>
          <w:szCs w:val="15"/>
          <w:color w:val="auto"/>
        </w:rPr>
        <w:t>– Provides services as an executive search firm from time to time, including in connection with the appointment of Peggy Lamb in March 2025</w:t>
      </w:r>
    </w:p>
    <w:p>
      <w:pPr>
        <w:spacing w:after="0" w:line="67" w:lineRule="exact"/>
        <w:rPr>
          <w:sz w:val="20"/>
          <w:szCs w:val="20"/>
          <w:color w:val="auto"/>
        </w:rPr>
      </w:pPr>
    </w:p>
    <w:p>
      <w:pPr>
        <w:ind w:left="2860"/>
        <w:spacing w:after="0"/>
        <w:rPr>
          <w:sz w:val="20"/>
          <w:szCs w:val="20"/>
          <w:color w:val="auto"/>
        </w:rPr>
      </w:pPr>
      <w:r>
        <w:rPr>
          <w:rFonts w:ascii="Arial" w:cs="Arial" w:eastAsia="Arial" w:hAnsi="Arial"/>
          <w:sz w:val="15"/>
          <w:szCs w:val="15"/>
          <w:color w:val="auto"/>
        </w:rPr>
        <w:t>FTI Consulting</w:t>
      </w:r>
    </w:p>
    <w:p>
      <w:pPr>
        <w:spacing w:after="0" w:line="28" w:lineRule="exact"/>
        <w:rPr>
          <w:sz w:val="20"/>
          <w:szCs w:val="20"/>
          <w:color w:val="auto"/>
        </w:rPr>
      </w:pPr>
    </w:p>
    <w:p>
      <w:pPr>
        <w:ind w:left="3240" w:right="80" w:hanging="216"/>
        <w:spacing w:after="0" w:line="274" w:lineRule="auto"/>
        <w:rPr>
          <w:sz w:val="20"/>
          <w:szCs w:val="20"/>
          <w:color w:val="auto"/>
        </w:rPr>
      </w:pPr>
      <w:r>
        <w:rPr>
          <w:rFonts w:ascii="Arial" w:cs="Arial" w:eastAsia="Arial" w:hAnsi="Arial"/>
          <w:sz w:val="15"/>
          <w:szCs w:val="15"/>
          <w:color w:val="auto"/>
        </w:rPr>
        <w:t>– Retained by management as a general business advisor, including for compensation matters, and in connection with the preparation of the Pay Versus Performance disclosure in this proxy statement (FTI Consulting had relationships with certain officers of the Company during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31750</wp:posOffset>
            </wp:positionV>
            <wp:extent cx="5760720" cy="171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76072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1647825</wp:posOffset>
            </wp:positionV>
            <wp:extent cx="6831965"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ectPr>
          <w:pgSz w:w="11900" w:h="16838" w:orient="portrait"/>
          <w:cols w:equalWidth="0" w:num="2">
            <w:col w:w="9780" w:space="0"/>
            <w:col w:w="140"/>
          </w:cols>
          <w:pgMar w:left="580" w:top="97" w:right="1399"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p>
      <w:pPr>
        <w:ind w:left="820"/>
        <w:spacing w:after="0"/>
        <w:tabs>
          <w:tab w:leader="none" w:pos="1440" w:val="left"/>
          <w:tab w:leader="none" w:pos="9860" w:val="left"/>
        </w:tabs>
        <w:rPr>
          <w:sz w:val="20"/>
          <w:szCs w:val="20"/>
          <w:color w:val="auto"/>
        </w:rPr>
      </w:pPr>
      <w:r>
        <w:rPr>
          <w:rFonts w:ascii="Arial" w:cs="Arial" w:eastAsia="Arial" w:hAnsi="Arial"/>
          <w:sz w:val="22"/>
          <w:szCs w:val="22"/>
          <w:b w:val="1"/>
          <w:bCs w:val="1"/>
          <w:color w:val="1F2668"/>
        </w:rPr>
        <w:t>​62</w:t>
      </w:r>
      <w:r>
        <w:rPr>
          <w:sz w:val="20"/>
          <w:szCs w:val="20"/>
          <w:color w:val="auto"/>
        </w:rPr>
        <w:tab/>
      </w:r>
      <w:r>
        <w:rPr>
          <w:rFonts w:ascii="Arial" w:cs="Arial" w:eastAsia="Arial" w:hAnsi="Arial"/>
          <w:sz w:val="22"/>
          <w:szCs w:val="22"/>
          <w:b w:val="1"/>
          <w:bCs w:val="1"/>
          <w:color w:val="1F2668"/>
        </w:rPr>
        <w:t xml:space="preserve">​ ​ </w:t>
      </w:r>
      <w:r>
        <w:rPr>
          <w:rFonts w:ascii="Arial" w:cs="Arial" w:eastAsia="Arial" w:hAnsi="Arial"/>
          <w:sz w:val="14"/>
          <w:szCs w:val="14"/>
          <w:b w:val="1"/>
          <w:bCs w:val="1"/>
          <w:color w:val="1F2668"/>
        </w:rPr>
        <w:t>SL GREEN REALTY CORP. 2025 PROXY STATEMENT</w:t>
      </w:r>
      <w:r>
        <w:rPr>
          <w:sz w:val="20"/>
          <w:szCs w:val="20"/>
          <w:color w:val="auto"/>
        </w:rPr>
        <w:tab/>
      </w:r>
      <w:r>
        <w:rPr>
          <w:rFonts w:ascii="Arial" w:cs="Arial" w:eastAsia="Arial" w:hAnsi="Arial"/>
          <w:sz w:val="22"/>
          <w:szCs w:val="22"/>
          <w:b w:val="1"/>
          <w:bCs w:val="1"/>
          <w:color w:val="1F2668"/>
        </w:rPr>
        <w:t>​</w:t>
      </w:r>
    </w:p>
    <w:p>
      <w:pPr>
        <w:spacing w:after="0" w:line="200" w:lineRule="exact"/>
        <w:rPr>
          <w:sz w:val="20"/>
          <w:szCs w:val="20"/>
          <w:color w:val="auto"/>
        </w:rPr>
      </w:pPr>
    </w:p>
    <w:p>
      <w:pPr>
        <w:spacing w:after="0" w:line="281"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83AD40"/>
        </w:rPr>
        <w:t>Compensation Practices</w:t>
      </w:r>
    </w:p>
    <w:p>
      <w:pPr>
        <w:spacing w:after="0" w:line="144" w:lineRule="exact"/>
        <w:rPr>
          <w:sz w:val="20"/>
          <w:szCs w:val="20"/>
          <w:color w:val="auto"/>
        </w:rPr>
      </w:pPr>
    </w:p>
    <w:p>
      <w:pPr>
        <w:ind w:left="820" w:right="200"/>
        <w:spacing w:after="0" w:line="295" w:lineRule="auto"/>
        <w:rPr>
          <w:sz w:val="20"/>
          <w:szCs w:val="20"/>
          <w:color w:val="auto"/>
        </w:rPr>
      </w:pPr>
      <w:r>
        <w:rPr>
          <w:rFonts w:ascii="Arial" w:cs="Arial" w:eastAsia="Arial" w:hAnsi="Arial"/>
          <w:sz w:val="16"/>
          <w:szCs w:val="16"/>
          <w:color w:val="auto"/>
        </w:rPr>
        <w:t>We believe that our executive compensation programs provide appropriate performance-based incentives to attract and retain leadership talent in the highly competitive New York City real estate market, to align management and stockholder interests and to continue to drive our long-term track record of superior return to stockholders. The following are key features of our executive compensation programs, reflecting changes we have adopted following our extensive stockholder outreach: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94615</wp:posOffset>
            </wp:positionV>
            <wp:extent cx="5760720" cy="186880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760720" cy="18688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p>
      <w:pPr>
        <w:spacing w:after="0" w:line="229"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1F2668"/>
        </w:rPr>
        <w:t>WHAT WE DO</w:t>
      </w:r>
    </w:p>
    <w:p>
      <w:pPr>
        <w:spacing w:after="0" w:line="127" w:lineRule="exact"/>
        <w:rPr>
          <w:sz w:val="20"/>
          <w:szCs w:val="20"/>
          <w:color w:val="auto"/>
        </w:rPr>
      </w:pPr>
    </w:p>
    <w:p>
      <w:pPr>
        <w:ind w:left="1040" w:right="800"/>
        <w:spacing w:after="0" w:line="286" w:lineRule="auto"/>
        <w:rPr>
          <w:sz w:val="20"/>
          <w:szCs w:val="20"/>
          <w:color w:val="auto"/>
        </w:rPr>
      </w:pPr>
      <w:r>
        <w:rPr>
          <w:rFonts w:ascii="Arial" w:cs="Arial" w:eastAsia="Arial" w:hAnsi="Arial"/>
          <w:sz w:val="16"/>
          <w:szCs w:val="16"/>
          <w:color w:val="auto"/>
        </w:rPr>
        <w:t>Pay for performance and create alignment with stockholders</w:t>
      </w:r>
    </w:p>
    <w:p>
      <w:pPr>
        <w:spacing w:after="0" w:line="7"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Include robust hurdles in our incentive plans</w:t>
      </w:r>
    </w:p>
    <w:p>
      <w:pPr>
        <w:spacing w:after="0" w:line="46" w:lineRule="exact"/>
        <w:rPr>
          <w:sz w:val="20"/>
          <w:szCs w:val="20"/>
          <w:color w:val="auto"/>
        </w:rPr>
      </w:pPr>
    </w:p>
    <w:p>
      <w:pPr>
        <w:ind w:left="1040"/>
        <w:spacing w:after="0" w:line="286" w:lineRule="auto"/>
        <w:rPr>
          <w:sz w:val="20"/>
          <w:szCs w:val="20"/>
          <w:color w:val="auto"/>
        </w:rPr>
      </w:pPr>
      <w:r>
        <w:rPr>
          <w:rFonts w:ascii="Arial" w:cs="Arial" w:eastAsia="Arial" w:hAnsi="Arial"/>
          <w:sz w:val="16"/>
          <w:szCs w:val="16"/>
          <w:color w:val="auto"/>
        </w:rPr>
        <w:t>Pay a vast majority of total compensation for our CEO and other named executive officers in equity</w:t>
      </w:r>
    </w:p>
    <w:p>
      <w:pPr>
        <w:spacing w:after="0" w:line="7" w:lineRule="exact"/>
        <w:rPr>
          <w:sz w:val="20"/>
          <w:szCs w:val="20"/>
          <w:color w:val="auto"/>
        </w:rPr>
      </w:pPr>
    </w:p>
    <w:p>
      <w:pPr>
        <w:ind w:left="1040"/>
        <w:spacing w:after="0" w:line="290" w:lineRule="auto"/>
        <w:rPr>
          <w:sz w:val="20"/>
          <w:szCs w:val="20"/>
          <w:color w:val="auto"/>
        </w:rPr>
      </w:pPr>
      <w:r>
        <w:rPr>
          <w:rFonts w:ascii="Arial" w:cs="Arial" w:eastAsia="Arial" w:hAnsi="Arial"/>
          <w:sz w:val="16"/>
          <w:szCs w:val="16"/>
          <w:color w:val="auto"/>
        </w:rPr>
        <w:t>Follow robust equity ownership guidelines for our directors and named executive officers</w:t>
      </w:r>
    </w:p>
    <w:p>
      <w:pPr>
        <w:spacing w:after="0" w:line="1" w:lineRule="exact"/>
        <w:rPr>
          <w:sz w:val="20"/>
          <w:szCs w:val="20"/>
          <w:color w:val="auto"/>
        </w:rPr>
      </w:pPr>
    </w:p>
    <w:p>
      <w:pPr>
        <w:ind w:left="1040" w:right="560"/>
        <w:spacing w:after="0" w:line="299" w:lineRule="auto"/>
        <w:rPr>
          <w:sz w:val="20"/>
          <w:szCs w:val="20"/>
          <w:color w:val="auto"/>
        </w:rPr>
      </w:pPr>
      <w:r>
        <w:rPr>
          <w:rFonts w:ascii="Arial" w:cs="Arial" w:eastAsia="Arial" w:hAnsi="Arial"/>
          <w:sz w:val="16"/>
          <w:szCs w:val="16"/>
          <w:color w:val="auto"/>
        </w:rPr>
        <w:t>Impose a clawback policy with respect to incentive payments</w:t>
      </w:r>
    </w:p>
    <w:p>
      <w:pPr>
        <w:spacing w:after="0" w:line="1" w:lineRule="exact"/>
        <w:rPr>
          <w:sz w:val="20"/>
          <w:szCs w:val="20"/>
          <w:color w:val="auto"/>
        </w:rPr>
      </w:pPr>
    </w:p>
    <w:p>
      <w:pPr>
        <w:ind w:left="1040" w:right="40"/>
        <w:spacing w:after="0" w:line="321" w:lineRule="auto"/>
        <w:rPr>
          <w:sz w:val="20"/>
          <w:szCs w:val="20"/>
          <w:color w:val="auto"/>
        </w:rPr>
      </w:pPr>
      <w:r>
        <w:rPr>
          <w:rFonts w:ascii="Arial" w:cs="Arial" w:eastAsia="Arial" w:hAnsi="Arial"/>
          <w:sz w:val="15"/>
          <w:szCs w:val="15"/>
          <w:color w:val="auto"/>
        </w:rPr>
        <w:t>Require a double trigger for cash severance and accelerated vesting in connection with a change in control</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224" w:hanging="224"/>
        <w:spacing w:after="0"/>
        <w:tabs>
          <w:tab w:leader="none" w:pos="224" w:val="left"/>
        </w:tabs>
        <w:numPr>
          <w:ilvl w:val="0"/>
          <w:numId w:val="75"/>
        </w:numPr>
        <w:rPr>
          <w:rFonts w:ascii="Arial" w:cs="Arial" w:eastAsia="Arial" w:hAnsi="Arial"/>
          <w:sz w:val="16"/>
          <w:szCs w:val="16"/>
          <w:b w:val="1"/>
          <w:bCs w:val="1"/>
          <w:color w:val="7F7F7F"/>
        </w:rPr>
      </w:pPr>
      <w:r>
        <w:rPr>
          <w:rFonts w:ascii="Arial" w:cs="Arial" w:eastAsia="Arial" w:hAnsi="Arial"/>
          <w:sz w:val="16"/>
          <w:szCs w:val="16"/>
          <w:b w:val="1"/>
          <w:bCs w:val="1"/>
          <w:color w:val="7F7F7F"/>
        </w:rPr>
        <w:t>​  WHAT WE DON’T DO</w:t>
      </w:r>
    </w:p>
    <w:p>
      <w:pPr>
        <w:spacing w:after="0" w:line="8" w:lineRule="exact"/>
        <w:rPr>
          <w:sz w:val="20"/>
          <w:szCs w:val="20"/>
          <w:color w:val="auto"/>
        </w:rPr>
      </w:pPr>
    </w:p>
    <w:tbl>
      <w:tblPr>
        <w:tblLayout w:type="fixed"/>
        <w:tblInd w:w="4" w:type="dxa"/>
        <w:tblCellMar>
          <w:top w:w="0" w:type="dxa"/>
          <w:left w:w="0" w:type="dxa"/>
          <w:bottom w:w="0" w:type="dxa"/>
          <w:right w:w="0" w:type="dxa"/>
        </w:tblCellMar>
      </w:tblPr>
      <w:tr>
        <w:trPr>
          <w:trHeight w:val="215"/>
        </w:trPr>
        <w:tc>
          <w:tcPr>
            <w:tcW w:w="440" w:type="dxa"/>
            <w:vAlign w:val="bottom"/>
          </w:tcPr>
          <w:p>
            <w:pPr>
              <w:spacing w:after="0"/>
              <w:rPr>
                <w:sz w:val="20"/>
                <w:szCs w:val="20"/>
                <w:color w:val="auto"/>
              </w:rPr>
            </w:pPr>
            <w:r>
              <w:rPr>
                <w:rFonts w:ascii="Arial" w:cs="Arial" w:eastAsia="Arial" w:hAnsi="Arial"/>
                <w:sz w:val="16"/>
                <w:szCs w:val="16"/>
                <w:color w:val="auto"/>
              </w:rPr>
              <w:t>​  ​</w:t>
            </w:r>
          </w:p>
        </w:tc>
        <w:tc>
          <w:tcPr>
            <w:tcW w:w="4260" w:type="dxa"/>
            <w:vAlign w:val="bottom"/>
            <w:vMerge w:val="restart"/>
          </w:tcPr>
          <w:p>
            <w:pPr>
              <w:ind w:left="200"/>
              <w:spacing w:after="0"/>
              <w:rPr>
                <w:sz w:val="20"/>
                <w:szCs w:val="20"/>
                <w:color w:val="auto"/>
              </w:rPr>
            </w:pPr>
            <w:r>
              <w:rPr>
                <w:rFonts w:ascii="Arial" w:cs="Arial" w:eastAsia="Arial" w:hAnsi="Arial"/>
                <w:sz w:val="16"/>
                <w:szCs w:val="16"/>
                <w:color w:val="auto"/>
              </w:rPr>
              <w:t>No dividends or distributions paid on unearned equity</w:t>
            </w:r>
          </w:p>
        </w:tc>
        <w:tc>
          <w:tcPr>
            <w:tcW w:w="0" w:type="dxa"/>
            <w:vAlign w:val="bottom"/>
          </w:tcPr>
          <w:p>
            <w:pPr>
              <w:spacing w:after="0"/>
              <w:rPr>
                <w:sz w:val="1"/>
                <w:szCs w:val="1"/>
                <w:color w:val="auto"/>
              </w:rPr>
            </w:pPr>
          </w:p>
        </w:tc>
      </w:tr>
      <w:tr>
        <w:trPr>
          <w:trHeight w:val="80"/>
        </w:trPr>
        <w:tc>
          <w:tcPr>
            <w:tcW w:w="440" w:type="dxa"/>
            <w:vAlign w:val="bottom"/>
          </w:tcPr>
          <w:p>
            <w:pPr>
              <w:spacing w:after="0"/>
              <w:rPr>
                <w:sz w:val="6"/>
                <w:szCs w:val="6"/>
                <w:color w:val="auto"/>
              </w:rPr>
            </w:pPr>
          </w:p>
        </w:tc>
        <w:tc>
          <w:tcPr>
            <w:tcW w:w="4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44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6"/>
                <w:szCs w:val="16"/>
                <w:color w:val="auto"/>
              </w:rPr>
              <w:t>awards subject to performance-based vesting</w:t>
            </w: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6"/>
                <w:szCs w:val="16"/>
                <w:color w:val="auto"/>
              </w:rPr>
              <w:t>No signing bonuses for NEOs upon entering into</w:t>
            </w:r>
          </w:p>
        </w:tc>
        <w:tc>
          <w:tcPr>
            <w:tcW w:w="0" w:type="dxa"/>
            <w:vAlign w:val="bottom"/>
          </w:tcPr>
          <w:p>
            <w:pPr>
              <w:spacing w:after="0"/>
              <w:rPr>
                <w:sz w:val="1"/>
                <w:szCs w:val="1"/>
                <w:color w:val="auto"/>
              </w:rPr>
            </w:pPr>
          </w:p>
        </w:tc>
      </w:tr>
      <w:tr>
        <w:trPr>
          <w:trHeight w:val="215"/>
        </w:trPr>
        <w:tc>
          <w:tcPr>
            <w:tcW w:w="44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6"/>
                <w:szCs w:val="16"/>
                <w:color w:val="auto"/>
              </w:rPr>
              <w:t>employment agreements</w:t>
            </w: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4260" w:type="dxa"/>
            <w:vAlign w:val="bottom"/>
          </w:tcPr>
          <w:p>
            <w:pPr>
              <w:ind w:left="200"/>
              <w:spacing w:after="0"/>
              <w:rPr>
                <w:sz w:val="20"/>
                <w:szCs w:val="20"/>
                <w:color w:val="auto"/>
              </w:rPr>
            </w:pPr>
            <w:r>
              <w:rPr>
                <w:rFonts w:ascii="Arial" w:cs="Arial" w:eastAsia="Arial" w:hAnsi="Arial"/>
                <w:sz w:val="16"/>
                <w:szCs w:val="16"/>
                <w:color w:val="auto"/>
              </w:rPr>
              <w:t>No excise tax gross-up provisions</w:t>
            </w:r>
          </w:p>
        </w:tc>
        <w:tc>
          <w:tcPr>
            <w:tcW w:w="0" w:type="dxa"/>
            <w:vAlign w:val="bottom"/>
          </w:tcPr>
          <w:p>
            <w:pPr>
              <w:spacing w:after="0"/>
              <w:rPr>
                <w:sz w:val="1"/>
                <w:szCs w:val="1"/>
                <w:color w:val="auto"/>
              </w:rPr>
            </w:pPr>
          </w:p>
        </w:tc>
      </w:tr>
      <w:tr>
        <w:trPr>
          <w:trHeight w:val="204"/>
        </w:trPr>
        <w:tc>
          <w:tcPr>
            <w:tcW w:w="440" w:type="dxa"/>
            <w:vAlign w:val="bottom"/>
          </w:tcPr>
          <w:p>
            <w:pPr>
              <w:spacing w:after="0"/>
              <w:rPr>
                <w:sz w:val="17"/>
                <w:szCs w:val="17"/>
                <w:color w:val="auto"/>
              </w:rPr>
            </w:pPr>
          </w:p>
        </w:tc>
        <w:tc>
          <w:tcPr>
            <w:tcW w:w="4260" w:type="dxa"/>
            <w:vAlign w:val="bottom"/>
          </w:tcPr>
          <w:p>
            <w:pPr>
              <w:ind w:left="200"/>
              <w:spacing w:after="0"/>
              <w:rPr>
                <w:sz w:val="20"/>
                <w:szCs w:val="20"/>
                <w:color w:val="auto"/>
              </w:rPr>
            </w:pPr>
            <w:r>
              <w:rPr>
                <w:rFonts w:ascii="Arial" w:cs="Arial" w:eastAsia="Arial" w:hAnsi="Arial"/>
                <w:sz w:val="16"/>
                <w:szCs w:val="16"/>
                <w:color w:val="auto"/>
              </w:rPr>
              <w:t>No repricing of stock options</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260" w:type="dxa"/>
            <w:vAlign w:val="bottom"/>
          </w:tcPr>
          <w:p>
            <w:pPr>
              <w:ind w:left="200"/>
              <w:spacing w:after="0"/>
              <w:rPr>
                <w:sz w:val="20"/>
                <w:szCs w:val="20"/>
                <w:color w:val="auto"/>
              </w:rPr>
            </w:pPr>
            <w:r>
              <w:rPr>
                <w:rFonts w:ascii="Arial" w:cs="Arial" w:eastAsia="Arial" w:hAnsi="Arial"/>
                <w:sz w:val="16"/>
                <w:szCs w:val="16"/>
                <w:color w:val="auto"/>
                <w:w w:val="98"/>
              </w:rPr>
              <w:t>No single trigger cash severance or accelerated vesting in</w:t>
            </w:r>
          </w:p>
        </w:tc>
        <w:tc>
          <w:tcPr>
            <w:tcW w:w="0" w:type="dxa"/>
            <w:vAlign w:val="bottom"/>
          </w:tcPr>
          <w:p>
            <w:pPr>
              <w:spacing w:after="0"/>
              <w:rPr>
                <w:sz w:val="1"/>
                <w:szCs w:val="1"/>
                <w:color w:val="auto"/>
              </w:rPr>
            </w:pPr>
          </w:p>
        </w:tc>
      </w:tr>
      <w:tr>
        <w:trPr>
          <w:trHeight w:val="215"/>
        </w:trPr>
        <w:tc>
          <w:tcPr>
            <w:tcW w:w="44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6"/>
                <w:szCs w:val="16"/>
                <w:color w:val="auto"/>
              </w:rPr>
              <w:t>connection with a change in control</w:t>
            </w: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6"/>
                <w:szCs w:val="16"/>
                <w:color w:val="auto"/>
              </w:rPr>
              <w:t>Don’t allow directors or officers to hedge or pledge our</w:t>
            </w:r>
          </w:p>
        </w:tc>
        <w:tc>
          <w:tcPr>
            <w:tcW w:w="0" w:type="dxa"/>
            <w:vAlign w:val="bottom"/>
          </w:tcPr>
          <w:p>
            <w:pPr>
              <w:spacing w:after="0"/>
              <w:rPr>
                <w:sz w:val="1"/>
                <w:szCs w:val="1"/>
                <w:color w:val="auto"/>
              </w:rPr>
            </w:pPr>
          </w:p>
        </w:tc>
      </w:tr>
      <w:tr>
        <w:trPr>
          <w:trHeight w:val="215"/>
        </w:trPr>
        <w:tc>
          <w:tcPr>
            <w:tcW w:w="44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6"/>
                <w:szCs w:val="16"/>
                <w:color w:val="auto"/>
              </w:rPr>
              <w:t>securities or engage in short sales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7F7F7F"/>
        </w:rPr>
        <w: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621" w:lineRule="exact"/>
        <w:rPr>
          <w:sz w:val="20"/>
          <w:szCs w:val="20"/>
          <w:color w:val="auto"/>
        </w:rPr>
      </w:pPr>
    </w:p>
    <w:p>
      <w:pPr>
        <w:sectPr>
          <w:pgSz w:w="11900" w:h="16838" w:orient="portrait"/>
          <w:cols w:equalWidth="0" w:num="3">
            <w:col w:w="5120" w:space="16"/>
            <w:col w:w="4704" w:space="40"/>
            <w:col w:w="60"/>
          </w:cols>
          <w:pgMar w:left="580" w:top="97" w:right="1379" w:bottom="1440" w:gutter="0" w:footer="0" w:header="0"/>
          <w:type w:val="continuous"/>
        </w:sectPr>
      </w:pPr>
    </w:p>
    <w:p>
      <w:pPr>
        <w:spacing w:after="0" w:line="58"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83AD40"/>
        </w:rPr>
        <w:t>Peer Group Benchmarking</w:t>
      </w:r>
    </w:p>
    <w:p>
      <w:pPr>
        <w:spacing w:after="0" w:line="131" w:lineRule="exact"/>
        <w:rPr>
          <w:sz w:val="20"/>
          <w:szCs w:val="20"/>
          <w:color w:val="auto"/>
        </w:rPr>
      </w:pPr>
    </w:p>
    <w:p>
      <w:pPr>
        <w:ind w:left="820" w:right="240"/>
        <w:spacing w:after="0" w:line="291" w:lineRule="auto"/>
        <w:rPr>
          <w:sz w:val="20"/>
          <w:szCs w:val="20"/>
          <w:color w:val="auto"/>
        </w:rPr>
      </w:pPr>
      <w:r>
        <w:rPr>
          <w:rFonts w:ascii="Arial" w:cs="Arial" w:eastAsia="Arial" w:hAnsi="Arial"/>
          <w:sz w:val="16"/>
          <w:szCs w:val="16"/>
          <w:color w:val="auto"/>
        </w:rPr>
        <w:t>In 2024 as in prior years, the Committee reviewed various peer compensation information in connection with its compensation decisions, primarily focused on the chief executive officer’s compensation. This peer information was not used to target a particular percentile for our Chief Executive Officer’s total compensation for 2024, but rather to confirm that our Chief Executive Officer’s total compensation for 2024 was within an appropriate range of the total compensation, considering relative size and performance.</w:t>
      </w:r>
    </w:p>
    <w:p>
      <w:pPr>
        <w:spacing w:after="0" w:line="113" w:lineRule="exact"/>
        <w:rPr>
          <w:sz w:val="20"/>
          <w:szCs w:val="20"/>
          <w:color w:val="auto"/>
        </w:rPr>
      </w:pPr>
    </w:p>
    <w:p>
      <w:pPr>
        <w:ind w:left="820" w:right="100"/>
        <w:spacing w:after="0" w:line="289" w:lineRule="auto"/>
        <w:rPr>
          <w:sz w:val="20"/>
          <w:szCs w:val="20"/>
          <w:color w:val="auto"/>
        </w:rPr>
      </w:pPr>
      <w:r>
        <w:rPr>
          <w:rFonts w:ascii="Arial" w:cs="Arial" w:eastAsia="Arial" w:hAnsi="Arial"/>
          <w:sz w:val="16"/>
          <w:szCs w:val="16"/>
          <w:color w:val="auto"/>
        </w:rPr>
        <w:t>The Committee reviewed total compensation information for the chief executive officers of a peer group, with an emphasis on the REIT industry. The peer group included a number of New York City-based peer companies. That decision is based on the unique characteristics of the New York City real estate marketplace, which is where we conduct substantially all of our business, and which is one of the most competitive in the world, from both a business and compensation perspective. However, among the top 15 New York City real estate companies—in terms of Manhattan office-space ownership—only a handful of those companies, including SL Green, are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3164205</wp:posOffset>
            </wp:positionV>
            <wp:extent cx="6831965"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5100" w:type="dxa"/>
            <w:vAlign w:val="bottom"/>
          </w:tcPr>
          <w:p>
            <w:pPr>
              <w:spacing w:after="0"/>
              <w:rPr>
                <w:sz w:val="20"/>
                <w:szCs w:val="20"/>
                <w:color w:val="auto"/>
              </w:rPr>
            </w:pPr>
            <w:r>
              <w:rPr>
                <w:rFonts w:ascii="Arial" w:cs="Arial" w:eastAsia="Arial" w:hAnsi="Arial"/>
                <w:sz w:val="14"/>
                <w:szCs w:val="14"/>
                <w:b w:val="1"/>
                <w:bCs w:val="1"/>
                <w:color w:val="auto"/>
              </w:rPr>
              <w:t>​</w:t>
            </w:r>
          </w:p>
        </w:tc>
        <w:tc>
          <w:tcPr>
            <w:tcW w:w="3480" w:type="dxa"/>
            <w:vAlign w:val="bottom"/>
          </w:tcPr>
          <w:p>
            <w:pPr>
              <w:ind w:left="3100"/>
              <w:spacing w:after="0"/>
              <w:rPr>
                <w:sz w:val="20"/>
                <w:szCs w:val="20"/>
                <w:color w:val="auto"/>
              </w:rPr>
            </w:pPr>
            <w:r>
              <w:rPr>
                <w:rFonts w:ascii="Arial" w:cs="Arial" w:eastAsia="Arial" w:hAnsi="Arial"/>
                <w:sz w:val="14"/>
                <w:szCs w:val="14"/>
                <w:b w:val="1"/>
                <w:bCs w:val="1"/>
                <w:color w:val="auto"/>
              </w:rPr>
              <w:t>​ ​</w:t>
            </w:r>
          </w:p>
        </w:tc>
        <w:tc>
          <w:tcPr>
            <w:tcW w:w="480" w:type="dxa"/>
            <w:vAlign w:val="bottom"/>
            <w:vMerge w:val="restart"/>
          </w:tcPr>
          <w:p>
            <w:pPr>
              <w:jc w:val="right"/>
              <w:spacing w:after="0"/>
              <w:rPr>
                <w:sz w:val="20"/>
                <w:szCs w:val="20"/>
                <w:color w:val="auto"/>
              </w:rPr>
            </w:pPr>
            <w:r>
              <w:rPr>
                <w:rFonts w:ascii="Arial" w:cs="Arial" w:eastAsia="Arial" w:hAnsi="Arial"/>
                <w:sz w:val="22"/>
                <w:szCs w:val="22"/>
                <w:b w:val="1"/>
                <w:bCs w:val="1"/>
                <w:color w:val="1F2668"/>
              </w:rPr>
              <w:t>63</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5100" w:type="dxa"/>
            <w:vAlign w:val="bottom"/>
          </w:tcPr>
          <w:p>
            <w:pPr>
              <w:spacing w:after="0"/>
              <w:rPr>
                <w:sz w:val="20"/>
                <w:szCs w:val="20"/>
                <w:color w:val="auto"/>
              </w:rPr>
            </w:pPr>
            <w:r>
              <w:rPr>
                <w:rFonts w:ascii="Arial" w:cs="Arial" w:eastAsia="Arial" w:hAnsi="Arial"/>
                <w:sz w:val="14"/>
                <w:szCs w:val="14"/>
                <w:b w:val="1"/>
                <w:bCs w:val="1"/>
                <w:color w:val="auto"/>
              </w:rPr>
              <w:t>EXECUTIVE COMPENSATION</w:t>
            </w:r>
          </w:p>
        </w:tc>
        <w:tc>
          <w:tcPr>
            <w:tcW w:w="348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57" w:lineRule="exact"/>
        <w:rPr>
          <w:sz w:val="20"/>
          <w:szCs w:val="20"/>
          <w:color w:val="auto"/>
        </w:rPr>
      </w:pPr>
    </w:p>
    <w:p>
      <w:pPr>
        <w:jc w:val="both"/>
        <w:ind w:left="820" w:right="480"/>
        <w:spacing w:after="0" w:line="377" w:lineRule="auto"/>
        <w:rPr>
          <w:sz w:val="20"/>
          <w:szCs w:val="20"/>
          <w:color w:val="auto"/>
        </w:rPr>
      </w:pPr>
      <w:r>
        <w:rPr>
          <w:rFonts w:ascii="Arial" w:cs="Arial" w:eastAsia="Arial" w:hAnsi="Arial"/>
          <w:sz w:val="15"/>
          <w:szCs w:val="15"/>
          <w:color w:val="auto"/>
        </w:rPr>
        <w:t>With respect to size, we ranked at or above the median of our selected peers with respect to total enterprise value and total revenue as of December 31, 2024. The following companies were included in the peer group that the Committee reviewed:</w:t>
      </w:r>
    </w:p>
    <w:p>
      <w:pPr>
        <w:spacing w:after="0" w:line="110"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83AD40"/>
        </w:rPr>
        <w:t>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109220</wp:posOffset>
            </wp:positionV>
            <wp:extent cx="5666105" cy="218630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666105" cy="218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820"/>
        <w:spacing w:after="0"/>
        <w:rPr>
          <w:sz w:val="20"/>
          <w:szCs w:val="20"/>
          <w:color w:val="auto"/>
        </w:rPr>
      </w:pPr>
      <w:r>
        <w:rPr>
          <w:rFonts w:ascii="Arial" w:cs="Arial" w:eastAsia="Arial" w:hAnsi="Arial"/>
          <w:sz w:val="14"/>
          <w:szCs w:val="14"/>
          <w:color w:val="auto"/>
        </w:rPr>
        <w:t>Source: S&amp;P Capital IQ. Data as of December 31, 2024.</w:t>
      </w:r>
    </w:p>
    <w:p>
      <w:pPr>
        <w:spacing w:after="0" w:line="172" w:lineRule="exact"/>
        <w:rPr>
          <w:sz w:val="20"/>
          <w:szCs w:val="20"/>
          <w:color w:val="auto"/>
        </w:rPr>
      </w:pPr>
    </w:p>
    <w:p>
      <w:pPr>
        <w:ind w:left="820" w:right="220"/>
        <w:spacing w:after="0" w:line="303" w:lineRule="auto"/>
        <w:rPr>
          <w:sz w:val="20"/>
          <w:szCs w:val="20"/>
          <w:color w:val="auto"/>
        </w:rPr>
      </w:pPr>
      <w:r>
        <w:rPr>
          <w:rFonts w:ascii="Arial" w:cs="Arial" w:eastAsia="Arial" w:hAnsi="Arial"/>
          <w:sz w:val="16"/>
          <w:szCs w:val="16"/>
          <w:color w:val="auto"/>
        </w:rPr>
        <w:t>In the market for talent and compensation, the Committee views SLG as most comparable to real estate companies and companies in complex financial services-related industries such as top performing hedge funds, international investors, large private firms and others that may have equal or greater financial resources, including access to cost-efficient capital. Many of these most direct competitors are private companies, however, and are not required to publicly disclose their compensation arrangements, though the Committee believes that the top real estate principals of these non-REIT companies typically receive substantially higher compensation than their counterparts at public REITs.</w:t>
      </w:r>
    </w:p>
    <w:p>
      <w:pPr>
        <w:spacing w:after="0" w:line="101" w:lineRule="exact"/>
        <w:rPr>
          <w:sz w:val="20"/>
          <w:szCs w:val="20"/>
          <w:color w:val="auto"/>
        </w:rPr>
      </w:pPr>
    </w:p>
    <w:tbl>
      <w:tblPr>
        <w:tblLayout w:type="fixed"/>
        <w:tblInd w:w="820" w:type="dxa"/>
        <w:tblCellMar>
          <w:top w:w="0" w:type="dxa"/>
          <w:left w:w="0" w:type="dxa"/>
          <w:bottom w:w="0" w:type="dxa"/>
          <w:right w:w="0" w:type="dxa"/>
        </w:tblCellMar>
      </w:tblPr>
      <w:tr>
        <w:trPr>
          <w:trHeight w:val="368"/>
        </w:trPr>
        <w:tc>
          <w:tcPr>
            <w:tcW w:w="8740" w:type="dxa"/>
            <w:vAlign w:val="bottom"/>
            <w:shd w:val="clear" w:color="auto" w:fill="E9F9D8"/>
          </w:tcPr>
          <w:p>
            <w:pPr>
              <w:spacing w:after="0"/>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Given limited publicly available information on the private companies with which we most directly compete for real estate</w:t>
            </w:r>
          </w:p>
        </w:tc>
        <w:tc>
          <w:tcPr>
            <w:tcW w:w="320" w:type="dxa"/>
            <w:vAlign w:val="bottom"/>
            <w:shd w:val="clear" w:color="auto" w:fill="E9F9D8"/>
          </w:tcPr>
          <w:p>
            <w:pPr>
              <w:ind w:left="160"/>
              <w:spacing w:after="0"/>
              <w:rPr>
                <w:sz w:val="20"/>
                <w:szCs w:val="20"/>
                <w:color w:val="auto"/>
              </w:rPr>
            </w:pPr>
            <w:r>
              <w:rPr>
                <w:rFonts w:ascii="Arial" w:cs="Arial" w:eastAsia="Arial" w:hAnsi="Arial"/>
                <w:sz w:val="16"/>
                <w:szCs w:val="16"/>
                <w:color w:val="auto"/>
              </w:rPr>
              <w:t>​</w:t>
            </w:r>
          </w:p>
        </w:tc>
      </w:tr>
      <w:tr>
        <w:trPr>
          <w:trHeight w:val="215"/>
        </w:trPr>
        <w:tc>
          <w:tcPr>
            <w:tcW w:w="8740" w:type="dxa"/>
            <w:vAlign w:val="bottom"/>
            <w:shd w:val="clear" w:color="auto" w:fill="E9F9D8"/>
          </w:tcPr>
          <w:p>
            <w:pPr>
              <w:ind w:left="160"/>
              <w:spacing w:after="0"/>
              <w:rPr>
                <w:sz w:val="20"/>
                <w:szCs w:val="20"/>
                <w:color w:val="auto"/>
              </w:rPr>
            </w:pPr>
            <w:r>
              <w:rPr>
                <w:rFonts w:ascii="Arial" w:cs="Arial" w:eastAsia="Arial" w:hAnsi="Arial"/>
                <w:sz w:val="16"/>
                <w:szCs w:val="16"/>
                <w:color w:val="auto"/>
              </w:rPr>
              <w:t>talent, we have elected to include only public REITs in our compensation peer group.</w:t>
            </w:r>
          </w:p>
        </w:tc>
        <w:tc>
          <w:tcPr>
            <w:tcW w:w="320" w:type="dxa"/>
            <w:vAlign w:val="bottom"/>
            <w:shd w:val="clear" w:color="auto" w:fill="E9F9D8"/>
          </w:tcPr>
          <w:p>
            <w:pPr>
              <w:spacing w:after="0"/>
              <w:rPr>
                <w:sz w:val="18"/>
                <w:szCs w:val="18"/>
                <w:color w:val="auto"/>
              </w:rPr>
            </w:pPr>
          </w:p>
        </w:tc>
      </w:tr>
      <w:tr>
        <w:trPr>
          <w:trHeight w:val="110"/>
        </w:trPr>
        <w:tc>
          <w:tcPr>
            <w:tcW w:w="8740" w:type="dxa"/>
            <w:vAlign w:val="bottom"/>
            <w:shd w:val="clear" w:color="auto" w:fill="E9F9D8"/>
          </w:tcPr>
          <w:p>
            <w:pPr>
              <w:spacing w:after="0"/>
              <w:rPr>
                <w:sz w:val="9"/>
                <w:szCs w:val="9"/>
                <w:color w:val="auto"/>
              </w:rPr>
            </w:pPr>
          </w:p>
        </w:tc>
        <w:tc>
          <w:tcPr>
            <w:tcW w:w="320" w:type="dxa"/>
            <w:vAlign w:val="bottom"/>
            <w:shd w:val="clear" w:color="auto" w:fill="E9F9D8"/>
          </w:tcPr>
          <w:p>
            <w:pPr>
              <w:spacing w:after="0"/>
              <w:rPr>
                <w:sz w:val="9"/>
                <w:szCs w:val="9"/>
                <w:color w:val="auto"/>
              </w:rPr>
            </w:pPr>
          </w:p>
        </w:tc>
      </w:tr>
    </w:tbl>
    <w:p>
      <w:pPr>
        <w:spacing w:after="0" w:line="300"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83AD40"/>
        </w:rPr>
        <w:t>Analysis of Risk Associated with Our Executive Compensation Plans</w:t>
      </w:r>
    </w:p>
    <w:p>
      <w:pPr>
        <w:spacing w:after="0" w:line="144" w:lineRule="exact"/>
        <w:rPr>
          <w:sz w:val="20"/>
          <w:szCs w:val="20"/>
          <w:color w:val="auto"/>
        </w:rPr>
      </w:pPr>
    </w:p>
    <w:p>
      <w:pPr>
        <w:jc w:val="both"/>
        <w:ind w:left="820" w:right="180"/>
        <w:spacing w:after="0" w:line="310" w:lineRule="auto"/>
        <w:rPr>
          <w:sz w:val="20"/>
          <w:szCs w:val="20"/>
          <w:color w:val="auto"/>
        </w:rPr>
      </w:pPr>
      <w:r>
        <w:rPr>
          <w:rFonts w:ascii="Arial" w:cs="Arial" w:eastAsia="Arial" w:hAnsi="Arial"/>
          <w:sz w:val="16"/>
          <w:szCs w:val="16"/>
          <w:color w:val="auto"/>
        </w:rPr>
        <w:t>In setting compensation, we consider the risks to our stockholders and to achievement of our goals that may be inherent in the executive compensation program. We concluded that it is not reasonably likely that our compensation policies and practices will have a material adverse effect on us.</w:t>
      </w:r>
    </w:p>
    <w:p>
      <w:pPr>
        <w:spacing w:after="0" w:line="97" w:lineRule="exact"/>
        <w:rPr>
          <w:sz w:val="20"/>
          <w:szCs w:val="20"/>
          <w:color w:val="auto"/>
        </w:rPr>
      </w:pPr>
    </w:p>
    <w:p>
      <w:pPr>
        <w:ind w:left="820"/>
        <w:spacing w:after="0"/>
        <w:rPr>
          <w:sz w:val="20"/>
          <w:szCs w:val="20"/>
          <w:color w:val="auto"/>
        </w:rPr>
      </w:pPr>
      <w:r>
        <w:rPr>
          <w:rFonts w:ascii="Arial" w:cs="Arial" w:eastAsia="Arial" w:hAnsi="Arial"/>
          <w:sz w:val="15"/>
          <w:szCs w:val="15"/>
          <w:color w:val="auto"/>
        </w:rPr>
        <w:t>In reaching our conclusion, we considered the following aspects of our executive compensation plans and policies among others:</w:t>
      </w:r>
    </w:p>
    <w:p>
      <w:pPr>
        <w:spacing w:after="0" w:line="219" w:lineRule="exact"/>
        <w:rPr>
          <w:sz w:val="20"/>
          <w:szCs w:val="20"/>
          <w:color w:val="auto"/>
        </w:rPr>
      </w:pPr>
    </w:p>
    <w:p>
      <w:pPr>
        <w:ind w:left="1000" w:hanging="184"/>
        <w:spacing w:after="0"/>
        <w:tabs>
          <w:tab w:leader="none" w:pos="10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Performance evaluated based upon achievement of a variety of business objectives and goals.</w:t>
      </w:r>
    </w:p>
    <w:p>
      <w:pPr>
        <w:spacing w:after="0" w:line="86" w:lineRule="exact"/>
        <w:rPr>
          <w:rFonts w:ascii="Arial" w:cs="Arial" w:eastAsia="Arial" w:hAnsi="Arial"/>
          <w:sz w:val="16"/>
          <w:szCs w:val="16"/>
          <w:color w:val="auto"/>
        </w:rPr>
      </w:pPr>
    </w:p>
    <w:p>
      <w:pPr>
        <w:ind w:left="1000" w:right="140" w:hanging="184"/>
        <w:spacing w:after="0" w:line="304" w:lineRule="auto"/>
        <w:tabs>
          <w:tab w:leader="none" w:pos="10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Equity compensation mix is balanced between performance-based and time-based equity awards to lessen the likelihood that executives will take unreasonable risks to keep their equity awards “in-the-money.”</w:t>
      </w:r>
    </w:p>
    <w:p>
      <w:pPr>
        <w:spacing w:after="0" w:line="6" w:lineRule="exact"/>
        <w:rPr>
          <w:rFonts w:ascii="Arial" w:cs="Arial" w:eastAsia="Arial" w:hAnsi="Arial"/>
          <w:sz w:val="16"/>
          <w:szCs w:val="16"/>
          <w:color w:val="auto"/>
        </w:rPr>
      </w:pPr>
    </w:p>
    <w:p>
      <w:pPr>
        <w:ind w:left="1000" w:right="260" w:hanging="184"/>
        <w:spacing w:after="0" w:line="304" w:lineRule="auto"/>
        <w:tabs>
          <w:tab w:leader="none" w:pos="10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Significant portion of incentive compensation issued in the form of long-term incentive awards, tying amounts earned to how we perform over a multi-year period.</w:t>
      </w:r>
    </w:p>
    <w:p>
      <w:pPr>
        <w:spacing w:after="0" w:line="6" w:lineRule="exact"/>
        <w:rPr>
          <w:rFonts w:ascii="Arial" w:cs="Arial" w:eastAsia="Arial" w:hAnsi="Arial"/>
          <w:sz w:val="16"/>
          <w:szCs w:val="16"/>
          <w:color w:val="auto"/>
        </w:rPr>
      </w:pPr>
    </w:p>
    <w:p>
      <w:pPr>
        <w:ind w:left="1000" w:right="440" w:hanging="184"/>
        <w:spacing w:after="0" w:line="286" w:lineRule="auto"/>
        <w:tabs>
          <w:tab w:leader="none" w:pos="10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Payouts under annual performance-based awards are based on achieving a minimum level of performance, which award compensation at levels below full target rather than an “all-or-nothing” approach.</w:t>
      </w:r>
    </w:p>
    <w:p>
      <w:pPr>
        <w:spacing w:after="0" w:line="34" w:lineRule="exact"/>
        <w:rPr>
          <w:rFonts w:ascii="Arial" w:cs="Arial" w:eastAsia="Arial" w:hAnsi="Arial"/>
          <w:sz w:val="16"/>
          <w:szCs w:val="16"/>
          <w:color w:val="auto"/>
        </w:rPr>
      </w:pPr>
    </w:p>
    <w:p>
      <w:pPr>
        <w:ind w:left="1000" w:right="560" w:hanging="184"/>
        <w:spacing w:after="0" w:line="275" w:lineRule="auto"/>
        <w:tabs>
          <w:tab w:leader="none" w:pos="10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 significant portion of annual compensation is equity-based compensation. Executives are required to maintain sizable holdings of equity in the Company, aligning an appropriate portion of our executives’ personal wealth to our long-term performance.</w:t>
      </w:r>
    </w:p>
    <w:p>
      <w:pPr>
        <w:spacing w:after="0" w:line="29" w:lineRule="exact"/>
        <w:rPr>
          <w:rFonts w:ascii="Arial" w:cs="Arial" w:eastAsia="Arial" w:hAnsi="Arial"/>
          <w:sz w:val="16"/>
          <w:szCs w:val="16"/>
          <w:color w:val="auto"/>
        </w:rPr>
      </w:pPr>
    </w:p>
    <w:p>
      <w:pPr>
        <w:ind w:left="1000" w:hanging="184"/>
        <w:spacing w:after="0"/>
        <w:tabs>
          <w:tab w:leader="none" w:pos="10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Recoupment of incentive payments in the event of a required accounting restatement.</w:t>
      </w:r>
    </w:p>
    <w:p>
      <w:pPr>
        <w:spacing w:after="0" w:line="181" w:lineRule="exact"/>
        <w:rPr>
          <w:sz w:val="20"/>
          <w:szCs w:val="20"/>
          <w:color w:val="auto"/>
        </w:rPr>
      </w:pPr>
    </w:p>
    <w:p>
      <w:pPr>
        <w:ind w:left="820" w:right="320"/>
        <w:spacing w:after="0" w:line="321" w:lineRule="auto"/>
        <w:rPr>
          <w:sz w:val="20"/>
          <w:szCs w:val="20"/>
          <w:color w:val="auto"/>
        </w:rPr>
      </w:pPr>
      <w:r>
        <w:rPr>
          <w:rFonts w:ascii="Arial" w:cs="Arial" w:eastAsia="Arial" w:hAnsi="Arial"/>
          <w:sz w:val="16"/>
          <w:szCs w:val="16"/>
          <w:color w:val="auto"/>
        </w:rPr>
        <w:t>Accordingly, although a significant portion of our executives’ compensation is performance-based and “at-risk,” we believe our executive compensation programs are appropriately structured and do not pose a material risk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43815</wp:posOffset>
            </wp:positionV>
            <wp:extent cx="6831965"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p>
      <w:pPr>
        <w:ind w:left="820"/>
        <w:spacing w:after="0"/>
        <w:tabs>
          <w:tab w:leader="none" w:pos="1440" w:val="left"/>
          <w:tab w:leader="none" w:pos="9860" w:val="left"/>
        </w:tabs>
        <w:rPr>
          <w:sz w:val="20"/>
          <w:szCs w:val="20"/>
          <w:color w:val="auto"/>
        </w:rPr>
      </w:pPr>
      <w:r>
        <w:rPr>
          <w:rFonts w:ascii="Arial" w:cs="Arial" w:eastAsia="Arial" w:hAnsi="Arial"/>
          <w:sz w:val="22"/>
          <w:szCs w:val="22"/>
          <w:b w:val="1"/>
          <w:bCs w:val="1"/>
          <w:color w:val="1F2668"/>
        </w:rPr>
        <w:t>​64</w:t>
      </w:r>
      <w:r>
        <w:rPr>
          <w:sz w:val="20"/>
          <w:szCs w:val="20"/>
          <w:color w:val="auto"/>
        </w:rPr>
        <w:tab/>
      </w:r>
      <w:r>
        <w:rPr>
          <w:rFonts w:ascii="Arial" w:cs="Arial" w:eastAsia="Arial" w:hAnsi="Arial"/>
          <w:sz w:val="22"/>
          <w:szCs w:val="22"/>
          <w:b w:val="1"/>
          <w:bCs w:val="1"/>
          <w:color w:val="1F2668"/>
        </w:rPr>
        <w:t xml:space="preserve">​ ​ </w:t>
      </w:r>
      <w:r>
        <w:rPr>
          <w:rFonts w:ascii="Arial" w:cs="Arial" w:eastAsia="Arial" w:hAnsi="Arial"/>
          <w:sz w:val="14"/>
          <w:szCs w:val="14"/>
          <w:b w:val="1"/>
          <w:bCs w:val="1"/>
          <w:color w:val="1F2668"/>
        </w:rPr>
        <w:t>SL GREEN REALTY CORP. 2025 PROXY STATEMENT</w:t>
      </w:r>
      <w:r>
        <w:rPr>
          <w:sz w:val="20"/>
          <w:szCs w:val="20"/>
          <w:color w:val="auto"/>
        </w:rPr>
        <w:tab/>
      </w:r>
      <w:r>
        <w:rPr>
          <w:rFonts w:ascii="Arial" w:cs="Arial" w:eastAsia="Arial" w:hAnsi="Arial"/>
          <w:sz w:val="22"/>
          <w:szCs w:val="22"/>
          <w:b w:val="1"/>
          <w:bCs w:val="1"/>
          <w:color w:val="1F2668"/>
        </w:rPr>
        <w:t>​</w:t>
      </w:r>
    </w:p>
    <w:p>
      <w:pPr>
        <w:spacing w:after="0" w:line="200" w:lineRule="exact"/>
        <w:rPr>
          <w:sz w:val="20"/>
          <w:szCs w:val="20"/>
          <w:color w:val="auto"/>
        </w:rPr>
      </w:pPr>
    </w:p>
    <w:p>
      <w:pPr>
        <w:spacing w:after="0" w:line="281"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83AD40"/>
        </w:rPr>
        <w:t>Executive and Director Equity Ownership Guidelines</w:t>
      </w:r>
    </w:p>
    <w:p>
      <w:pPr>
        <w:spacing w:after="0" w:line="131" w:lineRule="exact"/>
        <w:rPr>
          <w:sz w:val="20"/>
          <w:szCs w:val="20"/>
          <w:color w:val="auto"/>
        </w:rPr>
      </w:pPr>
    </w:p>
    <w:p>
      <w:pPr>
        <w:ind w:left="820" w:right="220"/>
        <w:spacing w:after="0" w:line="304" w:lineRule="auto"/>
        <w:rPr>
          <w:sz w:val="20"/>
          <w:szCs w:val="20"/>
          <w:color w:val="auto"/>
        </w:rPr>
      </w:pPr>
      <w:r>
        <w:rPr>
          <w:rFonts w:ascii="Arial" w:cs="Arial" w:eastAsia="Arial" w:hAnsi="Arial"/>
          <w:sz w:val="16"/>
          <w:szCs w:val="16"/>
          <w:color w:val="auto"/>
        </w:rPr>
        <w:t>In furtherance of the Committee’s ongoing efforts to foster an ownership culture among our senior leadership team, we adopted equity ownership guidelines for our named executive officers and non-employee directors, as set forth below:</w:t>
      </w:r>
    </w:p>
    <w:p>
      <w:pPr>
        <w:sectPr>
          <w:pgSz w:w="11900" w:h="16838" w:orient="portrait"/>
          <w:cols w:equalWidth="0" w:num="1">
            <w:col w:w="9940"/>
          </w:cols>
          <w:pgMar w:left="580" w:top="97" w:right="1379" w:bottom="1440" w:gutter="0" w:footer="0" w:header="0"/>
        </w:sectPr>
      </w:pPr>
    </w:p>
    <w:p>
      <w:pPr>
        <w:spacing w:after="0" w:line="146" w:lineRule="exact"/>
        <w:rPr>
          <w:sz w:val="20"/>
          <w:szCs w:val="20"/>
          <w:color w:val="auto"/>
        </w:rPr>
      </w:pPr>
    </w:p>
    <w:p>
      <w:pPr>
        <w:ind w:left="820"/>
        <w:spacing w:after="0"/>
        <w:rPr>
          <w:sz w:val="20"/>
          <w:szCs w:val="20"/>
          <w:color w:val="auto"/>
        </w:rPr>
      </w:pPr>
      <w:r>
        <w:rPr>
          <w:rFonts w:ascii="Arial" w:cs="Arial" w:eastAsia="Arial" w:hAnsi="Arial"/>
          <w:sz w:val="14"/>
          <w:szCs w:val="14"/>
          <w:color w:val="1F2668"/>
        </w:rPr>
        <w:t>Named Executive Officers and</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4"/>
          <w:szCs w:val="14"/>
          <w:color w:val="1F2668"/>
        </w:rPr>
        <w:t>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31750</wp:posOffset>
            </wp:positionV>
            <wp:extent cx="462026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4620260" cy="8255"/>
                    </a:xfrm>
                    <a:prstGeom prst="rect">
                      <a:avLst/>
                    </a:prstGeom>
                    <a:noFill/>
                  </pic:spPr>
                </pic:pic>
              </a:graphicData>
            </a:graphic>
          </wp:anchor>
        </w:drawing>
      </w:r>
    </w:p>
    <w:p>
      <w:pPr>
        <w:spacing w:after="0" w:line="84" w:lineRule="exact"/>
        <w:rPr>
          <w:sz w:val="20"/>
          <w:szCs w:val="20"/>
          <w:color w:val="auto"/>
        </w:rPr>
      </w:pPr>
    </w:p>
    <w:p>
      <w:pPr>
        <w:ind w:left="820"/>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38100</wp:posOffset>
            </wp:positionV>
            <wp:extent cx="462026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4620260" cy="8255"/>
                    </a:xfrm>
                    <a:prstGeom prst="rect">
                      <a:avLst/>
                    </a:prstGeom>
                    <a:noFill/>
                  </pic:spPr>
                </pic:pic>
              </a:graphicData>
            </a:graphic>
          </wp:anchor>
        </w:drawing>
      </w:r>
    </w:p>
    <w:p>
      <w:pPr>
        <w:spacing w:after="0" w:line="93" w:lineRule="exact"/>
        <w:rPr>
          <w:sz w:val="20"/>
          <w:szCs w:val="20"/>
          <w:color w:val="auto"/>
        </w:rPr>
      </w:pPr>
    </w:p>
    <w:p>
      <w:pPr>
        <w:ind w:left="820"/>
        <w:spacing w:after="0"/>
        <w:rPr>
          <w:sz w:val="20"/>
          <w:szCs w:val="20"/>
          <w:color w:val="auto"/>
        </w:rPr>
      </w:pPr>
      <w:r>
        <w:rPr>
          <w:rFonts w:ascii="Arial" w:cs="Arial" w:eastAsia="Arial" w:hAnsi="Arial"/>
          <w:sz w:val="15"/>
          <w:szCs w:val="15"/>
          <w:color w:val="auto"/>
        </w:rPr>
        <w:t>Other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45085</wp:posOffset>
            </wp:positionV>
            <wp:extent cx="462026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4620260" cy="8255"/>
                    </a:xfrm>
                    <a:prstGeom prst="rect">
                      <a:avLst/>
                    </a:prstGeom>
                    <a:noFill/>
                  </pic:spPr>
                </pic:pic>
              </a:graphicData>
            </a:graphic>
          </wp:anchor>
        </w:drawing>
      </w:r>
    </w:p>
    <w:p>
      <w:pPr>
        <w:spacing w:after="0" w:line="10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38100</wp:posOffset>
            </wp:positionV>
            <wp:extent cx="462026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46202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147"/>
        <w:spacing w:after="0"/>
        <w:rPr>
          <w:sz w:val="20"/>
          <w:szCs w:val="20"/>
          <w:color w:val="auto"/>
        </w:rPr>
      </w:pPr>
      <w:r>
        <w:rPr>
          <w:rFonts w:ascii="Arial" w:cs="Arial" w:eastAsia="Arial" w:hAnsi="Arial"/>
          <w:sz w:val="14"/>
          <w:szCs w:val="14"/>
          <w:color w:val="1F2668"/>
        </w:rPr>
        <w:t>Multiple of Base Salary or</w:t>
      </w:r>
    </w:p>
    <w:p>
      <w:pPr>
        <w:ind w:left="407" w:hanging="407"/>
        <w:spacing w:after="0" w:line="182" w:lineRule="auto"/>
        <w:tabs>
          <w:tab w:leader="none" w:pos="407" w:val="left"/>
        </w:tabs>
        <w:numPr>
          <w:ilvl w:val="0"/>
          <w:numId w:val="77"/>
        </w:numPr>
        <w:rPr>
          <w:rFonts w:ascii="Arial" w:cs="Arial" w:eastAsia="Arial" w:hAnsi="Arial"/>
          <w:sz w:val="28"/>
          <w:szCs w:val="28"/>
          <w:color w:val="1F2668"/>
          <w:vertAlign w:val="subscript"/>
        </w:rPr>
      </w:pPr>
      <w:r>
        <w:rPr>
          <w:rFonts w:ascii="Arial" w:cs="Arial" w:eastAsia="Arial" w:hAnsi="Arial"/>
          <w:sz w:val="14"/>
          <w:szCs w:val="14"/>
          <w:color w:val="1F2668"/>
        </w:rPr>
        <w:t>Annual Cash Retainer</w:t>
      </w:r>
      <w:r>
        <w:rPr>
          <w:rFonts w:ascii="Arial" w:cs="Arial" w:eastAsia="Arial" w:hAnsi="Arial"/>
          <w:sz w:val="27"/>
          <w:szCs w:val="27"/>
          <w:color w:val="1F2668"/>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-10795</wp:posOffset>
            </wp:positionV>
            <wp:extent cx="10718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tbl>
      <w:tblPr>
        <w:tblLayout w:type="fixed"/>
        <w:tblInd w:w="27" w:type="dxa"/>
        <w:tblCellMar>
          <w:top w:w="0" w:type="dxa"/>
          <w:left w:w="0" w:type="dxa"/>
          <w:bottom w:w="0" w:type="dxa"/>
          <w:right w:w="0" w:type="dxa"/>
        </w:tblCellMar>
      </w:tblPr>
      <w:tr>
        <w:trPr>
          <w:trHeight w:val="184"/>
        </w:trPr>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660" w:type="dxa"/>
            <w:vAlign w:val="bottom"/>
          </w:tcPr>
          <w:p>
            <w:pPr>
              <w:ind w:left="1500"/>
              <w:spacing w:after="0"/>
              <w:rPr>
                <w:sz w:val="20"/>
                <w:szCs w:val="20"/>
                <w:color w:val="auto"/>
              </w:rPr>
            </w:pPr>
            <w:r>
              <w:rPr>
                <w:rFonts w:ascii="Arial" w:cs="Arial" w:eastAsia="Arial" w:hAnsi="Arial"/>
                <w:sz w:val="16"/>
                <w:szCs w:val="16"/>
                <w:color w:val="auto"/>
                <w:w w:val="82"/>
              </w:rPr>
              <w:t>​8x</w:t>
            </w:r>
          </w:p>
        </w:tc>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100" w:type="dxa"/>
            <w:vAlign w:val="bottom"/>
            <w:vMerge w:val="continue"/>
          </w:tcPr>
          <w:p>
            <w:pPr>
              <w:spacing w:after="0"/>
              <w:rPr>
                <w:sz w:val="7"/>
                <w:szCs w:val="7"/>
                <w:color w:val="auto"/>
              </w:rPr>
            </w:pPr>
          </w:p>
        </w:tc>
        <w:tc>
          <w:tcPr>
            <w:tcW w:w="1660" w:type="dxa"/>
            <w:vAlign w:val="bottom"/>
          </w:tcPr>
          <w:p>
            <w:pPr>
              <w:ind w:left="1500"/>
              <w:spacing w:after="0" w:line="81" w:lineRule="exact"/>
              <w:rPr>
                <w:sz w:val="20"/>
                <w:szCs w:val="20"/>
                <w:color w:val="auto"/>
              </w:rPr>
            </w:pPr>
            <w:r>
              <w:rPr>
                <w:rFonts w:ascii="Arial" w:cs="Arial" w:eastAsia="Arial" w:hAnsi="Arial"/>
                <w:sz w:val="9"/>
                <w:szCs w:val="9"/>
                <w:color w:val="auto"/>
              </w:rPr>
              <w:t>​</w:t>
            </w: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4B5088"/>
            </w:tcBorders>
          </w:tcPr>
          <w:p>
            <w:pPr>
              <w:spacing w:after="0" w:line="20" w:lineRule="exact"/>
              <w:rPr>
                <w:sz w:val="1"/>
                <w:szCs w:val="1"/>
                <w:color w:val="auto"/>
              </w:rPr>
            </w:pPr>
          </w:p>
        </w:tc>
        <w:tc>
          <w:tcPr>
            <w:tcW w:w="1660" w:type="dxa"/>
            <w:vAlign w:val="bottom"/>
            <w:shd w:val="clear" w:color="auto" w:fill="4B50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660" w:type="dxa"/>
            <w:vAlign w:val="bottom"/>
          </w:tcPr>
          <w:p>
            <w:pPr>
              <w:ind w:left="1500"/>
              <w:spacing w:after="0"/>
              <w:rPr>
                <w:sz w:val="20"/>
                <w:szCs w:val="20"/>
                <w:color w:val="auto"/>
              </w:rPr>
            </w:pPr>
            <w:r>
              <w:rPr>
                <w:rFonts w:ascii="Arial" w:cs="Arial" w:eastAsia="Arial" w:hAnsi="Arial"/>
                <w:sz w:val="16"/>
                <w:szCs w:val="16"/>
                <w:color w:val="auto"/>
                <w:w w:val="82"/>
              </w:rPr>
              <w:t>​6x</w:t>
            </w:r>
          </w:p>
        </w:tc>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100" w:type="dxa"/>
            <w:vAlign w:val="bottom"/>
            <w:vMerge w:val="continue"/>
          </w:tcPr>
          <w:p>
            <w:pPr>
              <w:spacing w:after="0"/>
              <w:rPr>
                <w:sz w:val="7"/>
                <w:szCs w:val="7"/>
                <w:color w:val="auto"/>
              </w:rPr>
            </w:pPr>
          </w:p>
        </w:tc>
        <w:tc>
          <w:tcPr>
            <w:tcW w:w="1660" w:type="dxa"/>
            <w:vAlign w:val="bottom"/>
          </w:tcPr>
          <w:p>
            <w:pPr>
              <w:ind w:left="1500"/>
              <w:spacing w:after="0" w:line="81" w:lineRule="exact"/>
              <w:rPr>
                <w:sz w:val="20"/>
                <w:szCs w:val="20"/>
                <w:color w:val="auto"/>
              </w:rPr>
            </w:pPr>
            <w:r>
              <w:rPr>
                <w:rFonts w:ascii="Arial" w:cs="Arial" w:eastAsia="Arial" w:hAnsi="Arial"/>
                <w:sz w:val="9"/>
                <w:szCs w:val="9"/>
                <w:color w:val="auto"/>
              </w:rPr>
              <w:t>​</w:t>
            </w: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4B5088"/>
            </w:tcBorders>
          </w:tcPr>
          <w:p>
            <w:pPr>
              <w:spacing w:after="0" w:line="20" w:lineRule="exact"/>
              <w:rPr>
                <w:sz w:val="1"/>
                <w:szCs w:val="1"/>
                <w:color w:val="auto"/>
              </w:rPr>
            </w:pPr>
          </w:p>
        </w:tc>
        <w:tc>
          <w:tcPr>
            <w:tcW w:w="1660" w:type="dxa"/>
            <w:vAlign w:val="bottom"/>
            <w:shd w:val="clear" w:color="auto" w:fill="4B50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660" w:type="dxa"/>
            <w:vAlign w:val="bottom"/>
          </w:tcPr>
          <w:p>
            <w:pPr>
              <w:ind w:left="1500"/>
              <w:spacing w:after="0"/>
              <w:rPr>
                <w:sz w:val="20"/>
                <w:szCs w:val="20"/>
                <w:color w:val="auto"/>
              </w:rPr>
            </w:pPr>
            <w:r>
              <w:rPr>
                <w:rFonts w:ascii="Arial" w:cs="Arial" w:eastAsia="Arial" w:hAnsi="Arial"/>
                <w:sz w:val="16"/>
                <w:szCs w:val="16"/>
                <w:color w:val="auto"/>
                <w:w w:val="82"/>
              </w:rPr>
              <w:t>​5x</w:t>
            </w:r>
          </w:p>
        </w:tc>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100" w:type="dxa"/>
            <w:vAlign w:val="bottom"/>
            <w:vMerge w:val="continue"/>
          </w:tcPr>
          <w:p>
            <w:pPr>
              <w:spacing w:after="0"/>
              <w:rPr>
                <w:sz w:val="7"/>
                <w:szCs w:val="7"/>
                <w:color w:val="auto"/>
              </w:rPr>
            </w:pPr>
          </w:p>
        </w:tc>
        <w:tc>
          <w:tcPr>
            <w:tcW w:w="1660" w:type="dxa"/>
            <w:vAlign w:val="bottom"/>
            <w:tcBorders>
              <w:bottom w:val="single" w:sz="8" w:color="1F2668"/>
            </w:tcBorders>
          </w:tcPr>
          <w:p>
            <w:pPr>
              <w:ind w:left="1500"/>
              <w:spacing w:after="0" w:line="81" w:lineRule="exact"/>
              <w:rPr>
                <w:sz w:val="20"/>
                <w:szCs w:val="20"/>
                <w:color w:val="auto"/>
              </w:rPr>
            </w:pPr>
            <w:r>
              <w:rPr>
                <w:rFonts w:ascii="Arial" w:cs="Arial" w:eastAsia="Arial" w:hAnsi="Arial"/>
                <w:sz w:val="9"/>
                <w:szCs w:val="9"/>
                <w:color w:val="auto"/>
              </w:rPr>
              <w:t>​</w:t>
            </w: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373" w:space="720"/>
            <w:col w:w="1847"/>
          </w:cols>
          <w:pgMar w:left="580" w:top="97" w:right="1379" w:bottom="1440" w:gutter="0" w:footer="0" w:header="0"/>
          <w:type w:val="continuous"/>
        </w:sectPr>
      </w:pPr>
    </w:p>
    <w:p>
      <w:pPr>
        <w:spacing w:after="0" w:line="56" w:lineRule="exact"/>
        <w:rPr>
          <w:sz w:val="20"/>
          <w:szCs w:val="20"/>
          <w:color w:val="auto"/>
        </w:rPr>
      </w:pPr>
    </w:p>
    <w:p>
      <w:pPr>
        <w:ind w:left="820" w:right="540"/>
        <w:spacing w:after="0" w:line="304" w:lineRule="auto"/>
        <w:rPr>
          <w:sz w:val="20"/>
          <w:szCs w:val="20"/>
          <w:color w:val="auto"/>
        </w:rPr>
      </w:pPr>
      <w:r>
        <w:rPr>
          <w:rFonts w:ascii="Arial" w:cs="Arial" w:eastAsia="Arial" w:hAnsi="Arial"/>
          <w:sz w:val="16"/>
          <w:szCs w:val="16"/>
          <w:color w:val="auto"/>
        </w:rPr>
        <w:t>All of our named executive officers hold a significant amount of equity in our Company and are highly incentivized to create sustainable, long-term stockholder value.</w:t>
      </w:r>
    </w:p>
    <w:p>
      <w:pPr>
        <w:sectPr>
          <w:pgSz w:w="11900" w:h="16838" w:orient="portrait"/>
          <w:cols w:equalWidth="0" w:num="1">
            <w:col w:w="9940"/>
          </w:cols>
          <w:pgMar w:left="580" w:top="97" w:right="1379" w:bottom="1440" w:gutter="0" w:footer="0" w:header="0"/>
          <w:type w:val="continuous"/>
        </w:sectPr>
      </w:pPr>
    </w:p>
    <w:p>
      <w:pPr>
        <w:spacing w:after="0" w:line="308" w:lineRule="exact"/>
        <w:rPr>
          <w:sz w:val="20"/>
          <w:szCs w:val="20"/>
          <w:color w:val="auto"/>
        </w:rPr>
      </w:pPr>
    </w:p>
    <w:p>
      <w:pPr>
        <w:ind w:left="820"/>
        <w:spacing w:after="0"/>
        <w:rPr>
          <w:sz w:val="20"/>
          <w:szCs w:val="20"/>
          <w:color w:val="auto"/>
        </w:rPr>
      </w:pPr>
      <w:r>
        <w:rPr>
          <w:rFonts w:ascii="Arial" w:cs="Arial" w:eastAsia="Arial" w:hAnsi="Arial"/>
          <w:sz w:val="14"/>
          <w:szCs w:val="14"/>
          <w:color w:val="1F2668"/>
        </w:rPr>
        <w:t>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40640</wp:posOffset>
            </wp:positionV>
            <wp:extent cx="458597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4585970" cy="8255"/>
                    </a:xfrm>
                    <a:prstGeom prst="rect">
                      <a:avLst/>
                    </a:prstGeom>
                    <a:noFill/>
                  </pic:spPr>
                </pic:pic>
              </a:graphicData>
            </a:graphic>
          </wp:anchor>
        </w:drawing>
      </w:r>
    </w:p>
    <w:p>
      <w:pPr>
        <w:spacing w:after="0" w:line="9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Marc Holliday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38100</wp:posOffset>
            </wp:positionV>
            <wp:extent cx="458597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4585970" cy="8255"/>
                    </a:xfrm>
                    <a:prstGeom prst="rect">
                      <a:avLst/>
                    </a:prstGeom>
                    <a:noFill/>
                  </pic:spPr>
                </pic:pic>
              </a:graphicData>
            </a:graphic>
          </wp:anchor>
        </w:drawing>
      </w:r>
    </w:p>
    <w:p>
      <w:pPr>
        <w:spacing w:after="0" w:line="93"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Matthew J. 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38100</wp:posOffset>
            </wp:positionV>
            <wp:extent cx="458597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4585970" cy="8890"/>
                    </a:xfrm>
                    <a:prstGeom prst="rect">
                      <a:avLst/>
                    </a:prstGeom>
                    <a:noFill/>
                  </pic:spPr>
                </pic:pic>
              </a:graphicData>
            </a:graphic>
          </wp:anchor>
        </w:drawing>
      </w:r>
    </w:p>
    <w:p>
      <w:pPr>
        <w:spacing w:after="0" w:line="93"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Andrew S.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38100</wp:posOffset>
            </wp:positionV>
            <wp:extent cx="458597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45859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121"/>
        <w:spacing w:after="0"/>
        <w:rPr>
          <w:sz w:val="20"/>
          <w:szCs w:val="20"/>
          <w:color w:val="auto"/>
        </w:rPr>
      </w:pPr>
      <w:r>
        <w:rPr>
          <w:rFonts w:ascii="Arial" w:cs="Arial" w:eastAsia="Arial" w:hAnsi="Arial"/>
          <w:sz w:val="14"/>
          <w:szCs w:val="14"/>
          <w:color w:val="1F2668"/>
        </w:rPr>
        <w:t>Actual Equity Ownership—</w:t>
      </w:r>
    </w:p>
    <w:p>
      <w:pPr>
        <w:ind w:left="301" w:hanging="301"/>
        <w:spacing w:after="0" w:line="182" w:lineRule="auto"/>
        <w:tabs>
          <w:tab w:leader="none" w:pos="301" w:val="left"/>
        </w:tabs>
        <w:numPr>
          <w:ilvl w:val="0"/>
          <w:numId w:val="78"/>
        </w:numPr>
        <w:rPr>
          <w:rFonts w:ascii="Arial" w:cs="Arial" w:eastAsia="Arial" w:hAnsi="Arial"/>
          <w:sz w:val="28"/>
          <w:szCs w:val="28"/>
          <w:color w:val="1F2668"/>
          <w:vertAlign w:val="subscript"/>
        </w:rPr>
      </w:pPr>
      <w:r>
        <w:rPr>
          <w:rFonts w:ascii="Arial" w:cs="Arial" w:eastAsia="Arial" w:hAnsi="Arial"/>
          <w:sz w:val="14"/>
          <w:szCs w:val="14"/>
          <w:color w:val="1F2668"/>
        </w:rPr>
        <w:t>Multiple of Base Salary</w:t>
      </w:r>
      <w:r>
        <w:rPr>
          <w:rFonts w:ascii="Arial" w:cs="Arial" w:eastAsia="Arial" w:hAnsi="Arial"/>
          <w:sz w:val="17"/>
          <w:szCs w:val="17"/>
          <w:b w:val="1"/>
          <w:bCs w:val="1"/>
          <w:color w:val="1F2668"/>
          <w:vertAlign w:val="superscript"/>
        </w:rPr>
        <w:t>(1)</w:t>
      </w:r>
      <w:r>
        <w:rPr>
          <w:rFonts w:ascii="Arial" w:cs="Arial" w:eastAsia="Arial" w:hAnsi="Arial"/>
          <w:sz w:val="27"/>
          <w:szCs w:val="27"/>
          <w:color w:val="1F2668"/>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-10795</wp:posOffset>
            </wp:positionV>
            <wp:extent cx="110617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106170" cy="8255"/>
                    </a:xfrm>
                    <a:prstGeom prst="rect">
                      <a:avLst/>
                    </a:prstGeom>
                    <a:noFill/>
                  </pic:spPr>
                </pic:pic>
              </a:graphicData>
            </a:graphic>
          </wp:anchor>
        </w:drawing>
      </w:r>
    </w:p>
    <w:p>
      <w:pPr>
        <w:ind w:left="21"/>
        <w:spacing w:after="0" w:line="198" w:lineRule="auto"/>
        <w:tabs>
          <w:tab w:leader="none" w:pos="1561" w:val="left"/>
        </w:tabs>
        <w:rPr>
          <w:sz w:val="20"/>
          <w:szCs w:val="20"/>
          <w:color w:val="auto"/>
        </w:rPr>
      </w:pPr>
      <w:r>
        <w:rPr>
          <w:rFonts w:ascii="Arial" w:cs="Arial" w:eastAsia="Arial" w:hAnsi="Arial"/>
          <w:sz w:val="32"/>
          <w:szCs w:val="32"/>
          <w:color w:val="auto"/>
          <w:vertAlign w:val="subscript"/>
        </w:rPr>
        <w:t>​​</w:t>
      </w:r>
      <w:r>
        <w:rPr>
          <w:sz w:val="20"/>
          <w:szCs w:val="20"/>
          <w:color w:val="auto"/>
        </w:rPr>
        <w:tab/>
      </w:r>
      <w:r>
        <w:rPr>
          <w:rFonts w:ascii="Arial" w:cs="Arial" w:eastAsia="Arial" w:hAnsi="Arial"/>
          <w:sz w:val="32"/>
          <w:szCs w:val="32"/>
          <w:color w:val="auto"/>
          <w:vertAlign w:val="subscript"/>
        </w:rPr>
        <w:t>​</w:t>
      </w:r>
      <w:r>
        <w:rPr>
          <w:rFonts w:ascii="Arial" w:cs="Arial" w:eastAsia="Arial" w:hAnsi="Arial"/>
          <w:sz w:val="16"/>
          <w:szCs w:val="16"/>
          <w:color w:val="auto"/>
        </w:rPr>
        <w:t>​64x</w:t>
      </w:r>
      <w:r>
        <w:rPr>
          <w:rFonts w:ascii="Arial" w:cs="Arial" w:eastAsia="Arial" w:hAnsi="Arial"/>
          <w:sz w:val="32"/>
          <w:szCs w:val="32"/>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-15240</wp:posOffset>
            </wp:positionV>
            <wp:extent cx="110617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106170" cy="8255"/>
                    </a:xfrm>
                    <a:prstGeom prst="rect">
                      <a:avLst/>
                    </a:prstGeom>
                    <a:noFill/>
                  </pic:spPr>
                </pic:pic>
              </a:graphicData>
            </a:graphic>
          </wp:anchor>
        </w:drawing>
      </w:r>
    </w:p>
    <w:p>
      <w:pPr>
        <w:ind w:left="21"/>
        <w:spacing w:after="0"/>
        <w:tabs>
          <w:tab w:leader="none" w:pos="1561"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r>
        <w:rPr>
          <w:rFonts w:ascii="Arial" w:cs="Arial" w:eastAsia="Arial" w:hAnsi="Arial"/>
          <w:sz w:val="29"/>
          <w:szCs w:val="29"/>
          <w:color w:val="auto"/>
          <w:vertAlign w:val="superscript"/>
        </w:rPr>
        <w:t>​25x</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-43180</wp:posOffset>
            </wp:positionV>
            <wp:extent cx="110617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ind w:left="21"/>
        <w:spacing w:after="0"/>
        <w:tabs>
          <w:tab w:leader="none" w:pos="1561"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r>
        <w:rPr>
          <w:rFonts w:ascii="Arial" w:cs="Arial" w:eastAsia="Arial" w:hAnsi="Arial"/>
          <w:sz w:val="29"/>
          <w:szCs w:val="29"/>
          <w:color w:val="auto"/>
          <w:vertAlign w:val="superscript"/>
        </w:rPr>
        <w:t>​23x</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-66675</wp:posOffset>
            </wp:positionV>
            <wp:extent cx="110617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106170" cy="8255"/>
                    </a:xfrm>
                    <a:prstGeom prst="rect">
                      <a:avLst/>
                    </a:prstGeom>
                    <a:noFill/>
                  </pic:spPr>
                </pic:pic>
              </a:graphicData>
            </a:graphic>
          </wp:anchor>
        </w:drawing>
      </w:r>
    </w:p>
    <w:p>
      <w:pPr>
        <w:spacing w:after="0" w:line="114" w:lineRule="exact"/>
        <w:rPr>
          <w:sz w:val="20"/>
          <w:szCs w:val="20"/>
          <w:color w:val="auto"/>
        </w:rPr>
      </w:pPr>
    </w:p>
    <w:p>
      <w:pPr>
        <w:sectPr>
          <w:pgSz w:w="11900" w:h="16838" w:orient="portrait"/>
          <w:cols w:equalWidth="0" w:num="2">
            <w:col w:w="7319" w:space="720"/>
            <w:col w:w="1901"/>
          </w:cols>
          <w:pgMar w:left="580" w:top="97" w:right="1379" w:bottom="1440" w:gutter="0" w:footer="0" w:header="0"/>
          <w:type w:val="continuous"/>
        </w:sectPr>
      </w:pPr>
    </w:p>
    <w:p>
      <w:pPr>
        <w:ind w:left="1180" w:right="100" w:hanging="364"/>
        <w:spacing w:after="0" w:line="305" w:lineRule="auto"/>
        <w:tabs>
          <w:tab w:leader="none" w:pos="11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As of March 31, 2025. Includes unvested time-based equity awards and earned but unvested performance-based awards. Does not include unearned performance-based awards that are still subject to performance-based vesting conditions.</w:t>
      </w:r>
    </w:p>
    <w:p>
      <w:pPr>
        <w:spacing w:after="0" w:line="157"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83AD40"/>
        </w:rPr>
        <w:t>Outstanding Annual Equity Award Performance Summary (2022-2024)</w:t>
      </w:r>
    </w:p>
    <w:p>
      <w:pPr>
        <w:spacing w:after="0" w:line="162"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3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4"/>
          </w:tcPr>
          <w:p>
            <w:pPr>
              <w:jc w:val="right"/>
              <w:ind w:right="240"/>
              <w:spacing w:after="0"/>
              <w:rPr>
                <w:sz w:val="20"/>
                <w:szCs w:val="20"/>
                <w:color w:val="auto"/>
              </w:rPr>
            </w:pPr>
            <w:r>
              <w:rPr>
                <w:rFonts w:ascii="Arial" w:cs="Arial" w:eastAsia="Arial" w:hAnsi="Arial"/>
                <w:sz w:val="14"/>
                <w:szCs w:val="14"/>
                <w:color w:val="1F2668"/>
              </w:rPr>
              <w:t>Actual Percentage Earned</w:t>
            </w:r>
          </w:p>
        </w:tc>
        <w:tc>
          <w:tcPr>
            <w:tcW w:w="2880" w:type="dxa"/>
            <w:vAlign w:val="bottom"/>
            <w:gridSpan w:val="4"/>
          </w:tcPr>
          <w:p>
            <w:pPr>
              <w:jc w:val="right"/>
              <w:ind w:right="100"/>
              <w:spacing w:after="0"/>
              <w:rPr>
                <w:sz w:val="20"/>
                <w:szCs w:val="20"/>
                <w:color w:val="auto"/>
              </w:rPr>
            </w:pPr>
            <w:r>
              <w:rPr>
                <w:rFonts w:ascii="Arial" w:cs="Arial" w:eastAsia="Arial" w:hAnsi="Arial"/>
                <w:sz w:val="14"/>
                <w:szCs w:val="14"/>
                <w:color w:val="1F2668"/>
              </w:rPr>
              <w:t>Actual / Projected Absolute TSR Modifier as</w:t>
            </w:r>
          </w:p>
        </w:tc>
      </w:tr>
      <w:tr>
        <w:trPr>
          <w:trHeight w:val="225"/>
        </w:trPr>
        <w:tc>
          <w:tcPr>
            <w:tcW w:w="3660" w:type="dxa"/>
            <w:vAlign w:val="bottom"/>
            <w:gridSpan w:val="2"/>
          </w:tcPr>
          <w:p>
            <w:pPr>
              <w:spacing w:after="0"/>
              <w:rPr>
                <w:sz w:val="20"/>
                <w:szCs w:val="20"/>
                <w:color w:val="auto"/>
              </w:rPr>
            </w:pPr>
            <w:r>
              <w:rPr>
                <w:rFonts w:ascii="Arial" w:cs="Arial" w:eastAsia="Arial" w:hAnsi="Arial"/>
                <w:sz w:val="14"/>
                <w:szCs w:val="14"/>
                <w:color w:val="1F2668"/>
              </w:rPr>
              <w:t>Operational Awards</w:t>
            </w:r>
          </w:p>
        </w:tc>
        <w:tc>
          <w:tcPr>
            <w:tcW w:w="180" w:type="dxa"/>
            <w:vAlign w:val="bottom"/>
          </w:tcPr>
          <w:p>
            <w:pPr>
              <w:ind w:left="60"/>
              <w:spacing w:after="0"/>
              <w:rPr>
                <w:sz w:val="20"/>
                <w:szCs w:val="20"/>
                <w:color w:val="auto"/>
              </w:rPr>
            </w:pPr>
            <w:r>
              <w:rPr>
                <w:rFonts w:ascii="Arial" w:cs="Arial" w:eastAsia="Arial" w:hAnsi="Arial"/>
                <w:sz w:val="14"/>
                <w:szCs w:val="14"/>
                <w:color w:val="1F2668"/>
              </w:rPr>
              <w:t>​​</w:t>
            </w:r>
          </w:p>
        </w:tc>
        <w:tc>
          <w:tcPr>
            <w:tcW w:w="2400" w:type="dxa"/>
            <w:vAlign w:val="bottom"/>
            <w:gridSpan w:val="4"/>
          </w:tcPr>
          <w:p>
            <w:pPr>
              <w:jc w:val="right"/>
              <w:ind w:right="40"/>
              <w:spacing w:after="0" w:line="225" w:lineRule="exact"/>
              <w:rPr>
                <w:sz w:val="20"/>
                <w:szCs w:val="20"/>
                <w:color w:val="auto"/>
              </w:rPr>
            </w:pPr>
            <w:r>
              <w:rPr>
                <w:rFonts w:ascii="Arial" w:cs="Arial" w:eastAsia="Arial" w:hAnsi="Arial"/>
                <w:sz w:val="14"/>
                <w:szCs w:val="14"/>
                <w:color w:val="1F2668"/>
              </w:rPr>
              <w:t xml:space="preserve">as of 12/31/2024 </w:t>
            </w:r>
            <w:r>
              <w:rPr>
                <w:rFonts w:ascii="Arial" w:cs="Arial" w:eastAsia="Arial" w:hAnsi="Arial"/>
                <w:sz w:val="26"/>
                <w:szCs w:val="26"/>
                <w:color w:val="1F2668"/>
                <w:vertAlign w:val="subscript"/>
              </w:rPr>
              <w:t>​​</w:t>
            </w:r>
          </w:p>
        </w:tc>
        <w:tc>
          <w:tcPr>
            <w:tcW w:w="2880" w:type="dxa"/>
            <w:vAlign w:val="bottom"/>
            <w:gridSpan w:val="4"/>
          </w:tcPr>
          <w:p>
            <w:pPr>
              <w:jc w:val="right"/>
              <w:ind w:right="20"/>
              <w:spacing w:after="0" w:line="225" w:lineRule="exact"/>
              <w:rPr>
                <w:sz w:val="20"/>
                <w:szCs w:val="20"/>
                <w:color w:val="auto"/>
              </w:rPr>
            </w:pPr>
            <w:r>
              <w:rPr>
                <w:rFonts w:ascii="Arial" w:cs="Arial" w:eastAsia="Arial" w:hAnsi="Arial"/>
                <w:sz w:val="14"/>
                <w:szCs w:val="14"/>
                <w:color w:val="1F2668"/>
              </w:rPr>
              <w:t>of 12/31/2024</w:t>
            </w:r>
            <w:r>
              <w:rPr>
                <w:rFonts w:ascii="Arial" w:cs="Arial" w:eastAsia="Arial" w:hAnsi="Arial"/>
                <w:sz w:val="26"/>
                <w:szCs w:val="26"/>
                <w:color w:val="1F2668"/>
                <w:vertAlign w:val="subscript"/>
              </w:rPr>
              <w:t>​</w:t>
            </w:r>
          </w:p>
        </w:tc>
      </w:tr>
      <w:tr>
        <w:trPr>
          <w:trHeight w:val="20"/>
        </w:trPr>
        <w:tc>
          <w:tcPr>
            <w:tcW w:w="380" w:type="dxa"/>
            <w:vAlign w:val="bottom"/>
            <w:shd w:val="clear" w:color="auto" w:fill="1F2668"/>
          </w:tcPr>
          <w:p>
            <w:pPr>
              <w:spacing w:after="0" w:line="20" w:lineRule="exact"/>
              <w:rPr>
                <w:sz w:val="1"/>
                <w:szCs w:val="1"/>
                <w:color w:val="auto"/>
              </w:rPr>
            </w:pPr>
          </w:p>
        </w:tc>
        <w:tc>
          <w:tcPr>
            <w:tcW w:w="3280" w:type="dxa"/>
            <w:vAlign w:val="bottom"/>
            <w:shd w:val="clear" w:color="auto" w:fill="1F2668"/>
          </w:tcPr>
          <w:p>
            <w:pPr>
              <w:spacing w:after="0" w:line="20" w:lineRule="exact"/>
              <w:rPr>
                <w:sz w:val="1"/>
                <w:szCs w:val="1"/>
                <w:color w:val="auto"/>
              </w:rPr>
            </w:pPr>
          </w:p>
        </w:tc>
        <w:tc>
          <w:tcPr>
            <w:tcW w:w="180" w:type="dxa"/>
            <w:vAlign w:val="bottom"/>
            <w:tcBorders>
              <w:right w:val="single" w:sz="8" w:color="1F2668"/>
            </w:tcBorders>
          </w:tcPr>
          <w:p>
            <w:pPr>
              <w:spacing w:after="0" w:line="20" w:lineRule="exact"/>
              <w:rPr>
                <w:sz w:val="1"/>
                <w:szCs w:val="1"/>
                <w:color w:val="auto"/>
              </w:rPr>
            </w:pPr>
          </w:p>
        </w:tc>
        <w:tc>
          <w:tcPr>
            <w:tcW w:w="1620" w:type="dxa"/>
            <w:vAlign w:val="bottom"/>
            <w:shd w:val="clear" w:color="auto" w:fill="1F2668"/>
          </w:tcPr>
          <w:p>
            <w:pPr>
              <w:spacing w:after="0" w:line="20" w:lineRule="exact"/>
              <w:rPr>
                <w:sz w:val="1"/>
                <w:szCs w:val="1"/>
                <w:color w:val="auto"/>
              </w:rPr>
            </w:pPr>
          </w:p>
        </w:tc>
        <w:tc>
          <w:tcPr>
            <w:tcW w:w="580" w:type="dxa"/>
            <w:vAlign w:val="bottom"/>
            <w:shd w:val="clear" w:color="auto" w:fill="1F266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1F2668"/>
          </w:tcPr>
          <w:p>
            <w:pPr>
              <w:spacing w:after="0" w:line="20" w:lineRule="exact"/>
              <w:rPr>
                <w:sz w:val="1"/>
                <w:szCs w:val="1"/>
                <w:color w:val="auto"/>
              </w:rPr>
            </w:pPr>
          </w:p>
        </w:tc>
        <w:tc>
          <w:tcPr>
            <w:tcW w:w="2020" w:type="dxa"/>
            <w:vAlign w:val="bottom"/>
            <w:shd w:val="clear" w:color="auto" w:fill="1F2668"/>
          </w:tcPr>
          <w:p>
            <w:pPr>
              <w:spacing w:after="0" w:line="20" w:lineRule="exact"/>
              <w:rPr>
                <w:sz w:val="1"/>
                <w:szCs w:val="1"/>
                <w:color w:val="auto"/>
              </w:rPr>
            </w:pPr>
          </w:p>
        </w:tc>
        <w:tc>
          <w:tcPr>
            <w:tcW w:w="800" w:type="dxa"/>
            <w:vAlign w:val="bottom"/>
            <w:gridSpan w:val="2"/>
            <w:shd w:val="clear" w:color="auto" w:fill="1F266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380" w:type="dxa"/>
            <w:vAlign w:val="bottom"/>
          </w:tcPr>
          <w:p>
            <w:pPr>
              <w:spacing w:after="0"/>
              <w:rPr>
                <w:sz w:val="20"/>
                <w:szCs w:val="20"/>
                <w:color w:val="auto"/>
              </w:rPr>
            </w:pPr>
            <w:r>
              <w:rPr>
                <w:rFonts w:ascii="Arial" w:cs="Arial" w:eastAsia="Arial" w:hAnsi="Arial"/>
                <w:sz w:val="16"/>
                <w:szCs w:val="16"/>
                <w:color w:val="auto"/>
              </w:rPr>
              <w:t>2024</w:t>
            </w:r>
          </w:p>
        </w:tc>
        <w:tc>
          <w:tcPr>
            <w:tcW w:w="3280" w:type="dxa"/>
            <w:vAlign w:val="bottom"/>
          </w:tcPr>
          <w:p>
            <w:pPr>
              <w:ind w:left="20"/>
              <w:spacing w:after="0"/>
              <w:rPr>
                <w:sz w:val="20"/>
                <w:szCs w:val="20"/>
                <w:color w:val="auto"/>
              </w:rPr>
            </w:pPr>
            <w:r>
              <w:rPr>
                <w:rFonts w:ascii="Arial" w:cs="Arial" w:eastAsia="Arial" w:hAnsi="Arial"/>
                <w:sz w:val="16"/>
                <w:szCs w:val="16"/>
                <w:color w:val="auto"/>
              </w:rPr>
              <w:t>Operational Component</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160.00%</w:t>
            </w:r>
          </w:p>
        </w:tc>
        <w:tc>
          <w:tcPr>
            <w:tcW w:w="780" w:type="dxa"/>
            <w:vAlign w:val="bottom"/>
            <w:gridSpan w:val="3"/>
          </w:tcPr>
          <w:p>
            <w:pPr>
              <w:jc w:val="right"/>
              <w:ind w:right="40"/>
              <w:spacing w:after="0" w:line="276" w:lineRule="exact"/>
              <w:rPr>
                <w:sz w:val="20"/>
                <w:szCs w:val="20"/>
                <w:color w:val="auto"/>
              </w:rPr>
            </w:pPr>
            <w:r>
              <w:rPr>
                <w:rFonts w:ascii="Arial" w:cs="Arial" w:eastAsia="Arial" w:hAnsi="Arial"/>
                <w:sz w:val="16"/>
                <w:szCs w:val="16"/>
                <w:color w:val="auto"/>
              </w:rPr>
              <w:t xml:space="preserve">(Actual) </w:t>
            </w:r>
            <w:r>
              <w:rPr>
                <w:rFonts w:ascii="Arial" w:cs="Arial" w:eastAsia="Arial" w:hAnsi="Arial"/>
                <w:sz w:val="32"/>
                <w:szCs w:val="32"/>
                <w:color w:val="auto"/>
                <w:vertAlign w:val="subscript"/>
              </w:rPr>
              <w:t>​​</w:t>
            </w:r>
          </w:p>
        </w:tc>
        <w:tc>
          <w:tcPr>
            <w:tcW w:w="2020" w:type="dxa"/>
            <w:vAlign w:val="bottom"/>
          </w:tcPr>
          <w:p>
            <w:pPr>
              <w:jc w:val="right"/>
              <w:spacing w:after="0"/>
              <w:rPr>
                <w:sz w:val="20"/>
                <w:szCs w:val="20"/>
                <w:color w:val="auto"/>
              </w:rPr>
            </w:pPr>
            <w:r>
              <w:rPr>
                <w:rFonts w:ascii="Arial" w:cs="Arial" w:eastAsia="Arial" w:hAnsi="Arial"/>
                <w:sz w:val="16"/>
                <w:szCs w:val="16"/>
                <w:color w:val="auto"/>
              </w:rPr>
              <w:t>+12.5%</w:t>
            </w:r>
          </w:p>
        </w:tc>
        <w:tc>
          <w:tcPr>
            <w:tcW w:w="860" w:type="dxa"/>
            <w:vAlign w:val="bottom"/>
            <w:gridSpan w:val="3"/>
          </w:tcPr>
          <w:p>
            <w:pPr>
              <w:jc w:val="right"/>
              <w:spacing w:after="0" w:line="276" w:lineRule="exact"/>
              <w:rPr>
                <w:sz w:val="20"/>
                <w:szCs w:val="20"/>
                <w:color w:val="auto"/>
              </w:rPr>
            </w:pPr>
            <w:r>
              <w:rPr>
                <w:rFonts w:ascii="Arial" w:cs="Arial" w:eastAsia="Arial" w:hAnsi="Arial"/>
                <w:sz w:val="16"/>
                <w:szCs w:val="16"/>
                <w:color w:val="auto"/>
              </w:rPr>
              <w:t>(Projected)</w:t>
            </w:r>
            <w:r>
              <w:rPr>
                <w:rFonts w:ascii="Arial" w:cs="Arial" w:eastAsia="Arial" w:hAnsi="Arial"/>
                <w:sz w:val="32"/>
                <w:szCs w:val="32"/>
                <w:color w:val="auto"/>
                <w:vertAlign w:val="subscript"/>
              </w:rPr>
              <w:t>​</w:t>
            </w:r>
          </w:p>
        </w:tc>
      </w:tr>
      <w:tr>
        <w:trPr>
          <w:trHeight w:val="20"/>
        </w:trPr>
        <w:tc>
          <w:tcPr>
            <w:tcW w:w="380" w:type="dxa"/>
            <w:vAlign w:val="bottom"/>
            <w:shd w:val="clear" w:color="auto" w:fill="4B5088"/>
          </w:tcPr>
          <w:p>
            <w:pPr>
              <w:spacing w:after="0" w:line="20" w:lineRule="exact"/>
              <w:rPr>
                <w:sz w:val="1"/>
                <w:szCs w:val="1"/>
                <w:color w:val="auto"/>
              </w:rPr>
            </w:pPr>
          </w:p>
        </w:tc>
        <w:tc>
          <w:tcPr>
            <w:tcW w:w="3280" w:type="dxa"/>
            <w:vAlign w:val="bottom"/>
            <w:shd w:val="clear" w:color="auto" w:fill="4B5088"/>
          </w:tcPr>
          <w:p>
            <w:pPr>
              <w:spacing w:after="0" w:line="20" w:lineRule="exact"/>
              <w:rPr>
                <w:sz w:val="1"/>
                <w:szCs w:val="1"/>
                <w:color w:val="auto"/>
              </w:rPr>
            </w:pPr>
          </w:p>
        </w:tc>
        <w:tc>
          <w:tcPr>
            <w:tcW w:w="180" w:type="dxa"/>
            <w:vAlign w:val="bottom"/>
            <w:tcBorders>
              <w:right w:val="single" w:sz="8" w:color="4B5088"/>
            </w:tcBorders>
          </w:tcPr>
          <w:p>
            <w:pPr>
              <w:spacing w:after="0" w:line="20" w:lineRule="exact"/>
              <w:rPr>
                <w:sz w:val="1"/>
                <w:szCs w:val="1"/>
                <w:color w:val="auto"/>
              </w:rPr>
            </w:pPr>
          </w:p>
        </w:tc>
        <w:tc>
          <w:tcPr>
            <w:tcW w:w="1620" w:type="dxa"/>
            <w:vAlign w:val="bottom"/>
            <w:shd w:val="clear" w:color="auto" w:fill="4B5088"/>
          </w:tcPr>
          <w:p>
            <w:pPr>
              <w:spacing w:after="0" w:line="20" w:lineRule="exact"/>
              <w:rPr>
                <w:sz w:val="1"/>
                <w:szCs w:val="1"/>
                <w:color w:val="auto"/>
              </w:rPr>
            </w:pPr>
          </w:p>
        </w:tc>
        <w:tc>
          <w:tcPr>
            <w:tcW w:w="58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2020" w:type="dxa"/>
            <w:vAlign w:val="bottom"/>
            <w:shd w:val="clear" w:color="auto" w:fill="4B5088"/>
          </w:tcPr>
          <w:p>
            <w:pPr>
              <w:spacing w:after="0" w:line="20" w:lineRule="exact"/>
              <w:rPr>
                <w:sz w:val="1"/>
                <w:szCs w:val="1"/>
                <w:color w:val="auto"/>
              </w:rPr>
            </w:pPr>
          </w:p>
        </w:tc>
        <w:tc>
          <w:tcPr>
            <w:tcW w:w="800" w:type="dxa"/>
            <w:vAlign w:val="bottom"/>
            <w:gridSpan w:val="2"/>
            <w:shd w:val="clear" w:color="auto" w:fill="4B50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380" w:type="dxa"/>
            <w:vAlign w:val="bottom"/>
          </w:tcPr>
          <w:p>
            <w:pPr>
              <w:spacing w:after="0"/>
              <w:rPr>
                <w:sz w:val="20"/>
                <w:szCs w:val="20"/>
                <w:color w:val="auto"/>
              </w:rPr>
            </w:pPr>
            <w:r>
              <w:rPr>
                <w:rFonts w:ascii="Arial" w:cs="Arial" w:eastAsia="Arial" w:hAnsi="Arial"/>
                <w:sz w:val="16"/>
                <w:szCs w:val="16"/>
                <w:color w:val="auto"/>
              </w:rPr>
              <w:t>2023</w:t>
            </w:r>
          </w:p>
        </w:tc>
        <w:tc>
          <w:tcPr>
            <w:tcW w:w="3280" w:type="dxa"/>
            <w:vAlign w:val="bottom"/>
          </w:tcPr>
          <w:p>
            <w:pPr>
              <w:ind w:left="20"/>
              <w:spacing w:after="0"/>
              <w:rPr>
                <w:sz w:val="20"/>
                <w:szCs w:val="20"/>
                <w:color w:val="auto"/>
              </w:rPr>
            </w:pPr>
            <w:r>
              <w:rPr>
                <w:rFonts w:ascii="Arial" w:cs="Arial" w:eastAsia="Arial" w:hAnsi="Arial"/>
                <w:sz w:val="16"/>
                <w:szCs w:val="16"/>
                <w:color w:val="auto"/>
              </w:rPr>
              <w:t>Operational Component</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88.00%</w:t>
            </w:r>
          </w:p>
        </w:tc>
        <w:tc>
          <w:tcPr>
            <w:tcW w:w="780" w:type="dxa"/>
            <w:vAlign w:val="bottom"/>
            <w:gridSpan w:val="3"/>
          </w:tcPr>
          <w:p>
            <w:pPr>
              <w:jc w:val="right"/>
              <w:ind w:right="40"/>
              <w:spacing w:after="0" w:line="276" w:lineRule="exact"/>
              <w:rPr>
                <w:sz w:val="20"/>
                <w:szCs w:val="20"/>
                <w:color w:val="auto"/>
              </w:rPr>
            </w:pPr>
            <w:r>
              <w:rPr>
                <w:rFonts w:ascii="Arial" w:cs="Arial" w:eastAsia="Arial" w:hAnsi="Arial"/>
                <w:sz w:val="16"/>
                <w:szCs w:val="16"/>
                <w:color w:val="auto"/>
              </w:rPr>
              <w:t xml:space="preserve">(Actual) </w:t>
            </w:r>
            <w:r>
              <w:rPr>
                <w:rFonts w:ascii="Arial" w:cs="Arial" w:eastAsia="Arial" w:hAnsi="Arial"/>
                <w:sz w:val="32"/>
                <w:szCs w:val="32"/>
                <w:color w:val="auto"/>
                <w:vertAlign w:val="subscript"/>
              </w:rPr>
              <w:t>​​</w:t>
            </w:r>
          </w:p>
        </w:tc>
        <w:tc>
          <w:tcPr>
            <w:tcW w:w="2020" w:type="dxa"/>
            <w:vAlign w:val="bottom"/>
          </w:tcPr>
          <w:p>
            <w:pPr>
              <w:jc w:val="right"/>
              <w:spacing w:after="0"/>
              <w:rPr>
                <w:sz w:val="20"/>
                <w:szCs w:val="20"/>
                <w:color w:val="auto"/>
              </w:rPr>
            </w:pPr>
            <w:r>
              <w:rPr>
                <w:rFonts w:ascii="Arial" w:cs="Arial" w:eastAsia="Arial" w:hAnsi="Arial"/>
                <w:sz w:val="16"/>
                <w:szCs w:val="16"/>
                <w:color w:val="auto"/>
              </w:rPr>
              <w:t>+12.5%</w:t>
            </w:r>
          </w:p>
        </w:tc>
        <w:tc>
          <w:tcPr>
            <w:tcW w:w="860" w:type="dxa"/>
            <w:vAlign w:val="bottom"/>
            <w:gridSpan w:val="3"/>
          </w:tcPr>
          <w:p>
            <w:pPr>
              <w:jc w:val="right"/>
              <w:spacing w:after="0" w:line="276" w:lineRule="exact"/>
              <w:rPr>
                <w:sz w:val="20"/>
                <w:szCs w:val="20"/>
                <w:color w:val="auto"/>
              </w:rPr>
            </w:pPr>
            <w:r>
              <w:rPr>
                <w:rFonts w:ascii="Arial" w:cs="Arial" w:eastAsia="Arial" w:hAnsi="Arial"/>
                <w:sz w:val="16"/>
                <w:szCs w:val="16"/>
                <w:color w:val="auto"/>
              </w:rPr>
              <w:t>(Projected)</w:t>
            </w:r>
            <w:r>
              <w:rPr>
                <w:rFonts w:ascii="Arial" w:cs="Arial" w:eastAsia="Arial" w:hAnsi="Arial"/>
                <w:sz w:val="32"/>
                <w:szCs w:val="32"/>
                <w:color w:val="auto"/>
                <w:vertAlign w:val="subscript"/>
              </w:rPr>
              <w:t>​</w:t>
            </w:r>
          </w:p>
        </w:tc>
      </w:tr>
      <w:tr>
        <w:trPr>
          <w:trHeight w:val="20"/>
        </w:trPr>
        <w:tc>
          <w:tcPr>
            <w:tcW w:w="380" w:type="dxa"/>
            <w:vAlign w:val="bottom"/>
            <w:shd w:val="clear" w:color="auto" w:fill="4B5088"/>
          </w:tcPr>
          <w:p>
            <w:pPr>
              <w:spacing w:after="0" w:line="20" w:lineRule="exact"/>
              <w:rPr>
                <w:sz w:val="1"/>
                <w:szCs w:val="1"/>
                <w:color w:val="auto"/>
              </w:rPr>
            </w:pPr>
          </w:p>
        </w:tc>
        <w:tc>
          <w:tcPr>
            <w:tcW w:w="3280" w:type="dxa"/>
            <w:vAlign w:val="bottom"/>
            <w:shd w:val="clear" w:color="auto" w:fill="4B5088"/>
          </w:tcPr>
          <w:p>
            <w:pPr>
              <w:spacing w:after="0" w:line="20" w:lineRule="exact"/>
              <w:rPr>
                <w:sz w:val="1"/>
                <w:szCs w:val="1"/>
                <w:color w:val="auto"/>
              </w:rPr>
            </w:pPr>
          </w:p>
        </w:tc>
        <w:tc>
          <w:tcPr>
            <w:tcW w:w="180" w:type="dxa"/>
            <w:vAlign w:val="bottom"/>
            <w:tcBorders>
              <w:right w:val="single" w:sz="8" w:color="4B5088"/>
            </w:tcBorders>
          </w:tcPr>
          <w:p>
            <w:pPr>
              <w:spacing w:after="0" w:line="20" w:lineRule="exact"/>
              <w:rPr>
                <w:sz w:val="1"/>
                <w:szCs w:val="1"/>
                <w:color w:val="auto"/>
              </w:rPr>
            </w:pPr>
          </w:p>
        </w:tc>
        <w:tc>
          <w:tcPr>
            <w:tcW w:w="1620" w:type="dxa"/>
            <w:vAlign w:val="bottom"/>
            <w:shd w:val="clear" w:color="auto" w:fill="4B5088"/>
          </w:tcPr>
          <w:p>
            <w:pPr>
              <w:spacing w:after="0" w:line="20" w:lineRule="exact"/>
              <w:rPr>
                <w:sz w:val="1"/>
                <w:szCs w:val="1"/>
                <w:color w:val="auto"/>
              </w:rPr>
            </w:pPr>
          </w:p>
        </w:tc>
        <w:tc>
          <w:tcPr>
            <w:tcW w:w="58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2260" w:type="dxa"/>
            <w:vAlign w:val="bottom"/>
            <w:gridSpan w:val="2"/>
            <w:shd w:val="clear" w:color="auto" w:fill="4B5088"/>
          </w:tcPr>
          <w:p>
            <w:pPr>
              <w:spacing w:after="0" w:line="20" w:lineRule="exact"/>
              <w:rPr>
                <w:sz w:val="1"/>
                <w:szCs w:val="1"/>
                <w:color w:val="auto"/>
              </w:rPr>
            </w:pPr>
          </w:p>
        </w:tc>
        <w:tc>
          <w:tcPr>
            <w:tcW w:w="560" w:type="dxa"/>
            <w:vAlign w:val="bottom"/>
            <w:shd w:val="clear" w:color="auto" w:fill="4B50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380" w:type="dxa"/>
            <w:vAlign w:val="bottom"/>
          </w:tcPr>
          <w:p>
            <w:pPr>
              <w:spacing w:after="0"/>
              <w:rPr>
                <w:sz w:val="20"/>
                <w:szCs w:val="20"/>
                <w:color w:val="auto"/>
              </w:rPr>
            </w:pPr>
            <w:r>
              <w:rPr>
                <w:rFonts w:ascii="Arial" w:cs="Arial" w:eastAsia="Arial" w:hAnsi="Arial"/>
                <w:sz w:val="16"/>
                <w:szCs w:val="16"/>
                <w:color w:val="auto"/>
              </w:rPr>
              <w:t>2022</w:t>
            </w:r>
          </w:p>
        </w:tc>
        <w:tc>
          <w:tcPr>
            <w:tcW w:w="3280" w:type="dxa"/>
            <w:vAlign w:val="bottom"/>
          </w:tcPr>
          <w:p>
            <w:pPr>
              <w:ind w:left="20"/>
              <w:spacing w:after="0"/>
              <w:rPr>
                <w:sz w:val="20"/>
                <w:szCs w:val="20"/>
                <w:color w:val="auto"/>
              </w:rPr>
            </w:pPr>
            <w:r>
              <w:rPr>
                <w:rFonts w:ascii="Arial" w:cs="Arial" w:eastAsia="Arial" w:hAnsi="Arial"/>
                <w:sz w:val="16"/>
                <w:szCs w:val="16"/>
                <w:color w:val="auto"/>
              </w:rPr>
              <w:t>Operational Component</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141.29%</w:t>
            </w:r>
          </w:p>
        </w:tc>
        <w:tc>
          <w:tcPr>
            <w:tcW w:w="780" w:type="dxa"/>
            <w:vAlign w:val="bottom"/>
            <w:gridSpan w:val="3"/>
          </w:tcPr>
          <w:p>
            <w:pPr>
              <w:jc w:val="right"/>
              <w:ind w:right="40"/>
              <w:spacing w:after="0" w:line="276" w:lineRule="exact"/>
              <w:rPr>
                <w:sz w:val="20"/>
                <w:szCs w:val="20"/>
                <w:color w:val="auto"/>
              </w:rPr>
            </w:pPr>
            <w:r>
              <w:rPr>
                <w:rFonts w:ascii="Arial" w:cs="Arial" w:eastAsia="Arial" w:hAnsi="Arial"/>
                <w:sz w:val="16"/>
                <w:szCs w:val="16"/>
                <w:color w:val="auto"/>
              </w:rPr>
              <w:t xml:space="preserve">(Actual) </w:t>
            </w:r>
            <w:r>
              <w:rPr>
                <w:rFonts w:ascii="Arial" w:cs="Arial" w:eastAsia="Arial" w:hAnsi="Arial"/>
                <w:sz w:val="32"/>
                <w:szCs w:val="32"/>
                <w:color w:val="auto"/>
                <w:vertAlign w:val="subscript"/>
              </w:rPr>
              <w:t>​​</w:t>
            </w:r>
          </w:p>
        </w:tc>
        <w:tc>
          <w:tcPr>
            <w:tcW w:w="2260" w:type="dxa"/>
            <w:vAlign w:val="bottom"/>
            <w:gridSpan w:val="2"/>
          </w:tcPr>
          <w:p>
            <w:pPr>
              <w:jc w:val="right"/>
              <w:spacing w:after="0"/>
              <w:rPr>
                <w:sz w:val="20"/>
                <w:szCs w:val="20"/>
                <w:color w:val="auto"/>
              </w:rPr>
            </w:pPr>
            <w:r>
              <w:rPr>
                <w:rFonts w:ascii="Arial" w:cs="Arial" w:eastAsia="Arial" w:hAnsi="Arial"/>
                <w:sz w:val="16"/>
                <w:szCs w:val="16"/>
                <w:color w:val="auto"/>
              </w:rPr>
              <w:t>+4.35%</w:t>
            </w:r>
          </w:p>
        </w:tc>
        <w:tc>
          <w:tcPr>
            <w:tcW w:w="620" w:type="dxa"/>
            <w:vAlign w:val="bottom"/>
            <w:gridSpan w:val="2"/>
          </w:tcPr>
          <w:p>
            <w:pPr>
              <w:jc w:val="right"/>
              <w:spacing w:after="0" w:line="276" w:lineRule="exact"/>
              <w:rPr>
                <w:sz w:val="20"/>
                <w:szCs w:val="20"/>
                <w:color w:val="auto"/>
              </w:rPr>
            </w:pPr>
            <w:r>
              <w:rPr>
                <w:rFonts w:ascii="Arial" w:cs="Arial" w:eastAsia="Arial" w:hAnsi="Arial"/>
                <w:sz w:val="16"/>
                <w:szCs w:val="16"/>
                <w:color w:val="auto"/>
              </w:rPr>
              <w:t>(Actual)</w:t>
            </w:r>
            <w:r>
              <w:rPr>
                <w:rFonts w:ascii="Arial" w:cs="Arial" w:eastAsia="Arial" w:hAnsi="Arial"/>
                <w:sz w:val="32"/>
                <w:szCs w:val="32"/>
                <w:color w:val="auto"/>
                <w:vertAlign w:val="subscript"/>
              </w:rPr>
              <w:t>​</w:t>
            </w:r>
          </w:p>
        </w:tc>
      </w:tr>
      <w:tr>
        <w:trPr>
          <w:trHeight w:val="470"/>
        </w:trPr>
        <w:tc>
          <w:tcPr>
            <w:tcW w:w="380" w:type="dxa"/>
            <w:vAlign w:val="bottom"/>
            <w:tcBorders>
              <w:top w:val="single" w:sz="8" w:color="1F2668"/>
            </w:tcBorders>
          </w:tcPr>
          <w:p>
            <w:pPr>
              <w:spacing w:after="0"/>
              <w:rPr>
                <w:sz w:val="24"/>
                <w:szCs w:val="24"/>
                <w:color w:val="auto"/>
              </w:rPr>
            </w:pPr>
          </w:p>
        </w:tc>
        <w:tc>
          <w:tcPr>
            <w:tcW w:w="3280" w:type="dxa"/>
            <w:vAlign w:val="bottom"/>
            <w:tcBorders>
              <w:top w:val="single" w:sz="8" w:color="1F2668"/>
            </w:tcBorders>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tcBorders>
              <w:top w:val="single" w:sz="8" w:color="1F2668"/>
            </w:tcBorders>
            <w:gridSpan w:val="2"/>
          </w:tcPr>
          <w:p>
            <w:pPr>
              <w:jc w:val="right"/>
              <w:spacing w:after="0"/>
              <w:rPr>
                <w:sz w:val="20"/>
                <w:szCs w:val="20"/>
                <w:color w:val="auto"/>
              </w:rPr>
            </w:pPr>
            <w:r>
              <w:rPr>
                <w:rFonts w:ascii="Arial" w:cs="Arial" w:eastAsia="Arial" w:hAnsi="Arial"/>
                <w:sz w:val="14"/>
                <w:szCs w:val="14"/>
                <w:color w:val="1F2668"/>
              </w:rPr>
              <w:t>Actual / Projected Percentile Rank</w:t>
            </w:r>
          </w:p>
        </w:tc>
        <w:tc>
          <w:tcPr>
            <w:tcW w:w="120" w:type="dxa"/>
            <w:vAlign w:val="bottom"/>
          </w:tcPr>
          <w:p>
            <w:pPr>
              <w:spacing w:after="0"/>
              <w:rPr>
                <w:sz w:val="24"/>
                <w:szCs w:val="24"/>
                <w:color w:val="auto"/>
              </w:rPr>
            </w:pPr>
          </w:p>
        </w:tc>
        <w:tc>
          <w:tcPr>
            <w:tcW w:w="80" w:type="dxa"/>
            <w:vAlign w:val="bottom"/>
            <w:tcBorders>
              <w:top w:val="single" w:sz="8" w:color="1F2668"/>
            </w:tcBorders>
          </w:tcPr>
          <w:p>
            <w:pPr>
              <w:spacing w:after="0"/>
              <w:rPr>
                <w:sz w:val="24"/>
                <w:szCs w:val="24"/>
                <w:color w:val="auto"/>
              </w:rPr>
            </w:pPr>
          </w:p>
        </w:tc>
        <w:tc>
          <w:tcPr>
            <w:tcW w:w="2820" w:type="dxa"/>
            <w:vAlign w:val="bottom"/>
            <w:tcBorders>
              <w:top w:val="single" w:sz="8" w:color="1F2668"/>
            </w:tcBorders>
            <w:gridSpan w:val="3"/>
          </w:tcPr>
          <w:p>
            <w:pPr>
              <w:jc w:val="right"/>
              <w:spacing w:after="0"/>
              <w:rPr>
                <w:sz w:val="20"/>
                <w:szCs w:val="20"/>
                <w:color w:val="auto"/>
              </w:rPr>
            </w:pPr>
            <w:r>
              <w:rPr>
                <w:rFonts w:ascii="Arial" w:cs="Arial" w:eastAsia="Arial" w:hAnsi="Arial"/>
                <w:sz w:val="14"/>
                <w:szCs w:val="14"/>
                <w:color w:val="1F2668"/>
              </w:rPr>
              <w:t>Actual / Projected Percentage Earned</w:t>
            </w:r>
          </w:p>
        </w:tc>
        <w:tc>
          <w:tcPr>
            <w:tcW w:w="60" w:type="dxa"/>
            <w:vAlign w:val="bottom"/>
          </w:tcPr>
          <w:p>
            <w:pPr>
              <w:spacing w:after="0"/>
              <w:rPr>
                <w:sz w:val="24"/>
                <w:szCs w:val="24"/>
                <w:color w:val="auto"/>
              </w:rPr>
            </w:pPr>
          </w:p>
        </w:tc>
      </w:tr>
      <w:tr>
        <w:trPr>
          <w:trHeight w:val="225"/>
        </w:trPr>
        <w:tc>
          <w:tcPr>
            <w:tcW w:w="3660" w:type="dxa"/>
            <w:vAlign w:val="bottom"/>
            <w:gridSpan w:val="2"/>
          </w:tcPr>
          <w:p>
            <w:pPr>
              <w:spacing w:after="0"/>
              <w:rPr>
                <w:sz w:val="20"/>
                <w:szCs w:val="20"/>
                <w:color w:val="auto"/>
              </w:rPr>
            </w:pPr>
            <w:r>
              <w:rPr>
                <w:rFonts w:ascii="Arial" w:cs="Arial" w:eastAsia="Arial" w:hAnsi="Arial"/>
                <w:sz w:val="14"/>
                <w:szCs w:val="14"/>
                <w:color w:val="1F2668"/>
              </w:rPr>
              <w:t>Relative Awards</w:t>
            </w:r>
          </w:p>
        </w:tc>
        <w:tc>
          <w:tcPr>
            <w:tcW w:w="180" w:type="dxa"/>
            <w:vAlign w:val="bottom"/>
          </w:tcPr>
          <w:p>
            <w:pPr>
              <w:ind w:left="60"/>
              <w:spacing w:after="0"/>
              <w:rPr>
                <w:sz w:val="20"/>
                <w:szCs w:val="20"/>
                <w:color w:val="auto"/>
              </w:rPr>
            </w:pPr>
            <w:r>
              <w:rPr>
                <w:rFonts w:ascii="Arial" w:cs="Arial" w:eastAsia="Arial" w:hAnsi="Arial"/>
                <w:sz w:val="14"/>
                <w:szCs w:val="14"/>
                <w:color w:val="1F2668"/>
              </w:rPr>
              <w:t>​​</w:t>
            </w:r>
          </w:p>
        </w:tc>
        <w:tc>
          <w:tcPr>
            <w:tcW w:w="2400" w:type="dxa"/>
            <w:vAlign w:val="bottom"/>
            <w:gridSpan w:val="4"/>
          </w:tcPr>
          <w:p>
            <w:pPr>
              <w:jc w:val="right"/>
              <w:ind w:right="40"/>
              <w:spacing w:after="0" w:line="225" w:lineRule="exact"/>
              <w:rPr>
                <w:sz w:val="20"/>
                <w:szCs w:val="20"/>
                <w:color w:val="auto"/>
              </w:rPr>
            </w:pPr>
            <w:r>
              <w:rPr>
                <w:rFonts w:ascii="Arial" w:cs="Arial" w:eastAsia="Arial" w:hAnsi="Arial"/>
                <w:sz w:val="14"/>
                <w:szCs w:val="14"/>
                <w:color w:val="1F2668"/>
              </w:rPr>
              <w:t xml:space="preserve">as of 12/31/2024 </w:t>
            </w:r>
            <w:r>
              <w:rPr>
                <w:rFonts w:ascii="Arial" w:cs="Arial" w:eastAsia="Arial" w:hAnsi="Arial"/>
                <w:sz w:val="26"/>
                <w:szCs w:val="26"/>
                <w:color w:val="1F2668"/>
                <w:vertAlign w:val="subscript"/>
              </w:rPr>
              <w:t>​​</w:t>
            </w:r>
          </w:p>
        </w:tc>
        <w:tc>
          <w:tcPr>
            <w:tcW w:w="2880" w:type="dxa"/>
            <w:vAlign w:val="bottom"/>
            <w:gridSpan w:val="4"/>
          </w:tcPr>
          <w:p>
            <w:pPr>
              <w:jc w:val="right"/>
              <w:ind w:right="20"/>
              <w:spacing w:after="0" w:line="225" w:lineRule="exact"/>
              <w:rPr>
                <w:sz w:val="20"/>
                <w:szCs w:val="20"/>
                <w:color w:val="auto"/>
              </w:rPr>
            </w:pPr>
            <w:r>
              <w:rPr>
                <w:rFonts w:ascii="Arial" w:cs="Arial" w:eastAsia="Arial" w:hAnsi="Arial"/>
                <w:sz w:val="14"/>
                <w:szCs w:val="14"/>
                <w:color w:val="1F2668"/>
              </w:rPr>
              <w:t>as of 12/31/2024</w:t>
            </w:r>
            <w:r>
              <w:rPr>
                <w:rFonts w:ascii="Arial" w:cs="Arial" w:eastAsia="Arial" w:hAnsi="Arial"/>
                <w:sz w:val="26"/>
                <w:szCs w:val="26"/>
                <w:color w:val="1F2668"/>
                <w:vertAlign w:val="subscript"/>
              </w:rPr>
              <w:t>​</w:t>
            </w:r>
          </w:p>
        </w:tc>
      </w:tr>
      <w:tr>
        <w:trPr>
          <w:trHeight w:val="20"/>
        </w:trPr>
        <w:tc>
          <w:tcPr>
            <w:tcW w:w="380" w:type="dxa"/>
            <w:vAlign w:val="bottom"/>
            <w:shd w:val="clear" w:color="auto" w:fill="1F2668"/>
          </w:tcPr>
          <w:p>
            <w:pPr>
              <w:spacing w:after="0" w:line="20" w:lineRule="exact"/>
              <w:rPr>
                <w:sz w:val="1"/>
                <w:szCs w:val="1"/>
                <w:color w:val="auto"/>
              </w:rPr>
            </w:pPr>
          </w:p>
        </w:tc>
        <w:tc>
          <w:tcPr>
            <w:tcW w:w="3280" w:type="dxa"/>
            <w:vAlign w:val="bottom"/>
            <w:shd w:val="clear" w:color="auto" w:fill="1F2668"/>
          </w:tcPr>
          <w:p>
            <w:pPr>
              <w:spacing w:after="0" w:line="20" w:lineRule="exact"/>
              <w:rPr>
                <w:sz w:val="1"/>
                <w:szCs w:val="1"/>
                <w:color w:val="auto"/>
              </w:rPr>
            </w:pPr>
          </w:p>
        </w:tc>
        <w:tc>
          <w:tcPr>
            <w:tcW w:w="180" w:type="dxa"/>
            <w:vAlign w:val="bottom"/>
            <w:tcBorders>
              <w:right w:val="single" w:sz="8" w:color="1F2668"/>
            </w:tcBorders>
          </w:tcPr>
          <w:p>
            <w:pPr>
              <w:spacing w:after="0" w:line="20" w:lineRule="exact"/>
              <w:rPr>
                <w:sz w:val="1"/>
                <w:szCs w:val="1"/>
                <w:color w:val="auto"/>
              </w:rPr>
            </w:pPr>
          </w:p>
        </w:tc>
        <w:tc>
          <w:tcPr>
            <w:tcW w:w="2200" w:type="dxa"/>
            <w:vAlign w:val="bottom"/>
            <w:gridSpan w:val="2"/>
            <w:shd w:val="clear" w:color="auto" w:fill="1F266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1F2668"/>
          </w:tcPr>
          <w:p>
            <w:pPr>
              <w:spacing w:after="0" w:line="20" w:lineRule="exact"/>
              <w:rPr>
                <w:sz w:val="1"/>
                <w:szCs w:val="1"/>
                <w:color w:val="auto"/>
              </w:rPr>
            </w:pPr>
          </w:p>
        </w:tc>
        <w:tc>
          <w:tcPr>
            <w:tcW w:w="2020" w:type="dxa"/>
            <w:vAlign w:val="bottom"/>
            <w:shd w:val="clear" w:color="auto" w:fill="1F2668"/>
          </w:tcPr>
          <w:p>
            <w:pPr>
              <w:spacing w:after="0" w:line="20" w:lineRule="exact"/>
              <w:rPr>
                <w:sz w:val="1"/>
                <w:szCs w:val="1"/>
                <w:color w:val="auto"/>
              </w:rPr>
            </w:pPr>
          </w:p>
        </w:tc>
        <w:tc>
          <w:tcPr>
            <w:tcW w:w="800" w:type="dxa"/>
            <w:vAlign w:val="bottom"/>
            <w:gridSpan w:val="2"/>
            <w:shd w:val="clear" w:color="auto" w:fill="1F266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380" w:type="dxa"/>
            <w:vAlign w:val="bottom"/>
          </w:tcPr>
          <w:p>
            <w:pPr>
              <w:spacing w:after="0"/>
              <w:rPr>
                <w:sz w:val="20"/>
                <w:szCs w:val="20"/>
                <w:color w:val="auto"/>
              </w:rPr>
            </w:pPr>
            <w:r>
              <w:rPr>
                <w:rFonts w:ascii="Arial" w:cs="Arial" w:eastAsia="Arial" w:hAnsi="Arial"/>
                <w:sz w:val="16"/>
                <w:szCs w:val="16"/>
                <w:color w:val="auto"/>
              </w:rPr>
              <w:t>2024</w:t>
            </w:r>
          </w:p>
        </w:tc>
        <w:tc>
          <w:tcPr>
            <w:tcW w:w="3280" w:type="dxa"/>
            <w:vAlign w:val="bottom"/>
          </w:tcPr>
          <w:p>
            <w:pPr>
              <w:ind w:left="20"/>
              <w:spacing w:after="0"/>
              <w:rPr>
                <w:sz w:val="20"/>
                <w:szCs w:val="20"/>
                <w:color w:val="auto"/>
              </w:rPr>
            </w:pPr>
            <w:r>
              <w:rPr>
                <w:rFonts w:ascii="Arial" w:cs="Arial" w:eastAsia="Arial" w:hAnsi="Arial"/>
                <w:sz w:val="16"/>
                <w:szCs w:val="16"/>
                <w:color w:val="auto"/>
              </w:rPr>
              <w:t>Relative TSR vs. Office REIT Peers</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2400" w:type="dxa"/>
            <w:vAlign w:val="bottom"/>
            <w:gridSpan w:val="4"/>
          </w:tcPr>
          <w:p>
            <w:pPr>
              <w:jc w:val="right"/>
              <w:ind w:right="40"/>
              <w:spacing w:after="0" w:line="276" w:lineRule="exact"/>
              <w:rPr>
                <w:sz w:val="20"/>
                <w:szCs w:val="20"/>
                <w:color w:val="auto"/>
              </w:rPr>
            </w:pPr>
            <w:r>
              <w:rPr>
                <w:rFonts w:ascii="Arial" w:cs="Arial" w:eastAsia="Arial" w:hAnsi="Arial"/>
                <w:sz w:val="16"/>
                <w:szCs w:val="16"/>
                <w:color w:val="auto"/>
              </w:rPr>
              <w:t xml:space="preserve">97th Percentile (Projected) </w:t>
            </w:r>
            <w:r>
              <w:rPr>
                <w:rFonts w:ascii="Arial" w:cs="Arial" w:eastAsia="Arial" w:hAnsi="Arial"/>
                <w:sz w:val="32"/>
                <w:szCs w:val="32"/>
                <w:color w:val="auto"/>
                <w:vertAlign w:val="subscript"/>
              </w:rPr>
              <w:t>​​</w:t>
            </w:r>
          </w:p>
        </w:tc>
        <w:tc>
          <w:tcPr>
            <w:tcW w:w="2020" w:type="dxa"/>
            <w:vAlign w:val="bottom"/>
          </w:tcPr>
          <w:p>
            <w:pPr>
              <w:jc w:val="right"/>
              <w:spacing w:after="0"/>
              <w:rPr>
                <w:sz w:val="20"/>
                <w:szCs w:val="20"/>
                <w:color w:val="auto"/>
              </w:rPr>
            </w:pPr>
            <w:r>
              <w:rPr>
                <w:rFonts w:ascii="Arial" w:cs="Arial" w:eastAsia="Arial" w:hAnsi="Arial"/>
                <w:sz w:val="16"/>
                <w:szCs w:val="16"/>
                <w:color w:val="auto"/>
              </w:rPr>
              <w:t>225.00%</w:t>
            </w:r>
          </w:p>
        </w:tc>
        <w:tc>
          <w:tcPr>
            <w:tcW w:w="860" w:type="dxa"/>
            <w:vAlign w:val="bottom"/>
            <w:gridSpan w:val="3"/>
          </w:tcPr>
          <w:p>
            <w:pPr>
              <w:jc w:val="right"/>
              <w:spacing w:after="0" w:line="276" w:lineRule="exact"/>
              <w:rPr>
                <w:sz w:val="20"/>
                <w:szCs w:val="20"/>
                <w:color w:val="auto"/>
              </w:rPr>
            </w:pPr>
            <w:r>
              <w:rPr>
                <w:rFonts w:ascii="Arial" w:cs="Arial" w:eastAsia="Arial" w:hAnsi="Arial"/>
                <w:sz w:val="16"/>
                <w:szCs w:val="16"/>
                <w:color w:val="auto"/>
              </w:rPr>
              <w:t>(Projected)</w:t>
            </w:r>
            <w:r>
              <w:rPr>
                <w:rFonts w:ascii="Arial" w:cs="Arial" w:eastAsia="Arial" w:hAnsi="Arial"/>
                <w:sz w:val="32"/>
                <w:szCs w:val="32"/>
                <w:color w:val="auto"/>
                <w:vertAlign w:val="subscript"/>
              </w:rPr>
              <w:t>​</w:t>
            </w:r>
          </w:p>
        </w:tc>
      </w:tr>
      <w:tr>
        <w:trPr>
          <w:trHeight w:val="20"/>
        </w:trPr>
        <w:tc>
          <w:tcPr>
            <w:tcW w:w="380" w:type="dxa"/>
            <w:vAlign w:val="bottom"/>
            <w:shd w:val="clear" w:color="auto" w:fill="4B5088"/>
          </w:tcPr>
          <w:p>
            <w:pPr>
              <w:spacing w:after="0" w:line="20" w:lineRule="exact"/>
              <w:rPr>
                <w:sz w:val="1"/>
                <w:szCs w:val="1"/>
                <w:color w:val="auto"/>
              </w:rPr>
            </w:pPr>
          </w:p>
        </w:tc>
        <w:tc>
          <w:tcPr>
            <w:tcW w:w="3280" w:type="dxa"/>
            <w:vAlign w:val="bottom"/>
            <w:shd w:val="clear" w:color="auto" w:fill="4B5088"/>
          </w:tcPr>
          <w:p>
            <w:pPr>
              <w:spacing w:after="0" w:line="20" w:lineRule="exact"/>
              <w:rPr>
                <w:sz w:val="1"/>
                <w:szCs w:val="1"/>
                <w:color w:val="auto"/>
              </w:rPr>
            </w:pPr>
          </w:p>
        </w:tc>
        <w:tc>
          <w:tcPr>
            <w:tcW w:w="180" w:type="dxa"/>
            <w:vAlign w:val="bottom"/>
            <w:tcBorders>
              <w:right w:val="single" w:sz="8" w:color="4B5088"/>
            </w:tcBorders>
          </w:tcPr>
          <w:p>
            <w:pPr>
              <w:spacing w:after="0" w:line="20" w:lineRule="exact"/>
              <w:rPr>
                <w:sz w:val="1"/>
                <w:szCs w:val="1"/>
                <w:color w:val="auto"/>
              </w:rPr>
            </w:pPr>
          </w:p>
        </w:tc>
        <w:tc>
          <w:tcPr>
            <w:tcW w:w="2200" w:type="dxa"/>
            <w:vAlign w:val="bottom"/>
            <w:gridSpan w:val="2"/>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2020" w:type="dxa"/>
            <w:vAlign w:val="bottom"/>
            <w:shd w:val="clear" w:color="auto" w:fill="4B5088"/>
          </w:tcPr>
          <w:p>
            <w:pPr>
              <w:spacing w:after="0" w:line="20" w:lineRule="exact"/>
              <w:rPr>
                <w:sz w:val="1"/>
                <w:szCs w:val="1"/>
                <w:color w:val="auto"/>
              </w:rPr>
            </w:pPr>
          </w:p>
        </w:tc>
        <w:tc>
          <w:tcPr>
            <w:tcW w:w="800" w:type="dxa"/>
            <w:vAlign w:val="bottom"/>
            <w:gridSpan w:val="2"/>
            <w:shd w:val="clear" w:color="auto" w:fill="4B50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380" w:type="dxa"/>
            <w:vAlign w:val="bottom"/>
          </w:tcPr>
          <w:p>
            <w:pPr>
              <w:spacing w:after="0"/>
              <w:rPr>
                <w:sz w:val="20"/>
                <w:szCs w:val="20"/>
                <w:color w:val="auto"/>
              </w:rPr>
            </w:pPr>
            <w:r>
              <w:rPr>
                <w:rFonts w:ascii="Arial" w:cs="Arial" w:eastAsia="Arial" w:hAnsi="Arial"/>
                <w:sz w:val="16"/>
                <w:szCs w:val="16"/>
                <w:color w:val="auto"/>
              </w:rPr>
              <w:t>2024</w:t>
            </w:r>
          </w:p>
        </w:tc>
        <w:tc>
          <w:tcPr>
            <w:tcW w:w="3280" w:type="dxa"/>
            <w:vAlign w:val="bottom"/>
          </w:tcPr>
          <w:p>
            <w:pPr>
              <w:ind w:left="20"/>
              <w:spacing w:after="0"/>
              <w:rPr>
                <w:sz w:val="20"/>
                <w:szCs w:val="20"/>
                <w:color w:val="auto"/>
              </w:rPr>
            </w:pPr>
            <w:r>
              <w:rPr>
                <w:rFonts w:ascii="Arial" w:cs="Arial" w:eastAsia="Arial" w:hAnsi="Arial"/>
                <w:sz w:val="16"/>
                <w:szCs w:val="16"/>
                <w:color w:val="auto"/>
              </w:rPr>
              <w:t>Relative TSR vs. NYC REIT Peers</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2400" w:type="dxa"/>
            <w:vAlign w:val="bottom"/>
            <w:gridSpan w:val="4"/>
          </w:tcPr>
          <w:p>
            <w:pPr>
              <w:jc w:val="right"/>
              <w:ind w:right="40"/>
              <w:spacing w:after="0" w:line="276" w:lineRule="exact"/>
              <w:rPr>
                <w:sz w:val="20"/>
                <w:szCs w:val="20"/>
                <w:color w:val="auto"/>
              </w:rPr>
            </w:pPr>
            <w:r>
              <w:rPr>
                <w:rFonts w:ascii="Arial" w:cs="Arial" w:eastAsia="Arial" w:hAnsi="Arial"/>
                <w:sz w:val="16"/>
                <w:szCs w:val="16"/>
                <w:color w:val="auto"/>
              </w:rPr>
              <w:t xml:space="preserve">92nd Percentile (Projected) </w:t>
            </w:r>
            <w:r>
              <w:rPr>
                <w:rFonts w:ascii="Arial" w:cs="Arial" w:eastAsia="Arial" w:hAnsi="Arial"/>
                <w:sz w:val="32"/>
                <w:szCs w:val="32"/>
                <w:color w:val="auto"/>
                <w:vertAlign w:val="subscript"/>
              </w:rPr>
              <w:t>​​</w:t>
            </w:r>
          </w:p>
        </w:tc>
        <w:tc>
          <w:tcPr>
            <w:tcW w:w="2020" w:type="dxa"/>
            <w:vAlign w:val="bottom"/>
          </w:tcPr>
          <w:p>
            <w:pPr>
              <w:jc w:val="right"/>
              <w:spacing w:after="0"/>
              <w:rPr>
                <w:sz w:val="20"/>
                <w:szCs w:val="20"/>
                <w:color w:val="auto"/>
              </w:rPr>
            </w:pPr>
            <w:r>
              <w:rPr>
                <w:rFonts w:ascii="Arial" w:cs="Arial" w:eastAsia="Arial" w:hAnsi="Arial"/>
                <w:sz w:val="16"/>
                <w:szCs w:val="16"/>
                <w:color w:val="auto"/>
              </w:rPr>
              <w:t>225.00%</w:t>
            </w:r>
          </w:p>
        </w:tc>
        <w:tc>
          <w:tcPr>
            <w:tcW w:w="860" w:type="dxa"/>
            <w:vAlign w:val="bottom"/>
            <w:gridSpan w:val="3"/>
          </w:tcPr>
          <w:p>
            <w:pPr>
              <w:jc w:val="right"/>
              <w:spacing w:after="0" w:line="276" w:lineRule="exact"/>
              <w:rPr>
                <w:sz w:val="20"/>
                <w:szCs w:val="20"/>
                <w:color w:val="auto"/>
              </w:rPr>
            </w:pPr>
            <w:r>
              <w:rPr>
                <w:rFonts w:ascii="Arial" w:cs="Arial" w:eastAsia="Arial" w:hAnsi="Arial"/>
                <w:sz w:val="16"/>
                <w:szCs w:val="16"/>
                <w:color w:val="auto"/>
              </w:rPr>
              <w:t>(Projected)</w:t>
            </w:r>
            <w:r>
              <w:rPr>
                <w:rFonts w:ascii="Arial" w:cs="Arial" w:eastAsia="Arial" w:hAnsi="Arial"/>
                <w:sz w:val="32"/>
                <w:szCs w:val="32"/>
                <w:color w:val="auto"/>
                <w:vertAlign w:val="subscript"/>
              </w:rPr>
              <w:t>​</w:t>
            </w:r>
          </w:p>
        </w:tc>
      </w:tr>
      <w:tr>
        <w:trPr>
          <w:trHeight w:val="20"/>
        </w:trPr>
        <w:tc>
          <w:tcPr>
            <w:tcW w:w="380" w:type="dxa"/>
            <w:vAlign w:val="bottom"/>
            <w:shd w:val="clear" w:color="auto" w:fill="4B5088"/>
          </w:tcPr>
          <w:p>
            <w:pPr>
              <w:spacing w:after="0" w:line="20" w:lineRule="exact"/>
              <w:rPr>
                <w:sz w:val="1"/>
                <w:szCs w:val="1"/>
                <w:color w:val="auto"/>
              </w:rPr>
            </w:pPr>
          </w:p>
        </w:tc>
        <w:tc>
          <w:tcPr>
            <w:tcW w:w="3280" w:type="dxa"/>
            <w:vAlign w:val="bottom"/>
            <w:shd w:val="clear" w:color="auto" w:fill="4B5088"/>
          </w:tcPr>
          <w:p>
            <w:pPr>
              <w:spacing w:after="0" w:line="20" w:lineRule="exact"/>
              <w:rPr>
                <w:sz w:val="1"/>
                <w:szCs w:val="1"/>
                <w:color w:val="auto"/>
              </w:rPr>
            </w:pPr>
          </w:p>
        </w:tc>
        <w:tc>
          <w:tcPr>
            <w:tcW w:w="180" w:type="dxa"/>
            <w:vAlign w:val="bottom"/>
            <w:tcBorders>
              <w:right w:val="single" w:sz="8" w:color="4B5088"/>
            </w:tcBorders>
          </w:tcPr>
          <w:p>
            <w:pPr>
              <w:spacing w:after="0" w:line="20" w:lineRule="exact"/>
              <w:rPr>
                <w:sz w:val="1"/>
                <w:szCs w:val="1"/>
                <w:color w:val="auto"/>
              </w:rPr>
            </w:pPr>
          </w:p>
        </w:tc>
        <w:tc>
          <w:tcPr>
            <w:tcW w:w="2200" w:type="dxa"/>
            <w:vAlign w:val="bottom"/>
            <w:gridSpan w:val="2"/>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2020" w:type="dxa"/>
            <w:vAlign w:val="bottom"/>
            <w:shd w:val="clear" w:color="auto" w:fill="4B5088"/>
          </w:tcPr>
          <w:p>
            <w:pPr>
              <w:spacing w:after="0" w:line="20" w:lineRule="exact"/>
              <w:rPr>
                <w:sz w:val="1"/>
                <w:szCs w:val="1"/>
                <w:color w:val="auto"/>
              </w:rPr>
            </w:pPr>
          </w:p>
        </w:tc>
        <w:tc>
          <w:tcPr>
            <w:tcW w:w="800" w:type="dxa"/>
            <w:vAlign w:val="bottom"/>
            <w:gridSpan w:val="2"/>
            <w:shd w:val="clear" w:color="auto" w:fill="4B50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380" w:type="dxa"/>
            <w:vAlign w:val="bottom"/>
          </w:tcPr>
          <w:p>
            <w:pPr>
              <w:spacing w:after="0"/>
              <w:rPr>
                <w:sz w:val="20"/>
                <w:szCs w:val="20"/>
                <w:color w:val="auto"/>
              </w:rPr>
            </w:pPr>
            <w:r>
              <w:rPr>
                <w:rFonts w:ascii="Arial" w:cs="Arial" w:eastAsia="Arial" w:hAnsi="Arial"/>
                <w:sz w:val="16"/>
                <w:szCs w:val="16"/>
                <w:color w:val="auto"/>
              </w:rPr>
              <w:t>2023</w:t>
            </w:r>
          </w:p>
        </w:tc>
        <w:tc>
          <w:tcPr>
            <w:tcW w:w="3280" w:type="dxa"/>
            <w:vAlign w:val="bottom"/>
          </w:tcPr>
          <w:p>
            <w:pPr>
              <w:ind w:left="20"/>
              <w:spacing w:after="0"/>
              <w:rPr>
                <w:sz w:val="20"/>
                <w:szCs w:val="20"/>
                <w:color w:val="auto"/>
              </w:rPr>
            </w:pPr>
            <w:r>
              <w:rPr>
                <w:rFonts w:ascii="Arial" w:cs="Arial" w:eastAsia="Arial" w:hAnsi="Arial"/>
                <w:sz w:val="16"/>
                <w:szCs w:val="16"/>
                <w:color w:val="auto"/>
              </w:rPr>
              <w:t>Relative TSR vs. Office REIT Peers</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2400" w:type="dxa"/>
            <w:vAlign w:val="bottom"/>
            <w:gridSpan w:val="4"/>
          </w:tcPr>
          <w:p>
            <w:pPr>
              <w:jc w:val="right"/>
              <w:ind w:right="40"/>
              <w:spacing w:after="0" w:line="276" w:lineRule="exact"/>
              <w:rPr>
                <w:sz w:val="20"/>
                <w:szCs w:val="20"/>
                <w:color w:val="auto"/>
              </w:rPr>
            </w:pPr>
            <w:r>
              <w:rPr>
                <w:rFonts w:ascii="Arial" w:cs="Arial" w:eastAsia="Arial" w:hAnsi="Arial"/>
                <w:sz w:val="16"/>
                <w:szCs w:val="16"/>
                <w:color w:val="auto"/>
              </w:rPr>
              <w:t xml:space="preserve">97th Percentile (Projected) </w:t>
            </w:r>
            <w:r>
              <w:rPr>
                <w:rFonts w:ascii="Arial" w:cs="Arial" w:eastAsia="Arial" w:hAnsi="Arial"/>
                <w:sz w:val="32"/>
                <w:szCs w:val="32"/>
                <w:color w:val="auto"/>
                <w:vertAlign w:val="subscript"/>
              </w:rPr>
              <w:t>​​</w:t>
            </w:r>
          </w:p>
        </w:tc>
        <w:tc>
          <w:tcPr>
            <w:tcW w:w="2020" w:type="dxa"/>
            <w:vAlign w:val="bottom"/>
          </w:tcPr>
          <w:p>
            <w:pPr>
              <w:jc w:val="right"/>
              <w:spacing w:after="0"/>
              <w:rPr>
                <w:sz w:val="20"/>
                <w:szCs w:val="20"/>
                <w:color w:val="auto"/>
              </w:rPr>
            </w:pPr>
            <w:r>
              <w:rPr>
                <w:rFonts w:ascii="Arial" w:cs="Arial" w:eastAsia="Arial" w:hAnsi="Arial"/>
                <w:sz w:val="16"/>
                <w:szCs w:val="16"/>
                <w:color w:val="auto"/>
              </w:rPr>
              <w:t>225.00%</w:t>
            </w:r>
          </w:p>
        </w:tc>
        <w:tc>
          <w:tcPr>
            <w:tcW w:w="860" w:type="dxa"/>
            <w:vAlign w:val="bottom"/>
            <w:gridSpan w:val="3"/>
          </w:tcPr>
          <w:p>
            <w:pPr>
              <w:jc w:val="right"/>
              <w:spacing w:after="0" w:line="276" w:lineRule="exact"/>
              <w:rPr>
                <w:sz w:val="20"/>
                <w:szCs w:val="20"/>
                <w:color w:val="auto"/>
              </w:rPr>
            </w:pPr>
            <w:r>
              <w:rPr>
                <w:rFonts w:ascii="Arial" w:cs="Arial" w:eastAsia="Arial" w:hAnsi="Arial"/>
                <w:sz w:val="16"/>
                <w:szCs w:val="16"/>
                <w:color w:val="auto"/>
              </w:rPr>
              <w:t>(Projected)</w:t>
            </w:r>
            <w:r>
              <w:rPr>
                <w:rFonts w:ascii="Arial" w:cs="Arial" w:eastAsia="Arial" w:hAnsi="Arial"/>
                <w:sz w:val="32"/>
                <w:szCs w:val="32"/>
                <w:color w:val="auto"/>
                <w:vertAlign w:val="subscript"/>
              </w:rPr>
              <w:t>​</w:t>
            </w:r>
          </w:p>
        </w:tc>
      </w:tr>
      <w:tr>
        <w:trPr>
          <w:trHeight w:val="20"/>
        </w:trPr>
        <w:tc>
          <w:tcPr>
            <w:tcW w:w="380" w:type="dxa"/>
            <w:vAlign w:val="bottom"/>
            <w:shd w:val="clear" w:color="auto" w:fill="4B5088"/>
          </w:tcPr>
          <w:p>
            <w:pPr>
              <w:spacing w:after="0" w:line="20" w:lineRule="exact"/>
              <w:rPr>
                <w:sz w:val="1"/>
                <w:szCs w:val="1"/>
                <w:color w:val="auto"/>
              </w:rPr>
            </w:pPr>
          </w:p>
        </w:tc>
        <w:tc>
          <w:tcPr>
            <w:tcW w:w="3280" w:type="dxa"/>
            <w:vAlign w:val="bottom"/>
            <w:shd w:val="clear" w:color="auto" w:fill="4B5088"/>
          </w:tcPr>
          <w:p>
            <w:pPr>
              <w:spacing w:after="0" w:line="20" w:lineRule="exact"/>
              <w:rPr>
                <w:sz w:val="1"/>
                <w:szCs w:val="1"/>
                <w:color w:val="auto"/>
              </w:rPr>
            </w:pPr>
          </w:p>
        </w:tc>
        <w:tc>
          <w:tcPr>
            <w:tcW w:w="180" w:type="dxa"/>
            <w:vAlign w:val="bottom"/>
            <w:tcBorders>
              <w:right w:val="single" w:sz="8" w:color="4B5088"/>
            </w:tcBorders>
          </w:tcPr>
          <w:p>
            <w:pPr>
              <w:spacing w:after="0" w:line="20" w:lineRule="exact"/>
              <w:rPr>
                <w:sz w:val="1"/>
                <w:szCs w:val="1"/>
                <w:color w:val="auto"/>
              </w:rPr>
            </w:pPr>
          </w:p>
        </w:tc>
        <w:tc>
          <w:tcPr>
            <w:tcW w:w="2200" w:type="dxa"/>
            <w:vAlign w:val="bottom"/>
            <w:gridSpan w:val="2"/>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2020" w:type="dxa"/>
            <w:vAlign w:val="bottom"/>
            <w:shd w:val="clear" w:color="auto" w:fill="4B5088"/>
          </w:tcPr>
          <w:p>
            <w:pPr>
              <w:spacing w:after="0" w:line="20" w:lineRule="exact"/>
              <w:rPr>
                <w:sz w:val="1"/>
                <w:szCs w:val="1"/>
                <w:color w:val="auto"/>
              </w:rPr>
            </w:pPr>
          </w:p>
        </w:tc>
        <w:tc>
          <w:tcPr>
            <w:tcW w:w="800" w:type="dxa"/>
            <w:vAlign w:val="bottom"/>
            <w:gridSpan w:val="2"/>
            <w:shd w:val="clear" w:color="auto" w:fill="4B50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380" w:type="dxa"/>
            <w:vAlign w:val="bottom"/>
          </w:tcPr>
          <w:p>
            <w:pPr>
              <w:spacing w:after="0"/>
              <w:rPr>
                <w:sz w:val="20"/>
                <w:szCs w:val="20"/>
                <w:color w:val="auto"/>
              </w:rPr>
            </w:pPr>
            <w:r>
              <w:rPr>
                <w:rFonts w:ascii="Arial" w:cs="Arial" w:eastAsia="Arial" w:hAnsi="Arial"/>
                <w:sz w:val="16"/>
                <w:szCs w:val="16"/>
                <w:color w:val="auto"/>
              </w:rPr>
              <w:t>2023</w:t>
            </w:r>
          </w:p>
        </w:tc>
        <w:tc>
          <w:tcPr>
            <w:tcW w:w="3280" w:type="dxa"/>
            <w:vAlign w:val="bottom"/>
          </w:tcPr>
          <w:p>
            <w:pPr>
              <w:ind w:left="20"/>
              <w:spacing w:after="0"/>
              <w:rPr>
                <w:sz w:val="20"/>
                <w:szCs w:val="20"/>
                <w:color w:val="auto"/>
              </w:rPr>
            </w:pPr>
            <w:r>
              <w:rPr>
                <w:rFonts w:ascii="Arial" w:cs="Arial" w:eastAsia="Arial" w:hAnsi="Arial"/>
                <w:sz w:val="16"/>
                <w:szCs w:val="16"/>
                <w:color w:val="auto"/>
              </w:rPr>
              <w:t>Relative TSR vs. NYC REIT Peers</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2400" w:type="dxa"/>
            <w:vAlign w:val="bottom"/>
            <w:gridSpan w:val="4"/>
          </w:tcPr>
          <w:p>
            <w:pPr>
              <w:jc w:val="right"/>
              <w:ind w:right="40"/>
              <w:spacing w:after="0" w:line="276" w:lineRule="exact"/>
              <w:rPr>
                <w:sz w:val="20"/>
                <w:szCs w:val="20"/>
                <w:color w:val="auto"/>
              </w:rPr>
            </w:pPr>
            <w:r>
              <w:rPr>
                <w:rFonts w:ascii="Arial" w:cs="Arial" w:eastAsia="Arial" w:hAnsi="Arial"/>
                <w:sz w:val="16"/>
                <w:szCs w:val="16"/>
                <w:color w:val="auto"/>
              </w:rPr>
              <w:t xml:space="preserve">92nd Percentile (Projected) </w:t>
            </w:r>
            <w:r>
              <w:rPr>
                <w:rFonts w:ascii="Arial" w:cs="Arial" w:eastAsia="Arial" w:hAnsi="Arial"/>
                <w:sz w:val="32"/>
                <w:szCs w:val="32"/>
                <w:color w:val="auto"/>
                <w:vertAlign w:val="subscript"/>
              </w:rPr>
              <w:t>​​</w:t>
            </w:r>
          </w:p>
        </w:tc>
        <w:tc>
          <w:tcPr>
            <w:tcW w:w="2020" w:type="dxa"/>
            <w:vAlign w:val="bottom"/>
          </w:tcPr>
          <w:p>
            <w:pPr>
              <w:jc w:val="right"/>
              <w:spacing w:after="0"/>
              <w:rPr>
                <w:sz w:val="20"/>
                <w:szCs w:val="20"/>
                <w:color w:val="auto"/>
              </w:rPr>
            </w:pPr>
            <w:r>
              <w:rPr>
                <w:rFonts w:ascii="Arial" w:cs="Arial" w:eastAsia="Arial" w:hAnsi="Arial"/>
                <w:sz w:val="16"/>
                <w:szCs w:val="16"/>
                <w:color w:val="auto"/>
              </w:rPr>
              <w:t>225.00%</w:t>
            </w:r>
          </w:p>
        </w:tc>
        <w:tc>
          <w:tcPr>
            <w:tcW w:w="860" w:type="dxa"/>
            <w:vAlign w:val="bottom"/>
            <w:gridSpan w:val="3"/>
          </w:tcPr>
          <w:p>
            <w:pPr>
              <w:jc w:val="right"/>
              <w:spacing w:after="0" w:line="276" w:lineRule="exact"/>
              <w:rPr>
                <w:sz w:val="20"/>
                <w:szCs w:val="20"/>
                <w:color w:val="auto"/>
              </w:rPr>
            </w:pPr>
            <w:r>
              <w:rPr>
                <w:rFonts w:ascii="Arial" w:cs="Arial" w:eastAsia="Arial" w:hAnsi="Arial"/>
                <w:sz w:val="16"/>
                <w:szCs w:val="16"/>
                <w:color w:val="auto"/>
              </w:rPr>
              <w:t>(Projected)</w:t>
            </w:r>
            <w:r>
              <w:rPr>
                <w:rFonts w:ascii="Arial" w:cs="Arial" w:eastAsia="Arial" w:hAnsi="Arial"/>
                <w:sz w:val="32"/>
                <w:szCs w:val="32"/>
                <w:color w:val="auto"/>
                <w:vertAlign w:val="subscript"/>
              </w:rPr>
              <w:t>​</w:t>
            </w:r>
          </w:p>
        </w:tc>
      </w:tr>
      <w:tr>
        <w:trPr>
          <w:trHeight w:val="20"/>
        </w:trPr>
        <w:tc>
          <w:tcPr>
            <w:tcW w:w="380" w:type="dxa"/>
            <w:vAlign w:val="bottom"/>
            <w:shd w:val="clear" w:color="auto" w:fill="4B5088"/>
          </w:tcPr>
          <w:p>
            <w:pPr>
              <w:spacing w:after="0" w:line="20" w:lineRule="exact"/>
              <w:rPr>
                <w:sz w:val="1"/>
                <w:szCs w:val="1"/>
                <w:color w:val="auto"/>
              </w:rPr>
            </w:pPr>
          </w:p>
        </w:tc>
        <w:tc>
          <w:tcPr>
            <w:tcW w:w="3280" w:type="dxa"/>
            <w:vAlign w:val="bottom"/>
            <w:shd w:val="clear" w:color="auto" w:fill="4B5088"/>
          </w:tcPr>
          <w:p>
            <w:pPr>
              <w:spacing w:after="0" w:line="20" w:lineRule="exact"/>
              <w:rPr>
                <w:sz w:val="1"/>
                <w:szCs w:val="1"/>
                <w:color w:val="auto"/>
              </w:rPr>
            </w:pPr>
          </w:p>
        </w:tc>
        <w:tc>
          <w:tcPr>
            <w:tcW w:w="180" w:type="dxa"/>
            <w:vAlign w:val="bottom"/>
            <w:tcBorders>
              <w:right w:val="single" w:sz="8" w:color="4B5088"/>
            </w:tcBorders>
          </w:tcPr>
          <w:p>
            <w:pPr>
              <w:spacing w:after="0" w:line="20" w:lineRule="exact"/>
              <w:rPr>
                <w:sz w:val="1"/>
                <w:szCs w:val="1"/>
                <w:color w:val="auto"/>
              </w:rPr>
            </w:pPr>
          </w:p>
        </w:tc>
        <w:tc>
          <w:tcPr>
            <w:tcW w:w="2200" w:type="dxa"/>
            <w:vAlign w:val="bottom"/>
            <w:gridSpan w:val="2"/>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2260" w:type="dxa"/>
            <w:vAlign w:val="bottom"/>
            <w:gridSpan w:val="2"/>
            <w:shd w:val="clear" w:color="auto" w:fill="4B5088"/>
          </w:tcPr>
          <w:p>
            <w:pPr>
              <w:spacing w:after="0" w:line="20" w:lineRule="exact"/>
              <w:rPr>
                <w:sz w:val="1"/>
                <w:szCs w:val="1"/>
                <w:color w:val="auto"/>
              </w:rPr>
            </w:pPr>
          </w:p>
        </w:tc>
        <w:tc>
          <w:tcPr>
            <w:tcW w:w="560" w:type="dxa"/>
            <w:vAlign w:val="bottom"/>
            <w:shd w:val="clear" w:color="auto" w:fill="4B50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380" w:type="dxa"/>
            <w:vAlign w:val="bottom"/>
          </w:tcPr>
          <w:p>
            <w:pPr>
              <w:spacing w:after="0"/>
              <w:rPr>
                <w:sz w:val="20"/>
                <w:szCs w:val="20"/>
                <w:color w:val="auto"/>
              </w:rPr>
            </w:pPr>
            <w:r>
              <w:rPr>
                <w:rFonts w:ascii="Arial" w:cs="Arial" w:eastAsia="Arial" w:hAnsi="Arial"/>
                <w:sz w:val="16"/>
                <w:szCs w:val="16"/>
                <w:color w:val="auto"/>
              </w:rPr>
              <w:t>2022</w:t>
            </w:r>
          </w:p>
        </w:tc>
        <w:tc>
          <w:tcPr>
            <w:tcW w:w="3280" w:type="dxa"/>
            <w:vAlign w:val="bottom"/>
          </w:tcPr>
          <w:p>
            <w:pPr>
              <w:ind w:left="20"/>
              <w:spacing w:after="0"/>
              <w:rPr>
                <w:sz w:val="20"/>
                <w:szCs w:val="20"/>
                <w:color w:val="auto"/>
              </w:rPr>
            </w:pPr>
            <w:r>
              <w:rPr>
                <w:rFonts w:ascii="Arial" w:cs="Arial" w:eastAsia="Arial" w:hAnsi="Arial"/>
                <w:sz w:val="16"/>
                <w:szCs w:val="16"/>
                <w:color w:val="auto"/>
              </w:rPr>
              <w:t>Relative TSR vs. Office REIT Peers</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2400" w:type="dxa"/>
            <w:vAlign w:val="bottom"/>
            <w:gridSpan w:val="4"/>
          </w:tcPr>
          <w:p>
            <w:pPr>
              <w:jc w:val="right"/>
              <w:ind w:right="40"/>
              <w:spacing w:after="0" w:line="276" w:lineRule="exact"/>
              <w:rPr>
                <w:sz w:val="20"/>
                <w:szCs w:val="20"/>
                <w:color w:val="auto"/>
              </w:rPr>
            </w:pPr>
            <w:r>
              <w:rPr>
                <w:rFonts w:ascii="Arial" w:cs="Arial" w:eastAsia="Arial" w:hAnsi="Arial"/>
                <w:sz w:val="16"/>
                <w:szCs w:val="16"/>
                <w:color w:val="auto"/>
              </w:rPr>
              <w:t xml:space="preserve">86th Percentile (Actual) </w:t>
            </w:r>
            <w:r>
              <w:rPr>
                <w:rFonts w:ascii="Arial" w:cs="Arial" w:eastAsia="Arial" w:hAnsi="Arial"/>
                <w:sz w:val="32"/>
                <w:szCs w:val="32"/>
                <w:color w:val="auto"/>
                <w:vertAlign w:val="subscript"/>
              </w:rPr>
              <w:t>​​</w:t>
            </w:r>
          </w:p>
        </w:tc>
        <w:tc>
          <w:tcPr>
            <w:tcW w:w="2260" w:type="dxa"/>
            <w:vAlign w:val="bottom"/>
            <w:gridSpan w:val="2"/>
          </w:tcPr>
          <w:p>
            <w:pPr>
              <w:jc w:val="right"/>
              <w:spacing w:after="0"/>
              <w:rPr>
                <w:sz w:val="20"/>
                <w:szCs w:val="20"/>
                <w:color w:val="auto"/>
              </w:rPr>
            </w:pPr>
            <w:r>
              <w:rPr>
                <w:rFonts w:ascii="Arial" w:cs="Arial" w:eastAsia="Arial" w:hAnsi="Arial"/>
                <w:sz w:val="16"/>
                <w:szCs w:val="16"/>
                <w:color w:val="auto"/>
              </w:rPr>
              <w:t>225.00%</w:t>
            </w:r>
          </w:p>
        </w:tc>
        <w:tc>
          <w:tcPr>
            <w:tcW w:w="620" w:type="dxa"/>
            <w:vAlign w:val="bottom"/>
            <w:gridSpan w:val="2"/>
          </w:tcPr>
          <w:p>
            <w:pPr>
              <w:jc w:val="right"/>
              <w:spacing w:after="0" w:line="276" w:lineRule="exact"/>
              <w:rPr>
                <w:sz w:val="20"/>
                <w:szCs w:val="20"/>
                <w:color w:val="auto"/>
              </w:rPr>
            </w:pPr>
            <w:r>
              <w:rPr>
                <w:rFonts w:ascii="Arial" w:cs="Arial" w:eastAsia="Arial" w:hAnsi="Arial"/>
                <w:sz w:val="16"/>
                <w:szCs w:val="16"/>
                <w:color w:val="auto"/>
              </w:rPr>
              <w:t>(Actual)</w:t>
            </w:r>
            <w:r>
              <w:rPr>
                <w:rFonts w:ascii="Arial" w:cs="Arial" w:eastAsia="Arial" w:hAnsi="Arial"/>
                <w:sz w:val="32"/>
                <w:szCs w:val="32"/>
                <w:color w:val="auto"/>
                <w:vertAlign w:val="subscript"/>
              </w:rPr>
              <w:t>​</w:t>
            </w:r>
          </w:p>
        </w:tc>
      </w:tr>
      <w:tr>
        <w:trPr>
          <w:trHeight w:val="20"/>
        </w:trPr>
        <w:tc>
          <w:tcPr>
            <w:tcW w:w="380" w:type="dxa"/>
            <w:vAlign w:val="bottom"/>
            <w:shd w:val="clear" w:color="auto" w:fill="4B5088"/>
          </w:tcPr>
          <w:p>
            <w:pPr>
              <w:spacing w:after="0" w:line="20" w:lineRule="exact"/>
              <w:rPr>
                <w:sz w:val="1"/>
                <w:szCs w:val="1"/>
                <w:color w:val="auto"/>
              </w:rPr>
            </w:pPr>
          </w:p>
        </w:tc>
        <w:tc>
          <w:tcPr>
            <w:tcW w:w="3280" w:type="dxa"/>
            <w:vAlign w:val="bottom"/>
            <w:shd w:val="clear" w:color="auto" w:fill="4B5088"/>
          </w:tcPr>
          <w:p>
            <w:pPr>
              <w:spacing w:after="0" w:line="20" w:lineRule="exact"/>
              <w:rPr>
                <w:sz w:val="1"/>
                <w:szCs w:val="1"/>
                <w:color w:val="auto"/>
              </w:rPr>
            </w:pPr>
          </w:p>
        </w:tc>
        <w:tc>
          <w:tcPr>
            <w:tcW w:w="180" w:type="dxa"/>
            <w:vAlign w:val="bottom"/>
            <w:tcBorders>
              <w:right w:val="single" w:sz="8" w:color="4B5088"/>
            </w:tcBorders>
          </w:tcPr>
          <w:p>
            <w:pPr>
              <w:spacing w:after="0" w:line="20" w:lineRule="exact"/>
              <w:rPr>
                <w:sz w:val="1"/>
                <w:szCs w:val="1"/>
                <w:color w:val="auto"/>
              </w:rPr>
            </w:pPr>
          </w:p>
        </w:tc>
        <w:tc>
          <w:tcPr>
            <w:tcW w:w="2200" w:type="dxa"/>
            <w:vAlign w:val="bottom"/>
            <w:gridSpan w:val="2"/>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2260" w:type="dxa"/>
            <w:vAlign w:val="bottom"/>
            <w:gridSpan w:val="2"/>
            <w:shd w:val="clear" w:color="auto" w:fill="4B5088"/>
          </w:tcPr>
          <w:p>
            <w:pPr>
              <w:spacing w:after="0" w:line="20" w:lineRule="exact"/>
              <w:rPr>
                <w:sz w:val="1"/>
                <w:szCs w:val="1"/>
                <w:color w:val="auto"/>
              </w:rPr>
            </w:pPr>
          </w:p>
        </w:tc>
        <w:tc>
          <w:tcPr>
            <w:tcW w:w="560" w:type="dxa"/>
            <w:vAlign w:val="bottom"/>
            <w:shd w:val="clear" w:color="auto" w:fill="4B50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380" w:type="dxa"/>
            <w:vAlign w:val="bottom"/>
          </w:tcPr>
          <w:p>
            <w:pPr>
              <w:spacing w:after="0"/>
              <w:rPr>
                <w:sz w:val="20"/>
                <w:szCs w:val="20"/>
                <w:color w:val="auto"/>
              </w:rPr>
            </w:pPr>
            <w:r>
              <w:rPr>
                <w:rFonts w:ascii="Arial" w:cs="Arial" w:eastAsia="Arial" w:hAnsi="Arial"/>
                <w:sz w:val="16"/>
                <w:szCs w:val="16"/>
                <w:color w:val="auto"/>
              </w:rPr>
              <w:t>2022</w:t>
            </w:r>
          </w:p>
        </w:tc>
        <w:tc>
          <w:tcPr>
            <w:tcW w:w="3280" w:type="dxa"/>
            <w:vAlign w:val="bottom"/>
          </w:tcPr>
          <w:p>
            <w:pPr>
              <w:ind w:left="20"/>
              <w:spacing w:after="0"/>
              <w:rPr>
                <w:sz w:val="20"/>
                <w:szCs w:val="20"/>
                <w:color w:val="auto"/>
              </w:rPr>
            </w:pPr>
            <w:r>
              <w:rPr>
                <w:rFonts w:ascii="Arial" w:cs="Arial" w:eastAsia="Arial" w:hAnsi="Arial"/>
                <w:sz w:val="16"/>
                <w:szCs w:val="16"/>
                <w:color w:val="auto"/>
              </w:rPr>
              <w:t>Relative TSR vs. NYC REIT Peers</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2400" w:type="dxa"/>
            <w:vAlign w:val="bottom"/>
            <w:gridSpan w:val="4"/>
          </w:tcPr>
          <w:p>
            <w:pPr>
              <w:jc w:val="right"/>
              <w:ind w:right="40"/>
              <w:spacing w:after="0" w:line="276" w:lineRule="exact"/>
              <w:rPr>
                <w:sz w:val="20"/>
                <w:szCs w:val="20"/>
                <w:color w:val="auto"/>
              </w:rPr>
            </w:pPr>
            <w:r>
              <w:rPr>
                <w:rFonts w:ascii="Arial" w:cs="Arial" w:eastAsia="Arial" w:hAnsi="Arial"/>
                <w:sz w:val="16"/>
                <w:szCs w:val="16"/>
                <w:color w:val="auto"/>
              </w:rPr>
              <w:t xml:space="preserve">75th Percentile (Actual) </w:t>
            </w:r>
            <w:r>
              <w:rPr>
                <w:rFonts w:ascii="Arial" w:cs="Arial" w:eastAsia="Arial" w:hAnsi="Arial"/>
                <w:sz w:val="32"/>
                <w:szCs w:val="32"/>
                <w:color w:val="auto"/>
                <w:vertAlign w:val="subscript"/>
              </w:rPr>
              <w:t>​​</w:t>
            </w:r>
          </w:p>
        </w:tc>
        <w:tc>
          <w:tcPr>
            <w:tcW w:w="2260" w:type="dxa"/>
            <w:vAlign w:val="bottom"/>
            <w:gridSpan w:val="2"/>
          </w:tcPr>
          <w:p>
            <w:pPr>
              <w:jc w:val="right"/>
              <w:spacing w:after="0"/>
              <w:rPr>
                <w:sz w:val="20"/>
                <w:szCs w:val="20"/>
                <w:color w:val="auto"/>
              </w:rPr>
            </w:pPr>
            <w:r>
              <w:rPr>
                <w:rFonts w:ascii="Arial" w:cs="Arial" w:eastAsia="Arial" w:hAnsi="Arial"/>
                <w:sz w:val="16"/>
                <w:szCs w:val="16"/>
                <w:color w:val="auto"/>
              </w:rPr>
              <w:t>225.00%</w:t>
            </w:r>
          </w:p>
        </w:tc>
        <w:tc>
          <w:tcPr>
            <w:tcW w:w="620" w:type="dxa"/>
            <w:vAlign w:val="bottom"/>
            <w:gridSpan w:val="2"/>
          </w:tcPr>
          <w:p>
            <w:pPr>
              <w:jc w:val="right"/>
              <w:spacing w:after="0" w:line="276" w:lineRule="exact"/>
              <w:rPr>
                <w:sz w:val="20"/>
                <w:szCs w:val="20"/>
                <w:color w:val="auto"/>
              </w:rPr>
            </w:pPr>
            <w:r>
              <w:rPr>
                <w:rFonts w:ascii="Arial" w:cs="Arial" w:eastAsia="Arial" w:hAnsi="Arial"/>
                <w:sz w:val="16"/>
                <w:szCs w:val="16"/>
                <w:color w:val="auto"/>
              </w:rPr>
              <w:t>(Actual)</w:t>
            </w:r>
            <w:r>
              <w:rPr>
                <w:rFonts w:ascii="Arial" w:cs="Arial" w:eastAsia="Arial" w:hAnsi="Arial"/>
                <w:sz w:val="32"/>
                <w:szCs w:val="32"/>
                <w:color w:val="auto"/>
                <w:vertAlign w:val="subscript"/>
              </w:rPr>
              <w:t>​</w:t>
            </w:r>
          </w:p>
        </w:tc>
      </w:tr>
      <w:tr>
        <w:trPr>
          <w:trHeight w:val="20"/>
        </w:trPr>
        <w:tc>
          <w:tcPr>
            <w:tcW w:w="380" w:type="dxa"/>
            <w:vAlign w:val="bottom"/>
            <w:shd w:val="clear" w:color="auto" w:fill="1F2668"/>
          </w:tcPr>
          <w:p>
            <w:pPr>
              <w:spacing w:after="0" w:line="20" w:lineRule="exact"/>
              <w:rPr>
                <w:sz w:val="1"/>
                <w:szCs w:val="1"/>
                <w:color w:val="auto"/>
              </w:rPr>
            </w:pPr>
          </w:p>
        </w:tc>
        <w:tc>
          <w:tcPr>
            <w:tcW w:w="3280" w:type="dxa"/>
            <w:vAlign w:val="bottom"/>
            <w:shd w:val="clear" w:color="auto" w:fill="1F2668"/>
          </w:tcPr>
          <w:p>
            <w:pPr>
              <w:spacing w:after="0" w:line="20" w:lineRule="exact"/>
              <w:rPr>
                <w:sz w:val="1"/>
                <w:szCs w:val="1"/>
                <w:color w:val="auto"/>
              </w:rPr>
            </w:pPr>
          </w:p>
        </w:tc>
        <w:tc>
          <w:tcPr>
            <w:tcW w:w="180" w:type="dxa"/>
            <w:vAlign w:val="bottom"/>
            <w:tcBorders>
              <w:right w:val="single" w:sz="8" w:color="1F2668"/>
            </w:tcBorders>
          </w:tcPr>
          <w:p>
            <w:pPr>
              <w:spacing w:after="0" w:line="20" w:lineRule="exact"/>
              <w:rPr>
                <w:sz w:val="1"/>
                <w:szCs w:val="1"/>
                <w:color w:val="auto"/>
              </w:rPr>
            </w:pPr>
          </w:p>
        </w:tc>
        <w:tc>
          <w:tcPr>
            <w:tcW w:w="1620" w:type="dxa"/>
            <w:vAlign w:val="bottom"/>
            <w:shd w:val="clear" w:color="auto" w:fill="1F2668"/>
          </w:tcPr>
          <w:p>
            <w:pPr>
              <w:spacing w:after="0" w:line="20" w:lineRule="exact"/>
              <w:rPr>
                <w:sz w:val="1"/>
                <w:szCs w:val="1"/>
                <w:color w:val="auto"/>
              </w:rPr>
            </w:pPr>
          </w:p>
        </w:tc>
        <w:tc>
          <w:tcPr>
            <w:tcW w:w="580" w:type="dxa"/>
            <w:vAlign w:val="bottom"/>
            <w:shd w:val="clear" w:color="auto" w:fill="1F266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1F2668"/>
          </w:tcPr>
          <w:p>
            <w:pPr>
              <w:spacing w:after="0" w:line="20" w:lineRule="exact"/>
              <w:rPr>
                <w:sz w:val="1"/>
                <w:szCs w:val="1"/>
                <w:color w:val="auto"/>
              </w:rPr>
            </w:pPr>
          </w:p>
        </w:tc>
        <w:tc>
          <w:tcPr>
            <w:tcW w:w="2020" w:type="dxa"/>
            <w:vAlign w:val="bottom"/>
            <w:shd w:val="clear" w:color="auto" w:fill="1F2668"/>
          </w:tcPr>
          <w:p>
            <w:pPr>
              <w:spacing w:after="0" w:line="20" w:lineRule="exact"/>
              <w:rPr>
                <w:sz w:val="1"/>
                <w:szCs w:val="1"/>
                <w:color w:val="auto"/>
              </w:rPr>
            </w:pPr>
          </w:p>
        </w:tc>
        <w:tc>
          <w:tcPr>
            <w:tcW w:w="240" w:type="dxa"/>
            <w:vAlign w:val="bottom"/>
            <w:shd w:val="clear" w:color="auto" w:fill="1F2668"/>
          </w:tcPr>
          <w:p>
            <w:pPr>
              <w:spacing w:after="0" w:line="20" w:lineRule="exact"/>
              <w:rPr>
                <w:sz w:val="1"/>
                <w:szCs w:val="1"/>
                <w:color w:val="auto"/>
              </w:rPr>
            </w:pPr>
          </w:p>
        </w:tc>
        <w:tc>
          <w:tcPr>
            <w:tcW w:w="560" w:type="dxa"/>
            <w:vAlign w:val="bottom"/>
            <w:shd w:val="clear" w:color="auto" w:fill="1F266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820" w:right="60"/>
        <w:spacing w:after="0" w:line="292" w:lineRule="auto"/>
        <w:rPr>
          <w:sz w:val="20"/>
          <w:szCs w:val="20"/>
          <w:color w:val="auto"/>
        </w:rPr>
      </w:pPr>
      <w:r>
        <w:rPr>
          <w:rFonts w:ascii="Arial" w:cs="Arial" w:eastAsia="Arial" w:hAnsi="Arial"/>
          <w:sz w:val="16"/>
          <w:szCs w:val="16"/>
          <w:color w:val="auto"/>
        </w:rPr>
        <w:t>Our 2023 and 2022 annual performance-based equity awards generally have the same structure as the 2024 performance-based equity awards described above in “—Compensation Discussion and Analysis—Our 2024 Executive Compensation Program.” The 2023 and 2022 awards are described in full in our proxy statements relating to our 2023 and 2022 fiscal years.</w:t>
      </w:r>
    </w:p>
    <w:p>
      <w:pPr>
        <w:spacing w:after="0" w:line="98" w:lineRule="exact"/>
        <w:rPr>
          <w:sz w:val="20"/>
          <w:szCs w:val="20"/>
          <w:color w:val="auto"/>
        </w:rPr>
      </w:pPr>
    </w:p>
    <w:p>
      <w:pPr>
        <w:ind w:left="820" w:right="480"/>
        <w:spacing w:after="0" w:line="292" w:lineRule="auto"/>
        <w:rPr>
          <w:sz w:val="20"/>
          <w:szCs w:val="20"/>
          <w:color w:val="auto"/>
        </w:rPr>
      </w:pPr>
      <w:r>
        <w:rPr>
          <w:rFonts w:ascii="Arial" w:cs="Arial" w:eastAsia="Arial" w:hAnsi="Arial"/>
          <w:sz w:val="16"/>
          <w:szCs w:val="16"/>
          <w:color w:val="auto"/>
        </w:rPr>
        <w:t>For additional information regarding the number of LTIP units relating to each of our outstanding annual performance-based equity awards held by each of our named executive officers, see “—Executive Compensation Tables—Outstanding Equity Awards at Fiscal Year End 2024.”</w:t>
      </w:r>
    </w:p>
    <w:p>
      <w:pPr>
        <w:spacing w:after="0" w:line="156"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83AD40"/>
        </w:rPr>
        <w:t>Perquisites and Other Personal Benefits</w:t>
      </w:r>
    </w:p>
    <w:p>
      <w:pPr>
        <w:spacing w:after="0" w:line="117" w:lineRule="exact"/>
        <w:rPr>
          <w:sz w:val="20"/>
          <w:szCs w:val="20"/>
          <w:color w:val="auto"/>
        </w:rPr>
      </w:pPr>
    </w:p>
    <w:p>
      <w:pPr>
        <w:ind w:left="820" w:right="120"/>
        <w:spacing w:after="0" w:line="282" w:lineRule="auto"/>
        <w:rPr>
          <w:sz w:val="20"/>
          <w:szCs w:val="20"/>
          <w:color w:val="auto"/>
        </w:rPr>
      </w:pPr>
      <w:r>
        <w:rPr>
          <w:rFonts w:ascii="Arial" w:cs="Arial" w:eastAsia="Arial" w:hAnsi="Arial"/>
          <w:sz w:val="16"/>
          <w:szCs w:val="16"/>
          <w:color w:val="auto"/>
        </w:rPr>
        <w:t>Our Chief Executive Officer receives certain life insurance benefits and, beginning in 2025, will also be eligible to receive certain home security services and other personal security services related to carrying out his duties in line with similar benefits provided to other chief executive officers. We do not provide any other significant perquisites or personal benefits to our named executive officers. Effective January 1, 2023, we discontinued all automobile perquisites for our named executive officers. The costs of these benefits constituted less than one percent of the applicable executive’s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55880</wp:posOffset>
            </wp:positionV>
            <wp:extent cx="6831965"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5100" w:type="dxa"/>
            <w:vAlign w:val="bottom"/>
          </w:tcPr>
          <w:p>
            <w:pPr>
              <w:spacing w:after="0"/>
              <w:rPr>
                <w:sz w:val="20"/>
                <w:szCs w:val="20"/>
                <w:color w:val="auto"/>
              </w:rPr>
            </w:pPr>
            <w:r>
              <w:rPr>
                <w:rFonts w:ascii="Arial" w:cs="Arial" w:eastAsia="Arial" w:hAnsi="Arial"/>
                <w:sz w:val="14"/>
                <w:szCs w:val="14"/>
                <w:b w:val="1"/>
                <w:bCs w:val="1"/>
                <w:color w:val="auto"/>
              </w:rPr>
              <w:t>​</w:t>
            </w:r>
          </w:p>
        </w:tc>
        <w:tc>
          <w:tcPr>
            <w:tcW w:w="3480" w:type="dxa"/>
            <w:vAlign w:val="bottom"/>
          </w:tcPr>
          <w:p>
            <w:pPr>
              <w:ind w:left="3100"/>
              <w:spacing w:after="0"/>
              <w:rPr>
                <w:sz w:val="20"/>
                <w:szCs w:val="20"/>
                <w:color w:val="auto"/>
              </w:rPr>
            </w:pPr>
            <w:r>
              <w:rPr>
                <w:rFonts w:ascii="Arial" w:cs="Arial" w:eastAsia="Arial" w:hAnsi="Arial"/>
                <w:sz w:val="14"/>
                <w:szCs w:val="14"/>
                <w:b w:val="1"/>
                <w:bCs w:val="1"/>
                <w:color w:val="auto"/>
              </w:rPr>
              <w:t>​ ​</w:t>
            </w:r>
          </w:p>
        </w:tc>
        <w:tc>
          <w:tcPr>
            <w:tcW w:w="480" w:type="dxa"/>
            <w:vAlign w:val="bottom"/>
            <w:vMerge w:val="restart"/>
          </w:tcPr>
          <w:p>
            <w:pPr>
              <w:jc w:val="right"/>
              <w:spacing w:after="0"/>
              <w:rPr>
                <w:sz w:val="20"/>
                <w:szCs w:val="20"/>
                <w:color w:val="auto"/>
              </w:rPr>
            </w:pPr>
            <w:r>
              <w:rPr>
                <w:rFonts w:ascii="Arial" w:cs="Arial" w:eastAsia="Arial" w:hAnsi="Arial"/>
                <w:sz w:val="22"/>
                <w:szCs w:val="22"/>
                <w:b w:val="1"/>
                <w:bCs w:val="1"/>
                <w:color w:val="1F2668"/>
              </w:rPr>
              <w:t>65</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5100" w:type="dxa"/>
            <w:vAlign w:val="bottom"/>
          </w:tcPr>
          <w:p>
            <w:pPr>
              <w:spacing w:after="0"/>
              <w:rPr>
                <w:sz w:val="20"/>
                <w:szCs w:val="20"/>
                <w:color w:val="auto"/>
              </w:rPr>
            </w:pPr>
            <w:r>
              <w:rPr>
                <w:rFonts w:ascii="Arial" w:cs="Arial" w:eastAsia="Arial" w:hAnsi="Arial"/>
                <w:sz w:val="14"/>
                <w:szCs w:val="14"/>
                <w:b w:val="1"/>
                <w:bCs w:val="1"/>
                <w:color w:val="auto"/>
              </w:rPr>
              <w:t>EXECUTIVE COMPENSATION</w:t>
            </w:r>
          </w:p>
        </w:tc>
        <w:tc>
          <w:tcPr>
            <w:tcW w:w="348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83AD40"/>
        </w:rPr>
        <w:t>Employment Agreements</w:t>
      </w:r>
    </w:p>
    <w:p>
      <w:pPr>
        <w:spacing w:after="0" w:line="131" w:lineRule="exact"/>
        <w:rPr>
          <w:sz w:val="20"/>
          <w:szCs w:val="20"/>
          <w:color w:val="auto"/>
        </w:rPr>
      </w:pPr>
    </w:p>
    <w:p>
      <w:pPr>
        <w:ind w:left="820" w:right="40"/>
        <w:spacing w:after="0" w:line="273" w:lineRule="auto"/>
        <w:rPr>
          <w:sz w:val="20"/>
          <w:szCs w:val="20"/>
          <w:color w:val="auto"/>
        </w:rPr>
      </w:pPr>
      <w:r>
        <w:rPr>
          <w:rFonts w:ascii="Arial" w:cs="Arial" w:eastAsia="Arial" w:hAnsi="Arial"/>
          <w:sz w:val="16"/>
          <w:szCs w:val="16"/>
          <w:color w:val="auto"/>
        </w:rPr>
        <w:t>As noted above, we had employment agreements with each of our named executive officers during 2024. Each of the employment agreements with our named executive officers provide for, among other things, severance payments and benefits and acceleration of equity awards in connection with certain qualified terminations. In return, each of our named executive officers has agreed to non-compete, non-solicitation, non-interference and confidentiality provisions. For each of our executives, we believe that, because the severance level is negotiated up front, it makes it easier for us to terminate these executives without the need for protracted negotiations over severance. We also believe that providing pre-negotiated severance benefits for all of our executives in the event they are terminated without cause or terminate their employment for good reason following a change in control helps to further align the interests of our executives and our stockholders in the event of a potentially attractive proposed change-in-control transaction following which one or more of our executives may be expected to be terminated. See “—Executive Compensation Tables—Potential Payments Upon Termination or Change in Control” for a summary of the employment agreements with our named executive officers.</w:t>
      </w:r>
    </w:p>
    <w:p>
      <w:pPr>
        <w:spacing w:after="0" w:line="172"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83AD40"/>
        </w:rPr>
        <w:t>Compensation Recovery Policy</w:t>
      </w:r>
    </w:p>
    <w:p>
      <w:pPr>
        <w:spacing w:after="0" w:line="131" w:lineRule="exact"/>
        <w:rPr>
          <w:sz w:val="20"/>
          <w:szCs w:val="20"/>
          <w:color w:val="auto"/>
        </w:rPr>
      </w:pPr>
    </w:p>
    <w:p>
      <w:pPr>
        <w:ind w:left="820" w:right="100"/>
        <w:spacing w:after="0" w:line="273" w:lineRule="auto"/>
        <w:rPr>
          <w:sz w:val="20"/>
          <w:szCs w:val="20"/>
          <w:color w:val="auto"/>
        </w:rPr>
      </w:pPr>
      <w:r>
        <w:rPr>
          <w:rFonts w:ascii="Arial" w:cs="Arial" w:eastAsia="Arial" w:hAnsi="Arial"/>
          <w:sz w:val="16"/>
          <w:szCs w:val="16"/>
          <w:color w:val="auto"/>
        </w:rPr>
        <w:t>In 2023 the Board adopted a clawback policy, referred to as the Compensation Recovery Policy, that complies with Rule 10D-1 under the Exchange Act, adopted by the SEC in October 2022. The clawback policy, effective as of October 2, 2023, requires recovery from executive officers of incentive-based compensation that is earned, granted or vested based on the achievement of a financial reporting measure in the event of a required restatement of previously issued financial statements. The recoverable compensation includes any compensation received after the effective date of the clawback policy and in the three-year fiscal period preceding the date the Company was required to prepare the restatement that is in excess of the amount that would have been received had it been calculated based on the restated financial statements. Recovery is required regardless of fault or a covered officer’s role in the financial reporting process. The clawback policy has been filed as an exhibit to our Annual Report on Form 10-K for the fiscal year ended December 31, 2023.</w:t>
      </w:r>
    </w:p>
    <w:p>
      <w:pPr>
        <w:spacing w:after="0" w:line="186"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83AD40"/>
        </w:rPr>
        <w:t>Insider Trading Policy; Anti-hedging Policy</w:t>
      </w:r>
    </w:p>
    <w:p>
      <w:pPr>
        <w:spacing w:after="0" w:line="131" w:lineRule="exact"/>
        <w:rPr>
          <w:sz w:val="20"/>
          <w:szCs w:val="20"/>
          <w:color w:val="auto"/>
        </w:rPr>
      </w:pPr>
    </w:p>
    <w:p>
      <w:pPr>
        <w:ind w:left="820" w:right="60"/>
        <w:spacing w:after="0" w:line="315" w:lineRule="auto"/>
        <w:rPr>
          <w:sz w:val="20"/>
          <w:szCs w:val="20"/>
          <w:color w:val="auto"/>
        </w:rPr>
      </w:pPr>
      <w:r>
        <w:rPr>
          <w:rFonts w:ascii="Arial" w:cs="Arial" w:eastAsia="Arial" w:hAnsi="Arial"/>
          <w:sz w:val="15"/>
          <w:szCs w:val="15"/>
          <w:color w:val="auto"/>
        </w:rPr>
        <w:t>The Board has adopted an insider trading policy governing the purchase, sale and other dispositions of our securities that applies to all of our directors, officers, employees and other covered persons. We believe that our insider trading policy is reasonably designed to promote compliance with insider trading laws, rules and regulations and listing standards applicable to us. It is also Company policy to comply with applicable securities laws concerning trading on the Company’s behalf in our securities. A copy of our insider trading policy is filed as an exhibit to our Annual Report on Form 10-K for the fiscal year ended December 31, 2024.</w:t>
      </w:r>
    </w:p>
    <w:p>
      <w:pPr>
        <w:spacing w:after="0" w:line="97" w:lineRule="exact"/>
        <w:rPr>
          <w:sz w:val="20"/>
          <w:szCs w:val="20"/>
          <w:color w:val="auto"/>
        </w:rPr>
      </w:pPr>
    </w:p>
    <w:p>
      <w:pPr>
        <w:ind w:left="820" w:right="180"/>
        <w:spacing w:after="0" w:line="295" w:lineRule="auto"/>
        <w:rPr>
          <w:sz w:val="20"/>
          <w:szCs w:val="20"/>
          <w:color w:val="auto"/>
        </w:rPr>
      </w:pPr>
      <w:r>
        <w:rPr>
          <w:rFonts w:ascii="Arial" w:cs="Arial" w:eastAsia="Arial" w:hAnsi="Arial"/>
          <w:sz w:val="16"/>
          <w:szCs w:val="16"/>
          <w:color w:val="auto"/>
        </w:rPr>
        <w:t>The insider trading policy prohibits the individuals subject to the policy, including our employees, officers and directors from engaging (directly or indirectly) in hedging transactions, or otherwise engaging in transactions that hedge or offset, or are designed to hedge or offset, any decrease in the market value of Company securities. Hedging transactions include (but are not limited to) collars, equity swaps, exchange funds and prepaid variable forward sale contracts.</w:t>
      </w:r>
    </w:p>
    <w:p>
      <w:pPr>
        <w:spacing w:after="0" w:line="152"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83AD40"/>
        </w:rPr>
        <w:t>Other Matters—LTIP Units and Class O LTIP Units</w:t>
      </w:r>
    </w:p>
    <w:p>
      <w:pPr>
        <w:spacing w:after="0" w:line="131" w:lineRule="exact"/>
        <w:rPr>
          <w:sz w:val="20"/>
          <w:szCs w:val="20"/>
          <w:color w:val="auto"/>
        </w:rPr>
      </w:pPr>
    </w:p>
    <w:p>
      <w:pPr>
        <w:ind w:left="820" w:right="40"/>
        <w:spacing w:after="0" w:line="300" w:lineRule="auto"/>
        <w:rPr>
          <w:sz w:val="20"/>
          <w:szCs w:val="20"/>
          <w:color w:val="auto"/>
        </w:rPr>
      </w:pPr>
      <w:r>
        <w:rPr>
          <w:rFonts w:ascii="Arial" w:cs="Arial" w:eastAsia="Arial" w:hAnsi="Arial"/>
          <w:sz w:val="15"/>
          <w:szCs w:val="15"/>
          <w:color w:val="auto"/>
        </w:rPr>
        <w:t>We issued a separate class of units of limited partnership interest in our operating partnership, which we refer to as LTIP units, for the equity bonuses that we granted to our named executive officers for 2024 and as equity awards granted in connection with new or extended employment agreements or the provisions of such agreements. LTIP units are similar to common units in our operating partnership, which generally are economically equivalent to shares of our common stock, except that the LTIP units are structured as “profits interests” for U.S. federal income tax purposes under current federal income tax law. As profits interests, LTIP units generally only have value, other than with respect to the right to receive distributions, if the value of the assets of our operating partnership increases between the issuance of LTIP units and the date of a book-up event for partnership tax purposes. If the value of the assets of our operating partnership increases sufficiently, the LTIP units can achieve full parity with</w:t>
      </w:r>
    </w:p>
    <w:p>
      <w:pPr>
        <w:spacing w:after="0" w:line="3" w:lineRule="exact"/>
        <w:rPr>
          <w:sz w:val="20"/>
          <w:szCs w:val="20"/>
          <w:color w:val="auto"/>
        </w:rPr>
      </w:pPr>
    </w:p>
    <w:p>
      <w:pPr>
        <w:jc w:val="both"/>
        <w:ind w:left="820" w:right="140"/>
        <w:spacing w:after="0" w:line="289" w:lineRule="auto"/>
        <w:rPr>
          <w:sz w:val="20"/>
          <w:szCs w:val="20"/>
          <w:color w:val="auto"/>
        </w:rPr>
      </w:pPr>
      <w:r>
        <w:rPr>
          <w:rFonts w:ascii="Arial" w:cs="Arial" w:eastAsia="Arial" w:hAnsi="Arial"/>
          <w:sz w:val="16"/>
          <w:szCs w:val="16"/>
          <w:color w:val="auto"/>
        </w:rPr>
        <w:t>common units in our operating partnership. If such parity is achieved, LTIP units may be converted, subject to the satisfaction of applicable vesting conditions, on a one-for-one basis into common units, which in turn are redeemable by the holder for cash or, at our election, on a one-for-one basis into shares of our common stock. LTIP units are not entitled to distributions prior to being earned based on achievement against the performance-based hurdles contained in these plans. Once earned, these LTIP units, whether vested or unvested, entitle the holder to receive distributions per unit from our operating partnership that are equivalent to the dividends paid per share on our common stock.</w:t>
      </w:r>
    </w:p>
    <w:p>
      <w:pPr>
        <w:spacing w:after="0" w:line="115" w:lineRule="exact"/>
        <w:rPr>
          <w:sz w:val="20"/>
          <w:szCs w:val="20"/>
          <w:color w:val="auto"/>
        </w:rPr>
      </w:pPr>
    </w:p>
    <w:p>
      <w:pPr>
        <w:ind w:left="820" w:right="400"/>
        <w:spacing w:after="0" w:line="359" w:lineRule="auto"/>
        <w:rPr>
          <w:sz w:val="20"/>
          <w:szCs w:val="20"/>
          <w:color w:val="auto"/>
        </w:rPr>
      </w:pPr>
      <w:r>
        <w:rPr>
          <w:rFonts w:ascii="Arial" w:cs="Arial" w:eastAsia="Arial" w:hAnsi="Arial"/>
          <w:sz w:val="15"/>
          <w:szCs w:val="15"/>
          <w:color w:val="auto"/>
        </w:rPr>
        <w:t>In addition to the LTIP units described above that we issued in lieu of shares of restricted stock, we also have issued another class of units of limited partnership interest in our operating partnership that are intended to be similar to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20320</wp:posOffset>
            </wp:positionV>
            <wp:extent cx="6831965"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78" w:lineRule="exact"/>
        <w:rPr>
          <w:sz w:val="20"/>
          <w:szCs w:val="20"/>
          <w:color w:val="auto"/>
        </w:rPr>
      </w:pPr>
    </w:p>
    <w:p>
      <w:pPr>
        <w:ind w:left="820"/>
        <w:spacing w:after="0"/>
        <w:tabs>
          <w:tab w:leader="none" w:pos="1440" w:val="left"/>
          <w:tab w:leader="none" w:pos="9860" w:val="left"/>
        </w:tabs>
        <w:rPr>
          <w:sz w:val="20"/>
          <w:szCs w:val="20"/>
          <w:color w:val="auto"/>
        </w:rPr>
      </w:pPr>
      <w:r>
        <w:rPr>
          <w:rFonts w:ascii="Arial" w:cs="Arial" w:eastAsia="Arial" w:hAnsi="Arial"/>
          <w:sz w:val="22"/>
          <w:szCs w:val="22"/>
          <w:b w:val="1"/>
          <w:bCs w:val="1"/>
          <w:color w:val="1F2668"/>
        </w:rPr>
        <w:t>​66</w:t>
      </w:r>
      <w:r>
        <w:rPr>
          <w:sz w:val="20"/>
          <w:szCs w:val="20"/>
          <w:color w:val="auto"/>
        </w:rPr>
        <w:tab/>
      </w:r>
      <w:r>
        <w:rPr>
          <w:rFonts w:ascii="Arial" w:cs="Arial" w:eastAsia="Arial" w:hAnsi="Arial"/>
          <w:sz w:val="22"/>
          <w:szCs w:val="22"/>
          <w:b w:val="1"/>
          <w:bCs w:val="1"/>
          <w:color w:val="1F2668"/>
        </w:rPr>
        <w:t xml:space="preserve">​ ​ </w:t>
      </w:r>
      <w:r>
        <w:rPr>
          <w:rFonts w:ascii="Arial" w:cs="Arial" w:eastAsia="Arial" w:hAnsi="Arial"/>
          <w:sz w:val="14"/>
          <w:szCs w:val="14"/>
          <w:b w:val="1"/>
          <w:bCs w:val="1"/>
          <w:color w:val="1F2668"/>
        </w:rPr>
        <w:t>SL GREEN REALTY CORP. 2025 PROXY STATEMENT</w:t>
      </w:r>
      <w:r>
        <w:rPr>
          <w:sz w:val="20"/>
          <w:szCs w:val="20"/>
          <w:color w:val="auto"/>
        </w:rPr>
        <w:tab/>
      </w:r>
      <w:r>
        <w:rPr>
          <w:rFonts w:ascii="Arial" w:cs="Arial" w:eastAsia="Arial" w:hAnsi="Arial"/>
          <w:sz w:val="22"/>
          <w:szCs w:val="22"/>
          <w:b w:val="1"/>
          <w:bCs w:val="1"/>
          <w:color w:val="1F2668"/>
        </w:rPr>
        <w:t>​</w:t>
      </w:r>
    </w:p>
    <w:p>
      <w:pPr>
        <w:spacing w:after="0" w:line="200" w:lineRule="exact"/>
        <w:rPr>
          <w:sz w:val="20"/>
          <w:szCs w:val="20"/>
          <w:color w:val="auto"/>
        </w:rPr>
      </w:pPr>
    </w:p>
    <w:p>
      <w:pPr>
        <w:spacing w:after="0" w:line="304" w:lineRule="exact"/>
        <w:rPr>
          <w:sz w:val="20"/>
          <w:szCs w:val="20"/>
          <w:color w:val="auto"/>
        </w:rPr>
      </w:pPr>
    </w:p>
    <w:p>
      <w:pPr>
        <w:ind w:left="820" w:right="880"/>
        <w:spacing w:after="0" w:line="301" w:lineRule="auto"/>
        <w:rPr>
          <w:sz w:val="20"/>
          <w:szCs w:val="20"/>
          <w:color w:val="auto"/>
        </w:rPr>
      </w:pPr>
      <w:r>
        <w:rPr>
          <w:rFonts w:ascii="Arial" w:cs="Arial" w:eastAsia="Arial" w:hAnsi="Arial"/>
          <w:sz w:val="16"/>
          <w:szCs w:val="16"/>
          <w:color w:val="auto"/>
        </w:rPr>
        <w:t>from an economic perspective, which we refer to as Class O LTIP units. Class O LTIP units are also intended to qualify as “profits interests” for U.S. federal income tax purposes. During 2024, we issued performance-based Class O LTIP units in connection with our CEO’s new employment agreement.</w:t>
      </w:r>
    </w:p>
    <w:p>
      <w:pPr>
        <w:spacing w:after="0" w:line="104" w:lineRule="exact"/>
        <w:rPr>
          <w:sz w:val="20"/>
          <w:szCs w:val="20"/>
          <w:color w:val="auto"/>
        </w:rPr>
      </w:pPr>
    </w:p>
    <w:p>
      <w:pPr>
        <w:ind w:left="820" w:right="840"/>
        <w:spacing w:after="0" w:line="286" w:lineRule="auto"/>
        <w:rPr>
          <w:sz w:val="20"/>
          <w:szCs w:val="20"/>
          <w:color w:val="auto"/>
        </w:rPr>
      </w:pPr>
      <w:r>
        <w:rPr>
          <w:rFonts w:ascii="Arial" w:cs="Arial" w:eastAsia="Arial" w:hAnsi="Arial"/>
          <w:sz w:val="16"/>
          <w:szCs w:val="16"/>
          <w:color w:val="auto"/>
        </w:rPr>
        <w:t>Like stock options, Class O LTIP units operate in a manner that generally permits holders to realize the benefit of any increase in the per share value of our common stock above the value at the time the Class O LTIP units are granted. At the time of the grant of Class O LTIP units, the operating partnership establishes a conversion threshold, the vesting terms and the mandatory conversion date, if any, for the Class O LTIP units. The conversion threshold corresponds to the exercise price of a stock option while the mandatory conversion date corresponds to the expiration date of a stock option. Similar to the exercise price for stock options, the conversion threshold will equal the per unit value of the common units of our operating partnership on the grant date. Class O LTIP units will receive 10% distributions relating to periods between grant and vesting upon vesting, and will receive 10% distributions from vesting to their conversion as opposed to holders of non-qualified stock options who will not receive any distributions relating to periods between grant and exercise.</w:t>
      </w:r>
    </w:p>
    <w:p>
      <w:pPr>
        <w:spacing w:after="0" w:line="119" w:lineRule="exact"/>
        <w:rPr>
          <w:sz w:val="20"/>
          <w:szCs w:val="20"/>
          <w:color w:val="auto"/>
        </w:rPr>
      </w:pPr>
    </w:p>
    <w:p>
      <w:pPr>
        <w:ind w:left="820" w:right="840"/>
        <w:spacing w:after="0" w:line="286" w:lineRule="auto"/>
        <w:rPr>
          <w:sz w:val="20"/>
          <w:szCs w:val="20"/>
          <w:color w:val="auto"/>
        </w:rPr>
      </w:pPr>
      <w:r>
        <w:rPr>
          <w:rFonts w:ascii="Arial" w:cs="Arial" w:eastAsia="Arial" w:hAnsi="Arial"/>
          <w:sz w:val="16"/>
          <w:szCs w:val="16"/>
          <w:color w:val="auto"/>
        </w:rPr>
        <w:t>Once Class O LTIP units have vested, they may be converted into common units of our operating partnership by the holder at any time prior to their mandatory conversion date in a manner that is similar to a net exercise of stock options. Upon exercise of this conversion right, the Class O LTIP units will convert into a number of common units of the operating partnership that have an aggregate value equal to the aggregate spread of the Class O LTIP units that are converted. The “spread” for each Class O LTIP unit will equal the excess, if any, of the value of our operating partnership’s assets per common unit on the conversion date above the per unit value at the time the Class O LTIP unit was granted (i.e., the conversion threshold). Any Class O LTIP units that have not been voluntarily converted prior to the mandatory conversion date established at the time the Class O LTIP units were granted will automatically convert into common units on such mandatory conversion date, or be forfeited if the value of our operating partnership’s assets per common unit is less than the conversion threshold for the Class O LTIP units.</w:t>
      </w:r>
    </w:p>
    <w:p>
      <w:pPr>
        <w:spacing w:after="0" w:line="106" w:lineRule="exact"/>
        <w:rPr>
          <w:sz w:val="20"/>
          <w:szCs w:val="20"/>
          <w:color w:val="auto"/>
        </w:rPr>
      </w:pPr>
    </w:p>
    <w:p>
      <w:pPr>
        <w:ind w:left="820" w:right="840"/>
        <w:spacing w:after="0" w:line="281" w:lineRule="auto"/>
        <w:rPr>
          <w:sz w:val="20"/>
          <w:szCs w:val="20"/>
          <w:color w:val="auto"/>
        </w:rPr>
      </w:pPr>
      <w:r>
        <w:rPr>
          <w:rFonts w:ascii="Arial" w:cs="Arial" w:eastAsia="Arial" w:hAnsi="Arial"/>
          <w:sz w:val="16"/>
          <w:szCs w:val="16"/>
          <w:color w:val="auto"/>
        </w:rPr>
        <w:t>LTIP units and Class O LTIP units are intended to offer executives substantially the same long-term incentive as shares of restricted stock and stock options, respectively, with more favorable U.S. federal income tax treatment available for “profits interests” under current federal income tax law. More specifically, one key disadvantage of restricted stock is that executives are generally taxed on the full market value of a grant at the time of vesting, even if they choose to hold the stock. Similarly, holders of non-qualified stock options are taxed upon exercise. Conversely, under current federal income tax law, an executive would generally not be subject to tax at the time of issuance or vesting of an LTIP unit or Class O LTIP unit or conversion into common units but only when he or she chooses to liquidate the common units into which his or her LTIP units or Class O LTIP units convert. Therefore, an executive who wishes to hold his or her equity awards for the long term can generally do so in a more tax-efficient manner with LTIP units or Class O LTIP units. In light of the increased tax efficiency, we have chosen to use LTIP units and Class O LTIP units for grants to our executives. We believe that the use of LTIP units and Class O LTIP units has</w:t>
      </w:r>
    </w:p>
    <w:p>
      <w:pPr>
        <w:spacing w:after="0" w:line="6" w:lineRule="exact"/>
        <w:rPr>
          <w:sz w:val="20"/>
          <w:szCs w:val="20"/>
          <w:color w:val="auto"/>
        </w:rPr>
      </w:pPr>
    </w:p>
    <w:p>
      <w:pPr>
        <w:ind w:left="820" w:right="920" w:hanging="4"/>
        <w:spacing w:after="0" w:line="301" w:lineRule="auto"/>
        <w:tabs>
          <w:tab w:leader="none" w:pos="1002" w:val="left"/>
        </w:tabs>
        <w:numPr>
          <w:ilvl w:val="0"/>
          <w:numId w:val="80"/>
        </w:numPr>
        <w:rPr>
          <w:rFonts w:ascii="Arial" w:cs="Arial" w:eastAsia="Arial" w:hAnsi="Arial"/>
          <w:sz w:val="16"/>
          <w:szCs w:val="16"/>
          <w:color w:val="auto"/>
        </w:rPr>
      </w:pPr>
      <w:r>
        <w:rPr>
          <w:rFonts w:ascii="Arial" w:cs="Arial" w:eastAsia="Arial" w:hAnsi="Arial"/>
          <w:sz w:val="16"/>
          <w:szCs w:val="16"/>
          <w:color w:val="auto"/>
        </w:rPr>
        <w:t>enhanced our equity-based compensation package overall, (ii) advanced the goal of promoting long-term equity ownership by executives, (iii) not adversely impacted dilution as compared to restricted stock, and (iv) further aligned the interests of our executives with the interests of our stockholders.</w:t>
      </w:r>
    </w:p>
    <w:p>
      <w:pPr>
        <w:spacing w:after="0" w:line="287" w:lineRule="exact"/>
        <w:rPr>
          <w:sz w:val="20"/>
          <w:szCs w:val="20"/>
          <w:color w:val="auto"/>
        </w:rPr>
      </w:pPr>
    </w:p>
    <w:p>
      <w:pPr>
        <w:ind w:left="820"/>
        <w:spacing w:after="0"/>
        <w:rPr>
          <w:sz w:val="20"/>
          <w:szCs w:val="20"/>
          <w:color w:val="auto"/>
        </w:rPr>
      </w:pPr>
      <w:r>
        <w:rPr>
          <w:rFonts w:ascii="Arial" w:cs="Arial" w:eastAsia="Arial" w:hAnsi="Arial"/>
          <w:sz w:val="29"/>
          <w:szCs w:val="29"/>
          <w:b w:val="1"/>
          <w:bCs w:val="1"/>
          <w:color w:val="83AD40"/>
        </w:rPr>
        <w:t>COMPENSATION COMMITTEE REPORT</w:t>
      </w:r>
    </w:p>
    <w:p>
      <w:pPr>
        <w:spacing w:after="0" w:line="173" w:lineRule="exact"/>
        <w:rPr>
          <w:sz w:val="20"/>
          <w:szCs w:val="20"/>
          <w:color w:val="auto"/>
        </w:rPr>
      </w:pPr>
    </w:p>
    <w:p>
      <w:pPr>
        <w:ind w:left="820" w:right="920"/>
        <w:spacing w:after="0" w:line="291" w:lineRule="auto"/>
        <w:rPr>
          <w:sz w:val="20"/>
          <w:szCs w:val="20"/>
          <w:color w:val="auto"/>
        </w:rPr>
      </w:pPr>
      <w:r>
        <w:rPr>
          <w:rFonts w:ascii="Arial" w:cs="Arial" w:eastAsia="Arial" w:hAnsi="Arial"/>
          <w:sz w:val="16"/>
          <w:szCs w:val="16"/>
          <w:color w:val="auto"/>
        </w:rPr>
        <w:t>The Compensation Committee of the Board of Directors of SL Green Realty Corp. has reviewed and discussed the Compensation Discussion and Analysis required by Item 402(b) of Regulation S-K with management and, based on such review and discussions, our Compensation Committee recommended to the Board that the Compensation Discussion and Analysis be included in this annual proxy statement and incorporated by reference in the Company’s Annual Report on Form 10-K for the year ended December 31, 2024.</w:t>
      </w:r>
    </w:p>
    <w:p>
      <w:pPr>
        <w:spacing w:after="0" w:line="100" w:lineRule="exact"/>
        <w:rPr>
          <w:sz w:val="20"/>
          <w:szCs w:val="20"/>
          <w:color w:val="auto"/>
        </w:rPr>
      </w:pPr>
    </w:p>
    <w:p>
      <w:pPr>
        <w:ind w:left="820"/>
        <w:spacing w:after="0"/>
        <w:rPr>
          <w:sz w:val="20"/>
          <w:szCs w:val="20"/>
          <w:color w:val="auto"/>
        </w:rPr>
      </w:pPr>
      <w:r>
        <w:rPr>
          <w:rFonts w:ascii="Arial" w:cs="Arial" w:eastAsia="Arial" w:hAnsi="Arial"/>
          <w:sz w:val="16"/>
          <w:szCs w:val="16"/>
          <w:color w:val="auto"/>
        </w:rPr>
        <w:t>Submitted by our Compensation Committee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60" w:type="dxa"/>
            <w:vAlign w:val="bottom"/>
          </w:tcPr>
          <w:p>
            <w:pPr>
              <w:ind w:left="820"/>
              <w:spacing w:after="0"/>
              <w:rPr>
                <w:sz w:val="20"/>
                <w:szCs w:val="20"/>
                <w:color w:val="auto"/>
              </w:rPr>
            </w:pPr>
            <w:r>
              <w:rPr>
                <w:rFonts w:ascii="Arial" w:cs="Arial" w:eastAsia="Arial" w:hAnsi="Arial"/>
                <w:sz w:val="16"/>
                <w:szCs w:val="16"/>
                <w:b w:val="1"/>
                <w:bCs w:val="1"/>
                <w:color w:val="1F2668"/>
                <w:w w:val="97"/>
              </w:rPr>
              <w:t>Lauren​</w:t>
            </w:r>
          </w:p>
        </w:tc>
        <w:tc>
          <w:tcPr>
            <w:tcW w:w="1140" w:type="dxa"/>
            <w:vAlign w:val="bottom"/>
          </w:tcPr>
          <w:p>
            <w:pPr>
              <w:ind w:left="40"/>
              <w:spacing w:after="0"/>
              <w:rPr>
                <w:sz w:val="20"/>
                <w:szCs w:val="20"/>
                <w:color w:val="auto"/>
              </w:rPr>
            </w:pPr>
            <w:r>
              <w:rPr>
                <w:rFonts w:ascii="Arial" w:cs="Arial" w:eastAsia="Arial" w:hAnsi="Arial"/>
                <w:sz w:val="16"/>
                <w:szCs w:val="16"/>
                <w:b w:val="1"/>
                <w:bCs w:val="1"/>
                <w:color w:val="1F2668"/>
              </w:rPr>
              <w:t>B. Dillard</w:t>
            </w:r>
          </w:p>
        </w:tc>
        <w:tc>
          <w:tcPr>
            <w:tcW w:w="2360" w:type="dxa"/>
            <w:vAlign w:val="bottom"/>
          </w:tcPr>
          <w:p>
            <w:pPr>
              <w:ind w:left="420"/>
              <w:spacing w:after="0"/>
              <w:rPr>
                <w:sz w:val="20"/>
                <w:szCs w:val="20"/>
                <w:color w:val="auto"/>
              </w:rPr>
            </w:pPr>
            <w:r>
              <w:rPr>
                <w:rFonts w:ascii="Arial" w:cs="Arial" w:eastAsia="Arial" w:hAnsi="Arial"/>
                <w:sz w:val="16"/>
                <w:szCs w:val="16"/>
                <w:b w:val="1"/>
                <w:bCs w:val="1"/>
                <w:color w:val="1F2668"/>
              </w:rPr>
              <w:t>​ ​ John H. Alschuler</w:t>
            </w:r>
          </w:p>
        </w:tc>
        <w:tc>
          <w:tcPr>
            <w:tcW w:w="2220" w:type="dxa"/>
            <w:vAlign w:val="bottom"/>
          </w:tcPr>
          <w:p>
            <w:pPr>
              <w:ind w:left="380"/>
              <w:spacing w:after="0"/>
              <w:rPr>
                <w:sz w:val="20"/>
                <w:szCs w:val="20"/>
                <w:color w:val="auto"/>
              </w:rPr>
            </w:pPr>
            <w:r>
              <w:rPr>
                <w:rFonts w:ascii="Arial" w:cs="Arial" w:eastAsia="Arial" w:hAnsi="Arial"/>
                <w:sz w:val="16"/>
                <w:szCs w:val="16"/>
                <w:b w:val="1"/>
                <w:bCs w:val="1"/>
                <w:color w:val="1F2668"/>
              </w:rPr>
              <w:t>​ ​ Carol N. Brown</w:t>
            </w:r>
          </w:p>
        </w:tc>
        <w:tc>
          <w:tcPr>
            <w:tcW w:w="2220" w:type="dxa"/>
            <w:vAlign w:val="bottom"/>
          </w:tcPr>
          <w:p>
            <w:pPr>
              <w:ind w:left="480"/>
              <w:spacing w:after="0"/>
              <w:rPr>
                <w:sz w:val="20"/>
                <w:szCs w:val="20"/>
                <w:color w:val="auto"/>
              </w:rPr>
            </w:pPr>
            <w:r>
              <w:rPr>
                <w:rFonts w:ascii="Arial" w:cs="Arial" w:eastAsia="Arial" w:hAnsi="Arial"/>
                <w:sz w:val="16"/>
                <w:szCs w:val="16"/>
                <w:b w:val="1"/>
                <w:bCs w:val="1"/>
                <w:color w:val="1F2668"/>
              </w:rPr>
              <w:t>​ ​ Peggy Lamb</w:t>
            </w:r>
          </w:p>
        </w:tc>
        <w:tc>
          <w:tcPr>
            <w:tcW w:w="1420" w:type="dxa"/>
            <w:vAlign w:val="bottom"/>
          </w:tcPr>
          <w:p>
            <w:pPr>
              <w:ind w:left="580"/>
              <w:spacing w:after="0"/>
              <w:rPr>
                <w:sz w:val="20"/>
                <w:szCs w:val="20"/>
                <w:color w:val="auto"/>
              </w:rPr>
            </w:pPr>
            <w:r>
              <w:rPr>
                <w:rFonts w:ascii="Arial" w:cs="Arial" w:eastAsia="Arial" w:hAnsi="Arial"/>
                <w:sz w:val="16"/>
                <w:szCs w:val="16"/>
                <w:b w:val="1"/>
                <w:bCs w:val="1"/>
                <w:color w:val="1F2668"/>
              </w:rPr>
              <w:t>​</w:t>
            </w:r>
          </w:p>
        </w:tc>
      </w:tr>
      <w:tr>
        <w:trPr>
          <w:trHeight w:val="223"/>
        </w:trPr>
        <w:tc>
          <w:tcPr>
            <w:tcW w:w="2500" w:type="dxa"/>
            <w:vAlign w:val="bottom"/>
            <w:gridSpan w:val="2"/>
          </w:tcPr>
          <w:p>
            <w:pPr>
              <w:ind w:left="820"/>
              <w:spacing w:after="0"/>
              <w:rPr>
                <w:sz w:val="20"/>
                <w:szCs w:val="20"/>
                <w:color w:val="auto"/>
              </w:rPr>
            </w:pPr>
            <w:r>
              <w:rPr>
                <w:rFonts w:ascii="Arial" w:cs="Arial" w:eastAsia="Arial" w:hAnsi="Arial"/>
                <w:sz w:val="16"/>
                <w:szCs w:val="16"/>
                <w:b w:val="1"/>
                <w:bCs w:val="1"/>
                <w:color w:val="1F2668"/>
              </w:rPr>
              <w:t>(Interim Chair)</w:t>
            </w:r>
          </w:p>
        </w:tc>
        <w:tc>
          <w:tcPr>
            <w:tcW w:w="23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1810"/>
        </w:trPr>
        <w:tc>
          <w:tcPr>
            <w:tcW w:w="1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5100" w:type="dxa"/>
            <w:vAlign w:val="bottom"/>
          </w:tcPr>
          <w:p>
            <w:pPr>
              <w:spacing w:after="0"/>
              <w:rPr>
                <w:sz w:val="20"/>
                <w:szCs w:val="20"/>
                <w:color w:val="auto"/>
              </w:rPr>
            </w:pPr>
            <w:r>
              <w:rPr>
                <w:rFonts w:ascii="Arial" w:cs="Arial" w:eastAsia="Arial" w:hAnsi="Arial"/>
                <w:sz w:val="14"/>
                <w:szCs w:val="14"/>
                <w:b w:val="1"/>
                <w:bCs w:val="1"/>
                <w:color w:val="auto"/>
              </w:rPr>
              <w:t>​</w:t>
            </w:r>
          </w:p>
        </w:tc>
        <w:tc>
          <w:tcPr>
            <w:tcW w:w="3480" w:type="dxa"/>
            <w:vAlign w:val="bottom"/>
          </w:tcPr>
          <w:p>
            <w:pPr>
              <w:ind w:left="3100"/>
              <w:spacing w:after="0"/>
              <w:rPr>
                <w:sz w:val="20"/>
                <w:szCs w:val="20"/>
                <w:color w:val="auto"/>
              </w:rPr>
            </w:pPr>
            <w:r>
              <w:rPr>
                <w:rFonts w:ascii="Arial" w:cs="Arial" w:eastAsia="Arial" w:hAnsi="Arial"/>
                <w:sz w:val="14"/>
                <w:szCs w:val="14"/>
                <w:b w:val="1"/>
                <w:bCs w:val="1"/>
                <w:color w:val="auto"/>
              </w:rPr>
              <w:t>​ ​</w:t>
            </w:r>
          </w:p>
        </w:tc>
        <w:tc>
          <w:tcPr>
            <w:tcW w:w="480" w:type="dxa"/>
            <w:vAlign w:val="bottom"/>
            <w:vMerge w:val="restart"/>
          </w:tcPr>
          <w:p>
            <w:pPr>
              <w:jc w:val="right"/>
              <w:spacing w:after="0"/>
              <w:rPr>
                <w:sz w:val="20"/>
                <w:szCs w:val="20"/>
                <w:color w:val="auto"/>
              </w:rPr>
            </w:pPr>
            <w:r>
              <w:rPr>
                <w:rFonts w:ascii="Arial" w:cs="Arial" w:eastAsia="Arial" w:hAnsi="Arial"/>
                <w:sz w:val="22"/>
                <w:szCs w:val="22"/>
                <w:b w:val="1"/>
                <w:bCs w:val="1"/>
                <w:color w:val="1F2668"/>
              </w:rPr>
              <w:t>67</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5100" w:type="dxa"/>
            <w:vAlign w:val="bottom"/>
          </w:tcPr>
          <w:p>
            <w:pPr>
              <w:spacing w:after="0"/>
              <w:rPr>
                <w:sz w:val="20"/>
                <w:szCs w:val="20"/>
                <w:color w:val="auto"/>
              </w:rPr>
            </w:pPr>
            <w:r>
              <w:rPr>
                <w:rFonts w:ascii="Arial" w:cs="Arial" w:eastAsia="Arial" w:hAnsi="Arial"/>
                <w:sz w:val="14"/>
                <w:szCs w:val="14"/>
                <w:b w:val="1"/>
                <w:bCs w:val="1"/>
                <w:color w:val="auto"/>
              </w:rPr>
              <w:t>EXECUTIVE COMPENSATION</w:t>
            </w:r>
          </w:p>
        </w:tc>
        <w:tc>
          <w:tcPr>
            <w:tcW w:w="348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820"/>
        <w:spacing w:after="0"/>
        <w:rPr>
          <w:sz w:val="20"/>
          <w:szCs w:val="20"/>
          <w:color w:val="auto"/>
        </w:rPr>
      </w:pPr>
      <w:r>
        <w:rPr>
          <w:rFonts w:ascii="Arial" w:cs="Arial" w:eastAsia="Arial" w:hAnsi="Arial"/>
          <w:sz w:val="29"/>
          <w:szCs w:val="29"/>
          <w:b w:val="1"/>
          <w:bCs w:val="1"/>
          <w:color w:val="83AD40"/>
        </w:rPr>
        <w:t>EXECUTIVE COMPENSATION TABLES</w:t>
      </w:r>
    </w:p>
    <w:p>
      <w:pPr>
        <w:spacing w:after="0" w:line="302"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Summary Compensation Table</w:t>
      </w:r>
    </w:p>
    <w:p>
      <w:pPr>
        <w:spacing w:after="0" w:line="133" w:lineRule="exact"/>
        <w:rPr>
          <w:sz w:val="20"/>
          <w:szCs w:val="20"/>
          <w:color w:val="auto"/>
        </w:rPr>
      </w:pPr>
    </w:p>
    <w:p>
      <w:pPr>
        <w:ind w:left="820" w:right="200"/>
        <w:spacing w:after="0" w:line="295" w:lineRule="auto"/>
        <w:rPr>
          <w:sz w:val="20"/>
          <w:szCs w:val="20"/>
          <w:color w:val="auto"/>
        </w:rPr>
      </w:pPr>
      <w:r>
        <w:rPr>
          <w:rFonts w:ascii="Arial" w:cs="Arial" w:eastAsia="Arial" w:hAnsi="Arial"/>
          <w:sz w:val="16"/>
          <w:szCs w:val="16"/>
          <w:color w:val="auto"/>
        </w:rPr>
        <w:t>The following table sets forth information regarding the compensation paid to the individuals who served as our Chief Executive Officer and Chief Financial Officer during our 2024 fiscal year and one of our most highly compensated executive officers, other than our Chief Executive Officer and Chief Financial Officer, whose total compensation exceeded $100,000 during the fiscal year ended December 31, 2024, or collectively, the “named executive officers.”</w:t>
      </w:r>
    </w:p>
    <w:p>
      <w:pPr>
        <w:spacing w:after="0" w:line="130"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b w:val="1"/>
                <w:bCs w:val="1"/>
                <w:color w:val="1F2668"/>
              </w:rPr>
              <w:t>Non-Equity</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b w:val="1"/>
                <w:bCs w:val="1"/>
                <w:color w:val="1F2668"/>
              </w:rPr>
              <w:t>Option</w:t>
            </w:r>
          </w:p>
        </w:tc>
        <w:tc>
          <w:tcPr>
            <w:tcW w:w="100" w:type="dxa"/>
            <w:vAlign w:val="bottom"/>
          </w:tcPr>
          <w:p>
            <w:pPr>
              <w:spacing w:after="0"/>
              <w:rPr>
                <w:sz w:val="11"/>
                <w:szCs w:val="11"/>
                <w:color w:val="auto"/>
              </w:rPr>
            </w:pPr>
          </w:p>
        </w:tc>
        <w:tc>
          <w:tcPr>
            <w:tcW w:w="920" w:type="dxa"/>
            <w:vAlign w:val="bottom"/>
            <w:gridSpan w:val="3"/>
          </w:tcPr>
          <w:p>
            <w:pPr>
              <w:jc w:val="right"/>
              <w:spacing w:after="0" w:line="135" w:lineRule="exact"/>
              <w:rPr>
                <w:sz w:val="20"/>
                <w:szCs w:val="20"/>
                <w:color w:val="auto"/>
              </w:rPr>
            </w:pPr>
            <w:r>
              <w:rPr>
                <w:rFonts w:ascii="Arial" w:cs="Arial" w:eastAsia="Arial" w:hAnsi="Arial"/>
                <w:sz w:val="13"/>
                <w:szCs w:val="13"/>
                <w:b w:val="1"/>
                <w:bCs w:val="1"/>
                <w:color w:val="1F2668"/>
                <w:w w:val="98"/>
              </w:rPr>
              <w:t>Incentive Plan</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gridSpan w:val="3"/>
          </w:tcPr>
          <w:p>
            <w:pPr>
              <w:jc w:val="right"/>
              <w:ind w:right="280"/>
              <w:spacing w:after="0" w:line="135" w:lineRule="exact"/>
              <w:rPr>
                <w:sz w:val="20"/>
                <w:szCs w:val="20"/>
                <w:color w:val="auto"/>
              </w:rPr>
            </w:pPr>
            <w:r>
              <w:rPr>
                <w:rFonts w:ascii="Arial" w:cs="Arial" w:eastAsia="Arial" w:hAnsi="Arial"/>
                <w:sz w:val="13"/>
                <w:szCs w:val="13"/>
                <w:b w:val="1"/>
                <w:bCs w:val="1"/>
                <w:color w:val="1F2668"/>
              </w:rPr>
              <w:t>All Other</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20"/>
                <w:szCs w:val="20"/>
                <w:color w:val="auto"/>
              </w:rPr>
            </w:pPr>
            <w:r>
              <w:rPr>
                <w:rFonts w:ascii="Arial" w:cs="Arial" w:eastAsia="Arial" w:hAnsi="Arial"/>
                <w:sz w:val="13"/>
                <w:szCs w:val="13"/>
                <w:b w:val="1"/>
                <w:bCs w:val="1"/>
                <w:color w:val="1F2668"/>
              </w:rPr>
              <w:t>Name and Principal</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1F2668"/>
              </w:rPr>
              <w:t>Salary</w:t>
            </w:r>
          </w:p>
        </w:tc>
        <w:tc>
          <w:tcPr>
            <w:tcW w:w="460" w:type="dxa"/>
            <w:vAlign w:val="bottom"/>
          </w:tcPr>
          <w:p>
            <w:pPr>
              <w:jc w:val="right"/>
              <w:spacing w:after="0"/>
              <w:rPr>
                <w:sz w:val="20"/>
                <w:szCs w:val="20"/>
                <w:color w:val="auto"/>
              </w:rPr>
            </w:pPr>
            <w:r>
              <w:rPr>
                <w:rFonts w:ascii="Arial" w:cs="Arial" w:eastAsia="Arial" w:hAnsi="Arial"/>
                <w:sz w:val="13"/>
                <w:szCs w:val="13"/>
                <w:b w:val="1"/>
                <w:bCs w:val="1"/>
                <w:color w:val="1F2668"/>
                <w:w w:val="98"/>
              </w:rPr>
              <w:t>Bonus</w:t>
            </w:r>
          </w:p>
        </w:tc>
        <w:tc>
          <w:tcPr>
            <w:tcW w:w="100" w:type="dxa"/>
            <w:vAlign w:val="bottom"/>
          </w:tcPr>
          <w:p>
            <w:pPr>
              <w:spacing w:after="0"/>
              <w:rPr>
                <w:sz w:val="12"/>
                <w:szCs w:val="12"/>
                <w:color w:val="auto"/>
              </w:rPr>
            </w:pPr>
          </w:p>
        </w:tc>
        <w:tc>
          <w:tcPr>
            <w:tcW w:w="1180" w:type="dxa"/>
            <w:vAlign w:val="bottom"/>
            <w:gridSpan w:val="4"/>
          </w:tcPr>
          <w:p>
            <w:pPr>
              <w:jc w:val="right"/>
              <w:ind w:right="260"/>
              <w:spacing w:after="0" w:line="148" w:lineRule="exact"/>
              <w:rPr>
                <w:sz w:val="20"/>
                <w:szCs w:val="20"/>
                <w:color w:val="auto"/>
              </w:rPr>
            </w:pPr>
            <w:r>
              <w:rPr>
                <w:rFonts w:ascii="Arial" w:cs="Arial" w:eastAsia="Arial" w:hAnsi="Arial"/>
                <w:sz w:val="13"/>
                <w:szCs w:val="13"/>
                <w:b w:val="1"/>
                <w:bCs w:val="1"/>
                <w:color w:val="1F2668"/>
                <w:w w:val="90"/>
              </w:rPr>
              <w:t>Stock Awards</w:t>
            </w:r>
            <w:r>
              <w:rPr>
                <w:rFonts w:ascii="Arial" w:cs="Arial" w:eastAsia="Arial" w:hAnsi="Arial"/>
                <w:sz w:val="16"/>
                <w:szCs w:val="16"/>
                <w:b w:val="1"/>
                <w:bCs w:val="1"/>
                <w:color w:val="1F2668"/>
                <w:w w:val="90"/>
                <w:vertAlign w:val="superscript"/>
              </w:rPr>
              <w:t>(1)</w:t>
            </w:r>
          </w:p>
        </w:tc>
        <w:tc>
          <w:tcPr>
            <w:tcW w:w="600" w:type="dxa"/>
            <w:vAlign w:val="bottom"/>
          </w:tcPr>
          <w:p>
            <w:pPr>
              <w:jc w:val="right"/>
              <w:spacing w:after="0" w:line="148" w:lineRule="exact"/>
              <w:rPr>
                <w:sz w:val="20"/>
                <w:szCs w:val="20"/>
                <w:color w:val="auto"/>
              </w:rPr>
            </w:pPr>
            <w:r>
              <w:rPr>
                <w:rFonts w:ascii="Arial" w:cs="Arial" w:eastAsia="Arial" w:hAnsi="Arial"/>
                <w:sz w:val="13"/>
                <w:szCs w:val="13"/>
                <w:b w:val="1"/>
                <w:bCs w:val="1"/>
                <w:color w:val="1F2668"/>
                <w:w w:val="89"/>
              </w:rPr>
              <w:t>Awards</w:t>
            </w:r>
            <w:r>
              <w:rPr>
                <w:rFonts w:ascii="Arial" w:cs="Arial" w:eastAsia="Arial" w:hAnsi="Arial"/>
                <w:sz w:val="16"/>
                <w:szCs w:val="16"/>
                <w:b w:val="1"/>
                <w:bCs w:val="1"/>
                <w:color w:val="1F2668"/>
                <w:w w:val="89"/>
                <w:vertAlign w:val="superscript"/>
              </w:rPr>
              <w:t>(2)</w:t>
            </w:r>
          </w:p>
        </w:tc>
        <w:tc>
          <w:tcPr>
            <w:tcW w:w="100" w:type="dxa"/>
            <w:vAlign w:val="bottom"/>
          </w:tcPr>
          <w:p>
            <w:pPr>
              <w:spacing w:after="0"/>
              <w:rPr>
                <w:sz w:val="12"/>
                <w:szCs w:val="12"/>
                <w:color w:val="auto"/>
              </w:rPr>
            </w:pPr>
          </w:p>
        </w:tc>
        <w:tc>
          <w:tcPr>
            <w:tcW w:w="920" w:type="dxa"/>
            <w:vAlign w:val="bottom"/>
            <w:gridSpan w:val="3"/>
          </w:tcPr>
          <w:p>
            <w:pPr>
              <w:jc w:val="right"/>
              <w:spacing w:after="0"/>
              <w:rPr>
                <w:sz w:val="20"/>
                <w:szCs w:val="20"/>
                <w:color w:val="auto"/>
              </w:rPr>
            </w:pPr>
            <w:r>
              <w:rPr>
                <w:rFonts w:ascii="Arial" w:cs="Arial" w:eastAsia="Arial" w:hAnsi="Arial"/>
                <w:sz w:val="13"/>
                <w:szCs w:val="13"/>
                <w:b w:val="1"/>
                <w:bCs w:val="1"/>
                <w:color w:val="1F2668"/>
                <w:w w:val="95"/>
              </w:rPr>
              <w:t>Compensation</w:t>
            </w:r>
          </w:p>
        </w:tc>
        <w:tc>
          <w:tcPr>
            <w:tcW w:w="100" w:type="dxa"/>
            <w:vAlign w:val="bottom"/>
          </w:tcPr>
          <w:p>
            <w:pPr>
              <w:spacing w:after="0"/>
              <w:rPr>
                <w:sz w:val="12"/>
                <w:szCs w:val="12"/>
                <w:color w:val="auto"/>
              </w:rPr>
            </w:pPr>
          </w:p>
        </w:tc>
        <w:tc>
          <w:tcPr>
            <w:tcW w:w="1260" w:type="dxa"/>
            <w:vAlign w:val="bottom"/>
            <w:gridSpan w:val="4"/>
          </w:tcPr>
          <w:p>
            <w:pPr>
              <w:jc w:val="right"/>
              <w:ind w:right="280"/>
              <w:spacing w:after="0" w:line="148" w:lineRule="exact"/>
              <w:rPr>
                <w:sz w:val="20"/>
                <w:szCs w:val="20"/>
                <w:color w:val="auto"/>
              </w:rPr>
            </w:pPr>
            <w:r>
              <w:rPr>
                <w:rFonts w:ascii="Arial" w:cs="Arial" w:eastAsia="Arial" w:hAnsi="Arial"/>
                <w:sz w:val="13"/>
                <w:szCs w:val="13"/>
                <w:b w:val="1"/>
                <w:bCs w:val="1"/>
                <w:color w:val="1F2668"/>
                <w:w w:val="92"/>
              </w:rPr>
              <w:t>Compensation</w:t>
            </w:r>
            <w:r>
              <w:rPr>
                <w:rFonts w:ascii="Arial" w:cs="Arial" w:eastAsia="Arial" w:hAnsi="Arial"/>
                <w:sz w:val="16"/>
                <w:szCs w:val="16"/>
                <w:b w:val="1"/>
                <w:bCs w:val="1"/>
                <w:color w:val="1F2668"/>
                <w:w w:val="92"/>
                <w:vertAlign w:val="superscript"/>
              </w:rPr>
              <w:t>(3)</w:t>
            </w:r>
          </w:p>
        </w:tc>
        <w:tc>
          <w:tcPr>
            <w:tcW w:w="720" w:type="dxa"/>
            <w:vAlign w:val="bottom"/>
            <w:gridSpan w:val="2"/>
          </w:tcPr>
          <w:p>
            <w:pPr>
              <w:jc w:val="right"/>
              <w:ind w:right="8"/>
              <w:spacing w:after="0"/>
              <w:rPr>
                <w:sz w:val="20"/>
                <w:szCs w:val="20"/>
                <w:color w:val="auto"/>
              </w:rPr>
            </w:pPr>
            <w:r>
              <w:rPr>
                <w:rFonts w:ascii="Arial" w:cs="Arial" w:eastAsia="Arial" w:hAnsi="Arial"/>
                <w:sz w:val="13"/>
                <w:szCs w:val="13"/>
                <w:b w:val="1"/>
                <w:bCs w:val="1"/>
                <w:color w:val="1F2668"/>
              </w:rPr>
              <w:t>Total</w:t>
            </w:r>
          </w:p>
        </w:tc>
        <w:tc>
          <w:tcPr>
            <w:tcW w:w="0" w:type="dxa"/>
            <w:vAlign w:val="bottom"/>
          </w:tcPr>
          <w:p>
            <w:pPr>
              <w:spacing w:after="0"/>
              <w:rPr>
                <w:sz w:val="1"/>
                <w:szCs w:val="1"/>
                <w:color w:val="auto"/>
              </w:rPr>
            </w:pPr>
          </w:p>
        </w:tc>
      </w:tr>
      <w:tr>
        <w:trPr>
          <w:trHeight w:val="207"/>
        </w:trPr>
        <w:tc>
          <w:tcPr>
            <w:tcW w:w="2140" w:type="dxa"/>
            <w:vAlign w:val="bottom"/>
          </w:tcPr>
          <w:p>
            <w:pPr>
              <w:spacing w:after="0"/>
              <w:rPr>
                <w:sz w:val="20"/>
                <w:szCs w:val="20"/>
                <w:color w:val="auto"/>
              </w:rPr>
            </w:pPr>
            <w:r>
              <w:rPr>
                <w:rFonts w:ascii="Arial" w:cs="Arial" w:eastAsia="Arial" w:hAnsi="Arial"/>
                <w:sz w:val="13"/>
                <w:szCs w:val="13"/>
                <w:b w:val="1"/>
                <w:bCs w:val="1"/>
                <w:color w:val="1F2668"/>
              </w:rPr>
              <w:t>Position</w:t>
            </w:r>
          </w:p>
        </w:tc>
        <w:tc>
          <w:tcPr>
            <w:tcW w:w="100" w:type="dxa"/>
            <w:vAlign w:val="bottom"/>
          </w:tcPr>
          <w:p>
            <w:pPr>
              <w:spacing w:after="0"/>
              <w:rPr>
                <w:sz w:val="20"/>
                <w:szCs w:val="20"/>
                <w:color w:val="auto"/>
              </w:rPr>
            </w:pPr>
            <w:r>
              <w:rPr>
                <w:rFonts w:ascii="Arial" w:cs="Arial" w:eastAsia="Arial" w:hAnsi="Arial"/>
                <w:sz w:val="13"/>
                <w:szCs w:val="13"/>
                <w:b w:val="1"/>
                <w:bCs w:val="1"/>
                <w:color w:val="1F2668"/>
              </w:rPr>
              <w:t>​</w:t>
            </w:r>
          </w:p>
        </w:tc>
        <w:tc>
          <w:tcPr>
            <w:tcW w:w="580" w:type="dxa"/>
            <w:vAlign w:val="bottom"/>
            <w:gridSpan w:val="3"/>
          </w:tcPr>
          <w:p>
            <w:pPr>
              <w:ind w:left="20"/>
              <w:spacing w:after="0" w:line="207" w:lineRule="exact"/>
              <w:rPr>
                <w:sz w:val="20"/>
                <w:szCs w:val="20"/>
                <w:color w:val="auto"/>
              </w:rPr>
            </w:pPr>
            <w:r>
              <w:rPr>
                <w:rFonts w:ascii="Arial" w:cs="Arial" w:eastAsia="Arial" w:hAnsi="Arial"/>
                <w:sz w:val="24"/>
                <w:szCs w:val="24"/>
                <w:b w:val="1"/>
                <w:bCs w:val="1"/>
                <w:color w:val="1F2668"/>
                <w:vertAlign w:val="subscript"/>
              </w:rPr>
              <w:t>​</w:t>
            </w:r>
            <w:r>
              <w:rPr>
                <w:rFonts w:ascii="Arial" w:cs="Arial" w:eastAsia="Arial" w:hAnsi="Arial"/>
                <w:sz w:val="12"/>
                <w:szCs w:val="12"/>
                <w:b w:val="1"/>
                <w:bCs w:val="1"/>
                <w:color w:val="1F2668"/>
              </w:rPr>
              <w:t xml:space="preserve"> Year </w:t>
            </w:r>
            <w:r>
              <w:rPr>
                <w:rFonts w:ascii="Arial" w:cs="Arial" w:eastAsia="Arial" w:hAnsi="Arial"/>
                <w:sz w:val="24"/>
                <w:szCs w:val="24"/>
                <w:b w:val="1"/>
                <w:bCs w:val="1"/>
                <w:color w:val="1F2668"/>
                <w:vertAlign w:val="subscript"/>
              </w:rPr>
              <w:t>​​</w:t>
            </w:r>
          </w:p>
        </w:tc>
        <w:tc>
          <w:tcPr>
            <w:tcW w:w="840" w:type="dxa"/>
            <w:vAlign w:val="bottom"/>
            <w:gridSpan w:val="3"/>
          </w:tcPr>
          <w:p>
            <w:pPr>
              <w:jc w:val="right"/>
              <w:ind w:right="140"/>
              <w:spacing w:after="0" w:line="207" w:lineRule="exact"/>
              <w:rPr>
                <w:sz w:val="20"/>
                <w:szCs w:val="20"/>
                <w:color w:val="auto"/>
              </w:rPr>
            </w:pPr>
            <w:r>
              <w:rPr>
                <w:rFonts w:ascii="Arial" w:cs="Arial" w:eastAsia="Arial" w:hAnsi="Arial"/>
                <w:sz w:val="12"/>
                <w:szCs w:val="12"/>
                <w:b w:val="1"/>
                <w:bCs w:val="1"/>
                <w:color w:val="1F2668"/>
              </w:rPr>
              <w:t xml:space="preserve">($) </w:t>
            </w:r>
            <w:r>
              <w:rPr>
                <w:rFonts w:ascii="Arial" w:cs="Arial" w:eastAsia="Arial" w:hAnsi="Arial"/>
                <w:sz w:val="24"/>
                <w:szCs w:val="24"/>
                <w:b w:val="1"/>
                <w:bCs w:val="1"/>
                <w:color w:val="1F2668"/>
                <w:vertAlign w:val="subscript"/>
              </w:rPr>
              <w:t>​​</w:t>
            </w:r>
          </w:p>
        </w:tc>
        <w:tc>
          <w:tcPr>
            <w:tcW w:w="460" w:type="dxa"/>
            <w:vAlign w:val="bottom"/>
          </w:tcPr>
          <w:p>
            <w:pPr>
              <w:jc w:val="right"/>
              <w:spacing w:after="0"/>
              <w:rPr>
                <w:sz w:val="20"/>
                <w:szCs w:val="20"/>
                <w:color w:val="auto"/>
              </w:rPr>
            </w:pPr>
            <w:r>
              <w:rPr>
                <w:rFonts w:ascii="Arial" w:cs="Arial" w:eastAsia="Arial" w:hAnsi="Arial"/>
                <w:sz w:val="13"/>
                <w:szCs w:val="13"/>
                <w:b w:val="1"/>
                <w:bCs w:val="1"/>
                <w:color w:val="1F2668"/>
              </w:rPr>
              <w:t>($)</w:t>
            </w:r>
          </w:p>
        </w:tc>
        <w:tc>
          <w:tcPr>
            <w:tcW w:w="300" w:type="dxa"/>
            <w:vAlign w:val="bottom"/>
            <w:gridSpan w:val="2"/>
          </w:tcPr>
          <w:p>
            <w:pPr>
              <w:jc w:val="right"/>
              <w:ind w:right="97"/>
              <w:spacing w:after="0"/>
              <w:rPr>
                <w:sz w:val="20"/>
                <w:szCs w:val="20"/>
                <w:color w:val="auto"/>
              </w:rPr>
            </w:pPr>
            <w:r>
              <w:rPr>
                <w:rFonts w:ascii="Arial" w:cs="Arial" w:eastAsia="Arial" w:hAnsi="Arial"/>
                <w:sz w:val="13"/>
                <w:szCs w:val="13"/>
                <w:b w:val="1"/>
                <w:bCs w:val="1"/>
                <w:color w:val="1F2668"/>
              </w:rPr>
              <w:t>​ ​</w:t>
            </w:r>
          </w:p>
        </w:tc>
        <w:tc>
          <w:tcPr>
            <w:tcW w:w="980" w:type="dxa"/>
            <w:vAlign w:val="bottom"/>
            <w:gridSpan w:val="3"/>
          </w:tcPr>
          <w:p>
            <w:pPr>
              <w:jc w:val="right"/>
              <w:ind w:right="100"/>
              <w:spacing w:after="0" w:line="207" w:lineRule="exact"/>
              <w:rPr>
                <w:sz w:val="20"/>
                <w:szCs w:val="20"/>
                <w:color w:val="auto"/>
              </w:rPr>
            </w:pPr>
            <w:r>
              <w:rPr>
                <w:rFonts w:ascii="Arial" w:cs="Arial" w:eastAsia="Arial" w:hAnsi="Arial"/>
                <w:sz w:val="12"/>
                <w:szCs w:val="12"/>
                <w:b w:val="1"/>
                <w:bCs w:val="1"/>
                <w:color w:val="1F2668"/>
              </w:rPr>
              <w:t xml:space="preserve">($) </w:t>
            </w:r>
            <w:r>
              <w:rPr>
                <w:rFonts w:ascii="Arial" w:cs="Arial" w:eastAsia="Arial" w:hAnsi="Arial"/>
                <w:sz w:val="24"/>
                <w:szCs w:val="24"/>
                <w:b w:val="1"/>
                <w:bCs w:val="1"/>
                <w:color w:val="1F2668"/>
                <w:vertAlign w:val="subscript"/>
              </w:rPr>
              <w:t>​​</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1F2668"/>
              </w:rPr>
              <w:t>($)</w:t>
            </w:r>
          </w:p>
        </w:tc>
        <w:tc>
          <w:tcPr>
            <w:tcW w:w="180" w:type="dxa"/>
            <w:vAlign w:val="bottom"/>
            <w:gridSpan w:val="2"/>
          </w:tcPr>
          <w:p>
            <w:pPr>
              <w:jc w:val="right"/>
              <w:spacing w:after="0"/>
              <w:rPr>
                <w:sz w:val="20"/>
                <w:szCs w:val="20"/>
                <w:color w:val="auto"/>
              </w:rPr>
            </w:pPr>
            <w:r>
              <w:rPr>
                <w:rFonts w:ascii="Arial" w:cs="Arial" w:eastAsia="Arial" w:hAnsi="Arial"/>
                <w:sz w:val="13"/>
                <w:szCs w:val="13"/>
                <w:b w:val="1"/>
                <w:bCs w:val="1"/>
                <w:color w:val="1F2668"/>
              </w:rPr>
              <w:t>​ ​</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1F2668"/>
              </w:rPr>
              <w:t>($)</w:t>
            </w:r>
          </w:p>
        </w:tc>
        <w:tc>
          <w:tcPr>
            <w:tcW w:w="340" w:type="dxa"/>
            <w:vAlign w:val="bottom"/>
            <w:gridSpan w:val="2"/>
          </w:tcPr>
          <w:p>
            <w:pPr>
              <w:jc w:val="right"/>
              <w:ind w:right="137"/>
              <w:spacing w:after="0"/>
              <w:rPr>
                <w:sz w:val="20"/>
                <w:szCs w:val="20"/>
                <w:color w:val="auto"/>
              </w:rPr>
            </w:pPr>
            <w:r>
              <w:rPr>
                <w:rFonts w:ascii="Arial" w:cs="Arial" w:eastAsia="Arial" w:hAnsi="Arial"/>
                <w:sz w:val="13"/>
                <w:szCs w:val="13"/>
                <w:b w:val="1"/>
                <w:bCs w:val="1"/>
                <w:color w:val="1F2668"/>
              </w:rPr>
              <w:t>​ ​</w:t>
            </w:r>
          </w:p>
        </w:tc>
        <w:tc>
          <w:tcPr>
            <w:tcW w:w="1020" w:type="dxa"/>
            <w:vAlign w:val="bottom"/>
            <w:gridSpan w:val="3"/>
          </w:tcPr>
          <w:p>
            <w:pPr>
              <w:ind w:left="620"/>
              <w:spacing w:after="0" w:line="207" w:lineRule="exact"/>
              <w:rPr>
                <w:sz w:val="20"/>
                <w:szCs w:val="20"/>
                <w:color w:val="auto"/>
              </w:rPr>
            </w:pPr>
            <w:r>
              <w:rPr>
                <w:rFonts w:ascii="Arial" w:cs="Arial" w:eastAsia="Arial" w:hAnsi="Arial"/>
                <w:sz w:val="12"/>
                <w:szCs w:val="12"/>
                <w:b w:val="1"/>
                <w:bCs w:val="1"/>
                <w:color w:val="1F2668"/>
              </w:rPr>
              <w:t xml:space="preserve">($) </w:t>
            </w:r>
            <w:r>
              <w:rPr>
                <w:rFonts w:ascii="Arial" w:cs="Arial" w:eastAsia="Arial" w:hAnsi="Arial"/>
                <w:sz w:val="24"/>
                <w:szCs w:val="24"/>
                <w:b w:val="1"/>
                <w:bCs w:val="1"/>
                <w:color w:val="1F2668"/>
                <w:vertAlign w:val="subscript"/>
              </w:rPr>
              <w:t>​ ​</w:t>
            </w:r>
          </w:p>
        </w:tc>
        <w:tc>
          <w:tcPr>
            <w:tcW w:w="720" w:type="dxa"/>
            <w:vAlign w:val="bottom"/>
            <w:gridSpan w:val="2"/>
          </w:tcPr>
          <w:p>
            <w:pPr>
              <w:jc w:val="right"/>
              <w:spacing w:after="0" w:line="207" w:lineRule="exact"/>
              <w:rPr>
                <w:sz w:val="20"/>
                <w:szCs w:val="20"/>
                <w:color w:val="auto"/>
              </w:rPr>
            </w:pPr>
            <w:r>
              <w:rPr>
                <w:rFonts w:ascii="Arial" w:cs="Arial" w:eastAsia="Arial" w:hAnsi="Arial"/>
                <w:sz w:val="12"/>
                <w:szCs w:val="12"/>
                <w:b w:val="1"/>
                <w:bCs w:val="1"/>
                <w:color w:val="1F2668"/>
              </w:rPr>
              <w:t>($)</w:t>
            </w:r>
            <w:r>
              <w:rPr>
                <w:rFonts w:ascii="Arial" w:cs="Arial" w:eastAsia="Arial" w:hAnsi="Arial"/>
                <w:sz w:val="24"/>
                <w:szCs w:val="24"/>
                <w:b w:val="1"/>
                <w:bCs w:val="1"/>
                <w:color w:val="1F2668"/>
                <w:vertAlign w:val="subscript"/>
              </w:rPr>
              <w:t>​</w:t>
            </w:r>
          </w:p>
        </w:tc>
        <w:tc>
          <w:tcPr>
            <w:tcW w:w="0" w:type="dxa"/>
            <w:vAlign w:val="bottom"/>
          </w:tcPr>
          <w:p>
            <w:pPr>
              <w:spacing w:after="0"/>
              <w:rPr>
                <w:sz w:val="1"/>
                <w:szCs w:val="1"/>
                <w:color w:val="auto"/>
              </w:rPr>
            </w:pPr>
          </w:p>
        </w:tc>
      </w:tr>
      <w:tr>
        <w:trPr>
          <w:trHeight w:val="20"/>
        </w:trPr>
        <w:tc>
          <w:tcPr>
            <w:tcW w:w="214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1F2668"/>
          </w:tcPr>
          <w:p>
            <w:pPr>
              <w:spacing w:after="0" w:line="20" w:lineRule="exact"/>
              <w:rPr>
                <w:sz w:val="1"/>
                <w:szCs w:val="1"/>
                <w:color w:val="auto"/>
              </w:rPr>
            </w:pPr>
          </w:p>
        </w:tc>
        <w:tc>
          <w:tcPr>
            <w:tcW w:w="80" w:type="dxa"/>
            <w:vAlign w:val="bottom"/>
            <w:shd w:val="clear" w:color="auto" w:fill="E9F9D8"/>
          </w:tcPr>
          <w:p>
            <w:pPr>
              <w:spacing w:after="0" w:line="20" w:lineRule="exact"/>
              <w:rPr>
                <w:sz w:val="1"/>
                <w:szCs w:val="1"/>
                <w:color w:val="auto"/>
              </w:rPr>
            </w:pPr>
          </w:p>
        </w:tc>
        <w:tc>
          <w:tcPr>
            <w:tcW w:w="740" w:type="dxa"/>
            <w:vAlign w:val="bottom"/>
            <w:gridSpan w:val="2"/>
            <w:shd w:val="clear" w:color="auto" w:fill="1F2668"/>
          </w:tcPr>
          <w:p>
            <w:pPr>
              <w:spacing w:after="0" w:line="20" w:lineRule="exact"/>
              <w:rPr>
                <w:sz w:val="1"/>
                <w:szCs w:val="1"/>
                <w:color w:val="auto"/>
              </w:rPr>
            </w:pPr>
          </w:p>
        </w:tc>
        <w:tc>
          <w:tcPr>
            <w:tcW w:w="100" w:type="dxa"/>
            <w:vAlign w:val="bottom"/>
            <w:shd w:val="clear" w:color="auto" w:fill="E9F9D8"/>
          </w:tcPr>
          <w:p>
            <w:pPr>
              <w:spacing w:after="0" w:line="20" w:lineRule="exact"/>
              <w:rPr>
                <w:sz w:val="1"/>
                <w:szCs w:val="1"/>
                <w:color w:val="auto"/>
              </w:rPr>
            </w:pPr>
          </w:p>
        </w:tc>
        <w:tc>
          <w:tcPr>
            <w:tcW w:w="160" w:type="dxa"/>
            <w:vAlign w:val="bottom"/>
            <w:shd w:val="clear" w:color="auto" w:fill="1F2668"/>
          </w:tcPr>
          <w:p>
            <w:pPr>
              <w:spacing w:after="0" w:line="20" w:lineRule="exact"/>
              <w:rPr>
                <w:sz w:val="1"/>
                <w:szCs w:val="1"/>
                <w:color w:val="auto"/>
              </w:rPr>
            </w:pPr>
          </w:p>
        </w:tc>
        <w:tc>
          <w:tcPr>
            <w:tcW w:w="460" w:type="dxa"/>
            <w:vAlign w:val="bottom"/>
            <w:shd w:val="clear" w:color="auto" w:fill="1F2668"/>
          </w:tcPr>
          <w:p>
            <w:pPr>
              <w:spacing w:after="0" w:line="20" w:lineRule="exact"/>
              <w:rPr>
                <w:sz w:val="1"/>
                <w:szCs w:val="1"/>
                <w:color w:val="auto"/>
              </w:rPr>
            </w:pPr>
          </w:p>
        </w:tc>
        <w:tc>
          <w:tcPr>
            <w:tcW w:w="100" w:type="dxa"/>
            <w:vAlign w:val="bottom"/>
            <w:shd w:val="clear" w:color="auto" w:fill="E9F9D8"/>
          </w:tcPr>
          <w:p>
            <w:pPr>
              <w:spacing w:after="0" w:line="20" w:lineRule="exact"/>
              <w:rPr>
                <w:sz w:val="1"/>
                <w:szCs w:val="1"/>
                <w:color w:val="auto"/>
              </w:rPr>
            </w:pPr>
          </w:p>
        </w:tc>
        <w:tc>
          <w:tcPr>
            <w:tcW w:w="200" w:type="dxa"/>
            <w:vAlign w:val="bottom"/>
            <w:shd w:val="clear" w:color="auto" w:fill="1F2668"/>
          </w:tcPr>
          <w:p>
            <w:pPr>
              <w:spacing w:after="0" w:line="20" w:lineRule="exact"/>
              <w:rPr>
                <w:sz w:val="1"/>
                <w:szCs w:val="1"/>
                <w:color w:val="auto"/>
              </w:rPr>
            </w:pPr>
          </w:p>
        </w:tc>
        <w:tc>
          <w:tcPr>
            <w:tcW w:w="760" w:type="dxa"/>
            <w:vAlign w:val="bottom"/>
            <w:shd w:val="clear" w:color="auto" w:fill="1F2668"/>
          </w:tcPr>
          <w:p>
            <w:pPr>
              <w:spacing w:after="0" w:line="20" w:lineRule="exact"/>
              <w:rPr>
                <w:sz w:val="1"/>
                <w:szCs w:val="1"/>
                <w:color w:val="auto"/>
              </w:rPr>
            </w:pPr>
          </w:p>
        </w:tc>
        <w:tc>
          <w:tcPr>
            <w:tcW w:w="80" w:type="dxa"/>
            <w:vAlign w:val="bottom"/>
            <w:shd w:val="clear" w:color="auto" w:fill="E9F9D8"/>
          </w:tcPr>
          <w:p>
            <w:pPr>
              <w:spacing w:after="0" w:line="20" w:lineRule="exact"/>
              <w:rPr>
                <w:sz w:val="1"/>
                <w:szCs w:val="1"/>
                <w:color w:val="auto"/>
              </w:rPr>
            </w:pPr>
          </w:p>
        </w:tc>
        <w:tc>
          <w:tcPr>
            <w:tcW w:w="740" w:type="dxa"/>
            <w:vAlign w:val="bottom"/>
            <w:gridSpan w:val="2"/>
            <w:shd w:val="clear" w:color="auto" w:fill="1F2668"/>
          </w:tcPr>
          <w:p>
            <w:pPr>
              <w:spacing w:after="0" w:line="20" w:lineRule="exact"/>
              <w:rPr>
                <w:sz w:val="1"/>
                <w:szCs w:val="1"/>
                <w:color w:val="auto"/>
              </w:rPr>
            </w:pPr>
          </w:p>
        </w:tc>
        <w:tc>
          <w:tcPr>
            <w:tcW w:w="100" w:type="dxa"/>
            <w:vAlign w:val="bottom"/>
            <w:shd w:val="clear" w:color="auto" w:fill="E9F9D8"/>
          </w:tcPr>
          <w:p>
            <w:pPr>
              <w:spacing w:after="0" w:line="20" w:lineRule="exact"/>
              <w:rPr>
                <w:sz w:val="1"/>
                <w:szCs w:val="1"/>
                <w:color w:val="auto"/>
              </w:rPr>
            </w:pPr>
          </w:p>
        </w:tc>
        <w:tc>
          <w:tcPr>
            <w:tcW w:w="80" w:type="dxa"/>
            <w:vAlign w:val="bottom"/>
            <w:shd w:val="clear" w:color="auto" w:fill="1F2668"/>
          </w:tcPr>
          <w:p>
            <w:pPr>
              <w:spacing w:after="0" w:line="20" w:lineRule="exact"/>
              <w:rPr>
                <w:sz w:val="1"/>
                <w:szCs w:val="1"/>
                <w:color w:val="auto"/>
              </w:rPr>
            </w:pPr>
          </w:p>
        </w:tc>
        <w:tc>
          <w:tcPr>
            <w:tcW w:w="180" w:type="dxa"/>
            <w:vAlign w:val="bottom"/>
            <w:shd w:val="clear" w:color="auto" w:fill="1F2668"/>
          </w:tcPr>
          <w:p>
            <w:pPr>
              <w:spacing w:after="0" w:line="20" w:lineRule="exact"/>
              <w:rPr>
                <w:sz w:val="1"/>
                <w:szCs w:val="1"/>
                <w:color w:val="auto"/>
              </w:rPr>
            </w:pPr>
          </w:p>
        </w:tc>
        <w:tc>
          <w:tcPr>
            <w:tcW w:w="660" w:type="dxa"/>
            <w:vAlign w:val="bottom"/>
            <w:shd w:val="clear" w:color="auto" w:fill="1F2668"/>
          </w:tcPr>
          <w:p>
            <w:pPr>
              <w:spacing w:after="0" w:line="20" w:lineRule="exact"/>
              <w:rPr>
                <w:sz w:val="1"/>
                <w:szCs w:val="1"/>
                <w:color w:val="auto"/>
              </w:rPr>
            </w:pPr>
          </w:p>
        </w:tc>
        <w:tc>
          <w:tcPr>
            <w:tcW w:w="100" w:type="dxa"/>
            <w:vAlign w:val="bottom"/>
            <w:shd w:val="clear" w:color="auto" w:fill="E9F9D8"/>
          </w:tcPr>
          <w:p>
            <w:pPr>
              <w:spacing w:after="0" w:line="20" w:lineRule="exact"/>
              <w:rPr>
                <w:sz w:val="1"/>
                <w:szCs w:val="1"/>
                <w:color w:val="auto"/>
              </w:rPr>
            </w:pPr>
          </w:p>
        </w:tc>
        <w:tc>
          <w:tcPr>
            <w:tcW w:w="240" w:type="dxa"/>
            <w:vAlign w:val="bottom"/>
            <w:shd w:val="clear" w:color="auto" w:fill="1F2668"/>
          </w:tcPr>
          <w:p>
            <w:pPr>
              <w:spacing w:after="0" w:line="20" w:lineRule="exact"/>
              <w:rPr>
                <w:sz w:val="1"/>
                <w:szCs w:val="1"/>
                <w:color w:val="auto"/>
              </w:rPr>
            </w:pPr>
          </w:p>
        </w:tc>
        <w:tc>
          <w:tcPr>
            <w:tcW w:w="780" w:type="dxa"/>
            <w:vAlign w:val="bottom"/>
            <w:shd w:val="clear" w:color="auto" w:fill="1F2668"/>
          </w:tcPr>
          <w:p>
            <w:pPr>
              <w:spacing w:after="0" w:line="20" w:lineRule="exact"/>
              <w:rPr>
                <w:sz w:val="1"/>
                <w:szCs w:val="1"/>
                <w:color w:val="auto"/>
              </w:rPr>
            </w:pPr>
          </w:p>
        </w:tc>
        <w:tc>
          <w:tcPr>
            <w:tcW w:w="100" w:type="dxa"/>
            <w:vAlign w:val="bottom"/>
            <w:shd w:val="clear" w:color="auto" w:fill="E9F9D8"/>
          </w:tcPr>
          <w:p>
            <w:pPr>
              <w:spacing w:after="0" w:line="20" w:lineRule="exact"/>
              <w:rPr>
                <w:sz w:val="1"/>
                <w:szCs w:val="1"/>
                <w:color w:val="auto"/>
              </w:rPr>
            </w:pPr>
          </w:p>
        </w:tc>
        <w:tc>
          <w:tcPr>
            <w:tcW w:w="820" w:type="dxa"/>
            <w:vAlign w:val="bottom"/>
            <w:gridSpan w:val="2"/>
            <w:shd w:val="clear" w:color="auto" w:fill="1F266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140" w:type="dxa"/>
            <w:vAlign w:val="bottom"/>
          </w:tcPr>
          <w:p>
            <w:pPr>
              <w:spacing w:after="0"/>
              <w:rPr>
                <w:sz w:val="20"/>
                <w:szCs w:val="20"/>
                <w:color w:val="auto"/>
              </w:rPr>
            </w:pPr>
            <w:r>
              <w:rPr>
                <w:rFonts w:ascii="Arial" w:cs="Arial" w:eastAsia="Arial" w:hAnsi="Arial"/>
                <w:sz w:val="14"/>
                <w:szCs w:val="14"/>
                <w:b w:val="1"/>
                <w:bCs w:val="1"/>
                <w:color w:val="1F2668"/>
              </w:rPr>
              <w:t>Marc Holliday</w:t>
            </w:r>
          </w:p>
        </w:tc>
        <w:tc>
          <w:tcPr>
            <w:tcW w:w="100" w:type="dxa"/>
            <w:vAlign w:val="bottom"/>
          </w:tcPr>
          <w:p>
            <w:pPr>
              <w:spacing w:after="0"/>
              <w:rPr>
                <w:sz w:val="21"/>
                <w:szCs w:val="21"/>
                <w:color w:val="auto"/>
              </w:rPr>
            </w:pPr>
          </w:p>
        </w:tc>
        <w:tc>
          <w:tcPr>
            <w:tcW w:w="1420" w:type="dxa"/>
            <w:vAlign w:val="bottom"/>
            <w:tcBorders>
              <w:bottom w:val="single" w:sz="8" w:color="E9F9D8"/>
            </w:tcBorders>
            <w:gridSpan w:val="6"/>
            <w:shd w:val="clear" w:color="auto" w:fill="E9F9D8"/>
          </w:tcPr>
          <w:p>
            <w:pPr>
              <w:jc w:val="right"/>
              <w:ind w:right="40"/>
              <w:spacing w:after="0" w:line="236" w:lineRule="exact"/>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4"/>
                <w:szCs w:val="14"/>
                <w:color w:val="auto"/>
              </w:rPr>
              <w:t>​2024</w:t>
            </w:r>
            <w:r>
              <w:rPr>
                <w:rFonts w:ascii="Arial" w:cs="Arial" w:eastAsia="Arial" w:hAnsi="Arial"/>
                <w:sz w:val="27"/>
                <w:szCs w:val="27"/>
                <w:color w:val="auto"/>
                <w:vertAlign w:val="subscript"/>
              </w:rPr>
              <w:t>​​​​</w:t>
            </w:r>
            <w:r>
              <w:rPr>
                <w:rFonts w:ascii="Arial" w:cs="Arial" w:eastAsia="Arial" w:hAnsi="Arial"/>
                <w:sz w:val="14"/>
                <w:szCs w:val="14"/>
                <w:color w:val="auto"/>
              </w:rPr>
              <w:t>$1,250,000</w:t>
            </w:r>
            <w:r>
              <w:rPr>
                <w:rFonts w:ascii="Arial" w:cs="Arial" w:eastAsia="Arial" w:hAnsi="Arial"/>
                <w:sz w:val="27"/>
                <w:szCs w:val="27"/>
                <w:color w:val="auto"/>
                <w:vertAlign w:val="subscript"/>
              </w:rPr>
              <w:t>​​​​</w:t>
            </w:r>
            <w:r>
              <w:rPr>
                <w:rFonts w:ascii="Arial" w:cs="Arial" w:eastAsia="Arial" w:hAnsi="Arial"/>
                <w:sz w:val="14"/>
                <w:szCs w:val="14"/>
                <w:color w:val="auto"/>
              </w:rPr>
              <w:t xml:space="preserve"> ​</w:t>
            </w:r>
          </w:p>
        </w:tc>
        <w:tc>
          <w:tcPr>
            <w:tcW w:w="760" w:type="dxa"/>
            <w:vAlign w:val="bottom"/>
            <w:tcBorders>
              <w:bottom w:val="single" w:sz="8" w:color="E9F9D8"/>
            </w:tcBorders>
            <w:gridSpan w:val="3"/>
            <w:shd w:val="clear" w:color="auto" w:fill="E9F9D8"/>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1760" w:type="dxa"/>
            <w:vAlign w:val="bottom"/>
            <w:tcBorders>
              <w:bottom w:val="single" w:sz="8" w:color="E9F9D8"/>
            </w:tcBorders>
            <w:gridSpan w:val="6"/>
            <w:shd w:val="clear" w:color="auto" w:fill="E9F9D8"/>
          </w:tcPr>
          <w:p>
            <w:pPr>
              <w:jc w:val="right"/>
              <w:spacing w:after="0" w:line="236" w:lineRule="exact"/>
              <w:rPr>
                <w:sz w:val="20"/>
                <w:szCs w:val="20"/>
                <w:color w:val="auto"/>
              </w:rPr>
            </w:pPr>
            <w:r>
              <w:rPr>
                <w:rFonts w:ascii="Arial" w:cs="Arial" w:eastAsia="Arial" w:hAnsi="Arial"/>
                <w:sz w:val="14"/>
                <w:szCs w:val="14"/>
                <w:color w:val="auto"/>
              </w:rPr>
              <w:t>14,894,830</w:t>
            </w:r>
            <w:r>
              <w:rPr>
                <w:rFonts w:ascii="Arial" w:cs="Arial" w:eastAsia="Arial" w:hAnsi="Arial"/>
                <w:sz w:val="27"/>
                <w:szCs w:val="27"/>
                <w:color w:val="auto"/>
                <w:vertAlign w:val="subscript"/>
              </w:rPr>
              <w:t>​​​​</w:t>
            </w:r>
            <w:r>
              <w:rPr>
                <w:rFonts w:ascii="Arial" w:cs="Arial" w:eastAsia="Arial" w:hAnsi="Arial"/>
                <w:sz w:val="14"/>
                <w:szCs w:val="14"/>
                <w:color w:val="auto"/>
              </w:rPr>
              <w:t>$4,499,986</w:t>
            </w:r>
            <w:r>
              <w:rPr>
                <w:rFonts w:ascii="Arial" w:cs="Arial" w:eastAsia="Arial" w:hAnsi="Arial"/>
                <w:sz w:val="27"/>
                <w:szCs w:val="27"/>
                <w:color w:val="auto"/>
                <w:vertAlign w:val="subscript"/>
              </w:rPr>
              <w:t>​​​</w:t>
            </w:r>
          </w:p>
        </w:tc>
        <w:tc>
          <w:tcPr>
            <w:tcW w:w="180" w:type="dxa"/>
            <w:vAlign w:val="bottom"/>
            <w:tcBorders>
              <w:bottom w:val="single" w:sz="8" w:color="E9F9D8"/>
            </w:tcBorders>
            <w:shd w:val="clear" w:color="auto" w:fill="E9F9D8"/>
          </w:tcPr>
          <w:p>
            <w:pPr>
              <w:ind w:left="40"/>
              <w:spacing w:after="0" w:line="23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perscript"/>
              </w:rPr>
              <w:t>​</w:t>
            </w:r>
          </w:p>
        </w:tc>
        <w:tc>
          <w:tcPr>
            <w:tcW w:w="1000" w:type="dxa"/>
            <w:vAlign w:val="bottom"/>
            <w:tcBorders>
              <w:bottom w:val="single" w:sz="8" w:color="E9F9D8"/>
            </w:tcBorders>
            <w:gridSpan w:val="3"/>
            <w:shd w:val="clear" w:color="auto" w:fill="E9F9D8"/>
          </w:tcPr>
          <w:p>
            <w:pPr>
              <w:jc w:val="right"/>
              <w:ind w:right="157"/>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w:t>
            </w:r>
          </w:p>
        </w:tc>
        <w:tc>
          <w:tcPr>
            <w:tcW w:w="1700" w:type="dxa"/>
            <w:vAlign w:val="bottom"/>
            <w:tcBorders>
              <w:bottom w:val="single" w:sz="8" w:color="E9F9D8"/>
            </w:tcBorders>
            <w:gridSpan w:val="4"/>
            <w:shd w:val="clear" w:color="auto" w:fill="E9F9D8"/>
          </w:tcPr>
          <w:p>
            <w:pPr>
              <w:ind w:left="2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$ 40,940</w:t>
            </w:r>
            <w:r>
              <w:rPr>
                <w:rFonts w:ascii="Arial" w:cs="Arial" w:eastAsia="Arial" w:hAnsi="Arial"/>
                <w:sz w:val="27"/>
                <w:szCs w:val="27"/>
                <w:color w:val="auto"/>
                <w:vertAlign w:val="subscript"/>
              </w:rPr>
              <w:t>​​​​</w:t>
            </w:r>
            <w:r>
              <w:rPr>
                <w:rFonts w:ascii="Arial" w:cs="Arial" w:eastAsia="Arial" w:hAnsi="Arial"/>
                <w:sz w:val="14"/>
                <w:szCs w:val="14"/>
                <w:color w:val="auto"/>
              </w:rPr>
              <w:t>$20,685,756</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140" w:type="dxa"/>
            <w:vAlign w:val="bottom"/>
            <w:vMerge w:val="restart"/>
          </w:tcPr>
          <w:p>
            <w:pPr>
              <w:spacing w:after="0" w:line="99" w:lineRule="exact"/>
              <w:rPr>
                <w:sz w:val="20"/>
                <w:szCs w:val="20"/>
                <w:color w:val="auto"/>
              </w:rPr>
            </w:pPr>
            <w:r>
              <w:rPr>
                <w:rFonts w:ascii="Arial" w:cs="Arial" w:eastAsia="Arial" w:hAnsi="Arial"/>
                <w:sz w:val="11"/>
                <w:szCs w:val="11"/>
                <w:color w:val="auto"/>
              </w:rPr>
              <w:t>Chief Executive</w:t>
            </w:r>
          </w:p>
        </w:tc>
        <w:tc>
          <w:tcPr>
            <w:tcW w:w="100" w:type="dxa"/>
            <w:vAlign w:val="bottom"/>
          </w:tcPr>
          <w:p>
            <w:pPr>
              <w:spacing w:after="0" w:line="20" w:lineRule="exact"/>
              <w:rPr>
                <w:sz w:val="1"/>
                <w:szCs w:val="1"/>
                <w:color w:val="auto"/>
              </w:rPr>
            </w:pPr>
          </w:p>
        </w:tc>
        <w:tc>
          <w:tcPr>
            <w:tcW w:w="340" w:type="dxa"/>
            <w:vAlign w:val="bottom"/>
            <w:shd w:val="clear" w:color="auto" w:fill="4B5088"/>
          </w:tcPr>
          <w:p>
            <w:pPr>
              <w:spacing w:after="0" w:line="20" w:lineRule="exact"/>
              <w:rPr>
                <w:sz w:val="1"/>
                <w:szCs w:val="1"/>
                <w:color w:val="auto"/>
              </w:rPr>
            </w:pPr>
          </w:p>
        </w:tc>
        <w:tc>
          <w:tcPr>
            <w:tcW w:w="80" w:type="dxa"/>
            <w:vAlign w:val="bottom"/>
            <w:shd w:val="clear" w:color="auto" w:fill="E9F9D8"/>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580" w:type="dxa"/>
            <w:vAlign w:val="bottom"/>
            <w:shd w:val="clear" w:color="auto" w:fill="4B5088"/>
          </w:tcPr>
          <w:p>
            <w:pPr>
              <w:spacing w:after="0" w:line="20" w:lineRule="exact"/>
              <w:rPr>
                <w:sz w:val="1"/>
                <w:szCs w:val="1"/>
                <w:color w:val="auto"/>
              </w:rPr>
            </w:pPr>
          </w:p>
        </w:tc>
        <w:tc>
          <w:tcPr>
            <w:tcW w:w="100" w:type="dxa"/>
            <w:vAlign w:val="bottom"/>
            <w:shd w:val="clear" w:color="auto" w:fill="E9F9D8"/>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460" w:type="dxa"/>
            <w:vAlign w:val="bottom"/>
            <w:shd w:val="clear" w:color="auto" w:fill="4B5088"/>
          </w:tcPr>
          <w:p>
            <w:pPr>
              <w:spacing w:after="0" w:line="20" w:lineRule="exact"/>
              <w:rPr>
                <w:sz w:val="1"/>
                <w:szCs w:val="1"/>
                <w:color w:val="auto"/>
              </w:rPr>
            </w:pPr>
          </w:p>
        </w:tc>
        <w:tc>
          <w:tcPr>
            <w:tcW w:w="100" w:type="dxa"/>
            <w:vAlign w:val="bottom"/>
            <w:shd w:val="clear" w:color="auto" w:fill="E9F9D8"/>
          </w:tcPr>
          <w:p>
            <w:pPr>
              <w:spacing w:after="0" w:line="20" w:lineRule="exact"/>
              <w:rPr>
                <w:sz w:val="1"/>
                <w:szCs w:val="1"/>
                <w:color w:val="auto"/>
              </w:rPr>
            </w:pPr>
          </w:p>
        </w:tc>
        <w:tc>
          <w:tcPr>
            <w:tcW w:w="200" w:type="dxa"/>
            <w:vAlign w:val="bottom"/>
            <w:shd w:val="clear" w:color="auto" w:fill="4B5088"/>
          </w:tcPr>
          <w:p>
            <w:pPr>
              <w:spacing w:after="0" w:line="20" w:lineRule="exact"/>
              <w:rPr>
                <w:sz w:val="1"/>
                <w:szCs w:val="1"/>
                <w:color w:val="auto"/>
              </w:rPr>
            </w:pPr>
          </w:p>
        </w:tc>
        <w:tc>
          <w:tcPr>
            <w:tcW w:w="760" w:type="dxa"/>
            <w:vAlign w:val="bottom"/>
            <w:shd w:val="clear" w:color="auto" w:fill="4B5088"/>
          </w:tcPr>
          <w:p>
            <w:pPr>
              <w:spacing w:after="0" w:line="20" w:lineRule="exact"/>
              <w:rPr>
                <w:sz w:val="1"/>
                <w:szCs w:val="1"/>
                <w:color w:val="auto"/>
              </w:rPr>
            </w:pPr>
          </w:p>
        </w:tc>
        <w:tc>
          <w:tcPr>
            <w:tcW w:w="80" w:type="dxa"/>
            <w:vAlign w:val="bottom"/>
            <w:shd w:val="clear" w:color="auto" w:fill="E9F9D8"/>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600" w:type="dxa"/>
            <w:vAlign w:val="bottom"/>
            <w:shd w:val="clear" w:color="auto" w:fill="4B5088"/>
          </w:tcPr>
          <w:p>
            <w:pPr>
              <w:spacing w:after="0" w:line="20" w:lineRule="exact"/>
              <w:rPr>
                <w:sz w:val="1"/>
                <w:szCs w:val="1"/>
                <w:color w:val="auto"/>
              </w:rPr>
            </w:pPr>
          </w:p>
        </w:tc>
        <w:tc>
          <w:tcPr>
            <w:tcW w:w="100" w:type="dxa"/>
            <w:vAlign w:val="bottom"/>
            <w:shd w:val="clear" w:color="auto" w:fill="E9F9D8"/>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180" w:type="dxa"/>
            <w:vAlign w:val="bottom"/>
            <w:shd w:val="clear" w:color="auto" w:fill="4B5088"/>
          </w:tcPr>
          <w:p>
            <w:pPr>
              <w:spacing w:after="0" w:line="20" w:lineRule="exact"/>
              <w:rPr>
                <w:sz w:val="1"/>
                <w:szCs w:val="1"/>
                <w:color w:val="auto"/>
              </w:rPr>
            </w:pPr>
          </w:p>
        </w:tc>
        <w:tc>
          <w:tcPr>
            <w:tcW w:w="660" w:type="dxa"/>
            <w:vAlign w:val="bottom"/>
            <w:shd w:val="clear" w:color="auto" w:fill="4B5088"/>
          </w:tcPr>
          <w:p>
            <w:pPr>
              <w:spacing w:after="0" w:line="20" w:lineRule="exact"/>
              <w:rPr>
                <w:sz w:val="1"/>
                <w:szCs w:val="1"/>
                <w:color w:val="auto"/>
              </w:rPr>
            </w:pPr>
          </w:p>
        </w:tc>
        <w:tc>
          <w:tcPr>
            <w:tcW w:w="100" w:type="dxa"/>
            <w:vAlign w:val="bottom"/>
            <w:shd w:val="clear" w:color="auto" w:fill="E9F9D8"/>
          </w:tcPr>
          <w:p>
            <w:pPr>
              <w:spacing w:after="0" w:line="20" w:lineRule="exact"/>
              <w:rPr>
                <w:sz w:val="1"/>
                <w:szCs w:val="1"/>
                <w:color w:val="auto"/>
              </w:rPr>
            </w:pPr>
          </w:p>
        </w:tc>
        <w:tc>
          <w:tcPr>
            <w:tcW w:w="240" w:type="dxa"/>
            <w:vAlign w:val="bottom"/>
            <w:shd w:val="clear" w:color="auto" w:fill="4B5088"/>
          </w:tcPr>
          <w:p>
            <w:pPr>
              <w:spacing w:after="0" w:line="20" w:lineRule="exact"/>
              <w:rPr>
                <w:sz w:val="1"/>
                <w:szCs w:val="1"/>
                <w:color w:val="auto"/>
              </w:rPr>
            </w:pPr>
          </w:p>
        </w:tc>
        <w:tc>
          <w:tcPr>
            <w:tcW w:w="780" w:type="dxa"/>
            <w:vAlign w:val="bottom"/>
            <w:shd w:val="clear" w:color="auto" w:fill="4B5088"/>
          </w:tcPr>
          <w:p>
            <w:pPr>
              <w:spacing w:after="0" w:line="20" w:lineRule="exact"/>
              <w:rPr>
                <w:sz w:val="1"/>
                <w:szCs w:val="1"/>
                <w:color w:val="auto"/>
              </w:rPr>
            </w:pPr>
          </w:p>
        </w:tc>
        <w:tc>
          <w:tcPr>
            <w:tcW w:w="100" w:type="dxa"/>
            <w:vAlign w:val="bottom"/>
            <w:shd w:val="clear" w:color="auto" w:fill="E9F9D8"/>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680" w:type="dxa"/>
            <w:vAlign w:val="bottom"/>
            <w:shd w:val="clear" w:color="auto" w:fill="4B508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gridSpan w:val="6"/>
            <w:vMerge w:val="restart"/>
          </w:tcPr>
          <w:p>
            <w:pPr>
              <w:jc w:val="right"/>
              <w:ind w:right="40"/>
              <w:spacing w:after="0" w:line="210"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color w:val="auto"/>
              </w:rPr>
              <w:t>​2023</w:t>
            </w:r>
            <w:r>
              <w:rPr>
                <w:rFonts w:ascii="Arial" w:cs="Arial" w:eastAsia="Arial" w:hAnsi="Arial"/>
                <w:sz w:val="24"/>
                <w:szCs w:val="24"/>
                <w:color w:val="auto"/>
                <w:vertAlign w:val="subscript"/>
              </w:rPr>
              <w:t>​​​​</w:t>
            </w:r>
            <w:r>
              <w:rPr>
                <w:rFonts w:ascii="Arial" w:cs="Arial" w:eastAsia="Arial" w:hAnsi="Arial"/>
                <w:sz w:val="13"/>
                <w:szCs w:val="13"/>
                <w:color w:val="auto"/>
              </w:rPr>
              <w:t>$1,250,000</w:t>
            </w:r>
            <w:r>
              <w:rPr>
                <w:rFonts w:ascii="Arial" w:cs="Arial" w:eastAsia="Arial" w:hAnsi="Arial"/>
                <w:sz w:val="24"/>
                <w:szCs w:val="24"/>
                <w:color w:val="auto"/>
                <w:vertAlign w:val="subscript"/>
              </w:rPr>
              <w:t>​​​​</w:t>
            </w:r>
            <w:r>
              <w:rPr>
                <w:rFonts w:ascii="Arial" w:cs="Arial" w:eastAsia="Arial" w:hAnsi="Arial"/>
                <w:sz w:val="13"/>
                <w:szCs w:val="13"/>
                <w:color w:val="auto"/>
              </w:rPr>
              <w:t xml:space="preserve"> ​</w:t>
            </w:r>
          </w:p>
        </w:tc>
        <w:tc>
          <w:tcPr>
            <w:tcW w:w="760" w:type="dxa"/>
            <w:vAlign w:val="bottom"/>
            <w:gridSpan w:val="3"/>
            <w:vMerge w:val="restart"/>
          </w:tcPr>
          <w:p>
            <w:pPr>
              <w:jc w:val="right"/>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w:t>
            </w:r>
            <w:r>
              <w:rPr>
                <w:rFonts w:ascii="Arial" w:cs="Arial" w:eastAsia="Arial" w:hAnsi="Arial"/>
                <w:sz w:val="24"/>
                <w:szCs w:val="24"/>
                <w:color w:val="auto"/>
                <w:vertAlign w:val="superscript"/>
              </w:rPr>
              <w:t>$</w:t>
            </w:r>
          </w:p>
        </w:tc>
        <w:tc>
          <w:tcPr>
            <w:tcW w:w="980" w:type="dxa"/>
            <w:vAlign w:val="bottom"/>
            <w:gridSpan w:val="3"/>
            <w:vMerge w:val="restart"/>
          </w:tcPr>
          <w:p>
            <w:pPr>
              <w:jc w:val="right"/>
              <w:spacing w:after="0" w:line="210" w:lineRule="exact"/>
              <w:rPr>
                <w:sz w:val="20"/>
                <w:szCs w:val="20"/>
                <w:color w:val="auto"/>
              </w:rPr>
            </w:pPr>
            <w:r>
              <w:rPr>
                <w:rFonts w:ascii="Arial" w:cs="Arial" w:eastAsia="Arial" w:hAnsi="Arial"/>
                <w:sz w:val="13"/>
                <w:szCs w:val="13"/>
                <w:color w:val="auto"/>
              </w:rPr>
              <w:t>15,767,540</w:t>
            </w:r>
            <w:r>
              <w:rPr>
                <w:rFonts w:ascii="Arial" w:cs="Arial" w:eastAsia="Arial" w:hAnsi="Arial"/>
                <w:sz w:val="24"/>
                <w:szCs w:val="24"/>
                <w:color w:val="auto"/>
                <w:vertAlign w:val="subscript"/>
              </w:rPr>
              <w:t>​​​​</w:t>
            </w:r>
            <w:r>
              <w:rPr>
                <w:rFonts w:ascii="Arial" w:cs="Arial" w:eastAsia="Arial" w:hAnsi="Arial"/>
                <w:sz w:val="13"/>
                <w:szCs w:val="13"/>
                <w:color w:val="auto"/>
              </w:rPr>
              <w:t xml:space="preserve"> ​</w:t>
            </w:r>
          </w:p>
        </w:tc>
        <w:tc>
          <w:tcPr>
            <w:tcW w:w="780" w:type="dxa"/>
            <w:vAlign w:val="bottom"/>
            <w:gridSpan w:val="3"/>
            <w:vMerge w:val="restart"/>
          </w:tcPr>
          <w:p>
            <w:pPr>
              <w:jc w:val="right"/>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w:t>
            </w:r>
          </w:p>
        </w:tc>
        <w:tc>
          <w:tcPr>
            <w:tcW w:w="180" w:type="dxa"/>
            <w:vAlign w:val="bottom"/>
            <w:vMerge w:val="restart"/>
          </w:tcPr>
          <w:p>
            <w:pPr>
              <w:ind w:left="40"/>
              <w:spacing w:after="0" w:line="210" w:lineRule="exact"/>
              <w:rPr>
                <w:sz w:val="20"/>
                <w:szCs w:val="20"/>
                <w:color w:val="auto"/>
              </w:rPr>
            </w:pPr>
            <w:r>
              <w:rPr>
                <w:rFonts w:ascii="Arial" w:cs="Arial" w:eastAsia="Arial" w:hAnsi="Arial"/>
                <w:sz w:val="13"/>
                <w:szCs w:val="13"/>
                <w:color w:val="auto"/>
              </w:rPr>
              <w:t>​</w:t>
            </w:r>
            <w:r>
              <w:rPr>
                <w:rFonts w:ascii="Arial" w:cs="Arial" w:eastAsia="Arial" w:hAnsi="Arial"/>
                <w:sz w:val="24"/>
                <w:szCs w:val="24"/>
                <w:color w:val="auto"/>
                <w:vertAlign w:val="superscript"/>
              </w:rPr>
              <w:t>$</w:t>
            </w:r>
          </w:p>
        </w:tc>
        <w:tc>
          <w:tcPr>
            <w:tcW w:w="1000" w:type="dxa"/>
            <w:vAlign w:val="bottom"/>
            <w:gridSpan w:val="3"/>
            <w:vMerge w:val="restart"/>
          </w:tcPr>
          <w:p>
            <w:pPr>
              <w:jc w:val="right"/>
              <w:ind w:right="157"/>
              <w:spacing w:after="0" w:line="210" w:lineRule="exact"/>
              <w:rPr>
                <w:sz w:val="20"/>
                <w:szCs w:val="20"/>
                <w:color w:val="auto"/>
              </w:rPr>
            </w:pPr>
            <w:r>
              <w:rPr>
                <w:rFonts w:ascii="Arial" w:cs="Arial" w:eastAsia="Arial" w:hAnsi="Arial"/>
                <w:sz w:val="13"/>
                <w:szCs w:val="13"/>
                <w:color w:val="auto"/>
              </w:rPr>
              <w:t>1,454,167</w:t>
            </w:r>
            <w:r>
              <w:rPr>
                <w:rFonts w:ascii="Arial" w:cs="Arial" w:eastAsia="Arial" w:hAnsi="Arial"/>
                <w:sz w:val="24"/>
                <w:szCs w:val="24"/>
                <w:color w:val="auto"/>
                <w:vertAlign w:val="subscript"/>
              </w:rPr>
              <w:t>​​​</w:t>
            </w:r>
          </w:p>
        </w:tc>
        <w:tc>
          <w:tcPr>
            <w:tcW w:w="1740" w:type="dxa"/>
            <w:vAlign w:val="bottom"/>
            <w:gridSpan w:val="5"/>
            <w:vMerge w:val="restart"/>
          </w:tcPr>
          <w:p>
            <w:pPr>
              <w:jc w:val="right"/>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$ 36,464</w:t>
            </w:r>
            <w:r>
              <w:rPr>
                <w:rFonts w:ascii="Arial" w:cs="Arial" w:eastAsia="Arial" w:hAnsi="Arial"/>
                <w:sz w:val="24"/>
                <w:szCs w:val="24"/>
                <w:color w:val="auto"/>
                <w:vertAlign w:val="subscript"/>
              </w:rPr>
              <w:t>​​​​</w:t>
            </w:r>
            <w:r>
              <w:rPr>
                <w:rFonts w:ascii="Arial" w:cs="Arial" w:eastAsia="Arial" w:hAnsi="Arial"/>
                <w:sz w:val="13"/>
                <w:szCs w:val="13"/>
                <w:color w:val="auto"/>
              </w:rPr>
              <w:t>$18,508,171</w:t>
            </w:r>
            <w:r>
              <w:rPr>
                <w:rFonts w:ascii="Arial" w:cs="Arial" w:eastAsia="Arial" w:hAnsi="Arial"/>
                <w:sz w:val="24"/>
                <w:szCs w:val="24"/>
                <w:color w:val="auto"/>
                <w:vertAlign w:val="subscript"/>
              </w:rPr>
              <w:t>​</w:t>
            </w:r>
          </w:p>
        </w:tc>
        <w:tc>
          <w:tcPr>
            <w:tcW w:w="0" w:type="dxa"/>
            <w:vAlign w:val="bottom"/>
          </w:tcPr>
          <w:p>
            <w:pPr>
              <w:spacing w:after="0"/>
              <w:rPr>
                <w:sz w:val="1"/>
                <w:szCs w:val="1"/>
                <w:color w:val="auto"/>
              </w:rPr>
            </w:pPr>
          </w:p>
        </w:tc>
      </w:tr>
      <w:tr>
        <w:trPr>
          <w:trHeight w:val="144"/>
        </w:trPr>
        <w:tc>
          <w:tcPr>
            <w:tcW w:w="2140" w:type="dxa"/>
            <w:vAlign w:val="bottom"/>
          </w:tcPr>
          <w:p>
            <w:pPr>
              <w:spacing w:after="0" w:line="125" w:lineRule="exact"/>
              <w:rPr>
                <w:sz w:val="20"/>
                <w:szCs w:val="20"/>
                <w:color w:val="auto"/>
              </w:rPr>
            </w:pPr>
            <w:r>
              <w:rPr>
                <w:rFonts w:ascii="Arial" w:cs="Arial" w:eastAsia="Arial" w:hAnsi="Arial"/>
                <w:sz w:val="14"/>
                <w:szCs w:val="14"/>
                <w:color w:val="auto"/>
              </w:rPr>
              <w:t>Officer, Chairman of the Board</w:t>
            </w:r>
          </w:p>
        </w:tc>
        <w:tc>
          <w:tcPr>
            <w:tcW w:w="100" w:type="dxa"/>
            <w:vAlign w:val="bottom"/>
          </w:tcPr>
          <w:p>
            <w:pPr>
              <w:spacing w:after="0"/>
              <w:rPr>
                <w:sz w:val="12"/>
                <w:szCs w:val="12"/>
                <w:color w:val="auto"/>
              </w:rPr>
            </w:pPr>
          </w:p>
        </w:tc>
        <w:tc>
          <w:tcPr>
            <w:tcW w:w="1420" w:type="dxa"/>
            <w:vAlign w:val="bottom"/>
            <w:gridSpan w:val="6"/>
            <w:vMerge w:val="continue"/>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7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40" w:type="dxa"/>
            <w:vAlign w:val="bottom"/>
            <w:vMerge w:val="restart"/>
          </w:tcPr>
          <w:p>
            <w:pPr>
              <w:spacing w:after="0"/>
              <w:rPr>
                <w:sz w:val="20"/>
                <w:szCs w:val="20"/>
                <w:color w:val="auto"/>
              </w:rPr>
            </w:pPr>
            <w:r>
              <w:rPr>
                <w:rFonts w:ascii="Arial" w:cs="Arial" w:eastAsia="Arial" w:hAnsi="Arial"/>
                <w:sz w:val="14"/>
                <w:szCs w:val="14"/>
                <w:color w:val="auto"/>
              </w:rPr>
              <w:t>and Interim President</w:t>
            </w:r>
          </w:p>
        </w:tc>
        <w:tc>
          <w:tcPr>
            <w:tcW w:w="100" w:type="dxa"/>
            <w:vAlign w:val="bottom"/>
          </w:tcPr>
          <w:p>
            <w:pPr>
              <w:spacing w:after="0" w:line="20" w:lineRule="exact"/>
              <w:rPr>
                <w:sz w:val="1"/>
                <w:szCs w:val="1"/>
                <w:color w:val="auto"/>
              </w:rPr>
            </w:pPr>
          </w:p>
        </w:tc>
        <w:tc>
          <w:tcPr>
            <w:tcW w:w="340" w:type="dxa"/>
            <w:vAlign w:val="bottom"/>
            <w:shd w:val="clear" w:color="auto" w:fill="4B50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46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4B5088"/>
          </w:tcPr>
          <w:p>
            <w:pPr>
              <w:spacing w:after="0" w:line="20" w:lineRule="exact"/>
              <w:rPr>
                <w:sz w:val="1"/>
                <w:szCs w:val="1"/>
                <w:color w:val="auto"/>
              </w:rPr>
            </w:pPr>
          </w:p>
        </w:tc>
        <w:tc>
          <w:tcPr>
            <w:tcW w:w="760" w:type="dxa"/>
            <w:vAlign w:val="bottom"/>
            <w:shd w:val="clear" w:color="auto" w:fill="4B50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60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180" w:type="dxa"/>
            <w:vAlign w:val="bottom"/>
            <w:shd w:val="clear" w:color="auto" w:fill="4B5088"/>
          </w:tcPr>
          <w:p>
            <w:pPr>
              <w:spacing w:after="0" w:line="20" w:lineRule="exact"/>
              <w:rPr>
                <w:sz w:val="1"/>
                <w:szCs w:val="1"/>
                <w:color w:val="auto"/>
              </w:rPr>
            </w:pPr>
          </w:p>
        </w:tc>
        <w:tc>
          <w:tcPr>
            <w:tcW w:w="66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4B5088"/>
          </w:tcPr>
          <w:p>
            <w:pPr>
              <w:spacing w:after="0" w:line="20" w:lineRule="exact"/>
              <w:rPr>
                <w:sz w:val="1"/>
                <w:szCs w:val="1"/>
                <w:color w:val="auto"/>
              </w:rPr>
            </w:pPr>
          </w:p>
        </w:tc>
        <w:tc>
          <w:tcPr>
            <w:tcW w:w="78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shd w:val="clear" w:color="auto" w:fill="4B508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140" w:type="dxa"/>
            <w:vAlign w:val="bottom"/>
            <w:vMerge w:val="continue"/>
          </w:tcPr>
          <w:p>
            <w:pPr>
              <w:spacing w:after="0"/>
              <w:rPr>
                <w:sz w:val="19"/>
                <w:szCs w:val="19"/>
                <w:color w:val="auto"/>
              </w:rPr>
            </w:pPr>
          </w:p>
        </w:tc>
        <w:tc>
          <w:tcPr>
            <w:tcW w:w="1520" w:type="dxa"/>
            <w:vAlign w:val="bottom"/>
            <w:gridSpan w:val="7"/>
          </w:tcPr>
          <w:p>
            <w:pPr>
              <w:jc w:val="right"/>
              <w:ind w:righ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r>
              <w:rPr>
                <w:rFonts w:ascii="Arial" w:cs="Arial" w:eastAsia="Arial" w:hAnsi="Arial"/>
                <w:sz w:val="25"/>
                <w:szCs w:val="25"/>
                <w:b w:val="1"/>
                <w:bCs w:val="1"/>
                <w:color w:val="auto"/>
                <w:vertAlign w:val="subscript"/>
              </w:rPr>
              <w:t>​</w:t>
            </w:r>
            <w:r>
              <w:rPr>
                <w:rFonts w:ascii="Arial" w:cs="Arial" w:eastAsia="Arial" w:hAnsi="Arial"/>
                <w:sz w:val="13"/>
                <w:szCs w:val="13"/>
                <w:color w:val="auto"/>
              </w:rPr>
              <w:t>​2022</w:t>
            </w:r>
            <w:r>
              <w:rPr>
                <w:rFonts w:ascii="Arial" w:cs="Arial" w:eastAsia="Arial" w:hAnsi="Arial"/>
                <w:sz w:val="25"/>
                <w:szCs w:val="25"/>
                <w:color w:val="auto"/>
                <w:vertAlign w:val="subscript"/>
              </w:rPr>
              <w:t>​​​​</w:t>
            </w:r>
            <w:r>
              <w:rPr>
                <w:rFonts w:ascii="Arial" w:cs="Arial" w:eastAsia="Arial" w:hAnsi="Arial"/>
                <w:sz w:val="13"/>
                <w:szCs w:val="13"/>
                <w:color w:val="auto"/>
              </w:rPr>
              <w:t>$1,250,000</w:t>
            </w: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p>
        </w:tc>
        <w:tc>
          <w:tcPr>
            <w:tcW w:w="760" w:type="dxa"/>
            <w:vAlign w:val="bottom"/>
            <w:gridSpan w:val="3"/>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w:t>
            </w:r>
            <w:r>
              <w:rPr>
                <w:rFonts w:ascii="Arial" w:cs="Arial" w:eastAsia="Arial" w:hAnsi="Arial"/>
                <w:sz w:val="25"/>
                <w:szCs w:val="25"/>
                <w:color w:val="auto"/>
                <w:vertAlign w:val="superscript"/>
              </w:rPr>
              <w:t>$</w:t>
            </w:r>
          </w:p>
        </w:tc>
        <w:tc>
          <w:tcPr>
            <w:tcW w:w="980" w:type="dxa"/>
            <w:vAlign w:val="bottom"/>
            <w:gridSpan w:val="3"/>
          </w:tcPr>
          <w:p>
            <w:pPr>
              <w:jc w:val="right"/>
              <w:spacing w:after="0" w:line="223" w:lineRule="exact"/>
              <w:rPr>
                <w:sz w:val="20"/>
                <w:szCs w:val="20"/>
                <w:color w:val="auto"/>
              </w:rPr>
            </w:pPr>
            <w:r>
              <w:rPr>
                <w:rFonts w:ascii="Arial" w:cs="Arial" w:eastAsia="Arial" w:hAnsi="Arial"/>
                <w:sz w:val="13"/>
                <w:szCs w:val="13"/>
                <w:color w:val="auto"/>
              </w:rPr>
              <w:t>14,284,701</w:t>
            </w: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p>
        </w:tc>
        <w:tc>
          <w:tcPr>
            <w:tcW w:w="780" w:type="dxa"/>
            <w:vAlign w:val="bottom"/>
            <w:gridSpan w:val="3"/>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180" w:type="dxa"/>
            <w:vAlign w:val="bottom"/>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1000" w:type="dxa"/>
            <w:vAlign w:val="bottom"/>
            <w:gridSpan w:val="3"/>
          </w:tcPr>
          <w:p>
            <w:pPr>
              <w:jc w:val="right"/>
              <w:ind w:right="157"/>
              <w:spacing w:after="0" w:line="223" w:lineRule="exact"/>
              <w:rPr>
                <w:sz w:val="20"/>
                <w:szCs w:val="20"/>
                <w:color w:val="auto"/>
              </w:rPr>
            </w:pPr>
            <w:r>
              <w:rPr>
                <w:rFonts w:ascii="Arial" w:cs="Arial" w:eastAsia="Arial" w:hAnsi="Arial"/>
                <w:sz w:val="13"/>
                <w:szCs w:val="13"/>
                <w:color w:val="auto"/>
              </w:rPr>
              <w:t>1,051,094</w:t>
            </w:r>
            <w:r>
              <w:rPr>
                <w:rFonts w:ascii="Arial" w:cs="Arial" w:eastAsia="Arial" w:hAnsi="Arial"/>
                <w:sz w:val="25"/>
                <w:szCs w:val="25"/>
                <w:color w:val="auto"/>
                <w:vertAlign w:val="subscript"/>
              </w:rPr>
              <w:t>​​​</w:t>
            </w:r>
          </w:p>
        </w:tc>
        <w:tc>
          <w:tcPr>
            <w:tcW w:w="1740" w:type="dxa"/>
            <w:vAlign w:val="bottom"/>
            <w:gridSpan w:val="5"/>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$ 75,060</w:t>
            </w:r>
            <w:r>
              <w:rPr>
                <w:rFonts w:ascii="Arial" w:cs="Arial" w:eastAsia="Arial" w:hAnsi="Arial"/>
                <w:sz w:val="25"/>
                <w:szCs w:val="25"/>
                <w:color w:val="auto"/>
                <w:vertAlign w:val="subscript"/>
              </w:rPr>
              <w:t>​​​​</w:t>
            </w:r>
            <w:r>
              <w:rPr>
                <w:rFonts w:ascii="Arial" w:cs="Arial" w:eastAsia="Arial" w:hAnsi="Arial"/>
                <w:sz w:val="13"/>
                <w:szCs w:val="13"/>
                <w:color w:val="auto"/>
              </w:rPr>
              <w:t>$16,660,855</w:t>
            </w:r>
            <w:r>
              <w:rPr>
                <w:rFonts w:ascii="Arial" w:cs="Arial" w:eastAsia="Arial" w:hAnsi="Arial"/>
                <w:sz w:val="25"/>
                <w:szCs w:val="25"/>
                <w:color w:val="auto"/>
                <w:vertAlign w:val="subscript"/>
              </w:rPr>
              <w:t>​</w:t>
            </w:r>
          </w:p>
        </w:tc>
        <w:tc>
          <w:tcPr>
            <w:tcW w:w="0" w:type="dxa"/>
            <w:vAlign w:val="bottom"/>
          </w:tcPr>
          <w:p>
            <w:pPr>
              <w:spacing w:after="0"/>
              <w:rPr>
                <w:sz w:val="1"/>
                <w:szCs w:val="1"/>
                <w:color w:val="auto"/>
              </w:rPr>
            </w:pPr>
          </w:p>
        </w:tc>
      </w:tr>
      <w:tr>
        <w:trPr>
          <w:trHeight w:val="20"/>
        </w:trPr>
        <w:tc>
          <w:tcPr>
            <w:tcW w:w="21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4B5088"/>
          </w:tcPr>
          <w:p>
            <w:pPr>
              <w:spacing w:after="0" w:line="20" w:lineRule="exact"/>
              <w:rPr>
                <w:sz w:val="1"/>
                <w:szCs w:val="1"/>
                <w:color w:val="auto"/>
              </w:rPr>
            </w:pPr>
          </w:p>
        </w:tc>
        <w:tc>
          <w:tcPr>
            <w:tcW w:w="80" w:type="dxa"/>
            <w:vAlign w:val="bottom"/>
            <w:shd w:val="clear" w:color="auto" w:fill="E9F9D8"/>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580" w:type="dxa"/>
            <w:vAlign w:val="bottom"/>
            <w:shd w:val="clear" w:color="auto" w:fill="4B5088"/>
          </w:tcPr>
          <w:p>
            <w:pPr>
              <w:spacing w:after="0" w:line="20" w:lineRule="exact"/>
              <w:rPr>
                <w:sz w:val="1"/>
                <w:szCs w:val="1"/>
                <w:color w:val="auto"/>
              </w:rPr>
            </w:pPr>
          </w:p>
        </w:tc>
        <w:tc>
          <w:tcPr>
            <w:tcW w:w="100" w:type="dxa"/>
            <w:vAlign w:val="bottom"/>
            <w:shd w:val="clear" w:color="auto" w:fill="E9F9D8"/>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460" w:type="dxa"/>
            <w:vAlign w:val="bottom"/>
            <w:shd w:val="clear" w:color="auto" w:fill="4B5088"/>
          </w:tcPr>
          <w:p>
            <w:pPr>
              <w:spacing w:after="0" w:line="20" w:lineRule="exact"/>
              <w:rPr>
                <w:sz w:val="1"/>
                <w:szCs w:val="1"/>
                <w:color w:val="auto"/>
              </w:rPr>
            </w:pPr>
          </w:p>
        </w:tc>
        <w:tc>
          <w:tcPr>
            <w:tcW w:w="100" w:type="dxa"/>
            <w:vAlign w:val="bottom"/>
            <w:shd w:val="clear" w:color="auto" w:fill="E9F9D8"/>
          </w:tcPr>
          <w:p>
            <w:pPr>
              <w:spacing w:after="0" w:line="20" w:lineRule="exact"/>
              <w:rPr>
                <w:sz w:val="1"/>
                <w:szCs w:val="1"/>
                <w:color w:val="auto"/>
              </w:rPr>
            </w:pPr>
          </w:p>
        </w:tc>
        <w:tc>
          <w:tcPr>
            <w:tcW w:w="200" w:type="dxa"/>
            <w:vAlign w:val="bottom"/>
            <w:shd w:val="clear" w:color="auto" w:fill="4B5088"/>
          </w:tcPr>
          <w:p>
            <w:pPr>
              <w:spacing w:after="0" w:line="20" w:lineRule="exact"/>
              <w:rPr>
                <w:sz w:val="1"/>
                <w:szCs w:val="1"/>
                <w:color w:val="auto"/>
              </w:rPr>
            </w:pPr>
          </w:p>
        </w:tc>
        <w:tc>
          <w:tcPr>
            <w:tcW w:w="760" w:type="dxa"/>
            <w:vAlign w:val="bottom"/>
            <w:shd w:val="clear" w:color="auto" w:fill="4B5088"/>
          </w:tcPr>
          <w:p>
            <w:pPr>
              <w:spacing w:after="0" w:line="20" w:lineRule="exact"/>
              <w:rPr>
                <w:sz w:val="1"/>
                <w:szCs w:val="1"/>
                <w:color w:val="auto"/>
              </w:rPr>
            </w:pPr>
          </w:p>
        </w:tc>
        <w:tc>
          <w:tcPr>
            <w:tcW w:w="80" w:type="dxa"/>
            <w:vAlign w:val="bottom"/>
            <w:shd w:val="clear" w:color="auto" w:fill="E9F9D8"/>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600" w:type="dxa"/>
            <w:vAlign w:val="bottom"/>
            <w:shd w:val="clear" w:color="auto" w:fill="4B5088"/>
          </w:tcPr>
          <w:p>
            <w:pPr>
              <w:spacing w:after="0" w:line="20" w:lineRule="exact"/>
              <w:rPr>
                <w:sz w:val="1"/>
                <w:szCs w:val="1"/>
                <w:color w:val="auto"/>
              </w:rPr>
            </w:pPr>
          </w:p>
        </w:tc>
        <w:tc>
          <w:tcPr>
            <w:tcW w:w="100" w:type="dxa"/>
            <w:vAlign w:val="bottom"/>
            <w:shd w:val="clear" w:color="auto" w:fill="E9F9D8"/>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180" w:type="dxa"/>
            <w:vAlign w:val="bottom"/>
            <w:shd w:val="clear" w:color="auto" w:fill="4B5088"/>
          </w:tcPr>
          <w:p>
            <w:pPr>
              <w:spacing w:after="0" w:line="20" w:lineRule="exact"/>
              <w:rPr>
                <w:sz w:val="1"/>
                <w:szCs w:val="1"/>
                <w:color w:val="auto"/>
              </w:rPr>
            </w:pPr>
          </w:p>
        </w:tc>
        <w:tc>
          <w:tcPr>
            <w:tcW w:w="660" w:type="dxa"/>
            <w:vAlign w:val="bottom"/>
            <w:shd w:val="clear" w:color="auto" w:fill="4B5088"/>
          </w:tcPr>
          <w:p>
            <w:pPr>
              <w:spacing w:after="0" w:line="20" w:lineRule="exact"/>
              <w:rPr>
                <w:sz w:val="1"/>
                <w:szCs w:val="1"/>
                <w:color w:val="auto"/>
              </w:rPr>
            </w:pPr>
          </w:p>
        </w:tc>
        <w:tc>
          <w:tcPr>
            <w:tcW w:w="100" w:type="dxa"/>
            <w:vAlign w:val="bottom"/>
            <w:shd w:val="clear" w:color="auto" w:fill="E9F9D8"/>
          </w:tcPr>
          <w:p>
            <w:pPr>
              <w:spacing w:after="0" w:line="20" w:lineRule="exact"/>
              <w:rPr>
                <w:sz w:val="1"/>
                <w:szCs w:val="1"/>
                <w:color w:val="auto"/>
              </w:rPr>
            </w:pPr>
          </w:p>
        </w:tc>
        <w:tc>
          <w:tcPr>
            <w:tcW w:w="240" w:type="dxa"/>
            <w:vAlign w:val="bottom"/>
            <w:shd w:val="clear" w:color="auto" w:fill="4B5088"/>
          </w:tcPr>
          <w:p>
            <w:pPr>
              <w:spacing w:after="0" w:line="20" w:lineRule="exact"/>
              <w:rPr>
                <w:sz w:val="1"/>
                <w:szCs w:val="1"/>
                <w:color w:val="auto"/>
              </w:rPr>
            </w:pPr>
          </w:p>
        </w:tc>
        <w:tc>
          <w:tcPr>
            <w:tcW w:w="780" w:type="dxa"/>
            <w:vAlign w:val="bottom"/>
            <w:shd w:val="clear" w:color="auto" w:fill="4B5088"/>
          </w:tcPr>
          <w:p>
            <w:pPr>
              <w:spacing w:after="0" w:line="20" w:lineRule="exact"/>
              <w:rPr>
                <w:sz w:val="1"/>
                <w:szCs w:val="1"/>
                <w:color w:val="auto"/>
              </w:rPr>
            </w:pPr>
          </w:p>
        </w:tc>
        <w:tc>
          <w:tcPr>
            <w:tcW w:w="100" w:type="dxa"/>
            <w:vAlign w:val="bottom"/>
            <w:shd w:val="clear" w:color="auto" w:fill="E9F9D8"/>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680" w:type="dxa"/>
            <w:vAlign w:val="bottom"/>
            <w:shd w:val="clear" w:color="auto" w:fill="4B508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140" w:type="dxa"/>
            <w:vAlign w:val="bottom"/>
          </w:tcPr>
          <w:p>
            <w:pPr>
              <w:spacing w:after="0"/>
              <w:rPr>
                <w:sz w:val="20"/>
                <w:szCs w:val="20"/>
                <w:color w:val="auto"/>
              </w:rPr>
            </w:pPr>
            <w:r>
              <w:rPr>
                <w:rFonts w:ascii="Arial" w:cs="Arial" w:eastAsia="Arial" w:hAnsi="Arial"/>
                <w:sz w:val="14"/>
                <w:szCs w:val="14"/>
                <w:b w:val="1"/>
                <w:bCs w:val="1"/>
                <w:color w:val="1F2668"/>
              </w:rPr>
              <w:t>Matthew J. DiLiberto</w:t>
            </w:r>
          </w:p>
        </w:tc>
        <w:tc>
          <w:tcPr>
            <w:tcW w:w="100" w:type="dxa"/>
            <w:vAlign w:val="bottom"/>
          </w:tcPr>
          <w:p>
            <w:pPr>
              <w:spacing w:after="0"/>
              <w:rPr>
                <w:sz w:val="18"/>
                <w:szCs w:val="18"/>
                <w:color w:val="auto"/>
              </w:rPr>
            </w:pPr>
          </w:p>
        </w:tc>
        <w:tc>
          <w:tcPr>
            <w:tcW w:w="580" w:type="dxa"/>
            <w:vAlign w:val="bottom"/>
            <w:tcBorders>
              <w:bottom w:val="single" w:sz="8" w:color="E9F9D8"/>
            </w:tcBorders>
            <w:gridSpan w:val="3"/>
            <w:shd w:val="clear" w:color="auto" w:fill="E9F9D8"/>
          </w:tcPr>
          <w:p>
            <w:pPr>
              <w:ind w:left="20"/>
              <w:spacing w:after="0" w:line="210"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color w:val="auto"/>
              </w:rPr>
              <w:t>​2024</w:t>
            </w:r>
            <w:r>
              <w:rPr>
                <w:rFonts w:ascii="Arial" w:cs="Arial" w:eastAsia="Arial" w:hAnsi="Arial"/>
                <w:sz w:val="24"/>
                <w:szCs w:val="24"/>
                <w:color w:val="auto"/>
                <w:vertAlign w:val="subscript"/>
              </w:rPr>
              <w:t>​​​​</w:t>
            </w:r>
            <w:r>
              <w:rPr>
                <w:rFonts w:ascii="Arial" w:cs="Arial" w:eastAsia="Arial" w:hAnsi="Arial"/>
                <w:sz w:val="13"/>
                <w:szCs w:val="13"/>
                <w:color w:val="auto"/>
              </w:rPr>
              <w:t>$</w:t>
            </w:r>
          </w:p>
        </w:tc>
        <w:tc>
          <w:tcPr>
            <w:tcW w:w="840" w:type="dxa"/>
            <w:vAlign w:val="bottom"/>
            <w:tcBorders>
              <w:bottom w:val="single" w:sz="8" w:color="E9F9D8"/>
            </w:tcBorders>
            <w:gridSpan w:val="3"/>
            <w:shd w:val="clear" w:color="auto" w:fill="E9F9D8"/>
          </w:tcPr>
          <w:p>
            <w:pPr>
              <w:jc w:val="right"/>
              <w:ind w:right="40"/>
              <w:spacing w:after="0" w:line="210" w:lineRule="exact"/>
              <w:rPr>
                <w:sz w:val="20"/>
                <w:szCs w:val="20"/>
                <w:color w:val="auto"/>
              </w:rPr>
            </w:pPr>
            <w:r>
              <w:rPr>
                <w:rFonts w:ascii="Arial" w:cs="Arial" w:eastAsia="Arial" w:hAnsi="Arial"/>
                <w:sz w:val="13"/>
                <w:szCs w:val="13"/>
                <w:color w:val="auto"/>
              </w:rPr>
              <w:t>600,000</w:t>
            </w:r>
            <w:r>
              <w:rPr>
                <w:rFonts w:ascii="Arial" w:cs="Arial" w:eastAsia="Arial" w:hAnsi="Arial"/>
                <w:sz w:val="24"/>
                <w:szCs w:val="24"/>
                <w:color w:val="auto"/>
                <w:vertAlign w:val="subscript"/>
              </w:rPr>
              <w:t>​​​​</w:t>
            </w:r>
            <w:r>
              <w:rPr>
                <w:rFonts w:ascii="Arial" w:cs="Arial" w:eastAsia="Arial" w:hAnsi="Arial"/>
                <w:sz w:val="13"/>
                <w:szCs w:val="13"/>
                <w:color w:val="auto"/>
              </w:rPr>
              <w:t xml:space="preserve"> ​</w:t>
            </w:r>
          </w:p>
        </w:tc>
        <w:tc>
          <w:tcPr>
            <w:tcW w:w="760" w:type="dxa"/>
            <w:vAlign w:val="bottom"/>
            <w:tcBorders>
              <w:bottom w:val="single" w:sz="8" w:color="E9F9D8"/>
            </w:tcBorders>
            <w:gridSpan w:val="3"/>
            <w:shd w:val="clear" w:color="auto" w:fill="E9F9D8"/>
          </w:tcPr>
          <w:p>
            <w:pPr>
              <w:jc w:val="right"/>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w:t>
            </w:r>
            <w:r>
              <w:rPr>
                <w:rFonts w:ascii="Arial" w:cs="Arial" w:eastAsia="Arial" w:hAnsi="Arial"/>
                <w:sz w:val="24"/>
                <w:szCs w:val="24"/>
                <w:color w:val="auto"/>
                <w:vertAlign w:val="superscript"/>
              </w:rPr>
              <w:t>$</w:t>
            </w:r>
          </w:p>
        </w:tc>
        <w:tc>
          <w:tcPr>
            <w:tcW w:w="980" w:type="dxa"/>
            <w:vAlign w:val="bottom"/>
            <w:tcBorders>
              <w:bottom w:val="single" w:sz="8" w:color="E9F9D8"/>
            </w:tcBorders>
            <w:gridSpan w:val="3"/>
            <w:shd w:val="clear" w:color="auto" w:fill="E9F9D8"/>
          </w:tcPr>
          <w:p>
            <w:pPr>
              <w:jc w:val="right"/>
              <w:spacing w:after="0" w:line="210" w:lineRule="exact"/>
              <w:rPr>
                <w:sz w:val="20"/>
                <w:szCs w:val="20"/>
                <w:color w:val="auto"/>
              </w:rPr>
            </w:pPr>
            <w:r>
              <w:rPr>
                <w:rFonts w:ascii="Arial" w:cs="Arial" w:eastAsia="Arial" w:hAnsi="Arial"/>
                <w:sz w:val="13"/>
                <w:szCs w:val="13"/>
                <w:color w:val="auto"/>
              </w:rPr>
              <w:t>3,356,422</w:t>
            </w:r>
            <w:r>
              <w:rPr>
                <w:rFonts w:ascii="Arial" w:cs="Arial" w:eastAsia="Arial" w:hAnsi="Arial"/>
                <w:sz w:val="24"/>
                <w:szCs w:val="24"/>
                <w:color w:val="auto"/>
                <w:vertAlign w:val="subscript"/>
              </w:rPr>
              <w:t>​​​​</w:t>
            </w:r>
            <w:r>
              <w:rPr>
                <w:rFonts w:ascii="Arial" w:cs="Arial" w:eastAsia="Arial" w:hAnsi="Arial"/>
                <w:sz w:val="13"/>
                <w:szCs w:val="13"/>
                <w:color w:val="auto"/>
              </w:rPr>
              <w:t xml:space="preserve"> ​</w:t>
            </w:r>
          </w:p>
        </w:tc>
        <w:tc>
          <w:tcPr>
            <w:tcW w:w="780" w:type="dxa"/>
            <w:vAlign w:val="bottom"/>
            <w:tcBorders>
              <w:bottom w:val="single" w:sz="8" w:color="E9F9D8"/>
            </w:tcBorders>
            <w:gridSpan w:val="3"/>
            <w:shd w:val="clear" w:color="auto" w:fill="E9F9D8"/>
          </w:tcPr>
          <w:p>
            <w:pPr>
              <w:jc w:val="right"/>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w:t>
            </w:r>
          </w:p>
        </w:tc>
        <w:tc>
          <w:tcPr>
            <w:tcW w:w="180" w:type="dxa"/>
            <w:vAlign w:val="bottom"/>
            <w:tcBorders>
              <w:bottom w:val="single" w:sz="8" w:color="E9F9D8"/>
            </w:tcBorders>
            <w:shd w:val="clear" w:color="auto" w:fill="E9F9D8"/>
          </w:tcPr>
          <w:p>
            <w:pPr>
              <w:ind w:left="40"/>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 xml:space="preserve"> ​</w:t>
            </w:r>
          </w:p>
        </w:tc>
        <w:tc>
          <w:tcPr>
            <w:tcW w:w="1000" w:type="dxa"/>
            <w:vAlign w:val="bottom"/>
            <w:tcBorders>
              <w:bottom w:val="single" w:sz="8" w:color="E9F9D8"/>
            </w:tcBorders>
            <w:gridSpan w:val="3"/>
            <w:shd w:val="clear" w:color="auto" w:fill="E9F9D8"/>
          </w:tcPr>
          <w:p>
            <w:pPr>
              <w:jc w:val="right"/>
              <w:ind w:right="157"/>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w:t>
            </w:r>
          </w:p>
        </w:tc>
        <w:tc>
          <w:tcPr>
            <w:tcW w:w="1020" w:type="dxa"/>
            <w:vAlign w:val="bottom"/>
            <w:tcBorders>
              <w:bottom w:val="single" w:sz="8" w:color="E9F9D8"/>
            </w:tcBorders>
            <w:gridSpan w:val="3"/>
            <w:shd w:val="clear" w:color="auto" w:fill="E9F9D8"/>
          </w:tcPr>
          <w:p>
            <w:pPr>
              <w:ind w:left="200"/>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$ 13,800</w:t>
            </w:r>
            <w:r>
              <w:rPr>
                <w:rFonts w:ascii="Arial" w:cs="Arial" w:eastAsia="Arial" w:hAnsi="Arial"/>
                <w:sz w:val="24"/>
                <w:szCs w:val="24"/>
                <w:color w:val="auto"/>
                <w:vertAlign w:val="subscript"/>
              </w:rPr>
              <w:t>​​​​</w:t>
            </w:r>
            <w:r>
              <w:rPr>
                <w:rFonts w:ascii="Arial" w:cs="Arial" w:eastAsia="Arial" w:hAnsi="Arial"/>
                <w:sz w:val="13"/>
                <w:szCs w:val="13"/>
                <w:color w:val="auto"/>
              </w:rPr>
              <w:t>$</w:t>
            </w:r>
          </w:p>
        </w:tc>
        <w:tc>
          <w:tcPr>
            <w:tcW w:w="680" w:type="dxa"/>
            <w:vAlign w:val="bottom"/>
            <w:tcBorders>
              <w:bottom w:val="single" w:sz="8" w:color="E9F9D8"/>
            </w:tcBorders>
            <w:shd w:val="clear" w:color="auto" w:fill="E9F9D8"/>
          </w:tcPr>
          <w:p>
            <w:pPr>
              <w:jc w:val="right"/>
              <w:spacing w:after="0"/>
              <w:rPr>
                <w:sz w:val="20"/>
                <w:szCs w:val="20"/>
                <w:color w:val="auto"/>
              </w:rPr>
            </w:pPr>
            <w:r>
              <w:rPr>
                <w:rFonts w:ascii="Arial" w:cs="Arial" w:eastAsia="Arial" w:hAnsi="Arial"/>
                <w:sz w:val="14"/>
                <w:szCs w:val="14"/>
                <w:color w:val="auto"/>
              </w:rPr>
              <w:t>3,970,222</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140" w:type="dxa"/>
            <w:vAlign w:val="bottom"/>
            <w:vMerge w:val="restart"/>
          </w:tcPr>
          <w:p>
            <w:pPr>
              <w:spacing w:after="0"/>
              <w:rPr>
                <w:sz w:val="20"/>
                <w:szCs w:val="20"/>
                <w:color w:val="auto"/>
              </w:rPr>
            </w:pPr>
            <w:r>
              <w:rPr>
                <w:rFonts w:ascii="Arial" w:cs="Arial" w:eastAsia="Arial" w:hAnsi="Arial"/>
                <w:sz w:val="14"/>
                <w:szCs w:val="14"/>
                <w:color w:val="auto"/>
              </w:rPr>
              <w:t>Chief Financial Officer</w:t>
            </w:r>
          </w:p>
        </w:tc>
        <w:tc>
          <w:tcPr>
            <w:tcW w:w="100" w:type="dxa"/>
            <w:vAlign w:val="bottom"/>
          </w:tcPr>
          <w:p>
            <w:pPr>
              <w:spacing w:after="0" w:line="20" w:lineRule="exact"/>
              <w:rPr>
                <w:sz w:val="1"/>
                <w:szCs w:val="1"/>
                <w:color w:val="auto"/>
              </w:rPr>
            </w:pPr>
          </w:p>
        </w:tc>
        <w:tc>
          <w:tcPr>
            <w:tcW w:w="340" w:type="dxa"/>
            <w:vAlign w:val="bottom"/>
            <w:shd w:val="clear" w:color="auto" w:fill="4B5088"/>
          </w:tcPr>
          <w:p>
            <w:pPr>
              <w:spacing w:after="0" w:line="20" w:lineRule="exact"/>
              <w:rPr>
                <w:sz w:val="1"/>
                <w:szCs w:val="1"/>
                <w:color w:val="auto"/>
              </w:rPr>
            </w:pPr>
          </w:p>
        </w:tc>
        <w:tc>
          <w:tcPr>
            <w:tcW w:w="80" w:type="dxa"/>
            <w:vAlign w:val="bottom"/>
            <w:shd w:val="clear" w:color="auto" w:fill="E9F9D8"/>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580" w:type="dxa"/>
            <w:vAlign w:val="bottom"/>
            <w:shd w:val="clear" w:color="auto" w:fill="4B5088"/>
          </w:tcPr>
          <w:p>
            <w:pPr>
              <w:spacing w:after="0" w:line="20" w:lineRule="exact"/>
              <w:rPr>
                <w:sz w:val="1"/>
                <w:szCs w:val="1"/>
                <w:color w:val="auto"/>
              </w:rPr>
            </w:pPr>
          </w:p>
        </w:tc>
        <w:tc>
          <w:tcPr>
            <w:tcW w:w="100" w:type="dxa"/>
            <w:vAlign w:val="bottom"/>
            <w:shd w:val="clear" w:color="auto" w:fill="E9F9D8"/>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460" w:type="dxa"/>
            <w:vAlign w:val="bottom"/>
            <w:shd w:val="clear" w:color="auto" w:fill="4B5088"/>
          </w:tcPr>
          <w:p>
            <w:pPr>
              <w:spacing w:after="0" w:line="20" w:lineRule="exact"/>
              <w:rPr>
                <w:sz w:val="1"/>
                <w:szCs w:val="1"/>
                <w:color w:val="auto"/>
              </w:rPr>
            </w:pPr>
          </w:p>
        </w:tc>
        <w:tc>
          <w:tcPr>
            <w:tcW w:w="100" w:type="dxa"/>
            <w:vAlign w:val="bottom"/>
            <w:shd w:val="clear" w:color="auto" w:fill="E9F9D8"/>
          </w:tcPr>
          <w:p>
            <w:pPr>
              <w:spacing w:after="0" w:line="20" w:lineRule="exact"/>
              <w:rPr>
                <w:sz w:val="1"/>
                <w:szCs w:val="1"/>
                <w:color w:val="auto"/>
              </w:rPr>
            </w:pPr>
          </w:p>
        </w:tc>
        <w:tc>
          <w:tcPr>
            <w:tcW w:w="200" w:type="dxa"/>
            <w:vAlign w:val="bottom"/>
            <w:shd w:val="clear" w:color="auto" w:fill="4B5088"/>
          </w:tcPr>
          <w:p>
            <w:pPr>
              <w:spacing w:after="0" w:line="20" w:lineRule="exact"/>
              <w:rPr>
                <w:sz w:val="1"/>
                <w:szCs w:val="1"/>
                <w:color w:val="auto"/>
              </w:rPr>
            </w:pPr>
          </w:p>
        </w:tc>
        <w:tc>
          <w:tcPr>
            <w:tcW w:w="760" w:type="dxa"/>
            <w:vAlign w:val="bottom"/>
            <w:shd w:val="clear" w:color="auto" w:fill="4B5088"/>
          </w:tcPr>
          <w:p>
            <w:pPr>
              <w:spacing w:after="0" w:line="20" w:lineRule="exact"/>
              <w:rPr>
                <w:sz w:val="1"/>
                <w:szCs w:val="1"/>
                <w:color w:val="auto"/>
              </w:rPr>
            </w:pPr>
          </w:p>
        </w:tc>
        <w:tc>
          <w:tcPr>
            <w:tcW w:w="80" w:type="dxa"/>
            <w:vAlign w:val="bottom"/>
            <w:shd w:val="clear" w:color="auto" w:fill="E9F9D8"/>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600" w:type="dxa"/>
            <w:vAlign w:val="bottom"/>
            <w:shd w:val="clear" w:color="auto" w:fill="4B5088"/>
          </w:tcPr>
          <w:p>
            <w:pPr>
              <w:spacing w:after="0" w:line="20" w:lineRule="exact"/>
              <w:rPr>
                <w:sz w:val="1"/>
                <w:szCs w:val="1"/>
                <w:color w:val="auto"/>
              </w:rPr>
            </w:pPr>
          </w:p>
        </w:tc>
        <w:tc>
          <w:tcPr>
            <w:tcW w:w="100" w:type="dxa"/>
            <w:vAlign w:val="bottom"/>
            <w:shd w:val="clear" w:color="auto" w:fill="E9F9D8"/>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180" w:type="dxa"/>
            <w:vAlign w:val="bottom"/>
            <w:shd w:val="clear" w:color="auto" w:fill="4B5088"/>
          </w:tcPr>
          <w:p>
            <w:pPr>
              <w:spacing w:after="0" w:line="20" w:lineRule="exact"/>
              <w:rPr>
                <w:sz w:val="1"/>
                <w:szCs w:val="1"/>
                <w:color w:val="auto"/>
              </w:rPr>
            </w:pPr>
          </w:p>
        </w:tc>
        <w:tc>
          <w:tcPr>
            <w:tcW w:w="660" w:type="dxa"/>
            <w:vAlign w:val="bottom"/>
            <w:shd w:val="clear" w:color="auto" w:fill="4B5088"/>
          </w:tcPr>
          <w:p>
            <w:pPr>
              <w:spacing w:after="0" w:line="20" w:lineRule="exact"/>
              <w:rPr>
                <w:sz w:val="1"/>
                <w:szCs w:val="1"/>
                <w:color w:val="auto"/>
              </w:rPr>
            </w:pPr>
          </w:p>
        </w:tc>
        <w:tc>
          <w:tcPr>
            <w:tcW w:w="100" w:type="dxa"/>
            <w:vAlign w:val="bottom"/>
            <w:shd w:val="clear" w:color="auto" w:fill="E9F9D8"/>
          </w:tcPr>
          <w:p>
            <w:pPr>
              <w:spacing w:after="0" w:line="20" w:lineRule="exact"/>
              <w:rPr>
                <w:sz w:val="1"/>
                <w:szCs w:val="1"/>
                <w:color w:val="auto"/>
              </w:rPr>
            </w:pPr>
          </w:p>
        </w:tc>
        <w:tc>
          <w:tcPr>
            <w:tcW w:w="240" w:type="dxa"/>
            <w:vAlign w:val="bottom"/>
            <w:shd w:val="clear" w:color="auto" w:fill="4B5088"/>
          </w:tcPr>
          <w:p>
            <w:pPr>
              <w:spacing w:after="0" w:line="20" w:lineRule="exact"/>
              <w:rPr>
                <w:sz w:val="1"/>
                <w:szCs w:val="1"/>
                <w:color w:val="auto"/>
              </w:rPr>
            </w:pPr>
          </w:p>
        </w:tc>
        <w:tc>
          <w:tcPr>
            <w:tcW w:w="780" w:type="dxa"/>
            <w:vAlign w:val="bottom"/>
            <w:shd w:val="clear" w:color="auto" w:fill="4B5088"/>
          </w:tcPr>
          <w:p>
            <w:pPr>
              <w:spacing w:after="0" w:line="20" w:lineRule="exact"/>
              <w:rPr>
                <w:sz w:val="1"/>
                <w:szCs w:val="1"/>
                <w:color w:val="auto"/>
              </w:rPr>
            </w:pPr>
          </w:p>
        </w:tc>
        <w:tc>
          <w:tcPr>
            <w:tcW w:w="100" w:type="dxa"/>
            <w:vAlign w:val="bottom"/>
            <w:shd w:val="clear" w:color="auto" w:fill="E9F9D8"/>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680" w:type="dxa"/>
            <w:vAlign w:val="bottom"/>
            <w:shd w:val="clear" w:color="auto" w:fill="4B508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3"/>
            <w:vMerge w:val="restart"/>
          </w:tcPr>
          <w:p>
            <w:pPr>
              <w:ind w:left="20"/>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color w:val="auto"/>
              </w:rPr>
              <w:t>​2023</w:t>
            </w: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840" w:type="dxa"/>
            <w:vAlign w:val="bottom"/>
            <w:gridSpan w:val="3"/>
            <w:vMerge w:val="restart"/>
          </w:tcPr>
          <w:p>
            <w:pPr>
              <w:jc w:val="right"/>
              <w:ind w:right="40"/>
              <w:spacing w:after="0" w:line="223" w:lineRule="exact"/>
              <w:rPr>
                <w:sz w:val="20"/>
                <w:szCs w:val="20"/>
                <w:color w:val="auto"/>
              </w:rPr>
            </w:pPr>
            <w:r>
              <w:rPr>
                <w:rFonts w:ascii="Arial" w:cs="Arial" w:eastAsia="Arial" w:hAnsi="Arial"/>
                <w:sz w:val="13"/>
                <w:szCs w:val="13"/>
                <w:color w:val="auto"/>
              </w:rPr>
              <w:t>600,000</w:t>
            </w: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p>
        </w:tc>
        <w:tc>
          <w:tcPr>
            <w:tcW w:w="760" w:type="dxa"/>
            <w:vAlign w:val="bottom"/>
            <w:gridSpan w:val="3"/>
            <w:vMerge w:val="restart"/>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w:t>
            </w:r>
            <w:r>
              <w:rPr>
                <w:rFonts w:ascii="Arial" w:cs="Arial" w:eastAsia="Arial" w:hAnsi="Arial"/>
                <w:sz w:val="25"/>
                <w:szCs w:val="25"/>
                <w:color w:val="auto"/>
                <w:vertAlign w:val="superscript"/>
              </w:rPr>
              <w:t>$</w:t>
            </w:r>
          </w:p>
        </w:tc>
        <w:tc>
          <w:tcPr>
            <w:tcW w:w="980" w:type="dxa"/>
            <w:vAlign w:val="bottom"/>
            <w:gridSpan w:val="3"/>
            <w:vMerge w:val="restart"/>
          </w:tcPr>
          <w:p>
            <w:pPr>
              <w:jc w:val="right"/>
              <w:spacing w:after="0" w:line="223" w:lineRule="exact"/>
              <w:rPr>
                <w:sz w:val="20"/>
                <w:szCs w:val="20"/>
                <w:color w:val="auto"/>
              </w:rPr>
            </w:pPr>
            <w:r>
              <w:rPr>
                <w:rFonts w:ascii="Arial" w:cs="Arial" w:eastAsia="Arial" w:hAnsi="Arial"/>
                <w:sz w:val="13"/>
                <w:szCs w:val="13"/>
                <w:color w:val="auto"/>
              </w:rPr>
              <w:t>2,652,701</w:t>
            </w: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p>
        </w:tc>
        <w:tc>
          <w:tcPr>
            <w:tcW w:w="780" w:type="dxa"/>
            <w:vAlign w:val="bottom"/>
            <w:gridSpan w:val="3"/>
            <w:vMerge w:val="restart"/>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180" w:type="dxa"/>
            <w:vAlign w:val="bottom"/>
            <w:vMerge w:val="restart"/>
          </w:tcPr>
          <w:p>
            <w:pPr>
              <w:ind w:left="40"/>
              <w:spacing w:after="0" w:line="223" w:lineRule="exact"/>
              <w:rPr>
                <w:sz w:val="20"/>
                <w:szCs w:val="20"/>
                <w:color w:val="auto"/>
              </w:rPr>
            </w:pPr>
            <w:r>
              <w:rPr>
                <w:rFonts w:ascii="Arial" w:cs="Arial" w:eastAsia="Arial" w:hAnsi="Arial"/>
                <w:sz w:val="13"/>
                <w:szCs w:val="13"/>
                <w:color w:val="auto"/>
              </w:rPr>
              <w:t xml:space="preserve">​ </w:t>
            </w:r>
            <w:r>
              <w:rPr>
                <w:rFonts w:ascii="Arial" w:cs="Arial" w:eastAsia="Arial" w:hAnsi="Arial"/>
                <w:sz w:val="25"/>
                <w:szCs w:val="25"/>
                <w:color w:val="auto"/>
                <w:vertAlign w:val="superscript"/>
              </w:rPr>
              <w:t>​</w:t>
            </w:r>
          </w:p>
        </w:tc>
        <w:tc>
          <w:tcPr>
            <w:tcW w:w="1000" w:type="dxa"/>
            <w:vAlign w:val="bottom"/>
            <w:gridSpan w:val="3"/>
            <w:vMerge w:val="restart"/>
          </w:tcPr>
          <w:p>
            <w:pPr>
              <w:jc w:val="right"/>
              <w:ind w:right="157"/>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1020" w:type="dxa"/>
            <w:vAlign w:val="bottom"/>
            <w:gridSpan w:val="3"/>
            <w:vMerge w:val="restart"/>
          </w:tcPr>
          <w:p>
            <w:pPr>
              <w:ind w:left="20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$ 13,200</w:t>
            </w: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720" w:type="dxa"/>
            <w:vAlign w:val="bottom"/>
            <w:gridSpan w:val="2"/>
            <w:vMerge w:val="restart"/>
          </w:tcPr>
          <w:p>
            <w:pPr>
              <w:jc w:val="right"/>
              <w:spacing w:after="0" w:line="223" w:lineRule="exact"/>
              <w:rPr>
                <w:sz w:val="20"/>
                <w:szCs w:val="20"/>
                <w:color w:val="auto"/>
              </w:rPr>
            </w:pPr>
            <w:r>
              <w:rPr>
                <w:rFonts w:ascii="Arial" w:cs="Arial" w:eastAsia="Arial" w:hAnsi="Arial"/>
                <w:sz w:val="13"/>
                <w:szCs w:val="13"/>
                <w:color w:val="auto"/>
              </w:rPr>
              <w:t>3,265,901</w:t>
            </w:r>
            <w:r>
              <w:rPr>
                <w:rFonts w:ascii="Arial" w:cs="Arial" w:eastAsia="Arial" w:hAnsi="Arial"/>
                <w:sz w:val="25"/>
                <w:szCs w:val="25"/>
                <w:color w:val="auto"/>
                <w:vertAlign w:val="subscript"/>
              </w:rPr>
              <w:t>​</w:t>
            </w:r>
          </w:p>
        </w:tc>
        <w:tc>
          <w:tcPr>
            <w:tcW w:w="0" w:type="dxa"/>
            <w:vAlign w:val="bottom"/>
          </w:tcPr>
          <w:p>
            <w:pPr>
              <w:spacing w:after="0"/>
              <w:rPr>
                <w:sz w:val="1"/>
                <w:szCs w:val="1"/>
                <w:color w:val="auto"/>
              </w:rPr>
            </w:pPr>
          </w:p>
        </w:tc>
      </w:tr>
      <w:tr>
        <w:trPr>
          <w:trHeight w:val="80"/>
        </w:trPr>
        <w:tc>
          <w:tcPr>
            <w:tcW w:w="2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gridSpan w:val="3"/>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980" w:type="dxa"/>
            <w:vAlign w:val="bottom"/>
            <w:gridSpan w:val="3"/>
            <w:vMerge w:val="continue"/>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4B50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58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4B5088"/>
          </w:tcPr>
          <w:p>
            <w:pPr>
              <w:spacing w:after="0" w:line="20" w:lineRule="exact"/>
              <w:rPr>
                <w:sz w:val="1"/>
                <w:szCs w:val="1"/>
                <w:color w:val="auto"/>
              </w:rPr>
            </w:pPr>
          </w:p>
        </w:tc>
        <w:tc>
          <w:tcPr>
            <w:tcW w:w="760" w:type="dxa"/>
            <w:vAlign w:val="bottom"/>
            <w:shd w:val="clear" w:color="auto" w:fill="4B50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60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180" w:type="dxa"/>
            <w:vAlign w:val="bottom"/>
            <w:shd w:val="clear" w:color="auto" w:fill="4B5088"/>
          </w:tcPr>
          <w:p>
            <w:pPr>
              <w:spacing w:after="0" w:line="20" w:lineRule="exact"/>
              <w:rPr>
                <w:sz w:val="1"/>
                <w:szCs w:val="1"/>
                <w:color w:val="auto"/>
              </w:rPr>
            </w:pPr>
          </w:p>
        </w:tc>
        <w:tc>
          <w:tcPr>
            <w:tcW w:w="66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4B5088"/>
          </w:tcPr>
          <w:p>
            <w:pPr>
              <w:spacing w:after="0" w:line="20" w:lineRule="exact"/>
              <w:rPr>
                <w:sz w:val="1"/>
                <w:szCs w:val="1"/>
                <w:color w:val="auto"/>
              </w:rPr>
            </w:pPr>
          </w:p>
        </w:tc>
        <w:tc>
          <w:tcPr>
            <w:tcW w:w="78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680" w:type="dxa"/>
            <w:vAlign w:val="bottom"/>
            <w:shd w:val="clear" w:color="auto" w:fill="4B508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1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80" w:type="dxa"/>
            <w:vAlign w:val="bottom"/>
            <w:gridSpan w:val="3"/>
          </w:tcPr>
          <w:p>
            <w:pPr>
              <w:ind w:left="20"/>
              <w:spacing w:after="0" w:line="223"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color w:val="auto"/>
              </w:rPr>
              <w:t>​2022</w:t>
            </w: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600" w:type="dxa"/>
            <w:vAlign w:val="bottom"/>
            <w:gridSpan w:val="6"/>
          </w:tcPr>
          <w:p>
            <w:pPr>
              <w:jc w:val="right"/>
              <w:spacing w:after="0" w:line="223" w:lineRule="exact"/>
              <w:rPr>
                <w:sz w:val="20"/>
                <w:szCs w:val="20"/>
                <w:color w:val="auto"/>
              </w:rPr>
            </w:pPr>
            <w:r>
              <w:rPr>
                <w:rFonts w:ascii="Arial" w:cs="Arial" w:eastAsia="Arial" w:hAnsi="Arial"/>
                <w:sz w:val="13"/>
                <w:szCs w:val="13"/>
                <w:color w:val="auto"/>
              </w:rPr>
              <w:t>575,000</w:t>
            </w:r>
            <w:r>
              <w:rPr>
                <w:rFonts w:ascii="Arial" w:cs="Arial" w:eastAsia="Arial" w:hAnsi="Arial"/>
                <w:sz w:val="25"/>
                <w:szCs w:val="25"/>
                <w:color w:val="auto"/>
                <w:vertAlign w:val="subscript"/>
              </w:rPr>
              <w:t>​​​​</w:t>
            </w:r>
            <w:r>
              <w:rPr>
                <w:rFonts w:ascii="Arial" w:cs="Arial" w:eastAsia="Arial" w:hAnsi="Arial"/>
                <w:sz w:val="13"/>
                <w:szCs w:val="13"/>
                <w:color w:val="auto"/>
              </w:rPr>
              <w:t>$725,000</w:t>
            </w:r>
            <w:r>
              <w:rPr>
                <w:rFonts w:ascii="Arial" w:cs="Arial" w:eastAsia="Arial" w:hAnsi="Arial"/>
                <w:sz w:val="25"/>
                <w:szCs w:val="25"/>
                <w:color w:val="auto"/>
                <w:vertAlign w:val="subscript"/>
              </w:rPr>
              <w:t>​​​ ​</w:t>
            </w:r>
            <w:r>
              <w:rPr>
                <w:rFonts w:ascii="Arial" w:cs="Arial" w:eastAsia="Arial" w:hAnsi="Arial"/>
                <w:sz w:val="13"/>
                <w:szCs w:val="13"/>
                <w:color w:val="auto"/>
              </w:rPr>
              <w:t>$</w:t>
            </w:r>
          </w:p>
        </w:tc>
        <w:tc>
          <w:tcPr>
            <w:tcW w:w="980" w:type="dxa"/>
            <w:vAlign w:val="bottom"/>
            <w:gridSpan w:val="3"/>
          </w:tcPr>
          <w:p>
            <w:pPr>
              <w:jc w:val="right"/>
              <w:spacing w:after="0" w:line="223" w:lineRule="exact"/>
              <w:rPr>
                <w:sz w:val="20"/>
                <w:szCs w:val="20"/>
                <w:color w:val="auto"/>
              </w:rPr>
            </w:pPr>
            <w:r>
              <w:rPr>
                <w:rFonts w:ascii="Arial" w:cs="Arial" w:eastAsia="Arial" w:hAnsi="Arial"/>
                <w:sz w:val="13"/>
                <w:szCs w:val="13"/>
                <w:color w:val="auto"/>
              </w:rPr>
              <w:t>2,488,387</w:t>
            </w: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p>
        </w:tc>
        <w:tc>
          <w:tcPr>
            <w:tcW w:w="780" w:type="dxa"/>
            <w:vAlign w:val="bottom"/>
            <w:gridSpan w:val="3"/>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180" w:type="dxa"/>
            <w:vAlign w:val="bottom"/>
          </w:tcPr>
          <w:p>
            <w:pPr>
              <w:ind w:left="40"/>
              <w:spacing w:after="0" w:line="223" w:lineRule="exact"/>
              <w:rPr>
                <w:sz w:val="20"/>
                <w:szCs w:val="20"/>
                <w:color w:val="auto"/>
              </w:rPr>
            </w:pPr>
            <w:r>
              <w:rPr>
                <w:rFonts w:ascii="Arial" w:cs="Arial" w:eastAsia="Arial" w:hAnsi="Arial"/>
                <w:sz w:val="13"/>
                <w:szCs w:val="13"/>
                <w:color w:val="auto"/>
              </w:rPr>
              <w:t xml:space="preserve">​ </w:t>
            </w:r>
            <w:r>
              <w:rPr>
                <w:rFonts w:ascii="Arial" w:cs="Arial" w:eastAsia="Arial" w:hAnsi="Arial"/>
                <w:sz w:val="25"/>
                <w:szCs w:val="25"/>
                <w:color w:val="auto"/>
                <w:vertAlign w:val="superscript"/>
              </w:rPr>
              <w:t>​</w:t>
            </w:r>
          </w:p>
        </w:tc>
        <w:tc>
          <w:tcPr>
            <w:tcW w:w="1000" w:type="dxa"/>
            <w:vAlign w:val="bottom"/>
            <w:gridSpan w:val="3"/>
          </w:tcPr>
          <w:p>
            <w:pPr>
              <w:jc w:val="right"/>
              <w:ind w:right="157"/>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1020" w:type="dxa"/>
            <w:vAlign w:val="bottom"/>
            <w:gridSpan w:val="3"/>
          </w:tcPr>
          <w:p>
            <w:pPr>
              <w:ind w:left="20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$ 12,200</w:t>
            </w: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720" w:type="dxa"/>
            <w:vAlign w:val="bottom"/>
            <w:gridSpan w:val="2"/>
          </w:tcPr>
          <w:p>
            <w:pPr>
              <w:jc w:val="right"/>
              <w:spacing w:after="0" w:line="223" w:lineRule="exact"/>
              <w:rPr>
                <w:sz w:val="20"/>
                <w:szCs w:val="20"/>
                <w:color w:val="auto"/>
              </w:rPr>
            </w:pPr>
            <w:r>
              <w:rPr>
                <w:rFonts w:ascii="Arial" w:cs="Arial" w:eastAsia="Arial" w:hAnsi="Arial"/>
                <w:sz w:val="13"/>
                <w:szCs w:val="13"/>
                <w:color w:val="auto"/>
              </w:rPr>
              <w:t>3,800,587</w:t>
            </w:r>
            <w:r>
              <w:rPr>
                <w:rFonts w:ascii="Arial" w:cs="Arial" w:eastAsia="Arial" w:hAnsi="Arial"/>
                <w:sz w:val="25"/>
                <w:szCs w:val="25"/>
                <w:color w:val="auto"/>
                <w:vertAlign w:val="subscript"/>
              </w:rPr>
              <w:t>​</w:t>
            </w:r>
          </w:p>
        </w:tc>
        <w:tc>
          <w:tcPr>
            <w:tcW w:w="0" w:type="dxa"/>
            <w:vAlign w:val="bottom"/>
          </w:tcPr>
          <w:p>
            <w:pPr>
              <w:spacing w:after="0"/>
              <w:rPr>
                <w:sz w:val="1"/>
                <w:szCs w:val="1"/>
                <w:color w:val="auto"/>
              </w:rPr>
            </w:pPr>
          </w:p>
        </w:tc>
      </w:tr>
      <w:tr>
        <w:trPr>
          <w:trHeight w:val="20"/>
        </w:trPr>
        <w:tc>
          <w:tcPr>
            <w:tcW w:w="21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4B5088"/>
          </w:tcPr>
          <w:p>
            <w:pPr>
              <w:spacing w:after="0" w:line="20" w:lineRule="exact"/>
              <w:rPr>
                <w:sz w:val="1"/>
                <w:szCs w:val="1"/>
                <w:color w:val="auto"/>
              </w:rPr>
            </w:pPr>
          </w:p>
        </w:tc>
        <w:tc>
          <w:tcPr>
            <w:tcW w:w="80" w:type="dxa"/>
            <w:vAlign w:val="bottom"/>
            <w:shd w:val="clear" w:color="auto" w:fill="E9F9D8"/>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580" w:type="dxa"/>
            <w:vAlign w:val="bottom"/>
            <w:shd w:val="clear" w:color="auto" w:fill="4B5088"/>
          </w:tcPr>
          <w:p>
            <w:pPr>
              <w:spacing w:after="0" w:line="20" w:lineRule="exact"/>
              <w:rPr>
                <w:sz w:val="1"/>
                <w:szCs w:val="1"/>
                <w:color w:val="auto"/>
              </w:rPr>
            </w:pPr>
          </w:p>
        </w:tc>
        <w:tc>
          <w:tcPr>
            <w:tcW w:w="100" w:type="dxa"/>
            <w:vAlign w:val="bottom"/>
            <w:shd w:val="clear" w:color="auto" w:fill="E9F9D8"/>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460" w:type="dxa"/>
            <w:vAlign w:val="bottom"/>
            <w:shd w:val="clear" w:color="auto" w:fill="4B5088"/>
          </w:tcPr>
          <w:p>
            <w:pPr>
              <w:spacing w:after="0" w:line="20" w:lineRule="exact"/>
              <w:rPr>
                <w:sz w:val="1"/>
                <w:szCs w:val="1"/>
                <w:color w:val="auto"/>
              </w:rPr>
            </w:pPr>
          </w:p>
        </w:tc>
        <w:tc>
          <w:tcPr>
            <w:tcW w:w="100" w:type="dxa"/>
            <w:vAlign w:val="bottom"/>
            <w:shd w:val="clear" w:color="auto" w:fill="E9F9D8"/>
          </w:tcPr>
          <w:p>
            <w:pPr>
              <w:spacing w:after="0" w:line="20" w:lineRule="exact"/>
              <w:rPr>
                <w:sz w:val="1"/>
                <w:szCs w:val="1"/>
                <w:color w:val="auto"/>
              </w:rPr>
            </w:pPr>
          </w:p>
        </w:tc>
        <w:tc>
          <w:tcPr>
            <w:tcW w:w="200" w:type="dxa"/>
            <w:vAlign w:val="bottom"/>
            <w:shd w:val="clear" w:color="auto" w:fill="4B5088"/>
          </w:tcPr>
          <w:p>
            <w:pPr>
              <w:spacing w:after="0" w:line="20" w:lineRule="exact"/>
              <w:rPr>
                <w:sz w:val="1"/>
                <w:szCs w:val="1"/>
                <w:color w:val="auto"/>
              </w:rPr>
            </w:pPr>
          </w:p>
        </w:tc>
        <w:tc>
          <w:tcPr>
            <w:tcW w:w="760" w:type="dxa"/>
            <w:vAlign w:val="bottom"/>
            <w:shd w:val="clear" w:color="auto" w:fill="4B5088"/>
          </w:tcPr>
          <w:p>
            <w:pPr>
              <w:spacing w:after="0" w:line="20" w:lineRule="exact"/>
              <w:rPr>
                <w:sz w:val="1"/>
                <w:szCs w:val="1"/>
                <w:color w:val="auto"/>
              </w:rPr>
            </w:pPr>
          </w:p>
        </w:tc>
        <w:tc>
          <w:tcPr>
            <w:tcW w:w="80" w:type="dxa"/>
            <w:vAlign w:val="bottom"/>
            <w:shd w:val="clear" w:color="auto" w:fill="E9F9D8"/>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600" w:type="dxa"/>
            <w:vAlign w:val="bottom"/>
            <w:shd w:val="clear" w:color="auto" w:fill="4B5088"/>
          </w:tcPr>
          <w:p>
            <w:pPr>
              <w:spacing w:after="0" w:line="20" w:lineRule="exact"/>
              <w:rPr>
                <w:sz w:val="1"/>
                <w:szCs w:val="1"/>
                <w:color w:val="auto"/>
              </w:rPr>
            </w:pPr>
          </w:p>
        </w:tc>
        <w:tc>
          <w:tcPr>
            <w:tcW w:w="100" w:type="dxa"/>
            <w:vAlign w:val="bottom"/>
            <w:shd w:val="clear" w:color="auto" w:fill="E9F9D8"/>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180" w:type="dxa"/>
            <w:vAlign w:val="bottom"/>
            <w:shd w:val="clear" w:color="auto" w:fill="4B5088"/>
          </w:tcPr>
          <w:p>
            <w:pPr>
              <w:spacing w:after="0" w:line="20" w:lineRule="exact"/>
              <w:rPr>
                <w:sz w:val="1"/>
                <w:szCs w:val="1"/>
                <w:color w:val="auto"/>
              </w:rPr>
            </w:pPr>
          </w:p>
        </w:tc>
        <w:tc>
          <w:tcPr>
            <w:tcW w:w="660" w:type="dxa"/>
            <w:vAlign w:val="bottom"/>
            <w:shd w:val="clear" w:color="auto" w:fill="4B5088"/>
          </w:tcPr>
          <w:p>
            <w:pPr>
              <w:spacing w:after="0" w:line="20" w:lineRule="exact"/>
              <w:rPr>
                <w:sz w:val="1"/>
                <w:szCs w:val="1"/>
                <w:color w:val="auto"/>
              </w:rPr>
            </w:pPr>
          </w:p>
        </w:tc>
        <w:tc>
          <w:tcPr>
            <w:tcW w:w="100" w:type="dxa"/>
            <w:vAlign w:val="bottom"/>
            <w:shd w:val="clear" w:color="auto" w:fill="E9F9D8"/>
          </w:tcPr>
          <w:p>
            <w:pPr>
              <w:spacing w:after="0" w:line="20" w:lineRule="exact"/>
              <w:rPr>
                <w:sz w:val="1"/>
                <w:szCs w:val="1"/>
                <w:color w:val="auto"/>
              </w:rPr>
            </w:pPr>
          </w:p>
        </w:tc>
        <w:tc>
          <w:tcPr>
            <w:tcW w:w="240" w:type="dxa"/>
            <w:vAlign w:val="bottom"/>
            <w:shd w:val="clear" w:color="auto" w:fill="4B5088"/>
          </w:tcPr>
          <w:p>
            <w:pPr>
              <w:spacing w:after="0" w:line="20" w:lineRule="exact"/>
              <w:rPr>
                <w:sz w:val="1"/>
                <w:szCs w:val="1"/>
                <w:color w:val="auto"/>
              </w:rPr>
            </w:pPr>
          </w:p>
        </w:tc>
        <w:tc>
          <w:tcPr>
            <w:tcW w:w="780" w:type="dxa"/>
            <w:vAlign w:val="bottom"/>
            <w:shd w:val="clear" w:color="auto" w:fill="4B5088"/>
          </w:tcPr>
          <w:p>
            <w:pPr>
              <w:spacing w:after="0" w:line="20" w:lineRule="exact"/>
              <w:rPr>
                <w:sz w:val="1"/>
                <w:szCs w:val="1"/>
                <w:color w:val="auto"/>
              </w:rPr>
            </w:pPr>
          </w:p>
        </w:tc>
        <w:tc>
          <w:tcPr>
            <w:tcW w:w="100" w:type="dxa"/>
            <w:vAlign w:val="bottom"/>
            <w:shd w:val="clear" w:color="auto" w:fill="E9F9D8"/>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680" w:type="dxa"/>
            <w:vAlign w:val="bottom"/>
            <w:shd w:val="clear" w:color="auto" w:fill="4B508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140" w:type="dxa"/>
            <w:vAlign w:val="bottom"/>
          </w:tcPr>
          <w:p>
            <w:pPr>
              <w:spacing w:after="0"/>
              <w:rPr>
                <w:sz w:val="20"/>
                <w:szCs w:val="20"/>
                <w:color w:val="auto"/>
              </w:rPr>
            </w:pPr>
            <w:r>
              <w:rPr>
                <w:rFonts w:ascii="Arial" w:cs="Arial" w:eastAsia="Arial" w:hAnsi="Arial"/>
                <w:sz w:val="14"/>
                <w:szCs w:val="14"/>
                <w:b w:val="1"/>
                <w:bCs w:val="1"/>
                <w:color w:val="1F2668"/>
              </w:rPr>
              <w:t>Andrew S. Levine</w:t>
            </w:r>
          </w:p>
        </w:tc>
        <w:tc>
          <w:tcPr>
            <w:tcW w:w="100" w:type="dxa"/>
            <w:vAlign w:val="bottom"/>
          </w:tcPr>
          <w:p>
            <w:pPr>
              <w:spacing w:after="0"/>
              <w:rPr>
                <w:sz w:val="18"/>
                <w:szCs w:val="18"/>
                <w:color w:val="auto"/>
              </w:rPr>
            </w:pPr>
          </w:p>
        </w:tc>
        <w:tc>
          <w:tcPr>
            <w:tcW w:w="580" w:type="dxa"/>
            <w:vAlign w:val="bottom"/>
            <w:tcBorders>
              <w:bottom w:val="single" w:sz="8" w:color="E9F9D8"/>
            </w:tcBorders>
            <w:gridSpan w:val="3"/>
            <w:shd w:val="clear" w:color="auto" w:fill="E9F9D8"/>
          </w:tcPr>
          <w:p>
            <w:pPr>
              <w:ind w:left="20"/>
              <w:spacing w:after="0" w:line="210"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color w:val="auto"/>
              </w:rPr>
              <w:t>​2024</w:t>
            </w:r>
            <w:r>
              <w:rPr>
                <w:rFonts w:ascii="Arial" w:cs="Arial" w:eastAsia="Arial" w:hAnsi="Arial"/>
                <w:sz w:val="24"/>
                <w:szCs w:val="24"/>
                <w:color w:val="auto"/>
                <w:vertAlign w:val="subscript"/>
              </w:rPr>
              <w:t>​​​​</w:t>
            </w:r>
            <w:r>
              <w:rPr>
                <w:rFonts w:ascii="Arial" w:cs="Arial" w:eastAsia="Arial" w:hAnsi="Arial"/>
                <w:sz w:val="13"/>
                <w:szCs w:val="13"/>
                <w:color w:val="auto"/>
              </w:rPr>
              <w:t>$</w:t>
            </w:r>
          </w:p>
        </w:tc>
        <w:tc>
          <w:tcPr>
            <w:tcW w:w="840" w:type="dxa"/>
            <w:vAlign w:val="bottom"/>
            <w:tcBorders>
              <w:bottom w:val="single" w:sz="8" w:color="E9F9D8"/>
            </w:tcBorders>
            <w:gridSpan w:val="3"/>
            <w:shd w:val="clear" w:color="auto" w:fill="E9F9D8"/>
          </w:tcPr>
          <w:p>
            <w:pPr>
              <w:jc w:val="right"/>
              <w:ind w:right="40"/>
              <w:spacing w:after="0" w:line="210" w:lineRule="exact"/>
              <w:rPr>
                <w:sz w:val="20"/>
                <w:szCs w:val="20"/>
                <w:color w:val="auto"/>
              </w:rPr>
            </w:pPr>
            <w:r>
              <w:rPr>
                <w:rFonts w:ascii="Arial" w:cs="Arial" w:eastAsia="Arial" w:hAnsi="Arial"/>
                <w:sz w:val="13"/>
                <w:szCs w:val="13"/>
                <w:color w:val="auto"/>
              </w:rPr>
              <w:t>580,000</w:t>
            </w:r>
            <w:r>
              <w:rPr>
                <w:rFonts w:ascii="Arial" w:cs="Arial" w:eastAsia="Arial" w:hAnsi="Arial"/>
                <w:sz w:val="24"/>
                <w:szCs w:val="24"/>
                <w:color w:val="auto"/>
                <w:vertAlign w:val="subscript"/>
              </w:rPr>
              <w:t>​​​​</w:t>
            </w:r>
            <w:r>
              <w:rPr>
                <w:rFonts w:ascii="Arial" w:cs="Arial" w:eastAsia="Arial" w:hAnsi="Arial"/>
                <w:sz w:val="13"/>
                <w:szCs w:val="13"/>
                <w:color w:val="auto"/>
              </w:rPr>
              <w:t xml:space="preserve"> ​</w:t>
            </w:r>
          </w:p>
        </w:tc>
        <w:tc>
          <w:tcPr>
            <w:tcW w:w="760" w:type="dxa"/>
            <w:vAlign w:val="bottom"/>
            <w:tcBorders>
              <w:bottom w:val="single" w:sz="8" w:color="E9F9D8"/>
            </w:tcBorders>
            <w:gridSpan w:val="3"/>
            <w:shd w:val="clear" w:color="auto" w:fill="E9F9D8"/>
          </w:tcPr>
          <w:p>
            <w:pPr>
              <w:jc w:val="right"/>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w:t>
            </w:r>
            <w:r>
              <w:rPr>
                <w:rFonts w:ascii="Arial" w:cs="Arial" w:eastAsia="Arial" w:hAnsi="Arial"/>
                <w:sz w:val="24"/>
                <w:szCs w:val="24"/>
                <w:color w:val="auto"/>
                <w:vertAlign w:val="superscript"/>
              </w:rPr>
              <w:t>$</w:t>
            </w:r>
          </w:p>
        </w:tc>
        <w:tc>
          <w:tcPr>
            <w:tcW w:w="980" w:type="dxa"/>
            <w:vAlign w:val="bottom"/>
            <w:tcBorders>
              <w:bottom w:val="single" w:sz="8" w:color="E9F9D8"/>
            </w:tcBorders>
            <w:gridSpan w:val="3"/>
            <w:shd w:val="clear" w:color="auto" w:fill="E9F9D8"/>
          </w:tcPr>
          <w:p>
            <w:pPr>
              <w:jc w:val="right"/>
              <w:spacing w:after="0" w:line="210" w:lineRule="exact"/>
              <w:rPr>
                <w:sz w:val="20"/>
                <w:szCs w:val="20"/>
                <w:color w:val="auto"/>
              </w:rPr>
            </w:pPr>
            <w:r>
              <w:rPr>
                <w:rFonts w:ascii="Arial" w:cs="Arial" w:eastAsia="Arial" w:hAnsi="Arial"/>
                <w:sz w:val="13"/>
                <w:szCs w:val="13"/>
                <w:color w:val="auto"/>
              </w:rPr>
              <w:t>2,536,465</w:t>
            </w:r>
            <w:r>
              <w:rPr>
                <w:rFonts w:ascii="Arial" w:cs="Arial" w:eastAsia="Arial" w:hAnsi="Arial"/>
                <w:sz w:val="24"/>
                <w:szCs w:val="24"/>
                <w:color w:val="auto"/>
                <w:vertAlign w:val="subscript"/>
              </w:rPr>
              <w:t>​​​​</w:t>
            </w:r>
            <w:r>
              <w:rPr>
                <w:rFonts w:ascii="Arial" w:cs="Arial" w:eastAsia="Arial" w:hAnsi="Arial"/>
                <w:sz w:val="13"/>
                <w:szCs w:val="13"/>
                <w:color w:val="auto"/>
              </w:rPr>
              <w:t xml:space="preserve"> ​</w:t>
            </w:r>
          </w:p>
        </w:tc>
        <w:tc>
          <w:tcPr>
            <w:tcW w:w="780" w:type="dxa"/>
            <w:vAlign w:val="bottom"/>
            <w:tcBorders>
              <w:bottom w:val="single" w:sz="8" w:color="E9F9D8"/>
            </w:tcBorders>
            <w:gridSpan w:val="3"/>
            <w:shd w:val="clear" w:color="auto" w:fill="E9F9D8"/>
          </w:tcPr>
          <w:p>
            <w:pPr>
              <w:jc w:val="right"/>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w:t>
            </w:r>
          </w:p>
        </w:tc>
        <w:tc>
          <w:tcPr>
            <w:tcW w:w="180" w:type="dxa"/>
            <w:vAlign w:val="bottom"/>
            <w:tcBorders>
              <w:bottom w:val="single" w:sz="8" w:color="E9F9D8"/>
            </w:tcBorders>
            <w:shd w:val="clear" w:color="auto" w:fill="E9F9D8"/>
          </w:tcPr>
          <w:p>
            <w:pPr>
              <w:ind w:left="40"/>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 xml:space="preserve"> ​</w:t>
            </w:r>
          </w:p>
        </w:tc>
        <w:tc>
          <w:tcPr>
            <w:tcW w:w="1000" w:type="dxa"/>
            <w:vAlign w:val="bottom"/>
            <w:tcBorders>
              <w:bottom w:val="single" w:sz="8" w:color="E9F9D8"/>
            </w:tcBorders>
            <w:gridSpan w:val="3"/>
            <w:shd w:val="clear" w:color="auto" w:fill="E9F9D8"/>
          </w:tcPr>
          <w:p>
            <w:pPr>
              <w:jc w:val="right"/>
              <w:ind w:right="157"/>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w:t>
            </w:r>
          </w:p>
        </w:tc>
        <w:tc>
          <w:tcPr>
            <w:tcW w:w="1020" w:type="dxa"/>
            <w:vAlign w:val="bottom"/>
            <w:tcBorders>
              <w:bottom w:val="single" w:sz="8" w:color="E9F9D8"/>
            </w:tcBorders>
            <w:gridSpan w:val="3"/>
            <w:shd w:val="clear" w:color="auto" w:fill="E9F9D8"/>
          </w:tcPr>
          <w:p>
            <w:pPr>
              <w:ind w:left="200"/>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$ 13,800</w:t>
            </w:r>
            <w:r>
              <w:rPr>
                <w:rFonts w:ascii="Arial" w:cs="Arial" w:eastAsia="Arial" w:hAnsi="Arial"/>
                <w:sz w:val="24"/>
                <w:szCs w:val="24"/>
                <w:color w:val="auto"/>
                <w:vertAlign w:val="subscript"/>
              </w:rPr>
              <w:t>​​​​</w:t>
            </w:r>
            <w:r>
              <w:rPr>
                <w:rFonts w:ascii="Arial" w:cs="Arial" w:eastAsia="Arial" w:hAnsi="Arial"/>
                <w:sz w:val="13"/>
                <w:szCs w:val="13"/>
                <w:color w:val="auto"/>
              </w:rPr>
              <w:t>$</w:t>
            </w:r>
          </w:p>
        </w:tc>
        <w:tc>
          <w:tcPr>
            <w:tcW w:w="680" w:type="dxa"/>
            <w:vAlign w:val="bottom"/>
            <w:tcBorders>
              <w:bottom w:val="single" w:sz="8" w:color="E9F9D8"/>
            </w:tcBorders>
            <w:shd w:val="clear" w:color="auto" w:fill="E9F9D8"/>
          </w:tcPr>
          <w:p>
            <w:pPr>
              <w:jc w:val="right"/>
              <w:spacing w:after="0"/>
              <w:rPr>
                <w:sz w:val="20"/>
                <w:szCs w:val="20"/>
                <w:color w:val="auto"/>
              </w:rPr>
            </w:pPr>
            <w:r>
              <w:rPr>
                <w:rFonts w:ascii="Arial" w:cs="Arial" w:eastAsia="Arial" w:hAnsi="Arial"/>
                <w:sz w:val="14"/>
                <w:szCs w:val="14"/>
                <w:color w:val="auto"/>
              </w:rPr>
              <w:t>3,130,265</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140" w:type="dxa"/>
            <w:vAlign w:val="bottom"/>
            <w:vMerge w:val="restart"/>
          </w:tcPr>
          <w:p>
            <w:pPr>
              <w:spacing w:after="0" w:line="99" w:lineRule="exact"/>
              <w:rPr>
                <w:sz w:val="20"/>
                <w:szCs w:val="20"/>
                <w:color w:val="auto"/>
              </w:rPr>
            </w:pPr>
            <w:r>
              <w:rPr>
                <w:rFonts w:ascii="Arial" w:cs="Arial" w:eastAsia="Arial" w:hAnsi="Arial"/>
                <w:sz w:val="11"/>
                <w:szCs w:val="11"/>
                <w:color w:val="auto"/>
              </w:rPr>
              <w:t>Chief Legal Officer</w:t>
            </w:r>
          </w:p>
        </w:tc>
        <w:tc>
          <w:tcPr>
            <w:tcW w:w="100" w:type="dxa"/>
            <w:vAlign w:val="bottom"/>
          </w:tcPr>
          <w:p>
            <w:pPr>
              <w:spacing w:after="0" w:line="20" w:lineRule="exact"/>
              <w:rPr>
                <w:sz w:val="1"/>
                <w:szCs w:val="1"/>
                <w:color w:val="auto"/>
              </w:rPr>
            </w:pPr>
          </w:p>
        </w:tc>
        <w:tc>
          <w:tcPr>
            <w:tcW w:w="340" w:type="dxa"/>
            <w:vAlign w:val="bottom"/>
            <w:shd w:val="clear" w:color="auto" w:fill="4B5088"/>
          </w:tcPr>
          <w:p>
            <w:pPr>
              <w:spacing w:after="0" w:line="20" w:lineRule="exact"/>
              <w:rPr>
                <w:sz w:val="1"/>
                <w:szCs w:val="1"/>
                <w:color w:val="auto"/>
              </w:rPr>
            </w:pPr>
          </w:p>
        </w:tc>
        <w:tc>
          <w:tcPr>
            <w:tcW w:w="80" w:type="dxa"/>
            <w:vAlign w:val="bottom"/>
            <w:shd w:val="clear" w:color="auto" w:fill="E9F9D8"/>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580" w:type="dxa"/>
            <w:vAlign w:val="bottom"/>
            <w:shd w:val="clear" w:color="auto" w:fill="4B5088"/>
          </w:tcPr>
          <w:p>
            <w:pPr>
              <w:spacing w:after="0" w:line="20" w:lineRule="exact"/>
              <w:rPr>
                <w:sz w:val="1"/>
                <w:szCs w:val="1"/>
                <w:color w:val="auto"/>
              </w:rPr>
            </w:pPr>
          </w:p>
        </w:tc>
        <w:tc>
          <w:tcPr>
            <w:tcW w:w="100" w:type="dxa"/>
            <w:vAlign w:val="bottom"/>
            <w:shd w:val="clear" w:color="auto" w:fill="E9F9D8"/>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460" w:type="dxa"/>
            <w:vAlign w:val="bottom"/>
            <w:shd w:val="clear" w:color="auto" w:fill="4B5088"/>
          </w:tcPr>
          <w:p>
            <w:pPr>
              <w:spacing w:after="0" w:line="20" w:lineRule="exact"/>
              <w:rPr>
                <w:sz w:val="1"/>
                <w:szCs w:val="1"/>
                <w:color w:val="auto"/>
              </w:rPr>
            </w:pPr>
          </w:p>
        </w:tc>
        <w:tc>
          <w:tcPr>
            <w:tcW w:w="100" w:type="dxa"/>
            <w:vAlign w:val="bottom"/>
            <w:shd w:val="clear" w:color="auto" w:fill="E9F9D8"/>
          </w:tcPr>
          <w:p>
            <w:pPr>
              <w:spacing w:after="0" w:line="20" w:lineRule="exact"/>
              <w:rPr>
                <w:sz w:val="1"/>
                <w:szCs w:val="1"/>
                <w:color w:val="auto"/>
              </w:rPr>
            </w:pPr>
          </w:p>
        </w:tc>
        <w:tc>
          <w:tcPr>
            <w:tcW w:w="200" w:type="dxa"/>
            <w:vAlign w:val="bottom"/>
            <w:shd w:val="clear" w:color="auto" w:fill="4B5088"/>
          </w:tcPr>
          <w:p>
            <w:pPr>
              <w:spacing w:after="0" w:line="20" w:lineRule="exact"/>
              <w:rPr>
                <w:sz w:val="1"/>
                <w:szCs w:val="1"/>
                <w:color w:val="auto"/>
              </w:rPr>
            </w:pPr>
          </w:p>
        </w:tc>
        <w:tc>
          <w:tcPr>
            <w:tcW w:w="760" w:type="dxa"/>
            <w:vAlign w:val="bottom"/>
            <w:shd w:val="clear" w:color="auto" w:fill="4B5088"/>
          </w:tcPr>
          <w:p>
            <w:pPr>
              <w:spacing w:after="0" w:line="20" w:lineRule="exact"/>
              <w:rPr>
                <w:sz w:val="1"/>
                <w:szCs w:val="1"/>
                <w:color w:val="auto"/>
              </w:rPr>
            </w:pPr>
          </w:p>
        </w:tc>
        <w:tc>
          <w:tcPr>
            <w:tcW w:w="80" w:type="dxa"/>
            <w:vAlign w:val="bottom"/>
            <w:shd w:val="clear" w:color="auto" w:fill="E9F9D8"/>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600" w:type="dxa"/>
            <w:vAlign w:val="bottom"/>
            <w:shd w:val="clear" w:color="auto" w:fill="4B5088"/>
          </w:tcPr>
          <w:p>
            <w:pPr>
              <w:spacing w:after="0" w:line="20" w:lineRule="exact"/>
              <w:rPr>
                <w:sz w:val="1"/>
                <w:szCs w:val="1"/>
                <w:color w:val="auto"/>
              </w:rPr>
            </w:pPr>
          </w:p>
        </w:tc>
        <w:tc>
          <w:tcPr>
            <w:tcW w:w="100" w:type="dxa"/>
            <w:vAlign w:val="bottom"/>
            <w:shd w:val="clear" w:color="auto" w:fill="E9F9D8"/>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180" w:type="dxa"/>
            <w:vAlign w:val="bottom"/>
            <w:shd w:val="clear" w:color="auto" w:fill="4B5088"/>
          </w:tcPr>
          <w:p>
            <w:pPr>
              <w:spacing w:after="0" w:line="20" w:lineRule="exact"/>
              <w:rPr>
                <w:sz w:val="1"/>
                <w:szCs w:val="1"/>
                <w:color w:val="auto"/>
              </w:rPr>
            </w:pPr>
          </w:p>
        </w:tc>
        <w:tc>
          <w:tcPr>
            <w:tcW w:w="660" w:type="dxa"/>
            <w:vAlign w:val="bottom"/>
            <w:shd w:val="clear" w:color="auto" w:fill="4B5088"/>
          </w:tcPr>
          <w:p>
            <w:pPr>
              <w:spacing w:after="0" w:line="20" w:lineRule="exact"/>
              <w:rPr>
                <w:sz w:val="1"/>
                <w:szCs w:val="1"/>
                <w:color w:val="auto"/>
              </w:rPr>
            </w:pPr>
          </w:p>
        </w:tc>
        <w:tc>
          <w:tcPr>
            <w:tcW w:w="100" w:type="dxa"/>
            <w:vAlign w:val="bottom"/>
            <w:shd w:val="clear" w:color="auto" w:fill="E9F9D8"/>
          </w:tcPr>
          <w:p>
            <w:pPr>
              <w:spacing w:after="0" w:line="20" w:lineRule="exact"/>
              <w:rPr>
                <w:sz w:val="1"/>
                <w:szCs w:val="1"/>
                <w:color w:val="auto"/>
              </w:rPr>
            </w:pPr>
          </w:p>
        </w:tc>
        <w:tc>
          <w:tcPr>
            <w:tcW w:w="240" w:type="dxa"/>
            <w:vAlign w:val="bottom"/>
            <w:shd w:val="clear" w:color="auto" w:fill="4B5088"/>
          </w:tcPr>
          <w:p>
            <w:pPr>
              <w:spacing w:after="0" w:line="20" w:lineRule="exact"/>
              <w:rPr>
                <w:sz w:val="1"/>
                <w:szCs w:val="1"/>
                <w:color w:val="auto"/>
              </w:rPr>
            </w:pPr>
          </w:p>
        </w:tc>
        <w:tc>
          <w:tcPr>
            <w:tcW w:w="780" w:type="dxa"/>
            <w:vAlign w:val="bottom"/>
            <w:shd w:val="clear" w:color="auto" w:fill="4B5088"/>
          </w:tcPr>
          <w:p>
            <w:pPr>
              <w:spacing w:after="0" w:line="20" w:lineRule="exact"/>
              <w:rPr>
                <w:sz w:val="1"/>
                <w:szCs w:val="1"/>
                <w:color w:val="auto"/>
              </w:rPr>
            </w:pPr>
          </w:p>
        </w:tc>
        <w:tc>
          <w:tcPr>
            <w:tcW w:w="100" w:type="dxa"/>
            <w:vAlign w:val="bottom"/>
            <w:shd w:val="clear" w:color="auto" w:fill="E9F9D8"/>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680" w:type="dxa"/>
            <w:vAlign w:val="bottom"/>
            <w:shd w:val="clear" w:color="auto" w:fill="4B508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gridSpan w:val="3"/>
            <w:vMerge w:val="restart"/>
          </w:tcPr>
          <w:p>
            <w:pPr>
              <w:ind w:left="20"/>
              <w:spacing w:after="0" w:line="210"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color w:val="auto"/>
              </w:rPr>
              <w:t>​2023</w:t>
            </w:r>
            <w:r>
              <w:rPr>
                <w:rFonts w:ascii="Arial" w:cs="Arial" w:eastAsia="Arial" w:hAnsi="Arial"/>
                <w:sz w:val="24"/>
                <w:szCs w:val="24"/>
                <w:color w:val="auto"/>
                <w:vertAlign w:val="subscript"/>
              </w:rPr>
              <w:t>​​​​</w:t>
            </w:r>
            <w:r>
              <w:rPr>
                <w:rFonts w:ascii="Arial" w:cs="Arial" w:eastAsia="Arial" w:hAnsi="Arial"/>
                <w:sz w:val="13"/>
                <w:szCs w:val="13"/>
                <w:color w:val="auto"/>
              </w:rPr>
              <w:t>$</w:t>
            </w:r>
          </w:p>
        </w:tc>
        <w:tc>
          <w:tcPr>
            <w:tcW w:w="840" w:type="dxa"/>
            <w:vAlign w:val="bottom"/>
            <w:gridSpan w:val="3"/>
            <w:vMerge w:val="restart"/>
          </w:tcPr>
          <w:p>
            <w:pPr>
              <w:jc w:val="right"/>
              <w:ind w:right="40"/>
              <w:spacing w:after="0" w:line="210" w:lineRule="exact"/>
              <w:rPr>
                <w:sz w:val="20"/>
                <w:szCs w:val="20"/>
                <w:color w:val="auto"/>
              </w:rPr>
            </w:pPr>
            <w:r>
              <w:rPr>
                <w:rFonts w:ascii="Arial" w:cs="Arial" w:eastAsia="Arial" w:hAnsi="Arial"/>
                <w:sz w:val="13"/>
                <w:szCs w:val="13"/>
                <w:color w:val="auto"/>
              </w:rPr>
              <w:t>580,000</w:t>
            </w:r>
            <w:r>
              <w:rPr>
                <w:rFonts w:ascii="Arial" w:cs="Arial" w:eastAsia="Arial" w:hAnsi="Arial"/>
                <w:sz w:val="24"/>
                <w:szCs w:val="24"/>
                <w:color w:val="auto"/>
                <w:vertAlign w:val="subscript"/>
              </w:rPr>
              <w:t>​​​​</w:t>
            </w:r>
            <w:r>
              <w:rPr>
                <w:rFonts w:ascii="Arial" w:cs="Arial" w:eastAsia="Arial" w:hAnsi="Arial"/>
                <w:sz w:val="13"/>
                <w:szCs w:val="13"/>
                <w:color w:val="auto"/>
              </w:rPr>
              <w:t xml:space="preserve"> ​</w:t>
            </w:r>
          </w:p>
        </w:tc>
        <w:tc>
          <w:tcPr>
            <w:tcW w:w="760" w:type="dxa"/>
            <w:vAlign w:val="bottom"/>
            <w:gridSpan w:val="3"/>
            <w:vMerge w:val="restart"/>
          </w:tcPr>
          <w:p>
            <w:pPr>
              <w:jc w:val="right"/>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w:t>
            </w:r>
            <w:r>
              <w:rPr>
                <w:rFonts w:ascii="Arial" w:cs="Arial" w:eastAsia="Arial" w:hAnsi="Arial"/>
                <w:sz w:val="24"/>
                <w:szCs w:val="24"/>
                <w:color w:val="auto"/>
                <w:vertAlign w:val="superscript"/>
              </w:rPr>
              <w:t>$</w:t>
            </w:r>
          </w:p>
        </w:tc>
        <w:tc>
          <w:tcPr>
            <w:tcW w:w="980" w:type="dxa"/>
            <w:vAlign w:val="bottom"/>
            <w:gridSpan w:val="3"/>
            <w:vMerge w:val="restart"/>
          </w:tcPr>
          <w:p>
            <w:pPr>
              <w:jc w:val="right"/>
              <w:spacing w:after="0" w:line="210" w:lineRule="exact"/>
              <w:rPr>
                <w:sz w:val="20"/>
                <w:szCs w:val="20"/>
                <w:color w:val="auto"/>
              </w:rPr>
            </w:pPr>
            <w:r>
              <w:rPr>
                <w:rFonts w:ascii="Arial" w:cs="Arial" w:eastAsia="Arial" w:hAnsi="Arial"/>
                <w:sz w:val="13"/>
                <w:szCs w:val="13"/>
                <w:color w:val="auto"/>
              </w:rPr>
              <w:t>2,839,185</w:t>
            </w:r>
            <w:r>
              <w:rPr>
                <w:rFonts w:ascii="Arial" w:cs="Arial" w:eastAsia="Arial" w:hAnsi="Arial"/>
                <w:sz w:val="24"/>
                <w:szCs w:val="24"/>
                <w:color w:val="auto"/>
                <w:vertAlign w:val="subscript"/>
              </w:rPr>
              <w:t>​​​​</w:t>
            </w:r>
            <w:r>
              <w:rPr>
                <w:rFonts w:ascii="Arial" w:cs="Arial" w:eastAsia="Arial" w:hAnsi="Arial"/>
                <w:sz w:val="13"/>
                <w:szCs w:val="13"/>
                <w:color w:val="auto"/>
              </w:rPr>
              <w:t xml:space="preserve"> ​</w:t>
            </w:r>
          </w:p>
        </w:tc>
        <w:tc>
          <w:tcPr>
            <w:tcW w:w="780" w:type="dxa"/>
            <w:vAlign w:val="bottom"/>
            <w:gridSpan w:val="3"/>
            <w:vMerge w:val="restart"/>
          </w:tcPr>
          <w:p>
            <w:pPr>
              <w:jc w:val="right"/>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w:t>
            </w:r>
          </w:p>
        </w:tc>
        <w:tc>
          <w:tcPr>
            <w:tcW w:w="180" w:type="dxa"/>
            <w:vAlign w:val="bottom"/>
            <w:vMerge w:val="restart"/>
          </w:tcPr>
          <w:p>
            <w:pPr>
              <w:ind w:left="40"/>
              <w:spacing w:after="0" w:line="210" w:lineRule="exact"/>
              <w:rPr>
                <w:sz w:val="20"/>
                <w:szCs w:val="20"/>
                <w:color w:val="auto"/>
              </w:rPr>
            </w:pPr>
            <w:r>
              <w:rPr>
                <w:rFonts w:ascii="Arial" w:cs="Arial" w:eastAsia="Arial" w:hAnsi="Arial"/>
                <w:sz w:val="13"/>
                <w:szCs w:val="13"/>
                <w:color w:val="auto"/>
              </w:rPr>
              <w:t xml:space="preserve">​ </w:t>
            </w:r>
            <w:r>
              <w:rPr>
                <w:rFonts w:ascii="Arial" w:cs="Arial" w:eastAsia="Arial" w:hAnsi="Arial"/>
                <w:sz w:val="24"/>
                <w:szCs w:val="24"/>
                <w:color w:val="auto"/>
                <w:vertAlign w:val="superscript"/>
              </w:rPr>
              <w:t>​</w:t>
            </w:r>
          </w:p>
        </w:tc>
        <w:tc>
          <w:tcPr>
            <w:tcW w:w="1000" w:type="dxa"/>
            <w:vAlign w:val="bottom"/>
            <w:gridSpan w:val="3"/>
            <w:vMerge w:val="restart"/>
          </w:tcPr>
          <w:p>
            <w:pPr>
              <w:jc w:val="right"/>
              <w:ind w:right="157"/>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w:t>
            </w:r>
          </w:p>
        </w:tc>
        <w:tc>
          <w:tcPr>
            <w:tcW w:w="1020" w:type="dxa"/>
            <w:vAlign w:val="bottom"/>
            <w:gridSpan w:val="3"/>
            <w:vMerge w:val="restart"/>
          </w:tcPr>
          <w:p>
            <w:pPr>
              <w:ind w:left="200"/>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$ 13,200</w:t>
            </w:r>
            <w:r>
              <w:rPr>
                <w:rFonts w:ascii="Arial" w:cs="Arial" w:eastAsia="Arial" w:hAnsi="Arial"/>
                <w:sz w:val="24"/>
                <w:szCs w:val="24"/>
                <w:color w:val="auto"/>
                <w:vertAlign w:val="subscript"/>
              </w:rPr>
              <w:t>​​​​</w:t>
            </w:r>
            <w:r>
              <w:rPr>
                <w:rFonts w:ascii="Arial" w:cs="Arial" w:eastAsia="Arial" w:hAnsi="Arial"/>
                <w:sz w:val="13"/>
                <w:szCs w:val="13"/>
                <w:color w:val="auto"/>
              </w:rPr>
              <w:t>$</w:t>
            </w:r>
          </w:p>
        </w:tc>
        <w:tc>
          <w:tcPr>
            <w:tcW w:w="720" w:type="dxa"/>
            <w:vAlign w:val="bottom"/>
            <w:gridSpan w:val="2"/>
            <w:vMerge w:val="restart"/>
          </w:tcPr>
          <w:p>
            <w:pPr>
              <w:jc w:val="right"/>
              <w:spacing w:after="0" w:line="210" w:lineRule="exact"/>
              <w:rPr>
                <w:sz w:val="20"/>
                <w:szCs w:val="20"/>
                <w:color w:val="auto"/>
              </w:rPr>
            </w:pPr>
            <w:r>
              <w:rPr>
                <w:rFonts w:ascii="Arial" w:cs="Arial" w:eastAsia="Arial" w:hAnsi="Arial"/>
                <w:sz w:val="13"/>
                <w:szCs w:val="13"/>
                <w:color w:val="auto"/>
              </w:rPr>
              <w:t>3,432,385</w:t>
            </w:r>
            <w:r>
              <w:rPr>
                <w:rFonts w:ascii="Arial" w:cs="Arial" w:eastAsia="Arial" w:hAnsi="Arial"/>
                <w:sz w:val="24"/>
                <w:szCs w:val="24"/>
                <w:color w:val="auto"/>
                <w:vertAlign w:val="subscript"/>
              </w:rPr>
              <w:t>​</w:t>
            </w:r>
          </w:p>
        </w:tc>
        <w:tc>
          <w:tcPr>
            <w:tcW w:w="0" w:type="dxa"/>
            <w:vAlign w:val="bottom"/>
          </w:tcPr>
          <w:p>
            <w:pPr>
              <w:spacing w:after="0"/>
              <w:rPr>
                <w:sz w:val="1"/>
                <w:szCs w:val="1"/>
                <w:color w:val="auto"/>
              </w:rPr>
            </w:pPr>
          </w:p>
        </w:tc>
      </w:tr>
      <w:tr>
        <w:trPr>
          <w:trHeight w:val="144"/>
        </w:trPr>
        <w:tc>
          <w:tcPr>
            <w:tcW w:w="2140" w:type="dxa"/>
            <w:vAlign w:val="bottom"/>
          </w:tcPr>
          <w:p>
            <w:pPr>
              <w:spacing w:after="0" w:line="125" w:lineRule="exact"/>
              <w:rPr>
                <w:sz w:val="20"/>
                <w:szCs w:val="20"/>
                <w:color w:val="auto"/>
              </w:rPr>
            </w:pPr>
            <w:r>
              <w:rPr>
                <w:rFonts w:ascii="Arial" w:cs="Arial" w:eastAsia="Arial" w:hAnsi="Arial"/>
                <w:sz w:val="14"/>
                <w:szCs w:val="14"/>
                <w:color w:val="auto"/>
              </w:rPr>
              <w:t>and General Counsel</w:t>
            </w:r>
          </w:p>
        </w:tc>
        <w:tc>
          <w:tcPr>
            <w:tcW w:w="10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4B50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58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46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4B5088"/>
          </w:tcPr>
          <w:p>
            <w:pPr>
              <w:spacing w:after="0" w:line="20" w:lineRule="exact"/>
              <w:rPr>
                <w:sz w:val="1"/>
                <w:szCs w:val="1"/>
                <w:color w:val="auto"/>
              </w:rPr>
            </w:pPr>
          </w:p>
        </w:tc>
        <w:tc>
          <w:tcPr>
            <w:tcW w:w="760" w:type="dxa"/>
            <w:vAlign w:val="bottom"/>
            <w:shd w:val="clear" w:color="auto" w:fill="4B50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60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180" w:type="dxa"/>
            <w:vAlign w:val="bottom"/>
            <w:shd w:val="clear" w:color="auto" w:fill="4B5088"/>
          </w:tcPr>
          <w:p>
            <w:pPr>
              <w:spacing w:after="0" w:line="20" w:lineRule="exact"/>
              <w:rPr>
                <w:sz w:val="1"/>
                <w:szCs w:val="1"/>
                <w:color w:val="auto"/>
              </w:rPr>
            </w:pPr>
          </w:p>
        </w:tc>
        <w:tc>
          <w:tcPr>
            <w:tcW w:w="66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4B5088"/>
          </w:tcPr>
          <w:p>
            <w:pPr>
              <w:spacing w:after="0" w:line="20" w:lineRule="exact"/>
              <w:rPr>
                <w:sz w:val="1"/>
                <w:szCs w:val="1"/>
                <w:color w:val="auto"/>
              </w:rPr>
            </w:pPr>
          </w:p>
        </w:tc>
        <w:tc>
          <w:tcPr>
            <w:tcW w:w="78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680" w:type="dxa"/>
            <w:vAlign w:val="bottom"/>
            <w:shd w:val="clear" w:color="auto" w:fill="4B508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1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80" w:type="dxa"/>
            <w:vAlign w:val="bottom"/>
            <w:gridSpan w:val="3"/>
          </w:tcPr>
          <w:p>
            <w:pPr>
              <w:ind w:left="20"/>
              <w:spacing w:after="0" w:line="304"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color w:val="auto"/>
              </w:rPr>
              <w:t>​2022</w:t>
            </w: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840" w:type="dxa"/>
            <w:vAlign w:val="bottom"/>
            <w:gridSpan w:val="3"/>
          </w:tcPr>
          <w:p>
            <w:pPr>
              <w:jc w:val="right"/>
              <w:ind w:right="40"/>
              <w:spacing w:after="0" w:line="304" w:lineRule="exact"/>
              <w:rPr>
                <w:sz w:val="20"/>
                <w:szCs w:val="20"/>
                <w:color w:val="auto"/>
              </w:rPr>
            </w:pPr>
            <w:r>
              <w:rPr>
                <w:rFonts w:ascii="Arial" w:cs="Arial" w:eastAsia="Arial" w:hAnsi="Arial"/>
                <w:sz w:val="14"/>
                <w:szCs w:val="14"/>
                <w:color w:val="auto"/>
              </w:rPr>
              <w:t>580,000</w:t>
            </w: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760" w:type="dxa"/>
            <w:vAlign w:val="bottom"/>
            <w:gridSpan w:val="3"/>
          </w:tcPr>
          <w:p>
            <w:pPr>
              <w:jc w:val="right"/>
              <w:spacing w:after="0" w:line="304"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w:t>
            </w:r>
            <w:r>
              <w:rPr>
                <w:rFonts w:ascii="Arial" w:cs="Arial" w:eastAsia="Arial" w:hAnsi="Arial"/>
                <w:sz w:val="28"/>
                <w:szCs w:val="28"/>
                <w:color w:val="auto"/>
                <w:vertAlign w:val="superscript"/>
              </w:rPr>
              <w:t>$</w:t>
            </w:r>
          </w:p>
        </w:tc>
        <w:tc>
          <w:tcPr>
            <w:tcW w:w="980" w:type="dxa"/>
            <w:vAlign w:val="bottom"/>
            <w:gridSpan w:val="3"/>
          </w:tcPr>
          <w:p>
            <w:pPr>
              <w:jc w:val="right"/>
              <w:spacing w:after="0" w:line="304" w:lineRule="exact"/>
              <w:rPr>
                <w:sz w:val="20"/>
                <w:szCs w:val="20"/>
                <w:color w:val="auto"/>
              </w:rPr>
            </w:pPr>
            <w:r>
              <w:rPr>
                <w:rFonts w:ascii="Arial" w:cs="Arial" w:eastAsia="Arial" w:hAnsi="Arial"/>
                <w:sz w:val="14"/>
                <w:szCs w:val="14"/>
                <w:color w:val="auto"/>
              </w:rPr>
              <w:t>3,935,842</w:t>
            </w: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780" w:type="dxa"/>
            <w:vAlign w:val="bottom"/>
            <w:gridSpan w:val="3"/>
          </w:tcPr>
          <w:p>
            <w:pPr>
              <w:jc w:val="right"/>
              <w:spacing w:after="0" w:line="304"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180" w:type="dxa"/>
            <w:vAlign w:val="bottom"/>
          </w:tcPr>
          <w:p>
            <w:pPr>
              <w:ind w:left="40"/>
              <w:spacing w:after="0" w:line="304" w:lineRule="exact"/>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1000" w:type="dxa"/>
            <w:vAlign w:val="bottom"/>
            <w:gridSpan w:val="3"/>
          </w:tcPr>
          <w:p>
            <w:pPr>
              <w:jc w:val="right"/>
              <w:ind w:right="157"/>
              <w:spacing w:after="0" w:line="304"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1020" w:type="dxa"/>
            <w:vAlign w:val="bottom"/>
            <w:gridSpan w:val="3"/>
          </w:tcPr>
          <w:p>
            <w:pPr>
              <w:ind w:left="200"/>
              <w:spacing w:after="0" w:line="30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$ 12,200</w:t>
            </w: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720" w:type="dxa"/>
            <w:vAlign w:val="bottom"/>
            <w:gridSpan w:val="2"/>
          </w:tcPr>
          <w:p>
            <w:pPr>
              <w:jc w:val="right"/>
              <w:spacing w:after="0" w:line="304" w:lineRule="exact"/>
              <w:rPr>
                <w:sz w:val="20"/>
                <w:szCs w:val="20"/>
                <w:color w:val="auto"/>
              </w:rPr>
            </w:pPr>
            <w:r>
              <w:rPr>
                <w:rFonts w:ascii="Arial" w:cs="Arial" w:eastAsia="Arial" w:hAnsi="Arial"/>
                <w:sz w:val="14"/>
                <w:szCs w:val="14"/>
                <w:color w:val="auto"/>
              </w:rPr>
              <w:t>4,528,042</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0"/>
        </w:trPr>
        <w:tc>
          <w:tcPr>
            <w:tcW w:w="214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1F266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1F2668"/>
          </w:tcPr>
          <w:p>
            <w:pPr>
              <w:spacing w:after="0" w:line="20" w:lineRule="exact"/>
              <w:rPr>
                <w:sz w:val="1"/>
                <w:szCs w:val="1"/>
                <w:color w:val="auto"/>
              </w:rPr>
            </w:pPr>
          </w:p>
        </w:tc>
        <w:tc>
          <w:tcPr>
            <w:tcW w:w="58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1F2668"/>
          </w:tcPr>
          <w:p>
            <w:pPr>
              <w:spacing w:after="0" w:line="20" w:lineRule="exact"/>
              <w:rPr>
                <w:sz w:val="1"/>
                <w:szCs w:val="1"/>
                <w:color w:val="auto"/>
              </w:rPr>
            </w:pPr>
          </w:p>
        </w:tc>
        <w:tc>
          <w:tcPr>
            <w:tcW w:w="46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1F2668"/>
          </w:tcPr>
          <w:p>
            <w:pPr>
              <w:spacing w:after="0" w:line="20" w:lineRule="exact"/>
              <w:rPr>
                <w:sz w:val="1"/>
                <w:szCs w:val="1"/>
                <w:color w:val="auto"/>
              </w:rPr>
            </w:pPr>
          </w:p>
        </w:tc>
        <w:tc>
          <w:tcPr>
            <w:tcW w:w="760" w:type="dxa"/>
            <w:vAlign w:val="bottom"/>
            <w:shd w:val="clear" w:color="auto" w:fill="1F266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1F2668"/>
          </w:tcPr>
          <w:p>
            <w:pPr>
              <w:spacing w:after="0" w:line="20" w:lineRule="exact"/>
              <w:rPr>
                <w:sz w:val="1"/>
                <w:szCs w:val="1"/>
                <w:color w:val="auto"/>
              </w:rPr>
            </w:pPr>
          </w:p>
        </w:tc>
        <w:tc>
          <w:tcPr>
            <w:tcW w:w="60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1F2668"/>
          </w:tcPr>
          <w:p>
            <w:pPr>
              <w:spacing w:after="0" w:line="20" w:lineRule="exact"/>
              <w:rPr>
                <w:sz w:val="1"/>
                <w:szCs w:val="1"/>
                <w:color w:val="auto"/>
              </w:rPr>
            </w:pPr>
          </w:p>
        </w:tc>
        <w:tc>
          <w:tcPr>
            <w:tcW w:w="180" w:type="dxa"/>
            <w:vAlign w:val="bottom"/>
            <w:shd w:val="clear" w:color="auto" w:fill="1F2668"/>
          </w:tcPr>
          <w:p>
            <w:pPr>
              <w:spacing w:after="0" w:line="20" w:lineRule="exact"/>
              <w:rPr>
                <w:sz w:val="1"/>
                <w:szCs w:val="1"/>
                <w:color w:val="auto"/>
              </w:rPr>
            </w:pPr>
          </w:p>
        </w:tc>
        <w:tc>
          <w:tcPr>
            <w:tcW w:w="66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1F2668"/>
          </w:tcPr>
          <w:p>
            <w:pPr>
              <w:spacing w:after="0" w:line="20" w:lineRule="exact"/>
              <w:rPr>
                <w:sz w:val="1"/>
                <w:szCs w:val="1"/>
                <w:color w:val="auto"/>
              </w:rPr>
            </w:pPr>
          </w:p>
        </w:tc>
        <w:tc>
          <w:tcPr>
            <w:tcW w:w="78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1F2668"/>
          </w:tcPr>
          <w:p>
            <w:pPr>
              <w:spacing w:after="0" w:line="20" w:lineRule="exact"/>
              <w:rPr>
                <w:sz w:val="1"/>
                <w:szCs w:val="1"/>
                <w:color w:val="auto"/>
              </w:rPr>
            </w:pPr>
          </w:p>
        </w:tc>
        <w:tc>
          <w:tcPr>
            <w:tcW w:w="680" w:type="dxa"/>
            <w:vAlign w:val="bottom"/>
            <w:shd w:val="clear" w:color="auto" w:fill="1F266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5686425</wp:posOffset>
            </wp:positionH>
            <wp:positionV relativeFrom="paragraph">
              <wp:posOffset>-530860</wp:posOffset>
            </wp:positionV>
            <wp:extent cx="685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4974590</wp:posOffset>
            </wp:positionH>
            <wp:positionV relativeFrom="paragraph">
              <wp:posOffset>-530860</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-530860</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3808730</wp:posOffset>
            </wp:positionH>
            <wp:positionV relativeFrom="paragraph">
              <wp:posOffset>-530860</wp:posOffset>
            </wp:positionV>
            <wp:extent cx="5143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-530860</wp:posOffset>
            </wp:positionV>
            <wp:extent cx="685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2686050</wp:posOffset>
            </wp:positionH>
            <wp:positionV relativeFrom="paragraph">
              <wp:posOffset>-530860</wp:posOffset>
            </wp:positionV>
            <wp:extent cx="5143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-530860</wp:posOffset>
            </wp:positionV>
            <wp:extent cx="5143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5686425</wp:posOffset>
            </wp:positionH>
            <wp:positionV relativeFrom="paragraph">
              <wp:posOffset>-1002030</wp:posOffset>
            </wp:positionV>
            <wp:extent cx="6858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4974590</wp:posOffset>
            </wp:positionH>
            <wp:positionV relativeFrom="paragraph">
              <wp:posOffset>-1002030</wp:posOffset>
            </wp:positionV>
            <wp:extent cx="685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-1002030</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3808730</wp:posOffset>
            </wp:positionH>
            <wp:positionV relativeFrom="paragraph">
              <wp:posOffset>-1002030</wp:posOffset>
            </wp:positionV>
            <wp:extent cx="5143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-1002030</wp:posOffset>
            </wp:positionV>
            <wp:extent cx="6858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2686050</wp:posOffset>
            </wp:positionH>
            <wp:positionV relativeFrom="paragraph">
              <wp:posOffset>-1002030</wp:posOffset>
            </wp:positionV>
            <wp:extent cx="5143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-1002030</wp:posOffset>
            </wp:positionV>
            <wp:extent cx="5143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5686425</wp:posOffset>
            </wp:positionH>
            <wp:positionV relativeFrom="paragraph">
              <wp:posOffset>-1490980</wp:posOffset>
            </wp:positionV>
            <wp:extent cx="685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4974590</wp:posOffset>
            </wp:positionH>
            <wp:positionV relativeFrom="paragraph">
              <wp:posOffset>-1490980</wp:posOffset>
            </wp:positionV>
            <wp:extent cx="685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-1490980</wp:posOffset>
            </wp:positionV>
            <wp:extent cx="6858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3808730</wp:posOffset>
            </wp:positionH>
            <wp:positionV relativeFrom="paragraph">
              <wp:posOffset>-1490980</wp:posOffset>
            </wp:positionV>
            <wp:extent cx="5143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-1490980</wp:posOffset>
            </wp:positionV>
            <wp:extent cx="6858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2686050</wp:posOffset>
            </wp:positionH>
            <wp:positionV relativeFrom="paragraph">
              <wp:posOffset>-1490980</wp:posOffset>
            </wp:positionV>
            <wp:extent cx="5143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-1490980</wp:posOffset>
            </wp:positionV>
            <wp:extent cx="5143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7" w:lineRule="exact"/>
        <w:rPr>
          <w:sz w:val="20"/>
          <w:szCs w:val="20"/>
          <w:color w:val="auto"/>
        </w:rPr>
      </w:pPr>
    </w:p>
    <w:p>
      <w:pPr>
        <w:ind w:left="1180" w:right="140" w:hanging="364"/>
        <w:spacing w:after="0" w:line="276" w:lineRule="auto"/>
        <w:tabs>
          <w:tab w:leader="none" w:pos="11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Amounts shown do not reflect compensation actually received by the named executive officer. Instead, the amounts shown are the full grant date fair value of stock awards issued to the executives in 2024, 2023 and 2022, respectively. In accordance with SEC disclosure requirements, the amounts for 2024 include the full grant date fair value of our 2024 annual performance-based equity awards, which were as follows: Mr. Holliday—$8,363,869; Mr. DiLiberto—$637,800; and Mr. Levine—$637,800, respectively. The grant date fair value of such awards is computed in accordance with ASC 718, “Compensation-Stock Compensation,” or “ASC 718,” by the use of Monte Carlo simulation models that consider the probable outcomes of the market-based performance conditions governing such awards. The Monte Carlo simulation model for the awards granted during 2024 used an assumed stock price volatility level of 46.0% on our common stock and a risk-free interest rate of 4.13%.</w:t>
      </w:r>
    </w:p>
    <w:p>
      <w:pPr>
        <w:spacing w:after="0" w:line="71" w:lineRule="exact"/>
        <w:rPr>
          <w:rFonts w:ascii="Arial" w:cs="Arial" w:eastAsia="Arial" w:hAnsi="Arial"/>
          <w:sz w:val="14"/>
          <w:szCs w:val="14"/>
          <w:color w:val="auto"/>
        </w:rPr>
      </w:pPr>
    </w:p>
    <w:p>
      <w:pPr>
        <w:ind w:left="1180" w:right="140"/>
        <w:spacing w:after="0" w:line="282" w:lineRule="auto"/>
        <w:rPr>
          <w:rFonts w:ascii="Arial" w:cs="Arial" w:eastAsia="Arial" w:hAnsi="Arial"/>
          <w:sz w:val="14"/>
          <w:szCs w:val="14"/>
          <w:color w:val="auto"/>
        </w:rPr>
      </w:pPr>
      <w:r>
        <w:rPr>
          <w:rFonts w:ascii="Arial" w:cs="Arial" w:eastAsia="Arial" w:hAnsi="Arial"/>
          <w:sz w:val="14"/>
          <w:szCs w:val="14"/>
          <w:color w:val="auto"/>
        </w:rPr>
        <w:t>Assuming that maximum performance is achieved under our 2024 annual performance-based equity awards, the value at the grant date of the awards would each have been as follows: Mr. Holliday—$17,451,649; Mr. DiLiberto—$1,292,768; and Mr. Levine—$1,292,768, respectively. See “—Compensation Discussion and Analysis—Our 2024 Executive Compensation Program” for a description of the terms of these performance-based awards.</w:t>
      </w:r>
    </w:p>
    <w:p>
      <w:pPr>
        <w:spacing w:after="0" w:line="39" w:lineRule="exact"/>
        <w:rPr>
          <w:rFonts w:ascii="Arial" w:cs="Arial" w:eastAsia="Arial" w:hAnsi="Arial"/>
          <w:sz w:val="14"/>
          <w:szCs w:val="14"/>
          <w:color w:val="auto"/>
        </w:rPr>
      </w:pPr>
    </w:p>
    <w:p>
      <w:pPr>
        <w:ind w:left="1180" w:right="140" w:hanging="364"/>
        <w:spacing w:after="0" w:line="268" w:lineRule="auto"/>
        <w:tabs>
          <w:tab w:leader="none" w:pos="11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Amounts shown do not reflect compensation actually received by the named executive officer. Instead, the amounts shown are the full grant date value of Class O LTIP units as computed in accordance with ASC 718 by the use of the Black-Scholes option pricing model. The Black-Scholes option pricing model for the Class O LTIP units granted during 2024 used a dividend yield of 5.5%, an expected life of</w:t>
      </w:r>
    </w:p>
    <w:p>
      <w:pPr>
        <w:spacing w:after="0" w:line="1" w:lineRule="exact"/>
        <w:rPr>
          <w:rFonts w:ascii="Arial" w:cs="Arial" w:eastAsia="Arial" w:hAnsi="Arial"/>
          <w:sz w:val="14"/>
          <w:szCs w:val="14"/>
          <w:color w:val="auto"/>
        </w:rPr>
      </w:pPr>
    </w:p>
    <w:p>
      <w:pPr>
        <w:ind w:left="1180"/>
        <w:spacing w:after="0"/>
        <w:rPr>
          <w:rFonts w:ascii="Arial" w:cs="Arial" w:eastAsia="Arial" w:hAnsi="Arial"/>
          <w:sz w:val="14"/>
          <w:szCs w:val="14"/>
          <w:color w:val="auto"/>
        </w:rPr>
      </w:pPr>
      <w:r>
        <w:rPr>
          <w:rFonts w:ascii="Arial" w:cs="Arial" w:eastAsia="Arial" w:hAnsi="Arial"/>
          <w:sz w:val="14"/>
          <w:szCs w:val="14"/>
          <w:color w:val="auto"/>
        </w:rPr>
        <w:t>7.5 years, a risk-free interest rate of 4.45% and an expected stock price volatility of 45.0%.</w:t>
      </w:r>
    </w:p>
    <w:p>
      <w:pPr>
        <w:spacing w:after="0" w:line="143" w:lineRule="exact"/>
        <w:rPr>
          <w:rFonts w:ascii="Arial" w:cs="Arial" w:eastAsia="Arial" w:hAnsi="Arial"/>
          <w:sz w:val="14"/>
          <w:szCs w:val="14"/>
          <w:color w:val="auto"/>
        </w:rPr>
      </w:pPr>
    </w:p>
    <w:p>
      <w:pPr>
        <w:ind w:left="1180" w:right="500" w:hanging="364"/>
        <w:spacing w:after="0" w:line="321" w:lineRule="auto"/>
        <w:tabs>
          <w:tab w:leader="none" w:pos="11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table and footnotes below show the components of this column for 2024, which include certain perquisites such as Company 401(k) matching contributions.</w:t>
      </w:r>
    </w:p>
    <w:p>
      <w:pPr>
        <w:spacing w:after="0" w:line="110" w:lineRule="exact"/>
        <w:rPr>
          <w:sz w:val="20"/>
          <w:szCs w:val="20"/>
          <w:color w:val="auto"/>
        </w:rPr>
      </w:pPr>
    </w:p>
    <w:tbl>
      <w:tblPr>
        <w:tblLayout w:type="fixed"/>
        <w:tblInd w:w="1180" w:type="dxa"/>
        <w:tblCellMar>
          <w:top w:w="0" w:type="dxa"/>
          <w:left w:w="0" w:type="dxa"/>
          <w:bottom w:w="0" w:type="dxa"/>
          <w:right w:w="0" w:type="dxa"/>
        </w:tblCellMar>
      </w:tblPr>
      <w:tr>
        <w:trPr>
          <w:trHeight w:val="149"/>
        </w:trPr>
        <w:tc>
          <w:tcPr>
            <w:tcW w:w="39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ind w:left="480"/>
              <w:spacing w:after="0"/>
              <w:rPr>
                <w:sz w:val="20"/>
                <w:szCs w:val="20"/>
                <w:color w:val="auto"/>
              </w:rPr>
            </w:pPr>
            <w:r>
              <w:rPr>
                <w:rFonts w:ascii="Arial" w:cs="Arial" w:eastAsia="Arial" w:hAnsi="Arial"/>
                <w:sz w:val="13"/>
                <w:szCs w:val="13"/>
                <w:b w:val="1"/>
                <w:bCs w:val="1"/>
                <w:color w:val="1F2668"/>
              </w:rPr>
              <w:t>All Other</w:t>
            </w:r>
          </w:p>
        </w:tc>
      </w:tr>
      <w:tr>
        <w:trPr>
          <w:trHeight w:val="220"/>
        </w:trPr>
        <w:tc>
          <w:tcPr>
            <w:tcW w:w="3940" w:type="dxa"/>
            <w:vAlign w:val="bottom"/>
          </w:tcPr>
          <w:p>
            <w:pPr>
              <w:spacing w:after="0"/>
              <w:rPr>
                <w:sz w:val="20"/>
                <w:szCs w:val="20"/>
                <w:color w:val="auto"/>
              </w:rPr>
            </w:pPr>
            <w:r>
              <w:rPr>
                <w:rFonts w:ascii="Arial" w:cs="Arial" w:eastAsia="Arial" w:hAnsi="Arial"/>
                <w:sz w:val="13"/>
                <w:szCs w:val="13"/>
                <w:b w:val="1"/>
                <w:bCs w:val="1"/>
                <w:color w:val="1F2668"/>
              </w:rPr>
              <w:t>Name</w:t>
            </w:r>
          </w:p>
        </w:tc>
        <w:tc>
          <w:tcPr>
            <w:tcW w:w="3600" w:type="dxa"/>
            <w:vAlign w:val="bottom"/>
          </w:tcPr>
          <w:p>
            <w:pPr>
              <w:spacing w:after="0"/>
              <w:rPr>
                <w:sz w:val="19"/>
                <w:szCs w:val="19"/>
                <w:color w:val="auto"/>
              </w:rPr>
            </w:pPr>
          </w:p>
        </w:tc>
        <w:tc>
          <w:tcPr>
            <w:tcW w:w="1200" w:type="dxa"/>
            <w:vAlign w:val="bottom"/>
            <w:gridSpan w:val="3"/>
          </w:tcPr>
          <w:p>
            <w:pPr>
              <w:spacing w:after="0" w:line="221" w:lineRule="exact"/>
              <w:rPr>
                <w:sz w:val="20"/>
                <w:szCs w:val="20"/>
                <w:color w:val="auto"/>
              </w:rPr>
            </w:pPr>
            <w:r>
              <w:rPr>
                <w:rFonts w:ascii="Arial" w:cs="Arial" w:eastAsia="Arial" w:hAnsi="Arial"/>
                <w:sz w:val="25"/>
                <w:szCs w:val="25"/>
                <w:b w:val="1"/>
                <w:bCs w:val="1"/>
                <w:color w:val="1F2668"/>
                <w:w w:val="99"/>
                <w:vertAlign w:val="subscript"/>
              </w:rPr>
              <w:t>​ ​</w:t>
            </w:r>
            <w:r>
              <w:rPr>
                <w:rFonts w:ascii="Arial" w:cs="Arial" w:eastAsia="Arial" w:hAnsi="Arial"/>
                <w:sz w:val="13"/>
                <w:szCs w:val="13"/>
                <w:b w:val="1"/>
                <w:bCs w:val="1"/>
                <w:color w:val="1F2668"/>
                <w:w w:val="99"/>
              </w:rPr>
              <w:t xml:space="preserve"> Compensation ($)</w:t>
            </w:r>
            <w:r>
              <w:rPr>
                <w:rFonts w:ascii="Arial" w:cs="Arial" w:eastAsia="Arial" w:hAnsi="Arial"/>
                <w:sz w:val="25"/>
                <w:szCs w:val="25"/>
                <w:b w:val="1"/>
                <w:bCs w:val="1"/>
                <w:color w:val="1F2668"/>
                <w:w w:val="99"/>
                <w:vertAlign w:val="subscript"/>
              </w:rPr>
              <w:t>​</w:t>
            </w:r>
          </w:p>
        </w:tc>
      </w:tr>
      <w:tr>
        <w:trPr>
          <w:trHeight w:val="20"/>
        </w:trPr>
        <w:tc>
          <w:tcPr>
            <w:tcW w:w="3940" w:type="dxa"/>
            <w:vAlign w:val="bottom"/>
            <w:shd w:val="clear" w:color="auto" w:fill="1F2668"/>
          </w:tcPr>
          <w:p>
            <w:pPr>
              <w:spacing w:after="0" w:line="20" w:lineRule="exact"/>
              <w:rPr>
                <w:sz w:val="1"/>
                <w:szCs w:val="1"/>
                <w:color w:val="auto"/>
              </w:rPr>
            </w:pPr>
          </w:p>
        </w:tc>
        <w:tc>
          <w:tcPr>
            <w:tcW w:w="3600" w:type="dxa"/>
            <w:vAlign w:val="bottom"/>
            <w:shd w:val="clear" w:color="auto" w:fill="1F266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1F266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7" w:lineRule="exact"/>
        <w:rPr>
          <w:sz w:val="20"/>
          <w:szCs w:val="20"/>
          <w:color w:val="auto"/>
        </w:rPr>
      </w:pPr>
    </w:p>
    <w:p>
      <w:pPr>
        <w:sectPr>
          <w:pgSz w:w="11900" w:h="16838" w:orient="portrait"/>
          <w:cols w:equalWidth="0" w:num="1">
            <w:col w:w="10000"/>
          </w:cols>
          <w:pgMar w:left="580" w:top="97" w:right="1319" w:bottom="1440" w:gutter="0" w:footer="0" w:header="0"/>
        </w:sectPr>
      </w:pPr>
    </w:p>
    <w:p>
      <w:pPr>
        <w:spacing w:after="0" w:line="51"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1F2668"/>
        </w:rPr>
        <w:t>Marc Holliday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748665</wp:posOffset>
            </wp:positionH>
            <wp:positionV relativeFrom="paragraph">
              <wp:posOffset>32385</wp:posOffset>
            </wp:positionV>
            <wp:extent cx="479171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4791710" cy="8890"/>
                    </a:xfrm>
                    <a:prstGeom prst="rect">
                      <a:avLst/>
                    </a:prstGeom>
                    <a:noFill/>
                  </pic:spPr>
                </pic:pic>
              </a:graphicData>
            </a:graphic>
          </wp:anchor>
        </w:drawing>
      </w:r>
    </w:p>
    <w:p>
      <w:pPr>
        <w:spacing w:after="0" w:line="62"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1F2668"/>
        </w:rPr>
        <w:t>Matthew J. 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748665</wp:posOffset>
            </wp:positionH>
            <wp:positionV relativeFrom="paragraph">
              <wp:posOffset>32385</wp:posOffset>
            </wp:positionV>
            <wp:extent cx="479171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4791710" cy="8255"/>
                    </a:xfrm>
                    <a:prstGeom prst="rect">
                      <a:avLst/>
                    </a:prstGeom>
                    <a:noFill/>
                  </pic:spPr>
                </pic:pic>
              </a:graphicData>
            </a:graphic>
          </wp:anchor>
        </w:drawing>
      </w:r>
    </w:p>
    <w:p>
      <w:pPr>
        <w:spacing w:after="0" w:line="62"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1F2668"/>
        </w:rPr>
        <w:t>Andrew S.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748665</wp:posOffset>
            </wp:positionH>
            <wp:positionV relativeFrom="paragraph">
              <wp:posOffset>32385</wp:posOffset>
            </wp:positionV>
            <wp:extent cx="479171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47917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4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920" w:type="dxa"/>
            <w:vAlign w:val="bottom"/>
            <w:gridSpan w:val="3"/>
          </w:tcPr>
          <w:p>
            <w:pPr>
              <w:ind w:left="260"/>
              <w:spacing w:after="0"/>
              <w:rPr>
                <w:sz w:val="20"/>
                <w:szCs w:val="20"/>
                <w:color w:val="auto"/>
              </w:rPr>
            </w:pPr>
            <w:r>
              <w:rPr>
                <w:rFonts w:ascii="Arial" w:cs="Arial" w:eastAsia="Arial" w:hAnsi="Arial"/>
                <w:sz w:val="14"/>
                <w:szCs w:val="14"/>
                <w:color w:val="auto"/>
                <w:w w:val="93"/>
              </w:rPr>
              <w:t>$ 40,940</w:t>
            </w:r>
            <w:r>
              <w:rPr>
                <w:rFonts w:ascii="Arial" w:cs="Arial" w:eastAsia="Arial" w:hAnsi="Arial"/>
                <w:sz w:val="17"/>
                <w:szCs w:val="17"/>
                <w:color w:val="auto"/>
                <w:w w:val="93"/>
                <w:vertAlign w:val="superscript"/>
              </w:rPr>
              <w:t>(a)</w:t>
            </w:r>
          </w:p>
        </w:tc>
        <w:tc>
          <w:tcPr>
            <w:tcW w:w="0" w:type="dxa"/>
            <w:vAlign w:val="bottom"/>
          </w:tcPr>
          <w:p>
            <w:pPr>
              <w:spacing w:after="0"/>
              <w:rPr>
                <w:sz w:val="1"/>
                <w:szCs w:val="1"/>
                <w:color w:val="auto"/>
              </w:rPr>
            </w:pPr>
          </w:p>
        </w:tc>
      </w:tr>
      <w:tr>
        <w:trPr>
          <w:trHeight w:val="68"/>
        </w:trPr>
        <w:tc>
          <w:tcPr>
            <w:tcW w:w="340" w:type="dxa"/>
            <w:vAlign w:val="bottom"/>
            <w:gridSpan w:val="2"/>
            <w:vMerge w:val="continue"/>
          </w:tcPr>
          <w:p>
            <w:pPr>
              <w:spacing w:after="0"/>
              <w:rPr>
                <w:sz w:val="5"/>
                <w:szCs w:val="5"/>
                <w:color w:val="auto"/>
              </w:rPr>
            </w:pPr>
          </w:p>
        </w:tc>
        <w:tc>
          <w:tcPr>
            <w:tcW w:w="540" w:type="dxa"/>
            <w:vAlign w:val="bottom"/>
          </w:tcPr>
          <w:p>
            <w:pPr>
              <w:ind w:left="240"/>
              <w:spacing w:after="0" w:line="68" w:lineRule="exact"/>
              <w:rPr>
                <w:sz w:val="20"/>
                <w:szCs w:val="20"/>
                <w:color w:val="auto"/>
              </w:rPr>
            </w:pPr>
            <w:r>
              <w:rPr>
                <w:rFonts w:ascii="Arial" w:cs="Arial" w:eastAsia="Arial" w:hAnsi="Arial"/>
                <w:sz w:val="7"/>
                <w:szCs w:val="7"/>
                <w:color w:val="auto"/>
              </w:rPr>
              <w:t>​</w:t>
            </w:r>
          </w:p>
        </w:tc>
        <w:tc>
          <w:tcPr>
            <w:tcW w:w="380" w:type="dxa"/>
            <w:vAlign w:val="bottom"/>
            <w:gridSpan w:val="2"/>
          </w:tcPr>
          <w:p>
            <w:pPr>
              <w:ind w:left="260"/>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40" w:type="dxa"/>
            <w:vAlign w:val="bottom"/>
            <w:shd w:val="clear" w:color="auto" w:fill="4B5088"/>
          </w:tcPr>
          <w:p>
            <w:pPr>
              <w:spacing w:after="0" w:line="20" w:lineRule="exact"/>
              <w:rPr>
                <w:sz w:val="1"/>
                <w:szCs w:val="1"/>
                <w:color w:val="auto"/>
              </w:rPr>
            </w:pPr>
          </w:p>
        </w:tc>
        <w:tc>
          <w:tcPr>
            <w:tcW w:w="800" w:type="dxa"/>
            <w:vAlign w:val="bottom"/>
            <w:gridSpan w:val="2"/>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920" w:type="dxa"/>
            <w:vAlign w:val="bottom"/>
            <w:gridSpan w:val="3"/>
          </w:tcPr>
          <w:p>
            <w:pPr>
              <w:ind w:left="260"/>
              <w:spacing w:after="0" w:line="155" w:lineRule="exact"/>
              <w:rPr>
                <w:sz w:val="20"/>
                <w:szCs w:val="20"/>
                <w:color w:val="auto"/>
              </w:rPr>
            </w:pPr>
            <w:r>
              <w:rPr>
                <w:rFonts w:ascii="Arial" w:cs="Arial" w:eastAsia="Arial" w:hAnsi="Arial"/>
                <w:sz w:val="14"/>
                <w:szCs w:val="14"/>
                <w:color w:val="auto"/>
                <w:w w:val="93"/>
              </w:rPr>
              <w:t>$ 13,800</w:t>
            </w:r>
            <w:r>
              <w:rPr>
                <w:rFonts w:ascii="Arial" w:cs="Arial" w:eastAsia="Arial" w:hAnsi="Arial"/>
                <w:sz w:val="17"/>
                <w:szCs w:val="17"/>
                <w:color w:val="auto"/>
                <w:w w:val="93"/>
                <w:vertAlign w:val="superscript"/>
              </w:rPr>
              <w:t>(b)</w:t>
            </w:r>
          </w:p>
        </w:tc>
        <w:tc>
          <w:tcPr>
            <w:tcW w:w="0" w:type="dxa"/>
            <w:vAlign w:val="bottom"/>
          </w:tcPr>
          <w:p>
            <w:pPr>
              <w:spacing w:after="0"/>
              <w:rPr>
                <w:sz w:val="1"/>
                <w:szCs w:val="1"/>
                <w:color w:val="auto"/>
              </w:rPr>
            </w:pPr>
          </w:p>
        </w:tc>
      </w:tr>
      <w:tr>
        <w:trPr>
          <w:trHeight w:val="94"/>
        </w:trPr>
        <w:tc>
          <w:tcPr>
            <w:tcW w:w="340" w:type="dxa"/>
            <w:vAlign w:val="bottom"/>
            <w:gridSpan w:val="2"/>
            <w:vMerge w:val="continue"/>
          </w:tcPr>
          <w:p>
            <w:pPr>
              <w:spacing w:after="0"/>
              <w:rPr>
                <w:sz w:val="8"/>
                <w:szCs w:val="8"/>
                <w:color w:val="auto"/>
              </w:rPr>
            </w:pPr>
          </w:p>
        </w:tc>
        <w:tc>
          <w:tcPr>
            <w:tcW w:w="540" w:type="dxa"/>
            <w:vAlign w:val="bottom"/>
          </w:tcPr>
          <w:p>
            <w:pPr>
              <w:ind w:left="240"/>
              <w:spacing w:after="0" w:line="94" w:lineRule="exact"/>
              <w:rPr>
                <w:sz w:val="20"/>
                <w:szCs w:val="20"/>
                <w:color w:val="auto"/>
              </w:rPr>
            </w:pPr>
            <w:r>
              <w:rPr>
                <w:rFonts w:ascii="Arial" w:cs="Arial" w:eastAsia="Arial" w:hAnsi="Arial"/>
                <w:sz w:val="10"/>
                <w:szCs w:val="10"/>
                <w:color w:val="auto"/>
              </w:rPr>
              <w:t>​</w:t>
            </w:r>
          </w:p>
        </w:tc>
        <w:tc>
          <w:tcPr>
            <w:tcW w:w="380" w:type="dxa"/>
            <w:vAlign w:val="bottom"/>
            <w:gridSpan w:val="2"/>
          </w:tcPr>
          <w:p>
            <w:pPr>
              <w:ind w:left="260"/>
              <w:spacing w:after="0" w:line="94"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-16510</wp:posOffset>
            </wp:positionV>
            <wp:extent cx="66865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ind w:left="600"/>
        <w:spacing w:after="0" w:line="205" w:lineRule="auto"/>
        <w:rPr>
          <w:sz w:val="20"/>
          <w:szCs w:val="20"/>
          <w:color w:val="auto"/>
        </w:rPr>
      </w:pPr>
      <w:r>
        <w:rPr>
          <w:rFonts w:ascii="Arial" w:cs="Arial" w:eastAsia="Arial" w:hAnsi="Arial"/>
          <w:sz w:val="5"/>
          <w:szCs w:val="5"/>
          <w:color w:val="auto"/>
        </w:rPr>
        <w:t>$ 13,800</w:t>
      </w:r>
      <w:r>
        <w:rPr>
          <w:rFonts w:ascii="Arial" w:cs="Arial" w:eastAsia="Arial" w:hAnsi="Arial"/>
          <w:sz w:val="6"/>
          <w:szCs w:val="6"/>
          <w:color w:val="auto"/>
          <w:vertAlign w:val="superscript"/>
        </w:rPr>
        <w:t>(b)</w:t>
      </w:r>
    </w:p>
    <w:p>
      <w:pPr>
        <w:ind w:left="580" w:hanging="570"/>
        <w:spacing w:after="0"/>
        <w:tabs>
          <w:tab w:leader="none" w:pos="580" w:val="left"/>
        </w:tabs>
        <w:numPr>
          <w:ilvl w:val="0"/>
          <w:numId w:val="82"/>
        </w:numPr>
        <w:rPr>
          <w:rFonts w:ascii="Arial" w:cs="Arial" w:eastAsia="Arial" w:hAnsi="Arial"/>
          <w:sz w:val="14"/>
          <w:szCs w:val="14"/>
          <w:color w:val="1F2668"/>
        </w:rPr>
      </w:pPr>
      <w:r>
        <w:rPr>
          <w:rFonts w:ascii="Arial" w:cs="Arial" w:eastAsia="Arial" w:hAnsi="Arial"/>
          <w:sz w:val="14"/>
          <w:szCs w:val="14"/>
          <w:color w:val="1F2668"/>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-1905</wp:posOffset>
            </wp:positionV>
            <wp:extent cx="66865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20" w:space="720"/>
            <w:col w:w="1260"/>
          </w:cols>
          <w:pgMar w:left="580" w:top="97" w:right="1319" w:bottom="1440" w:gutter="0" w:footer="0" w:header="0"/>
          <w:type w:val="continuous"/>
        </w:sectPr>
      </w:pPr>
    </w:p>
    <w:p>
      <w:pPr>
        <w:spacing w:after="0" w:line="17" w:lineRule="exact"/>
        <w:rPr>
          <w:sz w:val="20"/>
          <w:szCs w:val="20"/>
          <w:color w:val="auto"/>
        </w:rPr>
      </w:pPr>
    </w:p>
    <w:p>
      <w:pPr>
        <w:ind w:left="1540" w:right="140" w:hanging="364"/>
        <w:spacing w:after="0" w:line="293" w:lineRule="auto"/>
        <w:tabs>
          <w:tab w:leader="none" w:pos="15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Represents (i) the Company’s matching contributions with respect to amounts earned by the named executive officer under our 401(k) plan ($13,800) and (ii) life insurance premiums ($27,140). The Company’s 401(k) matching contributions are credited in the year subsequent to which employees make their contributions.</w:t>
      </w:r>
    </w:p>
    <w:p>
      <w:pPr>
        <w:spacing w:after="0" w:line="17" w:lineRule="exact"/>
        <w:rPr>
          <w:rFonts w:ascii="Arial" w:cs="Arial" w:eastAsia="Arial" w:hAnsi="Arial"/>
          <w:sz w:val="14"/>
          <w:szCs w:val="14"/>
          <w:color w:val="auto"/>
        </w:rPr>
      </w:pPr>
    </w:p>
    <w:p>
      <w:pPr>
        <w:ind w:left="1540" w:right="300" w:hanging="364"/>
        <w:spacing w:after="0" w:line="293" w:lineRule="auto"/>
        <w:tabs>
          <w:tab w:leader="none" w:pos="15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Represents the Company’s matching contributions with respect to amounts earned by the named executive officer under our 401(k) plan ($13,800). The Company’s 401(k) matching contributions are credited in the year subsequent to which employees make their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544830</wp:posOffset>
            </wp:positionV>
            <wp:extent cx="6831965"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p>
      <w:pPr>
        <w:ind w:left="820"/>
        <w:spacing w:after="0"/>
        <w:tabs>
          <w:tab w:leader="none" w:pos="1440" w:val="left"/>
          <w:tab w:leader="none" w:pos="9860" w:val="left"/>
        </w:tabs>
        <w:rPr>
          <w:sz w:val="20"/>
          <w:szCs w:val="20"/>
          <w:color w:val="auto"/>
        </w:rPr>
      </w:pPr>
      <w:r>
        <w:rPr>
          <w:rFonts w:ascii="Arial" w:cs="Arial" w:eastAsia="Arial" w:hAnsi="Arial"/>
          <w:sz w:val="22"/>
          <w:szCs w:val="22"/>
          <w:b w:val="1"/>
          <w:bCs w:val="1"/>
          <w:color w:val="1F2668"/>
        </w:rPr>
        <w:t>​68</w:t>
      </w:r>
      <w:r>
        <w:rPr>
          <w:sz w:val="20"/>
          <w:szCs w:val="20"/>
          <w:color w:val="auto"/>
        </w:rPr>
        <w:tab/>
      </w:r>
      <w:r>
        <w:rPr>
          <w:rFonts w:ascii="Arial" w:cs="Arial" w:eastAsia="Arial" w:hAnsi="Arial"/>
          <w:sz w:val="22"/>
          <w:szCs w:val="22"/>
          <w:b w:val="1"/>
          <w:bCs w:val="1"/>
          <w:color w:val="1F2668"/>
        </w:rPr>
        <w:t xml:space="preserve">​ ​ </w:t>
      </w:r>
      <w:r>
        <w:rPr>
          <w:rFonts w:ascii="Arial" w:cs="Arial" w:eastAsia="Arial" w:hAnsi="Arial"/>
          <w:sz w:val="14"/>
          <w:szCs w:val="14"/>
          <w:b w:val="1"/>
          <w:bCs w:val="1"/>
          <w:color w:val="1F2668"/>
        </w:rPr>
        <w:t>SL GREEN REALTY CORP. 2025 PROXY STATEMENT</w:t>
      </w:r>
      <w:r>
        <w:rPr>
          <w:sz w:val="20"/>
          <w:szCs w:val="20"/>
          <w:color w:val="auto"/>
        </w:rPr>
        <w:tab/>
      </w:r>
      <w:r>
        <w:rPr>
          <w:rFonts w:ascii="Arial" w:cs="Arial" w:eastAsia="Arial" w:hAnsi="Arial"/>
          <w:sz w:val="22"/>
          <w:szCs w:val="22"/>
          <w:b w:val="1"/>
          <w:bCs w:val="1"/>
          <w:color w:val="1F2668"/>
        </w:rPr>
        <w:t>​</w:t>
      </w:r>
    </w:p>
    <w:p>
      <w:pPr>
        <w:spacing w:after="0" w:line="200" w:lineRule="exact"/>
        <w:rPr>
          <w:sz w:val="20"/>
          <w:szCs w:val="20"/>
          <w:color w:val="auto"/>
        </w:rPr>
      </w:pPr>
    </w:p>
    <w:p>
      <w:pPr>
        <w:spacing w:after="0" w:line="285"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2024 Grants of Plan-Based Awards</w:t>
      </w:r>
    </w:p>
    <w:p>
      <w:pPr>
        <w:spacing w:after="0" w:line="119" w:lineRule="exact"/>
        <w:rPr>
          <w:sz w:val="20"/>
          <w:szCs w:val="20"/>
          <w:color w:val="auto"/>
        </w:rPr>
      </w:pPr>
    </w:p>
    <w:p>
      <w:pPr>
        <w:ind w:left="820" w:right="140"/>
        <w:spacing w:after="0" w:line="321" w:lineRule="auto"/>
        <w:rPr>
          <w:sz w:val="20"/>
          <w:szCs w:val="20"/>
          <w:color w:val="auto"/>
        </w:rPr>
      </w:pPr>
      <w:r>
        <w:rPr>
          <w:rFonts w:ascii="Arial" w:cs="Arial" w:eastAsia="Arial" w:hAnsi="Arial"/>
          <w:sz w:val="16"/>
          <w:szCs w:val="16"/>
          <w:color w:val="auto"/>
        </w:rPr>
        <w:t>The following table sets forth certain information with respect to each grant of an award made to a named executive officer in the fiscal year ended December 31, 2024.</w:t>
      </w:r>
    </w:p>
    <w:p>
      <w:pPr>
        <w:spacing w:after="0" w:line="125" w:lineRule="exact"/>
        <w:rPr>
          <w:sz w:val="20"/>
          <w:szCs w:val="20"/>
          <w:color w:val="auto"/>
        </w:rPr>
      </w:pPr>
    </w:p>
    <w:tbl>
      <w:tblPr>
        <w:tblLayout w:type="fixed"/>
        <w:tblInd w:w="820" w:type="dxa"/>
        <w:tblCellMar>
          <w:top w:w="0" w:type="dxa"/>
          <w:left w:w="0" w:type="dxa"/>
          <w:bottom w:w="0" w:type="dxa"/>
          <w:right w:w="0" w:type="dxa"/>
        </w:tblCellMar>
      </w:tblPr>
      <w:tr>
        <w:trPr>
          <w:trHeight w:val="126"/>
        </w:trPr>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1"/>
                <w:szCs w:val="11"/>
                <w:b w:val="1"/>
                <w:bCs w:val="1"/>
                <w:color w:val="1F2668"/>
              </w:rPr>
              <w:t>All Other</w:t>
            </w:r>
          </w:p>
        </w:tc>
        <w:tc>
          <w:tcPr>
            <w:tcW w:w="76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1F2668"/>
              </w:rPr>
              <w:t>All Other</w:t>
            </w: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1F2668"/>
              </w:rPr>
              <w:t>Stock</w:t>
            </w:r>
          </w:p>
        </w:tc>
        <w:tc>
          <w:tcPr>
            <w:tcW w:w="760" w:type="dxa"/>
            <w:vAlign w:val="bottom"/>
            <w:gridSpan w:val="2"/>
          </w:tcPr>
          <w:p>
            <w:pPr>
              <w:jc w:val="right"/>
              <w:ind w:right="120"/>
              <w:spacing w:after="0" w:line="122" w:lineRule="exact"/>
              <w:rPr>
                <w:sz w:val="20"/>
                <w:szCs w:val="20"/>
                <w:color w:val="auto"/>
              </w:rPr>
            </w:pPr>
            <w:r>
              <w:rPr>
                <w:rFonts w:ascii="Arial" w:cs="Arial" w:eastAsia="Arial" w:hAnsi="Arial"/>
                <w:sz w:val="11"/>
                <w:szCs w:val="11"/>
                <w:b w:val="1"/>
                <w:bCs w:val="1"/>
                <w:color w:val="1F2668"/>
              </w:rPr>
              <w:t>Option</w:t>
            </w: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1F2668"/>
              </w:rPr>
              <w:t>Grant Date</w:t>
            </w:r>
          </w:p>
        </w:tc>
        <w:tc>
          <w:tcPr>
            <w:tcW w:w="0" w:type="dxa"/>
            <w:vAlign w:val="bottom"/>
          </w:tcPr>
          <w:p>
            <w:pPr>
              <w:spacing w:after="0"/>
              <w:rPr>
                <w:sz w:val="1"/>
                <w:szCs w:val="1"/>
                <w:color w:val="auto"/>
              </w:rPr>
            </w:pPr>
          </w:p>
        </w:tc>
      </w:tr>
      <w:tr>
        <w:trPr>
          <w:trHeight w:val="122"/>
        </w:trPr>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60" w:type="dxa"/>
            <w:vAlign w:val="bottom"/>
            <w:gridSpan w:val="10"/>
            <w:vMerge w:val="restart"/>
          </w:tcPr>
          <w:p>
            <w:pPr>
              <w:jc w:val="right"/>
              <w:ind w:right="100"/>
              <w:spacing w:after="0"/>
              <w:rPr>
                <w:sz w:val="20"/>
                <w:szCs w:val="20"/>
                <w:color w:val="auto"/>
              </w:rPr>
            </w:pPr>
            <w:r>
              <w:rPr>
                <w:rFonts w:ascii="Arial" w:cs="Arial" w:eastAsia="Arial" w:hAnsi="Arial"/>
                <w:sz w:val="11"/>
                <w:szCs w:val="11"/>
                <w:b w:val="1"/>
                <w:bCs w:val="1"/>
                <w:color w:val="1F2668"/>
                <w:w w:val="99"/>
              </w:rPr>
              <w:t>Estimated Possible Payouts Under</w:t>
            </w:r>
          </w:p>
        </w:tc>
        <w:tc>
          <w:tcPr>
            <w:tcW w:w="160" w:type="dxa"/>
            <w:vAlign w:val="bottom"/>
          </w:tcPr>
          <w:p>
            <w:pPr>
              <w:spacing w:after="0"/>
              <w:rPr>
                <w:sz w:val="10"/>
                <w:szCs w:val="10"/>
                <w:color w:val="auto"/>
              </w:rPr>
            </w:pPr>
          </w:p>
        </w:tc>
        <w:tc>
          <w:tcPr>
            <w:tcW w:w="1780" w:type="dxa"/>
            <w:vAlign w:val="bottom"/>
            <w:gridSpan w:val="8"/>
            <w:vMerge w:val="restart"/>
          </w:tcPr>
          <w:p>
            <w:pPr>
              <w:jc w:val="right"/>
              <w:ind w:right="100"/>
              <w:spacing w:after="0"/>
              <w:rPr>
                <w:sz w:val="20"/>
                <w:szCs w:val="20"/>
                <w:color w:val="auto"/>
              </w:rPr>
            </w:pPr>
            <w:r>
              <w:rPr>
                <w:rFonts w:ascii="Arial" w:cs="Arial" w:eastAsia="Arial" w:hAnsi="Arial"/>
                <w:sz w:val="11"/>
                <w:szCs w:val="11"/>
                <w:b w:val="1"/>
                <w:bCs w:val="1"/>
                <w:color w:val="1F2668"/>
                <w:w w:val="94"/>
              </w:rPr>
              <w:t>Estimated Future Payouts Under</w:t>
            </w:r>
          </w:p>
        </w:tc>
        <w:tc>
          <w:tcPr>
            <w:tcW w:w="640" w:type="dxa"/>
            <w:vAlign w:val="bottom"/>
            <w:gridSpan w:val="3"/>
          </w:tcPr>
          <w:p>
            <w:pPr>
              <w:jc w:val="right"/>
              <w:ind w:right="100"/>
              <w:spacing w:after="0" w:line="122" w:lineRule="exact"/>
              <w:rPr>
                <w:sz w:val="20"/>
                <w:szCs w:val="20"/>
                <w:color w:val="auto"/>
              </w:rPr>
            </w:pPr>
            <w:r>
              <w:rPr>
                <w:rFonts w:ascii="Arial" w:cs="Arial" w:eastAsia="Arial" w:hAnsi="Arial"/>
                <w:sz w:val="11"/>
                <w:szCs w:val="11"/>
                <w:b w:val="1"/>
                <w:bCs w:val="1"/>
                <w:color w:val="1F2668"/>
              </w:rPr>
              <w:t>Awards:</w:t>
            </w:r>
          </w:p>
        </w:tc>
        <w:tc>
          <w:tcPr>
            <w:tcW w:w="760" w:type="dxa"/>
            <w:vAlign w:val="bottom"/>
            <w:gridSpan w:val="2"/>
          </w:tcPr>
          <w:p>
            <w:pPr>
              <w:jc w:val="right"/>
              <w:ind w:right="120"/>
              <w:spacing w:after="0" w:line="122" w:lineRule="exact"/>
              <w:rPr>
                <w:sz w:val="20"/>
                <w:szCs w:val="20"/>
                <w:color w:val="auto"/>
              </w:rPr>
            </w:pPr>
            <w:r>
              <w:rPr>
                <w:rFonts w:ascii="Arial" w:cs="Arial" w:eastAsia="Arial" w:hAnsi="Arial"/>
                <w:sz w:val="11"/>
                <w:szCs w:val="11"/>
                <w:b w:val="1"/>
                <w:bCs w:val="1"/>
                <w:color w:val="1F2668"/>
              </w:rPr>
              <w:t>Awards:</w:t>
            </w:r>
          </w:p>
        </w:tc>
        <w:tc>
          <w:tcPr>
            <w:tcW w:w="560" w:type="dxa"/>
            <w:vAlign w:val="bottom"/>
            <w:gridSpan w:val="3"/>
          </w:tcPr>
          <w:p>
            <w:pPr>
              <w:jc w:val="right"/>
              <w:ind w:right="120"/>
              <w:spacing w:after="0" w:line="122" w:lineRule="exact"/>
              <w:rPr>
                <w:sz w:val="20"/>
                <w:szCs w:val="20"/>
                <w:color w:val="auto"/>
              </w:rPr>
            </w:pPr>
            <w:r>
              <w:rPr>
                <w:rFonts w:ascii="Arial" w:cs="Arial" w:eastAsia="Arial" w:hAnsi="Arial"/>
                <w:sz w:val="11"/>
                <w:szCs w:val="11"/>
                <w:b w:val="1"/>
                <w:bCs w:val="1"/>
                <w:color w:val="1F2668"/>
                <w:w w:val="92"/>
              </w:rPr>
              <w:t>Exercise</w:t>
            </w:r>
          </w:p>
        </w:tc>
        <w:tc>
          <w:tcPr>
            <w:tcW w:w="66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1F2668"/>
              </w:rPr>
              <w:t>Fair Value</w:t>
            </w:r>
          </w:p>
        </w:tc>
        <w:tc>
          <w:tcPr>
            <w:tcW w:w="0" w:type="dxa"/>
            <w:vAlign w:val="bottom"/>
          </w:tcPr>
          <w:p>
            <w:pPr>
              <w:spacing w:after="0"/>
              <w:rPr>
                <w:sz w:val="1"/>
                <w:szCs w:val="1"/>
                <w:color w:val="auto"/>
              </w:rPr>
            </w:pPr>
          </w:p>
        </w:tc>
      </w:tr>
      <w:tr>
        <w:trPr>
          <w:trHeight w:val="108"/>
        </w:trPr>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960" w:type="dxa"/>
            <w:vAlign w:val="bottom"/>
            <w:gridSpan w:val="10"/>
            <w:vMerge w:val="continue"/>
          </w:tcPr>
          <w:p>
            <w:pPr>
              <w:spacing w:after="0"/>
              <w:rPr>
                <w:sz w:val="9"/>
                <w:szCs w:val="9"/>
                <w:color w:val="auto"/>
              </w:rPr>
            </w:pPr>
          </w:p>
        </w:tc>
        <w:tc>
          <w:tcPr>
            <w:tcW w:w="160" w:type="dxa"/>
            <w:vAlign w:val="bottom"/>
          </w:tcPr>
          <w:p>
            <w:pPr>
              <w:spacing w:after="0"/>
              <w:rPr>
                <w:sz w:val="9"/>
                <w:szCs w:val="9"/>
                <w:color w:val="auto"/>
              </w:rPr>
            </w:pPr>
          </w:p>
        </w:tc>
        <w:tc>
          <w:tcPr>
            <w:tcW w:w="1780" w:type="dxa"/>
            <w:vAlign w:val="bottom"/>
            <w:gridSpan w:val="8"/>
            <w:vMerge w:val="continue"/>
          </w:tcPr>
          <w:p>
            <w:pPr>
              <w:spacing w:after="0"/>
              <w:rPr>
                <w:sz w:val="9"/>
                <w:szCs w:val="9"/>
                <w:color w:val="auto"/>
              </w:rPr>
            </w:pPr>
          </w:p>
        </w:tc>
        <w:tc>
          <w:tcPr>
            <w:tcW w:w="640" w:type="dxa"/>
            <w:vAlign w:val="bottom"/>
            <w:gridSpan w:val="3"/>
          </w:tcPr>
          <w:p>
            <w:pPr>
              <w:jc w:val="right"/>
              <w:ind w:right="100"/>
              <w:spacing w:after="0" w:line="108" w:lineRule="exact"/>
              <w:rPr>
                <w:sz w:val="20"/>
                <w:szCs w:val="20"/>
                <w:color w:val="auto"/>
              </w:rPr>
            </w:pPr>
            <w:r>
              <w:rPr>
                <w:rFonts w:ascii="Arial" w:cs="Arial" w:eastAsia="Arial" w:hAnsi="Arial"/>
                <w:sz w:val="11"/>
                <w:szCs w:val="11"/>
                <w:b w:val="1"/>
                <w:bCs w:val="1"/>
                <w:color w:val="1F2668"/>
              </w:rPr>
              <w:t>Number</w:t>
            </w:r>
          </w:p>
        </w:tc>
        <w:tc>
          <w:tcPr>
            <w:tcW w:w="760" w:type="dxa"/>
            <w:vAlign w:val="bottom"/>
            <w:gridSpan w:val="2"/>
          </w:tcPr>
          <w:p>
            <w:pPr>
              <w:jc w:val="right"/>
              <w:ind w:right="120"/>
              <w:spacing w:after="0" w:line="108" w:lineRule="exact"/>
              <w:rPr>
                <w:sz w:val="20"/>
                <w:szCs w:val="20"/>
                <w:color w:val="auto"/>
              </w:rPr>
            </w:pPr>
            <w:r>
              <w:rPr>
                <w:rFonts w:ascii="Arial" w:cs="Arial" w:eastAsia="Arial" w:hAnsi="Arial"/>
                <w:sz w:val="11"/>
                <w:szCs w:val="11"/>
                <w:b w:val="1"/>
                <w:bCs w:val="1"/>
                <w:color w:val="1F2668"/>
              </w:rPr>
              <w:t>Number</w:t>
            </w:r>
          </w:p>
        </w:tc>
        <w:tc>
          <w:tcPr>
            <w:tcW w:w="560" w:type="dxa"/>
            <w:vAlign w:val="bottom"/>
            <w:gridSpan w:val="3"/>
          </w:tcPr>
          <w:p>
            <w:pPr>
              <w:jc w:val="right"/>
              <w:ind w:right="120"/>
              <w:spacing w:after="0" w:line="108" w:lineRule="exact"/>
              <w:rPr>
                <w:sz w:val="20"/>
                <w:szCs w:val="20"/>
                <w:color w:val="auto"/>
              </w:rPr>
            </w:pPr>
            <w:r>
              <w:rPr>
                <w:rFonts w:ascii="Arial" w:cs="Arial" w:eastAsia="Arial" w:hAnsi="Arial"/>
                <w:sz w:val="11"/>
                <w:szCs w:val="11"/>
                <w:b w:val="1"/>
                <w:bCs w:val="1"/>
                <w:color w:val="1F2668"/>
              </w:rPr>
              <w:t>or Base</w:t>
            </w:r>
          </w:p>
        </w:tc>
        <w:tc>
          <w:tcPr>
            <w:tcW w:w="180" w:type="dxa"/>
            <w:vAlign w:val="bottom"/>
          </w:tcPr>
          <w:p>
            <w:pPr>
              <w:spacing w:after="0"/>
              <w:rPr>
                <w:sz w:val="9"/>
                <w:szCs w:val="9"/>
                <w:color w:val="auto"/>
              </w:rPr>
            </w:pPr>
          </w:p>
        </w:tc>
        <w:tc>
          <w:tcPr>
            <w:tcW w:w="480" w:type="dxa"/>
            <w:vAlign w:val="bottom"/>
          </w:tcPr>
          <w:p>
            <w:pPr>
              <w:jc w:val="right"/>
              <w:spacing w:after="0" w:line="108" w:lineRule="exact"/>
              <w:rPr>
                <w:sz w:val="20"/>
                <w:szCs w:val="20"/>
                <w:color w:val="auto"/>
              </w:rPr>
            </w:pPr>
            <w:r>
              <w:rPr>
                <w:rFonts w:ascii="Arial" w:cs="Arial" w:eastAsia="Arial" w:hAnsi="Arial"/>
                <w:sz w:val="11"/>
                <w:szCs w:val="11"/>
                <w:b w:val="1"/>
                <w:bCs w:val="1"/>
                <w:color w:val="1F2668"/>
              </w:rPr>
              <w:t>of Stock</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60" w:type="dxa"/>
            <w:vAlign w:val="bottom"/>
            <w:gridSpan w:val="10"/>
          </w:tcPr>
          <w:p>
            <w:pPr>
              <w:jc w:val="right"/>
              <w:ind w:right="80"/>
              <w:spacing w:after="0"/>
              <w:rPr>
                <w:sz w:val="20"/>
                <w:szCs w:val="20"/>
                <w:color w:val="auto"/>
              </w:rPr>
            </w:pPr>
            <w:r>
              <w:rPr>
                <w:rFonts w:ascii="Arial" w:cs="Arial" w:eastAsia="Arial" w:hAnsi="Arial"/>
                <w:sz w:val="11"/>
                <w:szCs w:val="11"/>
                <w:b w:val="1"/>
                <w:bCs w:val="1"/>
                <w:color w:val="1F2668"/>
              </w:rPr>
              <w:t>Non-Equity Incentive Plan Awards</w:t>
            </w:r>
          </w:p>
        </w:tc>
        <w:tc>
          <w:tcPr>
            <w:tcW w:w="160" w:type="dxa"/>
            <w:vAlign w:val="bottom"/>
          </w:tcPr>
          <w:p>
            <w:pPr>
              <w:spacing w:after="0"/>
              <w:rPr>
                <w:sz w:val="11"/>
                <w:szCs w:val="11"/>
                <w:color w:val="auto"/>
              </w:rPr>
            </w:pPr>
          </w:p>
        </w:tc>
        <w:tc>
          <w:tcPr>
            <w:tcW w:w="1780" w:type="dxa"/>
            <w:vAlign w:val="bottom"/>
            <w:gridSpan w:val="8"/>
          </w:tcPr>
          <w:p>
            <w:pPr>
              <w:jc w:val="center"/>
              <w:ind w:left="39"/>
              <w:spacing w:after="0"/>
              <w:rPr>
                <w:sz w:val="20"/>
                <w:szCs w:val="20"/>
                <w:color w:val="auto"/>
              </w:rPr>
            </w:pPr>
            <w:r>
              <w:rPr>
                <w:rFonts w:ascii="Arial" w:cs="Arial" w:eastAsia="Arial" w:hAnsi="Arial"/>
                <w:sz w:val="11"/>
                <w:szCs w:val="11"/>
                <w:b w:val="1"/>
                <w:bCs w:val="1"/>
                <w:color w:val="1F2668"/>
                <w:w w:val="96"/>
              </w:rPr>
              <w:t>Equity Incentive Plan Awards</w:t>
            </w:r>
          </w:p>
        </w:tc>
        <w:tc>
          <w:tcPr>
            <w:tcW w:w="640" w:type="dxa"/>
            <w:vAlign w:val="bottom"/>
            <w:gridSpan w:val="3"/>
          </w:tcPr>
          <w:p>
            <w:pPr>
              <w:jc w:val="right"/>
              <w:ind w:right="100"/>
              <w:spacing w:after="0"/>
              <w:rPr>
                <w:sz w:val="20"/>
                <w:szCs w:val="20"/>
                <w:color w:val="auto"/>
              </w:rPr>
            </w:pPr>
            <w:r>
              <w:rPr>
                <w:rFonts w:ascii="Arial" w:cs="Arial" w:eastAsia="Arial" w:hAnsi="Arial"/>
                <w:sz w:val="11"/>
                <w:szCs w:val="11"/>
                <w:b w:val="1"/>
                <w:bCs w:val="1"/>
                <w:color w:val="1F2668"/>
                <w:w w:val="95"/>
              </w:rPr>
              <w:t>of Shares</w:t>
            </w:r>
          </w:p>
        </w:tc>
        <w:tc>
          <w:tcPr>
            <w:tcW w:w="76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1F2668"/>
                <w:w w:val="93"/>
              </w:rPr>
              <w:t>of Securities</w:t>
            </w:r>
          </w:p>
        </w:tc>
        <w:tc>
          <w:tcPr>
            <w:tcW w:w="560" w:type="dxa"/>
            <w:vAlign w:val="bottom"/>
            <w:gridSpan w:val="3"/>
          </w:tcPr>
          <w:p>
            <w:pPr>
              <w:jc w:val="right"/>
              <w:ind w:right="120"/>
              <w:spacing w:after="0"/>
              <w:rPr>
                <w:sz w:val="20"/>
                <w:szCs w:val="20"/>
                <w:color w:val="auto"/>
              </w:rPr>
            </w:pPr>
            <w:r>
              <w:rPr>
                <w:rFonts w:ascii="Arial" w:cs="Arial" w:eastAsia="Arial" w:hAnsi="Arial"/>
                <w:sz w:val="11"/>
                <w:szCs w:val="11"/>
                <w:b w:val="1"/>
                <w:bCs w:val="1"/>
                <w:color w:val="1F2668"/>
              </w:rPr>
              <w:t>Price of</w:t>
            </w: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1F2668"/>
              </w:rPr>
              <w:t>and</w:t>
            </w:r>
          </w:p>
        </w:tc>
        <w:tc>
          <w:tcPr>
            <w:tcW w:w="0" w:type="dxa"/>
            <w:vAlign w:val="bottom"/>
          </w:tcPr>
          <w:p>
            <w:pPr>
              <w:spacing w:after="0"/>
              <w:rPr>
                <w:sz w:val="1"/>
                <w:szCs w:val="1"/>
                <w:color w:val="auto"/>
              </w:rPr>
            </w:pPr>
          </w:p>
        </w:tc>
      </w:tr>
      <w:tr>
        <w:trPr>
          <w:trHeight w:val="40"/>
        </w:trPr>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1F2668"/>
            </w:tcBorders>
          </w:tcPr>
          <w:p>
            <w:pPr>
              <w:spacing w:after="0"/>
              <w:rPr>
                <w:sz w:val="3"/>
                <w:szCs w:val="3"/>
                <w:color w:val="auto"/>
              </w:rPr>
            </w:pPr>
          </w:p>
        </w:tc>
        <w:tc>
          <w:tcPr>
            <w:tcW w:w="360" w:type="dxa"/>
            <w:vAlign w:val="bottom"/>
            <w:tcBorders>
              <w:bottom w:val="single" w:sz="8" w:color="1F2668"/>
            </w:tcBorders>
          </w:tcPr>
          <w:p>
            <w:pPr>
              <w:spacing w:after="0"/>
              <w:rPr>
                <w:sz w:val="3"/>
                <w:szCs w:val="3"/>
                <w:color w:val="auto"/>
              </w:rPr>
            </w:pPr>
          </w:p>
        </w:tc>
        <w:tc>
          <w:tcPr>
            <w:tcW w:w="80" w:type="dxa"/>
            <w:vAlign w:val="bottom"/>
            <w:tcBorders>
              <w:bottom w:val="single" w:sz="8" w:color="1F2668"/>
            </w:tcBorders>
          </w:tcPr>
          <w:p>
            <w:pPr>
              <w:spacing w:after="0"/>
              <w:rPr>
                <w:sz w:val="3"/>
                <w:szCs w:val="3"/>
                <w:color w:val="auto"/>
              </w:rPr>
            </w:pPr>
          </w:p>
        </w:tc>
        <w:tc>
          <w:tcPr>
            <w:tcW w:w="20" w:type="dxa"/>
            <w:vAlign w:val="bottom"/>
            <w:tcBorders>
              <w:bottom w:val="single" w:sz="8" w:color="1F2668"/>
            </w:tcBorders>
          </w:tcPr>
          <w:p>
            <w:pPr>
              <w:spacing w:after="0"/>
              <w:rPr>
                <w:sz w:val="3"/>
                <w:szCs w:val="3"/>
                <w:color w:val="auto"/>
              </w:rPr>
            </w:pPr>
          </w:p>
        </w:tc>
        <w:tc>
          <w:tcPr>
            <w:tcW w:w="200" w:type="dxa"/>
            <w:vAlign w:val="bottom"/>
            <w:tcBorders>
              <w:bottom w:val="single" w:sz="8" w:color="1F2668"/>
            </w:tcBorders>
          </w:tcPr>
          <w:p>
            <w:pPr>
              <w:spacing w:after="0"/>
              <w:rPr>
                <w:sz w:val="3"/>
                <w:szCs w:val="3"/>
                <w:color w:val="auto"/>
              </w:rPr>
            </w:pPr>
          </w:p>
        </w:tc>
        <w:tc>
          <w:tcPr>
            <w:tcW w:w="440" w:type="dxa"/>
            <w:vAlign w:val="bottom"/>
            <w:tcBorders>
              <w:bottom w:val="single" w:sz="8" w:color="1F2668"/>
            </w:tcBorders>
          </w:tcPr>
          <w:p>
            <w:pPr>
              <w:spacing w:after="0"/>
              <w:rPr>
                <w:sz w:val="3"/>
                <w:szCs w:val="3"/>
                <w:color w:val="auto"/>
              </w:rPr>
            </w:pPr>
          </w:p>
        </w:tc>
        <w:tc>
          <w:tcPr>
            <w:tcW w:w="100" w:type="dxa"/>
            <w:vAlign w:val="bottom"/>
            <w:tcBorders>
              <w:bottom w:val="single" w:sz="8" w:color="1F2668"/>
            </w:tcBorders>
          </w:tcPr>
          <w:p>
            <w:pPr>
              <w:spacing w:after="0"/>
              <w:rPr>
                <w:sz w:val="3"/>
                <w:szCs w:val="3"/>
                <w:color w:val="auto"/>
              </w:rPr>
            </w:pPr>
          </w:p>
        </w:tc>
        <w:tc>
          <w:tcPr>
            <w:tcW w:w="20" w:type="dxa"/>
            <w:vAlign w:val="bottom"/>
            <w:tcBorders>
              <w:bottom w:val="single" w:sz="8" w:color="1F2668"/>
            </w:tcBorders>
          </w:tcPr>
          <w:p>
            <w:pPr>
              <w:spacing w:after="0"/>
              <w:rPr>
                <w:sz w:val="3"/>
                <w:szCs w:val="3"/>
                <w:color w:val="auto"/>
              </w:rPr>
            </w:pPr>
          </w:p>
        </w:tc>
        <w:tc>
          <w:tcPr>
            <w:tcW w:w="100" w:type="dxa"/>
            <w:vAlign w:val="bottom"/>
            <w:tcBorders>
              <w:bottom w:val="single" w:sz="8" w:color="1F2668"/>
            </w:tcBorders>
          </w:tcPr>
          <w:p>
            <w:pPr>
              <w:spacing w:after="0"/>
              <w:rPr>
                <w:sz w:val="3"/>
                <w:szCs w:val="3"/>
                <w:color w:val="auto"/>
              </w:rPr>
            </w:pPr>
          </w:p>
        </w:tc>
        <w:tc>
          <w:tcPr>
            <w:tcW w:w="540" w:type="dxa"/>
            <w:vAlign w:val="bottom"/>
            <w:tcBorders>
              <w:bottom w:val="single" w:sz="8" w:color="1F2668"/>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1F2668"/>
            </w:tcBorders>
          </w:tcPr>
          <w:p>
            <w:pPr>
              <w:spacing w:after="0"/>
              <w:rPr>
                <w:sz w:val="3"/>
                <w:szCs w:val="3"/>
                <w:color w:val="auto"/>
              </w:rPr>
            </w:pPr>
          </w:p>
        </w:tc>
        <w:tc>
          <w:tcPr>
            <w:tcW w:w="400" w:type="dxa"/>
            <w:vAlign w:val="bottom"/>
            <w:tcBorders>
              <w:bottom w:val="single" w:sz="8" w:color="1F2668"/>
            </w:tcBorders>
          </w:tcPr>
          <w:p>
            <w:pPr>
              <w:spacing w:after="0"/>
              <w:rPr>
                <w:sz w:val="3"/>
                <w:szCs w:val="3"/>
                <w:color w:val="auto"/>
              </w:rPr>
            </w:pPr>
          </w:p>
        </w:tc>
        <w:tc>
          <w:tcPr>
            <w:tcW w:w="140" w:type="dxa"/>
            <w:vAlign w:val="bottom"/>
            <w:tcBorders>
              <w:bottom w:val="single" w:sz="8" w:color="1F2668"/>
            </w:tcBorders>
          </w:tcPr>
          <w:p>
            <w:pPr>
              <w:spacing w:after="0"/>
              <w:rPr>
                <w:sz w:val="3"/>
                <w:szCs w:val="3"/>
                <w:color w:val="auto"/>
              </w:rPr>
            </w:pPr>
          </w:p>
        </w:tc>
        <w:tc>
          <w:tcPr>
            <w:tcW w:w="80" w:type="dxa"/>
            <w:vAlign w:val="bottom"/>
            <w:tcBorders>
              <w:bottom w:val="single" w:sz="8" w:color="1F2668"/>
            </w:tcBorders>
          </w:tcPr>
          <w:p>
            <w:pPr>
              <w:spacing w:after="0"/>
              <w:rPr>
                <w:sz w:val="3"/>
                <w:szCs w:val="3"/>
                <w:color w:val="auto"/>
              </w:rPr>
            </w:pPr>
          </w:p>
        </w:tc>
        <w:tc>
          <w:tcPr>
            <w:tcW w:w="380" w:type="dxa"/>
            <w:vAlign w:val="bottom"/>
            <w:tcBorders>
              <w:bottom w:val="single" w:sz="8" w:color="1F2668"/>
            </w:tcBorders>
          </w:tcPr>
          <w:p>
            <w:pPr>
              <w:spacing w:after="0"/>
              <w:rPr>
                <w:sz w:val="3"/>
                <w:szCs w:val="3"/>
                <w:color w:val="auto"/>
              </w:rPr>
            </w:pPr>
          </w:p>
        </w:tc>
        <w:tc>
          <w:tcPr>
            <w:tcW w:w="140" w:type="dxa"/>
            <w:vAlign w:val="bottom"/>
            <w:tcBorders>
              <w:bottom w:val="single" w:sz="8" w:color="1F2668"/>
            </w:tcBorders>
          </w:tcPr>
          <w:p>
            <w:pPr>
              <w:spacing w:after="0"/>
              <w:rPr>
                <w:sz w:val="3"/>
                <w:szCs w:val="3"/>
                <w:color w:val="auto"/>
              </w:rPr>
            </w:pPr>
          </w:p>
        </w:tc>
        <w:tc>
          <w:tcPr>
            <w:tcW w:w="100" w:type="dxa"/>
            <w:vAlign w:val="bottom"/>
            <w:tcBorders>
              <w:bottom w:val="single" w:sz="8" w:color="1F2668"/>
            </w:tcBorders>
          </w:tcPr>
          <w:p>
            <w:pPr>
              <w:spacing w:after="0"/>
              <w:rPr>
                <w:sz w:val="3"/>
                <w:szCs w:val="3"/>
                <w:color w:val="auto"/>
              </w:rPr>
            </w:pPr>
          </w:p>
        </w:tc>
        <w:tc>
          <w:tcPr>
            <w:tcW w:w="440" w:type="dxa"/>
            <w:vAlign w:val="bottom"/>
            <w:tcBorders>
              <w:bottom w:val="single" w:sz="8" w:color="1F2668"/>
            </w:tcBorders>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gridSpan w:val="3"/>
            <w:vMerge w:val="restart"/>
          </w:tcPr>
          <w:p>
            <w:pPr>
              <w:jc w:val="right"/>
              <w:ind w:right="100"/>
              <w:spacing w:after="0" w:line="122" w:lineRule="exact"/>
              <w:rPr>
                <w:sz w:val="20"/>
                <w:szCs w:val="20"/>
                <w:color w:val="auto"/>
              </w:rPr>
            </w:pPr>
            <w:r>
              <w:rPr>
                <w:rFonts w:ascii="Arial" w:cs="Arial" w:eastAsia="Arial" w:hAnsi="Arial"/>
                <w:sz w:val="11"/>
                <w:szCs w:val="11"/>
                <w:b w:val="1"/>
                <w:bCs w:val="1"/>
                <w:color w:val="1F2668"/>
              </w:rPr>
              <w:t>of Stock</w:t>
            </w:r>
          </w:p>
        </w:tc>
        <w:tc>
          <w:tcPr>
            <w:tcW w:w="760" w:type="dxa"/>
            <w:vAlign w:val="bottom"/>
            <w:gridSpan w:val="2"/>
            <w:vMerge w:val="restart"/>
          </w:tcPr>
          <w:p>
            <w:pPr>
              <w:jc w:val="right"/>
              <w:ind w:right="120"/>
              <w:spacing w:after="0" w:line="122" w:lineRule="exact"/>
              <w:rPr>
                <w:sz w:val="20"/>
                <w:szCs w:val="20"/>
                <w:color w:val="auto"/>
              </w:rPr>
            </w:pPr>
            <w:r>
              <w:rPr>
                <w:rFonts w:ascii="Arial" w:cs="Arial" w:eastAsia="Arial" w:hAnsi="Arial"/>
                <w:sz w:val="11"/>
                <w:szCs w:val="11"/>
                <w:b w:val="1"/>
                <w:bCs w:val="1"/>
                <w:color w:val="1F2668"/>
              </w:rPr>
              <w:t>Underlying</w:t>
            </w:r>
          </w:p>
        </w:tc>
        <w:tc>
          <w:tcPr>
            <w:tcW w:w="560" w:type="dxa"/>
            <w:vAlign w:val="bottom"/>
            <w:gridSpan w:val="3"/>
            <w:vMerge w:val="restart"/>
          </w:tcPr>
          <w:p>
            <w:pPr>
              <w:ind w:left="100"/>
              <w:spacing w:after="0" w:line="122" w:lineRule="exact"/>
              <w:rPr>
                <w:sz w:val="20"/>
                <w:szCs w:val="20"/>
                <w:color w:val="auto"/>
              </w:rPr>
            </w:pPr>
            <w:r>
              <w:rPr>
                <w:rFonts w:ascii="Arial" w:cs="Arial" w:eastAsia="Arial" w:hAnsi="Arial"/>
                <w:sz w:val="11"/>
                <w:szCs w:val="11"/>
                <w:b w:val="1"/>
                <w:bCs w:val="1"/>
                <w:color w:val="1F2668"/>
              </w:rPr>
              <w:t>Option</w:t>
            </w:r>
          </w:p>
        </w:tc>
        <w:tc>
          <w:tcPr>
            <w:tcW w:w="180" w:type="dxa"/>
            <w:vAlign w:val="bottom"/>
          </w:tcPr>
          <w:p>
            <w:pPr>
              <w:spacing w:after="0"/>
              <w:rPr>
                <w:sz w:val="3"/>
                <w:szCs w:val="3"/>
                <w:color w:val="auto"/>
              </w:rPr>
            </w:pPr>
          </w:p>
        </w:tc>
        <w:tc>
          <w:tcPr>
            <w:tcW w:w="480" w:type="dxa"/>
            <w:vAlign w:val="bottom"/>
            <w:vMerge w:val="restart"/>
          </w:tcPr>
          <w:p>
            <w:pPr>
              <w:jc w:val="right"/>
              <w:spacing w:after="0" w:line="122" w:lineRule="exact"/>
              <w:rPr>
                <w:sz w:val="20"/>
                <w:szCs w:val="20"/>
                <w:color w:val="auto"/>
              </w:rPr>
            </w:pPr>
            <w:r>
              <w:rPr>
                <w:rFonts w:ascii="Arial" w:cs="Arial" w:eastAsia="Arial" w:hAnsi="Arial"/>
                <w:sz w:val="11"/>
                <w:szCs w:val="11"/>
                <w:b w:val="1"/>
                <w:bCs w:val="1"/>
                <w:color w:val="1F2668"/>
              </w:rPr>
              <w:t>Option</w:t>
            </w:r>
          </w:p>
        </w:tc>
        <w:tc>
          <w:tcPr>
            <w:tcW w:w="0" w:type="dxa"/>
            <w:vAlign w:val="bottom"/>
          </w:tcPr>
          <w:p>
            <w:pPr>
              <w:spacing w:after="0"/>
              <w:rPr>
                <w:sz w:val="1"/>
                <w:szCs w:val="1"/>
                <w:color w:val="auto"/>
              </w:rPr>
            </w:pPr>
          </w:p>
        </w:tc>
      </w:tr>
      <w:tr>
        <w:trPr>
          <w:trHeight w:val="61"/>
        </w:trPr>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6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gridSpan w:val="2"/>
          </w:tcPr>
          <w:p>
            <w:pPr>
              <w:ind w:left="40"/>
              <w:spacing w:after="0" w:line="108" w:lineRule="exact"/>
              <w:rPr>
                <w:sz w:val="20"/>
                <w:szCs w:val="20"/>
                <w:color w:val="auto"/>
              </w:rPr>
            </w:pPr>
            <w:r>
              <w:rPr>
                <w:rFonts w:ascii="Arial" w:cs="Arial" w:eastAsia="Arial" w:hAnsi="Arial"/>
                <w:sz w:val="11"/>
                <w:szCs w:val="11"/>
                <w:b w:val="1"/>
                <w:bCs w:val="1"/>
                <w:color w:val="1F2668"/>
              </w:rPr>
              <w:t>Approval</w:t>
            </w:r>
          </w:p>
        </w:tc>
        <w:tc>
          <w:tcPr>
            <w:tcW w:w="660" w:type="dxa"/>
            <w:vAlign w:val="bottom"/>
            <w:gridSpan w:val="4"/>
          </w:tcPr>
          <w:p>
            <w:pPr>
              <w:spacing w:after="0" w:line="108" w:lineRule="exact"/>
              <w:rPr>
                <w:sz w:val="20"/>
                <w:szCs w:val="20"/>
                <w:color w:val="auto"/>
              </w:rPr>
            </w:pPr>
            <w:r>
              <w:rPr>
                <w:rFonts w:ascii="Arial" w:cs="Arial" w:eastAsia="Arial" w:hAnsi="Arial"/>
                <w:sz w:val="11"/>
                <w:szCs w:val="11"/>
                <w:b w:val="1"/>
                <w:bCs w:val="1"/>
                <w:color w:val="1F2668"/>
              </w:rPr>
              <w:t>Threshold</w:t>
            </w:r>
          </w:p>
        </w:tc>
        <w:tc>
          <w:tcPr>
            <w:tcW w:w="200" w:type="dxa"/>
            <w:vAlign w:val="bottom"/>
          </w:tcPr>
          <w:p>
            <w:pPr>
              <w:spacing w:after="0"/>
              <w:rPr>
                <w:sz w:val="9"/>
                <w:szCs w:val="9"/>
                <w:color w:val="auto"/>
              </w:rPr>
            </w:pPr>
          </w:p>
        </w:tc>
        <w:tc>
          <w:tcPr>
            <w:tcW w:w="560" w:type="dxa"/>
            <w:vAlign w:val="bottom"/>
            <w:gridSpan w:val="3"/>
          </w:tcPr>
          <w:p>
            <w:pPr>
              <w:ind w:left="80"/>
              <w:spacing w:after="0" w:line="108" w:lineRule="exact"/>
              <w:rPr>
                <w:sz w:val="20"/>
                <w:szCs w:val="20"/>
                <w:color w:val="auto"/>
              </w:rPr>
            </w:pPr>
            <w:r>
              <w:rPr>
                <w:rFonts w:ascii="Arial" w:cs="Arial" w:eastAsia="Arial" w:hAnsi="Arial"/>
                <w:sz w:val="11"/>
                <w:szCs w:val="11"/>
                <w:b w:val="1"/>
                <w:bCs w:val="1"/>
                <w:color w:val="1F2668"/>
              </w:rPr>
              <w:t>Target</w:t>
            </w:r>
          </w:p>
        </w:tc>
        <w:tc>
          <w:tcPr>
            <w:tcW w:w="100" w:type="dxa"/>
            <w:vAlign w:val="bottom"/>
          </w:tcPr>
          <w:p>
            <w:pPr>
              <w:spacing w:after="0"/>
              <w:rPr>
                <w:sz w:val="9"/>
                <w:szCs w:val="9"/>
                <w:color w:val="auto"/>
              </w:rPr>
            </w:pPr>
          </w:p>
        </w:tc>
        <w:tc>
          <w:tcPr>
            <w:tcW w:w="640" w:type="dxa"/>
            <w:vAlign w:val="bottom"/>
            <w:gridSpan w:val="2"/>
          </w:tcPr>
          <w:p>
            <w:pPr>
              <w:jc w:val="right"/>
              <w:ind w:right="100"/>
              <w:spacing w:after="0" w:line="108" w:lineRule="exact"/>
              <w:rPr>
                <w:sz w:val="20"/>
                <w:szCs w:val="20"/>
                <w:color w:val="auto"/>
              </w:rPr>
            </w:pPr>
            <w:r>
              <w:rPr>
                <w:rFonts w:ascii="Arial" w:cs="Arial" w:eastAsia="Arial" w:hAnsi="Arial"/>
                <w:sz w:val="11"/>
                <w:szCs w:val="11"/>
                <w:b w:val="1"/>
                <w:bCs w:val="1"/>
                <w:color w:val="1F2668"/>
                <w:w w:val="94"/>
              </w:rPr>
              <w:t>Maximum</w:t>
            </w:r>
          </w:p>
        </w:tc>
        <w:tc>
          <w:tcPr>
            <w:tcW w:w="700" w:type="dxa"/>
            <w:vAlign w:val="bottom"/>
            <w:gridSpan w:val="3"/>
          </w:tcPr>
          <w:p>
            <w:pPr>
              <w:spacing w:after="0" w:line="108" w:lineRule="exact"/>
              <w:rPr>
                <w:sz w:val="20"/>
                <w:szCs w:val="20"/>
                <w:color w:val="auto"/>
              </w:rPr>
            </w:pPr>
            <w:r>
              <w:rPr>
                <w:rFonts w:ascii="Arial" w:cs="Arial" w:eastAsia="Arial" w:hAnsi="Arial"/>
                <w:sz w:val="11"/>
                <w:szCs w:val="11"/>
                <w:b w:val="1"/>
                <w:bCs w:val="1"/>
                <w:color w:val="1F2668"/>
              </w:rPr>
              <w:t>Threshold</w:t>
            </w:r>
          </w:p>
        </w:tc>
        <w:tc>
          <w:tcPr>
            <w:tcW w:w="80" w:type="dxa"/>
            <w:vAlign w:val="bottom"/>
          </w:tcPr>
          <w:p>
            <w:pPr>
              <w:spacing w:after="0"/>
              <w:rPr>
                <w:sz w:val="9"/>
                <w:szCs w:val="9"/>
                <w:color w:val="auto"/>
              </w:rPr>
            </w:pPr>
          </w:p>
        </w:tc>
        <w:tc>
          <w:tcPr>
            <w:tcW w:w="520" w:type="dxa"/>
            <w:vAlign w:val="bottom"/>
            <w:gridSpan w:val="2"/>
          </w:tcPr>
          <w:p>
            <w:pPr>
              <w:jc w:val="right"/>
              <w:ind w:right="140"/>
              <w:spacing w:after="0" w:line="108" w:lineRule="exact"/>
              <w:rPr>
                <w:sz w:val="20"/>
                <w:szCs w:val="20"/>
                <w:color w:val="auto"/>
              </w:rPr>
            </w:pPr>
            <w:r>
              <w:rPr>
                <w:rFonts w:ascii="Arial" w:cs="Arial" w:eastAsia="Arial" w:hAnsi="Arial"/>
                <w:sz w:val="11"/>
                <w:szCs w:val="11"/>
                <w:b w:val="1"/>
                <w:bCs w:val="1"/>
                <w:color w:val="1F2668"/>
                <w:w w:val="95"/>
              </w:rPr>
              <w:t>Target</w:t>
            </w:r>
          </w:p>
        </w:tc>
        <w:tc>
          <w:tcPr>
            <w:tcW w:w="640" w:type="dxa"/>
            <w:vAlign w:val="bottom"/>
            <w:gridSpan w:val="3"/>
          </w:tcPr>
          <w:p>
            <w:pPr>
              <w:ind w:left="20"/>
              <w:spacing w:after="0" w:line="108" w:lineRule="exact"/>
              <w:rPr>
                <w:sz w:val="20"/>
                <w:szCs w:val="20"/>
                <w:color w:val="auto"/>
              </w:rPr>
            </w:pPr>
            <w:r>
              <w:rPr>
                <w:rFonts w:ascii="Arial" w:cs="Arial" w:eastAsia="Arial" w:hAnsi="Arial"/>
                <w:sz w:val="11"/>
                <w:szCs w:val="11"/>
                <w:b w:val="1"/>
                <w:bCs w:val="1"/>
                <w:color w:val="1F2668"/>
              </w:rPr>
              <w:t>Maximum</w:t>
            </w:r>
          </w:p>
        </w:tc>
        <w:tc>
          <w:tcPr>
            <w:tcW w:w="640" w:type="dxa"/>
            <w:vAlign w:val="bottom"/>
            <w:gridSpan w:val="3"/>
          </w:tcPr>
          <w:p>
            <w:pPr>
              <w:jc w:val="right"/>
              <w:ind w:right="100"/>
              <w:spacing w:after="0" w:line="108" w:lineRule="exact"/>
              <w:rPr>
                <w:sz w:val="20"/>
                <w:szCs w:val="20"/>
                <w:color w:val="auto"/>
              </w:rPr>
            </w:pPr>
            <w:r>
              <w:rPr>
                <w:rFonts w:ascii="Arial" w:cs="Arial" w:eastAsia="Arial" w:hAnsi="Arial"/>
                <w:sz w:val="11"/>
                <w:szCs w:val="11"/>
                <w:b w:val="1"/>
                <w:bCs w:val="1"/>
                <w:color w:val="1F2668"/>
              </w:rPr>
              <w:t>or Units</w:t>
            </w:r>
          </w:p>
        </w:tc>
        <w:tc>
          <w:tcPr>
            <w:tcW w:w="760" w:type="dxa"/>
            <w:vAlign w:val="bottom"/>
            <w:gridSpan w:val="2"/>
          </w:tcPr>
          <w:p>
            <w:pPr>
              <w:jc w:val="right"/>
              <w:ind w:right="120"/>
              <w:spacing w:after="0" w:line="108" w:lineRule="exact"/>
              <w:rPr>
                <w:sz w:val="20"/>
                <w:szCs w:val="20"/>
                <w:color w:val="auto"/>
              </w:rPr>
            </w:pPr>
            <w:r>
              <w:rPr>
                <w:rFonts w:ascii="Arial" w:cs="Arial" w:eastAsia="Arial" w:hAnsi="Arial"/>
                <w:sz w:val="11"/>
                <w:szCs w:val="11"/>
                <w:b w:val="1"/>
                <w:bCs w:val="1"/>
                <w:color w:val="1F2668"/>
              </w:rPr>
              <w:t>Options</w:t>
            </w:r>
          </w:p>
        </w:tc>
        <w:tc>
          <w:tcPr>
            <w:tcW w:w="560" w:type="dxa"/>
            <w:vAlign w:val="bottom"/>
            <w:gridSpan w:val="3"/>
          </w:tcPr>
          <w:p>
            <w:pPr>
              <w:jc w:val="right"/>
              <w:ind w:right="120"/>
              <w:spacing w:after="0" w:line="108" w:lineRule="exact"/>
              <w:rPr>
                <w:sz w:val="20"/>
                <w:szCs w:val="20"/>
                <w:color w:val="auto"/>
              </w:rPr>
            </w:pPr>
            <w:r>
              <w:rPr>
                <w:rFonts w:ascii="Arial" w:cs="Arial" w:eastAsia="Arial" w:hAnsi="Arial"/>
                <w:sz w:val="11"/>
                <w:szCs w:val="11"/>
                <w:b w:val="1"/>
                <w:bCs w:val="1"/>
                <w:color w:val="1F2668"/>
              </w:rPr>
              <w:t>Awards</w:t>
            </w:r>
          </w:p>
        </w:tc>
        <w:tc>
          <w:tcPr>
            <w:tcW w:w="180" w:type="dxa"/>
            <w:vAlign w:val="bottom"/>
          </w:tcPr>
          <w:p>
            <w:pPr>
              <w:spacing w:after="0"/>
              <w:rPr>
                <w:sz w:val="9"/>
                <w:szCs w:val="9"/>
                <w:color w:val="auto"/>
              </w:rPr>
            </w:pPr>
          </w:p>
        </w:tc>
        <w:tc>
          <w:tcPr>
            <w:tcW w:w="480" w:type="dxa"/>
            <w:vAlign w:val="bottom"/>
          </w:tcPr>
          <w:p>
            <w:pPr>
              <w:jc w:val="right"/>
              <w:spacing w:after="0" w:line="108" w:lineRule="exact"/>
              <w:rPr>
                <w:sz w:val="20"/>
                <w:szCs w:val="20"/>
                <w:color w:val="auto"/>
              </w:rPr>
            </w:pPr>
            <w:r>
              <w:rPr>
                <w:rFonts w:ascii="Arial" w:cs="Arial" w:eastAsia="Arial" w:hAnsi="Arial"/>
                <w:sz w:val="11"/>
                <w:szCs w:val="11"/>
                <w:b w:val="1"/>
                <w:bCs w:val="1"/>
                <w:color w:val="1F2668"/>
              </w:rPr>
              <w:t>Awards</w:t>
            </w:r>
          </w:p>
        </w:tc>
        <w:tc>
          <w:tcPr>
            <w:tcW w:w="0" w:type="dxa"/>
            <w:vAlign w:val="bottom"/>
          </w:tcPr>
          <w:p>
            <w:pPr>
              <w:spacing w:after="0"/>
              <w:rPr>
                <w:sz w:val="1"/>
                <w:szCs w:val="1"/>
                <w:color w:val="auto"/>
              </w:rPr>
            </w:pPr>
          </w:p>
        </w:tc>
      </w:tr>
      <w:tr>
        <w:trPr>
          <w:trHeight w:val="203"/>
        </w:trPr>
        <w:tc>
          <w:tcPr>
            <w:tcW w:w="720" w:type="dxa"/>
            <w:vAlign w:val="bottom"/>
            <w:tcBorders>
              <w:bottom w:val="single" w:sz="8" w:color="1F2668"/>
            </w:tcBorders>
          </w:tcPr>
          <w:p>
            <w:pPr>
              <w:spacing w:after="0"/>
              <w:rPr>
                <w:sz w:val="20"/>
                <w:szCs w:val="20"/>
                <w:color w:val="auto"/>
              </w:rPr>
            </w:pPr>
            <w:r>
              <w:rPr>
                <w:rFonts w:ascii="Arial" w:cs="Arial" w:eastAsia="Arial" w:hAnsi="Arial"/>
                <w:sz w:val="11"/>
                <w:szCs w:val="11"/>
                <w:b w:val="1"/>
                <w:bCs w:val="1"/>
                <w:color w:val="1F2668"/>
              </w:rPr>
              <w:t>Name</w:t>
            </w:r>
          </w:p>
        </w:tc>
        <w:tc>
          <w:tcPr>
            <w:tcW w:w="120" w:type="dxa"/>
            <w:vAlign w:val="bottom"/>
          </w:tcPr>
          <w:p>
            <w:pPr>
              <w:spacing w:after="0"/>
              <w:rPr>
                <w:sz w:val="17"/>
                <w:szCs w:val="17"/>
                <w:color w:val="auto"/>
              </w:rPr>
            </w:pPr>
          </w:p>
        </w:tc>
        <w:tc>
          <w:tcPr>
            <w:tcW w:w="100" w:type="dxa"/>
            <w:vAlign w:val="bottom"/>
            <w:tcBorders>
              <w:bottom w:val="single" w:sz="8" w:color="1F2668"/>
            </w:tcBorders>
          </w:tcPr>
          <w:p>
            <w:pPr>
              <w:spacing w:after="0"/>
              <w:rPr>
                <w:sz w:val="17"/>
                <w:szCs w:val="17"/>
                <w:color w:val="auto"/>
              </w:rPr>
            </w:pPr>
          </w:p>
        </w:tc>
        <w:tc>
          <w:tcPr>
            <w:tcW w:w="580" w:type="dxa"/>
            <w:vAlign w:val="bottom"/>
            <w:tcBorders>
              <w:bottom w:val="single" w:sz="8" w:color="1F2668"/>
            </w:tcBorders>
          </w:tcPr>
          <w:p>
            <w:pPr>
              <w:ind w:left="40"/>
              <w:spacing w:after="0"/>
              <w:rPr>
                <w:sz w:val="20"/>
                <w:szCs w:val="20"/>
                <w:color w:val="auto"/>
              </w:rPr>
            </w:pPr>
            <w:r>
              <w:rPr>
                <w:rFonts w:ascii="Arial" w:cs="Arial" w:eastAsia="Arial" w:hAnsi="Arial"/>
                <w:sz w:val="11"/>
                <w:szCs w:val="11"/>
                <w:b w:val="1"/>
                <w:bCs w:val="1"/>
                <w:color w:val="1F2668"/>
                <w:w w:val="92"/>
              </w:rPr>
              <w:t>Grant Date</w:t>
            </w:r>
          </w:p>
        </w:tc>
        <w:tc>
          <w:tcPr>
            <w:tcW w:w="60" w:type="dxa"/>
            <w:vAlign w:val="bottom"/>
            <w:tcBorders>
              <w:bottom w:val="single" w:sz="8" w:color="E9F9D8"/>
            </w:tcBorders>
          </w:tcPr>
          <w:p>
            <w:pPr>
              <w:spacing w:after="0"/>
              <w:rPr>
                <w:sz w:val="17"/>
                <w:szCs w:val="17"/>
                <w:color w:val="auto"/>
              </w:rPr>
            </w:pPr>
          </w:p>
        </w:tc>
        <w:tc>
          <w:tcPr>
            <w:tcW w:w="140" w:type="dxa"/>
            <w:vAlign w:val="bottom"/>
            <w:tcBorders>
              <w:bottom w:val="single" w:sz="8" w:color="1F2668"/>
            </w:tcBorders>
          </w:tcPr>
          <w:p>
            <w:pPr>
              <w:spacing w:after="0"/>
              <w:rPr>
                <w:sz w:val="17"/>
                <w:szCs w:val="17"/>
                <w:color w:val="auto"/>
              </w:rPr>
            </w:pPr>
          </w:p>
        </w:tc>
        <w:tc>
          <w:tcPr>
            <w:tcW w:w="540" w:type="dxa"/>
            <w:vAlign w:val="bottom"/>
            <w:tcBorders>
              <w:bottom w:val="single" w:sz="8" w:color="1F2668"/>
            </w:tcBorders>
          </w:tcPr>
          <w:p>
            <w:pPr>
              <w:ind w:left="300"/>
              <w:spacing w:after="0"/>
              <w:rPr>
                <w:sz w:val="20"/>
                <w:szCs w:val="20"/>
                <w:color w:val="auto"/>
              </w:rPr>
            </w:pPr>
            <w:r>
              <w:rPr>
                <w:rFonts w:ascii="Arial" w:cs="Arial" w:eastAsia="Arial" w:hAnsi="Arial"/>
                <w:sz w:val="11"/>
                <w:szCs w:val="11"/>
                <w:b w:val="1"/>
                <w:bCs w:val="1"/>
                <w:color w:val="1F2668"/>
                <w:w w:val="92"/>
              </w:rPr>
              <w:t>Date</w:t>
            </w:r>
          </w:p>
        </w:tc>
        <w:tc>
          <w:tcPr>
            <w:tcW w:w="80" w:type="dxa"/>
            <w:vAlign w:val="bottom"/>
            <w:tcBorders>
              <w:bottom w:val="single" w:sz="8" w:color="E9F9D8"/>
            </w:tcBorders>
          </w:tcPr>
          <w:p>
            <w:pPr>
              <w:spacing w:after="0"/>
              <w:rPr>
                <w:sz w:val="17"/>
                <w:szCs w:val="17"/>
                <w:color w:val="auto"/>
              </w:rPr>
            </w:pPr>
          </w:p>
        </w:tc>
        <w:tc>
          <w:tcPr>
            <w:tcW w:w="200" w:type="dxa"/>
            <w:vAlign w:val="bottom"/>
            <w:tcBorders>
              <w:bottom w:val="single" w:sz="8" w:color="1F2668"/>
            </w:tcBorders>
          </w:tcPr>
          <w:p>
            <w:pPr>
              <w:spacing w:after="0"/>
              <w:rPr>
                <w:sz w:val="17"/>
                <w:szCs w:val="17"/>
                <w:color w:val="auto"/>
              </w:rPr>
            </w:pPr>
          </w:p>
        </w:tc>
        <w:tc>
          <w:tcPr>
            <w:tcW w:w="360" w:type="dxa"/>
            <w:vAlign w:val="bottom"/>
            <w:tcBorders>
              <w:bottom w:val="single" w:sz="8" w:color="1F2668"/>
            </w:tcBorders>
          </w:tcPr>
          <w:p>
            <w:pPr>
              <w:jc w:val="right"/>
              <w:spacing w:after="0"/>
              <w:rPr>
                <w:sz w:val="20"/>
                <w:szCs w:val="20"/>
                <w:color w:val="auto"/>
              </w:rPr>
            </w:pPr>
            <w:r>
              <w:rPr>
                <w:rFonts w:ascii="Arial" w:cs="Arial" w:eastAsia="Arial" w:hAnsi="Arial"/>
                <w:sz w:val="11"/>
                <w:szCs w:val="11"/>
                <w:b w:val="1"/>
                <w:bCs w:val="1"/>
                <w:color w:val="1F2668"/>
              </w:rPr>
              <w:t>($)</w:t>
            </w:r>
          </w:p>
        </w:tc>
        <w:tc>
          <w:tcPr>
            <w:tcW w:w="80" w:type="dxa"/>
            <w:vAlign w:val="bottom"/>
            <w:tcBorders>
              <w:bottom w:val="single" w:sz="8" w:color="E9F9D8"/>
            </w:tcBorders>
          </w:tcPr>
          <w:p>
            <w:pPr>
              <w:spacing w:after="0"/>
              <w:rPr>
                <w:sz w:val="17"/>
                <w:szCs w:val="17"/>
                <w:color w:val="auto"/>
              </w:rPr>
            </w:pPr>
          </w:p>
        </w:tc>
        <w:tc>
          <w:tcPr>
            <w:tcW w:w="20" w:type="dxa"/>
            <w:vAlign w:val="bottom"/>
            <w:tcBorders>
              <w:bottom w:val="single" w:sz="8" w:color="1F2668"/>
            </w:tcBorders>
          </w:tcPr>
          <w:p>
            <w:pPr>
              <w:spacing w:after="0"/>
              <w:rPr>
                <w:sz w:val="17"/>
                <w:szCs w:val="17"/>
                <w:color w:val="auto"/>
              </w:rPr>
            </w:pPr>
          </w:p>
        </w:tc>
        <w:tc>
          <w:tcPr>
            <w:tcW w:w="200" w:type="dxa"/>
            <w:vAlign w:val="bottom"/>
            <w:tcBorders>
              <w:bottom w:val="single" w:sz="8" w:color="1F2668"/>
            </w:tcBorders>
          </w:tcPr>
          <w:p>
            <w:pPr>
              <w:spacing w:after="0"/>
              <w:rPr>
                <w:sz w:val="17"/>
                <w:szCs w:val="17"/>
                <w:color w:val="auto"/>
              </w:rPr>
            </w:pPr>
          </w:p>
        </w:tc>
        <w:tc>
          <w:tcPr>
            <w:tcW w:w="440" w:type="dxa"/>
            <w:vAlign w:val="bottom"/>
            <w:tcBorders>
              <w:bottom w:val="single" w:sz="8" w:color="1F2668"/>
            </w:tcBorders>
          </w:tcPr>
          <w:p>
            <w:pPr>
              <w:jc w:val="right"/>
              <w:spacing w:after="0"/>
              <w:rPr>
                <w:sz w:val="20"/>
                <w:szCs w:val="20"/>
                <w:color w:val="auto"/>
              </w:rPr>
            </w:pPr>
            <w:r>
              <w:rPr>
                <w:rFonts w:ascii="Arial" w:cs="Arial" w:eastAsia="Arial" w:hAnsi="Arial"/>
                <w:sz w:val="11"/>
                <w:szCs w:val="11"/>
                <w:b w:val="1"/>
                <w:bCs w:val="1"/>
                <w:color w:val="1F2668"/>
              </w:rPr>
              <w:t>($)</w:t>
            </w:r>
          </w:p>
        </w:tc>
        <w:tc>
          <w:tcPr>
            <w:tcW w:w="100" w:type="dxa"/>
            <w:vAlign w:val="bottom"/>
            <w:tcBorders>
              <w:bottom w:val="single" w:sz="8" w:color="E9F9D8"/>
            </w:tcBorders>
          </w:tcPr>
          <w:p>
            <w:pPr>
              <w:spacing w:after="0"/>
              <w:rPr>
                <w:sz w:val="17"/>
                <w:szCs w:val="17"/>
                <w:color w:val="auto"/>
              </w:rPr>
            </w:pPr>
          </w:p>
        </w:tc>
        <w:tc>
          <w:tcPr>
            <w:tcW w:w="20" w:type="dxa"/>
            <w:vAlign w:val="bottom"/>
            <w:tcBorders>
              <w:bottom w:val="single" w:sz="8" w:color="1F2668"/>
            </w:tcBorders>
          </w:tcPr>
          <w:p>
            <w:pPr>
              <w:spacing w:after="0"/>
              <w:rPr>
                <w:sz w:val="17"/>
                <w:szCs w:val="17"/>
                <w:color w:val="auto"/>
              </w:rPr>
            </w:pPr>
          </w:p>
        </w:tc>
        <w:tc>
          <w:tcPr>
            <w:tcW w:w="100" w:type="dxa"/>
            <w:vAlign w:val="bottom"/>
            <w:tcBorders>
              <w:bottom w:val="single" w:sz="8" w:color="1F2668"/>
            </w:tcBorders>
          </w:tcPr>
          <w:p>
            <w:pPr>
              <w:spacing w:after="0"/>
              <w:rPr>
                <w:sz w:val="17"/>
                <w:szCs w:val="17"/>
                <w:color w:val="auto"/>
              </w:rPr>
            </w:pPr>
          </w:p>
        </w:tc>
        <w:tc>
          <w:tcPr>
            <w:tcW w:w="540" w:type="dxa"/>
            <w:vAlign w:val="bottom"/>
            <w:tcBorders>
              <w:bottom w:val="single" w:sz="8" w:color="1F2668"/>
            </w:tcBorders>
          </w:tcPr>
          <w:p>
            <w:pPr>
              <w:jc w:val="right"/>
              <w:spacing w:after="0"/>
              <w:rPr>
                <w:sz w:val="20"/>
                <w:szCs w:val="20"/>
                <w:color w:val="auto"/>
              </w:rPr>
            </w:pPr>
            <w:r>
              <w:rPr>
                <w:rFonts w:ascii="Arial" w:cs="Arial" w:eastAsia="Arial" w:hAnsi="Arial"/>
                <w:sz w:val="11"/>
                <w:szCs w:val="11"/>
                <w:b w:val="1"/>
                <w:bCs w:val="1"/>
                <w:color w:val="1F2668"/>
              </w:rPr>
              <w:t>($)</w:t>
            </w:r>
          </w:p>
        </w:tc>
        <w:tc>
          <w:tcPr>
            <w:tcW w:w="100" w:type="dxa"/>
            <w:vAlign w:val="bottom"/>
            <w:tcBorders>
              <w:bottom w:val="single" w:sz="8" w:color="E9F9D8"/>
            </w:tcBorders>
          </w:tcPr>
          <w:p>
            <w:pPr>
              <w:spacing w:after="0"/>
              <w:rPr>
                <w:sz w:val="17"/>
                <w:szCs w:val="17"/>
                <w:color w:val="auto"/>
              </w:rPr>
            </w:pPr>
          </w:p>
        </w:tc>
        <w:tc>
          <w:tcPr>
            <w:tcW w:w="160" w:type="dxa"/>
            <w:vAlign w:val="bottom"/>
            <w:tcBorders>
              <w:bottom w:val="single" w:sz="8" w:color="1F2668"/>
            </w:tcBorders>
          </w:tcPr>
          <w:p>
            <w:pPr>
              <w:spacing w:after="0"/>
              <w:rPr>
                <w:sz w:val="17"/>
                <w:szCs w:val="17"/>
                <w:color w:val="auto"/>
              </w:rPr>
            </w:pPr>
          </w:p>
        </w:tc>
        <w:tc>
          <w:tcPr>
            <w:tcW w:w="400" w:type="dxa"/>
            <w:vAlign w:val="bottom"/>
            <w:tcBorders>
              <w:bottom w:val="single" w:sz="8" w:color="1F2668"/>
            </w:tcBorders>
          </w:tcPr>
          <w:p>
            <w:pPr>
              <w:jc w:val="right"/>
              <w:spacing w:after="0"/>
              <w:rPr>
                <w:sz w:val="20"/>
                <w:szCs w:val="20"/>
                <w:color w:val="auto"/>
              </w:rPr>
            </w:pPr>
            <w:r>
              <w:rPr>
                <w:rFonts w:ascii="Arial" w:cs="Arial" w:eastAsia="Arial" w:hAnsi="Arial"/>
                <w:sz w:val="11"/>
                <w:szCs w:val="11"/>
                <w:b w:val="1"/>
                <w:bCs w:val="1"/>
                <w:color w:val="1F2668"/>
              </w:rPr>
              <w:t>(#)</w:t>
            </w:r>
          </w:p>
        </w:tc>
        <w:tc>
          <w:tcPr>
            <w:tcW w:w="140" w:type="dxa"/>
            <w:vAlign w:val="bottom"/>
            <w:tcBorders>
              <w:bottom w:val="single" w:sz="8" w:color="E9F9D8"/>
            </w:tcBorders>
          </w:tcPr>
          <w:p>
            <w:pPr>
              <w:spacing w:after="0"/>
              <w:rPr>
                <w:sz w:val="17"/>
                <w:szCs w:val="17"/>
                <w:color w:val="auto"/>
              </w:rPr>
            </w:pPr>
          </w:p>
        </w:tc>
        <w:tc>
          <w:tcPr>
            <w:tcW w:w="80" w:type="dxa"/>
            <w:vAlign w:val="bottom"/>
            <w:tcBorders>
              <w:bottom w:val="single" w:sz="8" w:color="1F2668"/>
            </w:tcBorders>
          </w:tcPr>
          <w:p>
            <w:pPr>
              <w:spacing w:after="0"/>
              <w:rPr>
                <w:sz w:val="17"/>
                <w:szCs w:val="17"/>
                <w:color w:val="auto"/>
              </w:rPr>
            </w:pPr>
          </w:p>
        </w:tc>
        <w:tc>
          <w:tcPr>
            <w:tcW w:w="380" w:type="dxa"/>
            <w:vAlign w:val="bottom"/>
            <w:tcBorders>
              <w:bottom w:val="single" w:sz="8" w:color="1F2668"/>
            </w:tcBorders>
          </w:tcPr>
          <w:p>
            <w:pPr>
              <w:jc w:val="center"/>
              <w:ind w:left="179"/>
              <w:spacing w:after="0"/>
              <w:rPr>
                <w:sz w:val="20"/>
                <w:szCs w:val="20"/>
                <w:color w:val="auto"/>
              </w:rPr>
            </w:pPr>
            <w:r>
              <w:rPr>
                <w:rFonts w:ascii="Arial" w:cs="Arial" w:eastAsia="Arial" w:hAnsi="Arial"/>
                <w:sz w:val="11"/>
                <w:szCs w:val="11"/>
                <w:b w:val="1"/>
                <w:bCs w:val="1"/>
                <w:color w:val="1F2668"/>
              </w:rPr>
              <w:t>(#)</w:t>
            </w:r>
          </w:p>
        </w:tc>
        <w:tc>
          <w:tcPr>
            <w:tcW w:w="140" w:type="dxa"/>
            <w:vAlign w:val="bottom"/>
            <w:tcBorders>
              <w:bottom w:val="single" w:sz="8" w:color="E9F9D8"/>
            </w:tcBorders>
          </w:tcPr>
          <w:p>
            <w:pPr>
              <w:spacing w:after="0"/>
              <w:rPr>
                <w:sz w:val="17"/>
                <w:szCs w:val="17"/>
                <w:color w:val="auto"/>
              </w:rPr>
            </w:pPr>
          </w:p>
        </w:tc>
        <w:tc>
          <w:tcPr>
            <w:tcW w:w="100" w:type="dxa"/>
            <w:vAlign w:val="bottom"/>
            <w:tcBorders>
              <w:bottom w:val="single" w:sz="8" w:color="1F2668"/>
            </w:tcBorders>
          </w:tcPr>
          <w:p>
            <w:pPr>
              <w:spacing w:after="0"/>
              <w:rPr>
                <w:sz w:val="17"/>
                <w:szCs w:val="17"/>
                <w:color w:val="auto"/>
              </w:rPr>
            </w:pPr>
          </w:p>
        </w:tc>
        <w:tc>
          <w:tcPr>
            <w:tcW w:w="440" w:type="dxa"/>
            <w:vAlign w:val="bottom"/>
            <w:tcBorders>
              <w:bottom w:val="single" w:sz="8" w:color="1F2668"/>
            </w:tcBorders>
          </w:tcPr>
          <w:p>
            <w:pPr>
              <w:jc w:val="right"/>
              <w:spacing w:after="0"/>
              <w:rPr>
                <w:sz w:val="20"/>
                <w:szCs w:val="20"/>
                <w:color w:val="auto"/>
              </w:rPr>
            </w:pPr>
            <w:r>
              <w:rPr>
                <w:rFonts w:ascii="Arial" w:cs="Arial" w:eastAsia="Arial" w:hAnsi="Arial"/>
                <w:sz w:val="11"/>
                <w:szCs w:val="11"/>
                <w:b w:val="1"/>
                <w:bCs w:val="1"/>
                <w:color w:val="1F2668"/>
              </w:rPr>
              <w:t>(#)</w:t>
            </w:r>
          </w:p>
        </w:tc>
        <w:tc>
          <w:tcPr>
            <w:tcW w:w="100" w:type="dxa"/>
            <w:vAlign w:val="bottom"/>
            <w:tcBorders>
              <w:bottom w:val="single" w:sz="8" w:color="E9F9D8"/>
            </w:tcBorders>
          </w:tcPr>
          <w:p>
            <w:pPr>
              <w:spacing w:after="0"/>
              <w:rPr>
                <w:sz w:val="17"/>
                <w:szCs w:val="17"/>
                <w:color w:val="auto"/>
              </w:rPr>
            </w:pPr>
          </w:p>
        </w:tc>
        <w:tc>
          <w:tcPr>
            <w:tcW w:w="160" w:type="dxa"/>
            <w:vAlign w:val="bottom"/>
            <w:tcBorders>
              <w:bottom w:val="single" w:sz="8" w:color="1F2668"/>
            </w:tcBorders>
          </w:tcPr>
          <w:p>
            <w:pPr>
              <w:spacing w:after="0"/>
              <w:rPr>
                <w:sz w:val="17"/>
                <w:szCs w:val="17"/>
                <w:color w:val="auto"/>
              </w:rPr>
            </w:pPr>
          </w:p>
        </w:tc>
        <w:tc>
          <w:tcPr>
            <w:tcW w:w="380" w:type="dxa"/>
            <w:vAlign w:val="bottom"/>
            <w:tcBorders>
              <w:bottom w:val="single" w:sz="8" w:color="1F2668"/>
            </w:tcBorders>
          </w:tcPr>
          <w:p>
            <w:pPr>
              <w:jc w:val="right"/>
              <w:spacing w:after="0"/>
              <w:rPr>
                <w:sz w:val="20"/>
                <w:szCs w:val="20"/>
                <w:color w:val="auto"/>
              </w:rPr>
            </w:pPr>
            <w:r>
              <w:rPr>
                <w:rFonts w:ascii="Arial" w:cs="Arial" w:eastAsia="Arial" w:hAnsi="Arial"/>
                <w:sz w:val="11"/>
                <w:szCs w:val="11"/>
                <w:b w:val="1"/>
                <w:bCs w:val="1"/>
                <w:color w:val="1F2668"/>
              </w:rPr>
              <w:t>(#)</w:t>
            </w:r>
          </w:p>
        </w:tc>
        <w:tc>
          <w:tcPr>
            <w:tcW w:w="100" w:type="dxa"/>
            <w:vAlign w:val="bottom"/>
            <w:tcBorders>
              <w:bottom w:val="single" w:sz="8" w:color="E9F9D8"/>
            </w:tcBorders>
          </w:tcPr>
          <w:p>
            <w:pPr>
              <w:spacing w:after="0"/>
              <w:rPr>
                <w:sz w:val="17"/>
                <w:szCs w:val="17"/>
                <w:color w:val="auto"/>
              </w:rPr>
            </w:pPr>
          </w:p>
        </w:tc>
        <w:tc>
          <w:tcPr>
            <w:tcW w:w="680" w:type="dxa"/>
            <w:vAlign w:val="bottom"/>
            <w:tcBorders>
              <w:bottom w:val="single" w:sz="8" w:color="1F2668"/>
            </w:tcBorders>
          </w:tcPr>
          <w:p>
            <w:pPr>
              <w:jc w:val="right"/>
              <w:spacing w:after="0" w:line="203" w:lineRule="exact"/>
              <w:rPr>
                <w:sz w:val="20"/>
                <w:szCs w:val="20"/>
                <w:color w:val="auto"/>
              </w:rPr>
            </w:pPr>
            <w:r>
              <w:rPr>
                <w:rFonts w:ascii="Arial" w:cs="Arial" w:eastAsia="Arial" w:hAnsi="Arial"/>
                <w:sz w:val="21"/>
                <w:szCs w:val="21"/>
                <w:b w:val="1"/>
                <w:bCs w:val="1"/>
                <w:color w:val="1F2668"/>
                <w:vertAlign w:val="subscript"/>
              </w:rPr>
              <w:t>(#)</w:t>
            </w:r>
            <w:r>
              <w:rPr>
                <w:rFonts w:ascii="Arial" w:cs="Arial" w:eastAsia="Arial" w:hAnsi="Arial"/>
                <w:sz w:val="8"/>
                <w:szCs w:val="8"/>
                <w:b w:val="1"/>
                <w:bCs w:val="1"/>
                <w:color w:val="1F2668"/>
              </w:rPr>
              <w:t>(6)</w:t>
            </w:r>
          </w:p>
        </w:tc>
        <w:tc>
          <w:tcPr>
            <w:tcW w:w="80" w:type="dxa"/>
            <w:vAlign w:val="bottom"/>
            <w:tcBorders>
              <w:bottom w:val="single" w:sz="8" w:color="E9F9D8"/>
            </w:tcBorders>
          </w:tcPr>
          <w:p>
            <w:pPr>
              <w:spacing w:after="0"/>
              <w:rPr>
                <w:sz w:val="17"/>
                <w:szCs w:val="17"/>
                <w:color w:val="auto"/>
              </w:rPr>
            </w:pPr>
          </w:p>
        </w:tc>
        <w:tc>
          <w:tcPr>
            <w:tcW w:w="160" w:type="dxa"/>
            <w:vAlign w:val="bottom"/>
            <w:tcBorders>
              <w:bottom w:val="single" w:sz="8" w:color="1F2668"/>
            </w:tcBorders>
          </w:tcPr>
          <w:p>
            <w:pPr>
              <w:spacing w:after="0"/>
              <w:rPr>
                <w:sz w:val="17"/>
                <w:szCs w:val="17"/>
                <w:color w:val="auto"/>
              </w:rPr>
            </w:pPr>
          </w:p>
        </w:tc>
        <w:tc>
          <w:tcPr>
            <w:tcW w:w="320" w:type="dxa"/>
            <w:vAlign w:val="bottom"/>
            <w:tcBorders>
              <w:bottom w:val="single" w:sz="8" w:color="1F2668"/>
            </w:tcBorders>
          </w:tcPr>
          <w:p>
            <w:pPr>
              <w:jc w:val="right"/>
              <w:spacing w:after="0"/>
              <w:rPr>
                <w:sz w:val="20"/>
                <w:szCs w:val="20"/>
                <w:color w:val="auto"/>
              </w:rPr>
            </w:pPr>
            <w:r>
              <w:rPr>
                <w:rFonts w:ascii="Arial" w:cs="Arial" w:eastAsia="Arial" w:hAnsi="Arial"/>
                <w:sz w:val="11"/>
                <w:szCs w:val="11"/>
                <w:b w:val="1"/>
                <w:bCs w:val="1"/>
                <w:color w:val="1F2668"/>
                <w:w w:val="98"/>
              </w:rPr>
              <w:t>($/Sh)</w:t>
            </w:r>
          </w:p>
        </w:tc>
        <w:tc>
          <w:tcPr>
            <w:tcW w:w="80" w:type="dxa"/>
            <w:vAlign w:val="bottom"/>
            <w:tcBorders>
              <w:bottom w:val="single" w:sz="8" w:color="E9F9D8"/>
            </w:tcBorders>
          </w:tcPr>
          <w:p>
            <w:pPr>
              <w:spacing w:after="0"/>
              <w:rPr>
                <w:sz w:val="17"/>
                <w:szCs w:val="17"/>
                <w:color w:val="auto"/>
              </w:rPr>
            </w:pPr>
          </w:p>
        </w:tc>
        <w:tc>
          <w:tcPr>
            <w:tcW w:w="180" w:type="dxa"/>
            <w:vAlign w:val="bottom"/>
            <w:tcBorders>
              <w:bottom w:val="single" w:sz="8" w:color="1F2668"/>
            </w:tcBorders>
          </w:tcPr>
          <w:p>
            <w:pPr>
              <w:spacing w:after="0"/>
              <w:rPr>
                <w:sz w:val="17"/>
                <w:szCs w:val="17"/>
                <w:color w:val="auto"/>
              </w:rPr>
            </w:pPr>
          </w:p>
        </w:tc>
        <w:tc>
          <w:tcPr>
            <w:tcW w:w="480" w:type="dxa"/>
            <w:vAlign w:val="bottom"/>
            <w:tcBorders>
              <w:bottom w:val="single" w:sz="8" w:color="1F2668"/>
            </w:tcBorders>
          </w:tcPr>
          <w:p>
            <w:pPr>
              <w:jc w:val="right"/>
              <w:spacing w:after="0"/>
              <w:rPr>
                <w:sz w:val="20"/>
                <w:szCs w:val="20"/>
                <w:color w:val="auto"/>
              </w:rPr>
            </w:pPr>
            <w:r>
              <w:rPr>
                <w:rFonts w:ascii="Arial" w:cs="Arial" w:eastAsia="Arial" w:hAnsi="Arial"/>
                <w:sz w:val="11"/>
                <w:szCs w:val="11"/>
                <w:b w:val="1"/>
                <w:bCs w:val="1"/>
                <w:color w:val="1F2668"/>
              </w:rPr>
              <w:t>($)</w:t>
            </w:r>
          </w:p>
        </w:tc>
        <w:tc>
          <w:tcPr>
            <w:tcW w:w="0" w:type="dxa"/>
            <w:vAlign w:val="bottom"/>
          </w:tcPr>
          <w:p>
            <w:pPr>
              <w:spacing w:after="0"/>
              <w:rPr>
                <w:sz w:val="1"/>
                <w:szCs w:val="1"/>
                <w:color w:val="auto"/>
              </w:rPr>
            </w:pPr>
          </w:p>
        </w:tc>
      </w:tr>
      <w:tr>
        <w:trPr>
          <w:trHeight w:val="165"/>
        </w:trPr>
        <w:tc>
          <w:tcPr>
            <w:tcW w:w="840" w:type="dxa"/>
            <w:vAlign w:val="bottom"/>
            <w:gridSpan w:val="2"/>
          </w:tcPr>
          <w:p>
            <w:pPr>
              <w:spacing w:after="0"/>
              <w:rPr>
                <w:sz w:val="20"/>
                <w:szCs w:val="20"/>
                <w:color w:val="auto"/>
              </w:rPr>
            </w:pPr>
            <w:r>
              <w:rPr>
                <w:rFonts w:ascii="Arial" w:cs="Arial" w:eastAsia="Arial" w:hAnsi="Arial"/>
                <w:sz w:val="13"/>
                <w:szCs w:val="13"/>
                <w:b w:val="1"/>
                <w:bCs w:val="1"/>
                <w:color w:val="1F2668"/>
              </w:rPr>
              <w:t>Marc</w:t>
            </w:r>
          </w:p>
        </w:tc>
        <w:tc>
          <w:tcPr>
            <w:tcW w:w="740" w:type="dxa"/>
            <w:vAlign w:val="bottom"/>
            <w:gridSpan w:val="3"/>
            <w:shd w:val="clear" w:color="auto" w:fill="E9F9D8"/>
          </w:tcPr>
          <w:p>
            <w:pPr>
              <w:ind w:left="40"/>
              <w:spacing w:after="0"/>
              <w:rPr>
                <w:sz w:val="20"/>
                <w:szCs w:val="20"/>
                <w:color w:val="auto"/>
              </w:rPr>
            </w:pPr>
            <w:r>
              <w:rPr>
                <w:rFonts w:ascii="Arial" w:cs="Arial" w:eastAsia="Arial" w:hAnsi="Arial"/>
                <w:sz w:val="13"/>
                <w:szCs w:val="13"/>
                <w:color w:val="auto"/>
              </w:rPr>
              <w:t>​01/29/2024</w:t>
            </w:r>
          </w:p>
        </w:tc>
        <w:tc>
          <w:tcPr>
            <w:tcW w:w="760" w:type="dxa"/>
            <w:vAlign w:val="bottom"/>
            <w:gridSpan w:val="3"/>
            <w:shd w:val="clear" w:color="auto" w:fill="E9F9D8"/>
          </w:tcPr>
          <w:p>
            <w:pPr>
              <w:ind w:left="40"/>
              <w:spacing w:after="0"/>
              <w:rPr>
                <w:sz w:val="20"/>
                <w:szCs w:val="20"/>
                <w:color w:val="auto"/>
              </w:rPr>
            </w:pPr>
            <w:r>
              <w:rPr>
                <w:rFonts w:ascii="Arial" w:cs="Arial" w:eastAsia="Arial" w:hAnsi="Arial"/>
                <w:sz w:val="13"/>
                <w:szCs w:val="13"/>
                <w:color w:val="auto"/>
              </w:rPr>
              <w:t>​01/29/2024</w:t>
            </w:r>
          </w:p>
        </w:tc>
        <w:tc>
          <w:tcPr>
            <w:tcW w:w="200" w:type="dxa"/>
            <w:vAlign w:val="bottom"/>
            <w:shd w:val="clear" w:color="auto" w:fill="E9F9D8"/>
          </w:tcPr>
          <w:p>
            <w:pPr>
              <w:ind w:left="100"/>
              <w:spacing w:after="0"/>
              <w:rPr>
                <w:sz w:val="20"/>
                <w:szCs w:val="20"/>
                <w:color w:val="auto"/>
              </w:rPr>
            </w:pPr>
            <w:r>
              <w:rPr>
                <w:rFonts w:ascii="Arial" w:cs="Arial" w:eastAsia="Arial" w:hAnsi="Arial"/>
                <w:sz w:val="13"/>
                <w:szCs w:val="13"/>
                <w:color w:val="auto"/>
              </w:rPr>
              <w:t>​</w:t>
            </w:r>
          </w:p>
        </w:tc>
        <w:tc>
          <w:tcPr>
            <w:tcW w:w="460" w:type="dxa"/>
            <w:vAlign w:val="bottom"/>
            <w:gridSpan w:val="3"/>
            <w:shd w:val="clear" w:color="auto" w:fill="E9F9D8"/>
          </w:tcPr>
          <w:p>
            <w:pPr>
              <w:jc w:val="right"/>
              <w:ind w:right="100"/>
              <w:spacing w:after="0"/>
              <w:rPr>
                <w:sz w:val="20"/>
                <w:szCs w:val="20"/>
                <w:color w:val="auto"/>
              </w:rPr>
            </w:pPr>
            <w:r>
              <w:rPr>
                <w:rFonts w:ascii="Arial" w:cs="Arial" w:eastAsia="Arial" w:hAnsi="Arial"/>
                <w:sz w:val="13"/>
                <w:szCs w:val="13"/>
                <w:color w:val="auto"/>
              </w:rPr>
              <w:t>—</w:t>
            </w:r>
          </w:p>
        </w:tc>
        <w:tc>
          <w:tcPr>
            <w:tcW w:w="200" w:type="dxa"/>
            <w:vAlign w:val="bottom"/>
            <w:shd w:val="clear" w:color="auto" w:fill="E9F9D8"/>
          </w:tcPr>
          <w:p>
            <w:pPr>
              <w:ind w:left="80"/>
              <w:spacing w:after="0"/>
              <w:rPr>
                <w:sz w:val="20"/>
                <w:szCs w:val="20"/>
                <w:color w:val="auto"/>
              </w:rPr>
            </w:pPr>
            <w:r>
              <w:rPr>
                <w:rFonts w:ascii="Arial" w:cs="Arial" w:eastAsia="Arial" w:hAnsi="Arial"/>
                <w:sz w:val="13"/>
                <w:szCs w:val="13"/>
                <w:color w:val="auto"/>
              </w:rPr>
              <w:t>​</w:t>
            </w:r>
          </w:p>
        </w:tc>
        <w:tc>
          <w:tcPr>
            <w:tcW w:w="560" w:type="dxa"/>
            <w:vAlign w:val="bottom"/>
            <w:gridSpan w:val="3"/>
            <w:shd w:val="clear" w:color="auto" w:fill="E9F9D8"/>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E9F9D8"/>
          </w:tcPr>
          <w:p>
            <w:pPr>
              <w:ind w:left="80"/>
              <w:spacing w:after="0"/>
              <w:rPr>
                <w:sz w:val="20"/>
                <w:szCs w:val="20"/>
                <w:color w:val="auto"/>
              </w:rPr>
            </w:pPr>
            <w:r>
              <w:rPr>
                <w:rFonts w:ascii="Arial" w:cs="Arial" w:eastAsia="Arial" w:hAnsi="Arial"/>
                <w:sz w:val="1"/>
                <w:szCs w:val="1"/>
                <w:color w:val="auto"/>
                <w:w w:val="4294942296"/>
              </w:rPr>
              <w:t>​</w:t>
            </w:r>
          </w:p>
        </w:tc>
        <w:tc>
          <w:tcPr>
            <w:tcW w:w="640" w:type="dxa"/>
            <w:vAlign w:val="bottom"/>
            <w:gridSpan w:val="2"/>
            <w:shd w:val="clear" w:color="auto" w:fill="E9F9D8"/>
          </w:tcPr>
          <w:p>
            <w:pPr>
              <w:jc w:val="right"/>
              <w:ind w:right="60"/>
              <w:spacing w:after="0"/>
              <w:rPr>
                <w:sz w:val="20"/>
                <w:szCs w:val="20"/>
                <w:color w:val="auto"/>
              </w:rPr>
            </w:pPr>
            <w:r>
              <w:rPr>
                <w:rFonts w:ascii="Arial" w:cs="Arial" w:eastAsia="Arial" w:hAnsi="Arial"/>
                <w:sz w:val="13"/>
                <w:szCs w:val="13"/>
                <w:color w:val="auto"/>
              </w:rPr>
              <w:t>—</w:t>
            </w:r>
          </w:p>
        </w:tc>
        <w:tc>
          <w:tcPr>
            <w:tcW w:w="160" w:type="dxa"/>
            <w:vAlign w:val="bottom"/>
            <w:shd w:val="clear" w:color="auto" w:fill="E9F9D8"/>
          </w:tcPr>
          <w:p>
            <w:pPr>
              <w:ind w:left="12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E9F9D8"/>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E9F9D8"/>
          </w:tcPr>
          <w:p>
            <w:pPr>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E9F9D8"/>
          </w:tcPr>
          <w:p>
            <w:pPr>
              <w:jc w:val="center"/>
              <w:ind w:left="59"/>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E9F9D8"/>
          </w:tcPr>
          <w:p>
            <w:pPr>
              <w:ind w:left="2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E9F9D8"/>
          </w:tcPr>
          <w:p>
            <w:pPr>
              <w:jc w:val="right"/>
              <w:ind w:right="60"/>
              <w:spacing w:after="0"/>
              <w:rPr>
                <w:sz w:val="20"/>
                <w:szCs w:val="20"/>
                <w:color w:val="auto"/>
              </w:rPr>
            </w:pPr>
            <w:r>
              <w:rPr>
                <w:rFonts w:ascii="Arial" w:cs="Arial" w:eastAsia="Arial" w:hAnsi="Arial"/>
                <w:sz w:val="13"/>
                <w:szCs w:val="13"/>
                <w:color w:val="auto"/>
              </w:rPr>
              <w:t>—</w:t>
            </w:r>
          </w:p>
        </w:tc>
        <w:tc>
          <w:tcPr>
            <w:tcW w:w="640" w:type="dxa"/>
            <w:vAlign w:val="bottom"/>
            <w:gridSpan w:val="3"/>
            <w:shd w:val="clear" w:color="auto" w:fill="E9F9D8"/>
          </w:tcPr>
          <w:p>
            <w:pPr>
              <w:ind w:left="80"/>
              <w:spacing w:after="0" w:line="165" w:lineRule="exact"/>
              <w:rPr>
                <w:sz w:val="20"/>
                <w:szCs w:val="20"/>
                <w:color w:val="auto"/>
              </w:rPr>
            </w:pPr>
            <w:r>
              <w:rPr>
                <w:rFonts w:ascii="Arial" w:cs="Arial" w:eastAsia="Arial" w:hAnsi="Arial"/>
                <w:sz w:val="13"/>
                <w:szCs w:val="13"/>
                <w:color w:val="auto"/>
                <w:w w:val="95"/>
              </w:rPr>
              <w:t>​ 97,096</w:t>
            </w:r>
            <w:r>
              <w:rPr>
                <w:rFonts w:ascii="Arial" w:cs="Arial" w:eastAsia="Arial" w:hAnsi="Arial"/>
                <w:sz w:val="16"/>
                <w:szCs w:val="16"/>
                <w:color w:val="auto"/>
                <w:w w:val="95"/>
                <w:vertAlign w:val="superscript"/>
              </w:rPr>
              <w:t>(1)</w:t>
            </w:r>
          </w:p>
        </w:tc>
        <w:tc>
          <w:tcPr>
            <w:tcW w:w="760" w:type="dxa"/>
            <w:vAlign w:val="bottom"/>
            <w:gridSpan w:val="2"/>
            <w:shd w:val="clear" w:color="auto" w:fill="E9F9D8"/>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shd w:val="clear" w:color="auto" w:fill="E9F9D8"/>
          </w:tcPr>
          <w:p>
            <w:pPr>
              <w:ind w:left="100"/>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E9F9D8"/>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E9F9D8"/>
          </w:tcPr>
          <w:p>
            <w:pPr>
              <w:jc w:val="right"/>
              <w:spacing w:after="0"/>
              <w:rPr>
                <w:sz w:val="20"/>
                <w:szCs w:val="20"/>
                <w:color w:val="auto"/>
              </w:rPr>
            </w:pPr>
            <w:r>
              <w:rPr>
                <w:rFonts w:ascii="Arial" w:cs="Arial" w:eastAsia="Arial" w:hAnsi="Arial"/>
                <w:sz w:val="13"/>
                <w:szCs w:val="13"/>
                <w:color w:val="auto"/>
                <w:w w:val="98"/>
              </w:rPr>
              <w:t>$4,044,048</w:t>
            </w:r>
          </w:p>
        </w:tc>
        <w:tc>
          <w:tcPr>
            <w:tcW w:w="0" w:type="dxa"/>
            <w:vAlign w:val="bottom"/>
          </w:tcPr>
          <w:p>
            <w:pPr>
              <w:spacing w:after="0"/>
              <w:rPr>
                <w:sz w:val="1"/>
                <w:szCs w:val="1"/>
                <w:color w:val="auto"/>
              </w:rPr>
            </w:pPr>
          </w:p>
        </w:tc>
      </w:tr>
      <w:tr>
        <w:trPr>
          <w:trHeight w:val="72"/>
        </w:trPr>
        <w:tc>
          <w:tcPr>
            <w:tcW w:w="840" w:type="dxa"/>
            <w:vAlign w:val="bottom"/>
            <w:gridSpan w:val="2"/>
            <w:vMerge w:val="restart"/>
          </w:tcPr>
          <w:p>
            <w:pPr>
              <w:spacing w:after="0"/>
              <w:rPr>
                <w:sz w:val="20"/>
                <w:szCs w:val="20"/>
                <w:color w:val="auto"/>
              </w:rPr>
            </w:pPr>
            <w:r>
              <w:rPr>
                <w:rFonts w:ascii="Arial" w:cs="Arial" w:eastAsia="Arial" w:hAnsi="Arial"/>
                <w:sz w:val="13"/>
                <w:szCs w:val="13"/>
                <w:b w:val="1"/>
                <w:bCs w:val="1"/>
                <w:color w:val="1F2668"/>
              </w:rPr>
              <w:t>Holliday</w:t>
            </w:r>
          </w:p>
        </w:tc>
        <w:tc>
          <w:tcPr>
            <w:tcW w:w="100" w:type="dxa"/>
            <w:vAlign w:val="bottom"/>
            <w:tcBorders>
              <w:bottom w:val="single" w:sz="8" w:color="4B5088"/>
            </w:tcBorders>
            <w:shd w:val="clear" w:color="auto" w:fill="E9F9D8"/>
          </w:tcPr>
          <w:p>
            <w:pPr>
              <w:spacing w:after="0"/>
              <w:rPr>
                <w:sz w:val="6"/>
                <w:szCs w:val="6"/>
                <w:color w:val="auto"/>
              </w:rPr>
            </w:pPr>
          </w:p>
        </w:tc>
        <w:tc>
          <w:tcPr>
            <w:tcW w:w="580" w:type="dxa"/>
            <w:vAlign w:val="bottom"/>
            <w:tcBorders>
              <w:bottom w:val="single" w:sz="8" w:color="4B5088"/>
            </w:tcBorders>
            <w:shd w:val="clear" w:color="auto" w:fill="E9F9D8"/>
          </w:tcPr>
          <w:p>
            <w:pPr>
              <w:spacing w:after="0"/>
              <w:rPr>
                <w:sz w:val="6"/>
                <w:szCs w:val="6"/>
                <w:color w:val="auto"/>
              </w:rPr>
            </w:pPr>
          </w:p>
        </w:tc>
        <w:tc>
          <w:tcPr>
            <w:tcW w:w="60" w:type="dxa"/>
            <w:vAlign w:val="bottom"/>
            <w:shd w:val="clear" w:color="auto" w:fill="E9F9D8"/>
          </w:tcPr>
          <w:p>
            <w:pPr>
              <w:spacing w:after="0"/>
              <w:rPr>
                <w:sz w:val="6"/>
                <w:szCs w:val="6"/>
                <w:color w:val="auto"/>
              </w:rPr>
            </w:pPr>
          </w:p>
        </w:tc>
        <w:tc>
          <w:tcPr>
            <w:tcW w:w="140" w:type="dxa"/>
            <w:vAlign w:val="bottom"/>
            <w:tcBorders>
              <w:bottom w:val="single" w:sz="8" w:color="4B5088"/>
            </w:tcBorders>
            <w:shd w:val="clear" w:color="auto" w:fill="E9F9D8"/>
          </w:tcPr>
          <w:p>
            <w:pPr>
              <w:spacing w:after="0"/>
              <w:rPr>
                <w:sz w:val="6"/>
                <w:szCs w:val="6"/>
                <w:color w:val="auto"/>
              </w:rPr>
            </w:pPr>
          </w:p>
        </w:tc>
        <w:tc>
          <w:tcPr>
            <w:tcW w:w="540" w:type="dxa"/>
            <w:vAlign w:val="bottom"/>
            <w:tcBorders>
              <w:bottom w:val="single" w:sz="8" w:color="4B5088"/>
            </w:tcBorders>
            <w:shd w:val="clear" w:color="auto" w:fill="E9F9D8"/>
          </w:tcPr>
          <w:p>
            <w:pPr>
              <w:spacing w:after="0"/>
              <w:rPr>
                <w:sz w:val="6"/>
                <w:szCs w:val="6"/>
                <w:color w:val="auto"/>
              </w:rPr>
            </w:pPr>
          </w:p>
        </w:tc>
        <w:tc>
          <w:tcPr>
            <w:tcW w:w="80" w:type="dxa"/>
            <w:vAlign w:val="bottom"/>
            <w:tcBorders>
              <w:bottom w:val="single" w:sz="8" w:color="E9F9D8"/>
            </w:tcBorders>
            <w:shd w:val="clear" w:color="auto" w:fill="E9F9D8"/>
          </w:tcPr>
          <w:p>
            <w:pPr>
              <w:spacing w:after="0"/>
              <w:rPr>
                <w:sz w:val="6"/>
                <w:szCs w:val="6"/>
                <w:color w:val="auto"/>
              </w:rPr>
            </w:pPr>
          </w:p>
        </w:tc>
        <w:tc>
          <w:tcPr>
            <w:tcW w:w="200" w:type="dxa"/>
            <w:vAlign w:val="bottom"/>
            <w:tcBorders>
              <w:bottom w:val="single" w:sz="8" w:color="4B5088"/>
            </w:tcBorders>
            <w:shd w:val="clear" w:color="auto" w:fill="E9F9D8"/>
          </w:tcPr>
          <w:p>
            <w:pPr>
              <w:spacing w:after="0"/>
              <w:rPr>
                <w:sz w:val="6"/>
                <w:szCs w:val="6"/>
                <w:color w:val="auto"/>
              </w:rPr>
            </w:pPr>
          </w:p>
        </w:tc>
        <w:tc>
          <w:tcPr>
            <w:tcW w:w="360" w:type="dxa"/>
            <w:vAlign w:val="bottom"/>
            <w:tcBorders>
              <w:bottom w:val="single" w:sz="8" w:color="4B5088"/>
            </w:tcBorders>
            <w:shd w:val="clear" w:color="auto" w:fill="E9F9D8"/>
          </w:tcPr>
          <w:p>
            <w:pPr>
              <w:spacing w:after="0"/>
              <w:rPr>
                <w:sz w:val="6"/>
                <w:szCs w:val="6"/>
                <w:color w:val="auto"/>
              </w:rPr>
            </w:pPr>
          </w:p>
        </w:tc>
        <w:tc>
          <w:tcPr>
            <w:tcW w:w="80" w:type="dxa"/>
            <w:vAlign w:val="bottom"/>
            <w:tcBorders>
              <w:bottom w:val="single" w:sz="8" w:color="E9F9D8"/>
            </w:tcBorders>
            <w:shd w:val="clear" w:color="auto" w:fill="E9F9D8"/>
          </w:tcPr>
          <w:p>
            <w:pPr>
              <w:spacing w:after="0"/>
              <w:rPr>
                <w:sz w:val="6"/>
                <w:szCs w:val="6"/>
                <w:color w:val="auto"/>
              </w:rPr>
            </w:pPr>
          </w:p>
        </w:tc>
        <w:tc>
          <w:tcPr>
            <w:tcW w:w="20" w:type="dxa"/>
            <w:vAlign w:val="bottom"/>
            <w:tcBorders>
              <w:bottom w:val="single" w:sz="8" w:color="4B5088"/>
            </w:tcBorders>
            <w:shd w:val="clear" w:color="auto" w:fill="E9F9D8"/>
          </w:tcPr>
          <w:p>
            <w:pPr>
              <w:spacing w:after="0"/>
              <w:rPr>
                <w:sz w:val="6"/>
                <w:szCs w:val="6"/>
                <w:color w:val="auto"/>
              </w:rPr>
            </w:pPr>
          </w:p>
        </w:tc>
        <w:tc>
          <w:tcPr>
            <w:tcW w:w="200" w:type="dxa"/>
            <w:vAlign w:val="bottom"/>
            <w:tcBorders>
              <w:bottom w:val="single" w:sz="8" w:color="4B5088"/>
            </w:tcBorders>
            <w:shd w:val="clear" w:color="auto" w:fill="E9F9D8"/>
          </w:tcPr>
          <w:p>
            <w:pPr>
              <w:spacing w:after="0"/>
              <w:rPr>
                <w:sz w:val="6"/>
                <w:szCs w:val="6"/>
                <w:color w:val="auto"/>
              </w:rPr>
            </w:pPr>
          </w:p>
        </w:tc>
        <w:tc>
          <w:tcPr>
            <w:tcW w:w="440" w:type="dxa"/>
            <w:vAlign w:val="bottom"/>
            <w:tcBorders>
              <w:bottom w:val="single" w:sz="8" w:color="4B5088"/>
            </w:tcBorders>
            <w:shd w:val="clear" w:color="auto" w:fill="E9F9D8"/>
          </w:tcPr>
          <w:p>
            <w:pPr>
              <w:spacing w:after="0"/>
              <w:rPr>
                <w:sz w:val="6"/>
                <w:szCs w:val="6"/>
                <w:color w:val="auto"/>
              </w:rPr>
            </w:pPr>
          </w:p>
        </w:tc>
        <w:tc>
          <w:tcPr>
            <w:tcW w:w="100" w:type="dxa"/>
            <w:vAlign w:val="bottom"/>
            <w:tcBorders>
              <w:bottom w:val="single" w:sz="8" w:color="E9F9D8"/>
            </w:tcBorders>
            <w:shd w:val="clear" w:color="auto" w:fill="E9F9D8"/>
          </w:tcPr>
          <w:p>
            <w:pPr>
              <w:spacing w:after="0"/>
              <w:rPr>
                <w:sz w:val="6"/>
                <w:szCs w:val="6"/>
                <w:color w:val="auto"/>
              </w:rPr>
            </w:pPr>
          </w:p>
        </w:tc>
        <w:tc>
          <w:tcPr>
            <w:tcW w:w="20" w:type="dxa"/>
            <w:vAlign w:val="bottom"/>
            <w:tcBorders>
              <w:bottom w:val="single" w:sz="8" w:color="4B5088"/>
            </w:tcBorders>
            <w:shd w:val="clear" w:color="auto" w:fill="E9F9D8"/>
          </w:tcPr>
          <w:p>
            <w:pPr>
              <w:spacing w:after="0"/>
              <w:rPr>
                <w:sz w:val="6"/>
                <w:szCs w:val="6"/>
                <w:color w:val="auto"/>
              </w:rPr>
            </w:pPr>
          </w:p>
        </w:tc>
        <w:tc>
          <w:tcPr>
            <w:tcW w:w="100" w:type="dxa"/>
            <w:vAlign w:val="bottom"/>
            <w:tcBorders>
              <w:bottom w:val="single" w:sz="8" w:color="4B5088"/>
            </w:tcBorders>
            <w:shd w:val="clear" w:color="auto" w:fill="E9F9D8"/>
          </w:tcPr>
          <w:p>
            <w:pPr>
              <w:spacing w:after="0"/>
              <w:rPr>
                <w:sz w:val="6"/>
                <w:szCs w:val="6"/>
                <w:color w:val="auto"/>
              </w:rPr>
            </w:pPr>
          </w:p>
        </w:tc>
        <w:tc>
          <w:tcPr>
            <w:tcW w:w="540" w:type="dxa"/>
            <w:vAlign w:val="bottom"/>
            <w:tcBorders>
              <w:bottom w:val="single" w:sz="8" w:color="4B5088"/>
            </w:tcBorders>
            <w:shd w:val="clear" w:color="auto" w:fill="E9F9D8"/>
          </w:tcPr>
          <w:p>
            <w:pPr>
              <w:spacing w:after="0"/>
              <w:rPr>
                <w:sz w:val="6"/>
                <w:szCs w:val="6"/>
                <w:color w:val="auto"/>
              </w:rPr>
            </w:pPr>
          </w:p>
        </w:tc>
        <w:tc>
          <w:tcPr>
            <w:tcW w:w="100" w:type="dxa"/>
            <w:vAlign w:val="bottom"/>
            <w:tcBorders>
              <w:bottom w:val="single" w:sz="8" w:color="E9F9D8"/>
            </w:tcBorders>
            <w:shd w:val="clear" w:color="auto" w:fill="E9F9D8"/>
          </w:tcPr>
          <w:p>
            <w:pPr>
              <w:spacing w:after="0"/>
              <w:rPr>
                <w:sz w:val="6"/>
                <w:szCs w:val="6"/>
                <w:color w:val="auto"/>
              </w:rPr>
            </w:pPr>
          </w:p>
        </w:tc>
        <w:tc>
          <w:tcPr>
            <w:tcW w:w="160" w:type="dxa"/>
            <w:vAlign w:val="bottom"/>
            <w:tcBorders>
              <w:bottom w:val="single" w:sz="8" w:color="4B5088"/>
            </w:tcBorders>
            <w:shd w:val="clear" w:color="auto" w:fill="E9F9D8"/>
          </w:tcPr>
          <w:p>
            <w:pPr>
              <w:spacing w:after="0"/>
              <w:rPr>
                <w:sz w:val="6"/>
                <w:szCs w:val="6"/>
                <w:color w:val="auto"/>
              </w:rPr>
            </w:pPr>
          </w:p>
        </w:tc>
        <w:tc>
          <w:tcPr>
            <w:tcW w:w="400" w:type="dxa"/>
            <w:vAlign w:val="bottom"/>
            <w:tcBorders>
              <w:bottom w:val="single" w:sz="8" w:color="4B5088"/>
            </w:tcBorders>
            <w:shd w:val="clear" w:color="auto" w:fill="E9F9D8"/>
          </w:tcPr>
          <w:p>
            <w:pPr>
              <w:spacing w:after="0"/>
              <w:rPr>
                <w:sz w:val="6"/>
                <w:szCs w:val="6"/>
                <w:color w:val="auto"/>
              </w:rPr>
            </w:pPr>
          </w:p>
        </w:tc>
        <w:tc>
          <w:tcPr>
            <w:tcW w:w="140" w:type="dxa"/>
            <w:vAlign w:val="bottom"/>
            <w:tcBorders>
              <w:bottom w:val="single" w:sz="8" w:color="E9F9D8"/>
            </w:tcBorders>
            <w:shd w:val="clear" w:color="auto" w:fill="E9F9D8"/>
          </w:tcPr>
          <w:p>
            <w:pPr>
              <w:spacing w:after="0"/>
              <w:rPr>
                <w:sz w:val="6"/>
                <w:szCs w:val="6"/>
                <w:color w:val="auto"/>
              </w:rPr>
            </w:pPr>
          </w:p>
        </w:tc>
        <w:tc>
          <w:tcPr>
            <w:tcW w:w="80" w:type="dxa"/>
            <w:vAlign w:val="bottom"/>
            <w:tcBorders>
              <w:bottom w:val="single" w:sz="8" w:color="4B5088"/>
            </w:tcBorders>
            <w:shd w:val="clear" w:color="auto" w:fill="E9F9D8"/>
          </w:tcPr>
          <w:p>
            <w:pPr>
              <w:spacing w:after="0"/>
              <w:rPr>
                <w:sz w:val="6"/>
                <w:szCs w:val="6"/>
                <w:color w:val="auto"/>
              </w:rPr>
            </w:pPr>
          </w:p>
        </w:tc>
        <w:tc>
          <w:tcPr>
            <w:tcW w:w="380" w:type="dxa"/>
            <w:vAlign w:val="bottom"/>
            <w:tcBorders>
              <w:bottom w:val="single" w:sz="8" w:color="4B5088"/>
            </w:tcBorders>
            <w:shd w:val="clear" w:color="auto" w:fill="E9F9D8"/>
          </w:tcPr>
          <w:p>
            <w:pPr>
              <w:spacing w:after="0"/>
              <w:rPr>
                <w:sz w:val="6"/>
                <w:szCs w:val="6"/>
                <w:color w:val="auto"/>
              </w:rPr>
            </w:pPr>
          </w:p>
        </w:tc>
        <w:tc>
          <w:tcPr>
            <w:tcW w:w="140" w:type="dxa"/>
            <w:vAlign w:val="bottom"/>
            <w:tcBorders>
              <w:bottom w:val="single" w:sz="8" w:color="E9F9D8"/>
            </w:tcBorders>
            <w:shd w:val="clear" w:color="auto" w:fill="E9F9D8"/>
          </w:tcPr>
          <w:p>
            <w:pPr>
              <w:spacing w:after="0"/>
              <w:rPr>
                <w:sz w:val="6"/>
                <w:szCs w:val="6"/>
                <w:color w:val="auto"/>
              </w:rPr>
            </w:pPr>
          </w:p>
        </w:tc>
        <w:tc>
          <w:tcPr>
            <w:tcW w:w="100" w:type="dxa"/>
            <w:vAlign w:val="bottom"/>
            <w:tcBorders>
              <w:bottom w:val="single" w:sz="8" w:color="4B5088"/>
            </w:tcBorders>
            <w:shd w:val="clear" w:color="auto" w:fill="E9F9D8"/>
          </w:tcPr>
          <w:p>
            <w:pPr>
              <w:spacing w:after="0"/>
              <w:rPr>
                <w:sz w:val="6"/>
                <w:szCs w:val="6"/>
                <w:color w:val="auto"/>
              </w:rPr>
            </w:pPr>
          </w:p>
        </w:tc>
        <w:tc>
          <w:tcPr>
            <w:tcW w:w="440" w:type="dxa"/>
            <w:vAlign w:val="bottom"/>
            <w:tcBorders>
              <w:bottom w:val="single" w:sz="8" w:color="4B5088"/>
            </w:tcBorders>
            <w:shd w:val="clear" w:color="auto" w:fill="E9F9D8"/>
          </w:tcPr>
          <w:p>
            <w:pPr>
              <w:spacing w:after="0"/>
              <w:rPr>
                <w:sz w:val="6"/>
                <w:szCs w:val="6"/>
                <w:color w:val="auto"/>
              </w:rPr>
            </w:pPr>
          </w:p>
        </w:tc>
        <w:tc>
          <w:tcPr>
            <w:tcW w:w="100" w:type="dxa"/>
            <w:vAlign w:val="bottom"/>
            <w:tcBorders>
              <w:bottom w:val="single" w:sz="8" w:color="E9F9D8"/>
            </w:tcBorders>
            <w:shd w:val="clear" w:color="auto" w:fill="E9F9D8"/>
          </w:tcPr>
          <w:p>
            <w:pPr>
              <w:spacing w:after="0"/>
              <w:rPr>
                <w:sz w:val="6"/>
                <w:szCs w:val="6"/>
                <w:color w:val="auto"/>
              </w:rPr>
            </w:pPr>
          </w:p>
        </w:tc>
        <w:tc>
          <w:tcPr>
            <w:tcW w:w="160" w:type="dxa"/>
            <w:vAlign w:val="bottom"/>
            <w:tcBorders>
              <w:bottom w:val="single" w:sz="8" w:color="4B5088"/>
            </w:tcBorders>
            <w:shd w:val="clear" w:color="auto" w:fill="E9F9D8"/>
          </w:tcPr>
          <w:p>
            <w:pPr>
              <w:spacing w:after="0"/>
              <w:rPr>
                <w:sz w:val="6"/>
                <w:szCs w:val="6"/>
                <w:color w:val="auto"/>
              </w:rPr>
            </w:pPr>
          </w:p>
        </w:tc>
        <w:tc>
          <w:tcPr>
            <w:tcW w:w="380" w:type="dxa"/>
            <w:vAlign w:val="bottom"/>
            <w:tcBorders>
              <w:bottom w:val="single" w:sz="8" w:color="4B5088"/>
            </w:tcBorders>
            <w:shd w:val="clear" w:color="auto" w:fill="E9F9D8"/>
          </w:tcPr>
          <w:p>
            <w:pPr>
              <w:spacing w:after="0"/>
              <w:rPr>
                <w:sz w:val="6"/>
                <w:szCs w:val="6"/>
                <w:color w:val="auto"/>
              </w:rPr>
            </w:pPr>
          </w:p>
        </w:tc>
        <w:tc>
          <w:tcPr>
            <w:tcW w:w="100" w:type="dxa"/>
            <w:vAlign w:val="bottom"/>
            <w:tcBorders>
              <w:bottom w:val="single" w:sz="8" w:color="E9F9D8"/>
            </w:tcBorders>
            <w:shd w:val="clear" w:color="auto" w:fill="E9F9D8"/>
          </w:tcPr>
          <w:p>
            <w:pPr>
              <w:spacing w:after="0"/>
              <w:rPr>
                <w:sz w:val="6"/>
                <w:szCs w:val="6"/>
                <w:color w:val="auto"/>
              </w:rPr>
            </w:pPr>
          </w:p>
        </w:tc>
        <w:tc>
          <w:tcPr>
            <w:tcW w:w="680" w:type="dxa"/>
            <w:vAlign w:val="bottom"/>
            <w:tcBorders>
              <w:bottom w:val="single" w:sz="8" w:color="4B5088"/>
            </w:tcBorders>
            <w:shd w:val="clear" w:color="auto" w:fill="E9F9D8"/>
          </w:tcPr>
          <w:p>
            <w:pPr>
              <w:spacing w:after="0"/>
              <w:rPr>
                <w:sz w:val="6"/>
                <w:szCs w:val="6"/>
                <w:color w:val="auto"/>
              </w:rPr>
            </w:pPr>
          </w:p>
        </w:tc>
        <w:tc>
          <w:tcPr>
            <w:tcW w:w="80" w:type="dxa"/>
            <w:vAlign w:val="bottom"/>
            <w:tcBorders>
              <w:bottom w:val="single" w:sz="8" w:color="E9F9D8"/>
            </w:tcBorders>
            <w:shd w:val="clear" w:color="auto" w:fill="E9F9D8"/>
          </w:tcPr>
          <w:p>
            <w:pPr>
              <w:spacing w:after="0"/>
              <w:rPr>
                <w:sz w:val="6"/>
                <w:szCs w:val="6"/>
                <w:color w:val="auto"/>
              </w:rPr>
            </w:pPr>
          </w:p>
        </w:tc>
        <w:tc>
          <w:tcPr>
            <w:tcW w:w="160" w:type="dxa"/>
            <w:vAlign w:val="bottom"/>
            <w:tcBorders>
              <w:bottom w:val="single" w:sz="8" w:color="4B5088"/>
            </w:tcBorders>
            <w:shd w:val="clear" w:color="auto" w:fill="E9F9D8"/>
          </w:tcPr>
          <w:p>
            <w:pPr>
              <w:spacing w:after="0"/>
              <w:rPr>
                <w:sz w:val="6"/>
                <w:szCs w:val="6"/>
                <w:color w:val="auto"/>
              </w:rPr>
            </w:pPr>
          </w:p>
        </w:tc>
        <w:tc>
          <w:tcPr>
            <w:tcW w:w="320" w:type="dxa"/>
            <w:vAlign w:val="bottom"/>
            <w:tcBorders>
              <w:bottom w:val="single" w:sz="8" w:color="4B5088"/>
            </w:tcBorders>
            <w:shd w:val="clear" w:color="auto" w:fill="E9F9D8"/>
          </w:tcPr>
          <w:p>
            <w:pPr>
              <w:spacing w:after="0"/>
              <w:rPr>
                <w:sz w:val="6"/>
                <w:szCs w:val="6"/>
                <w:color w:val="auto"/>
              </w:rPr>
            </w:pPr>
          </w:p>
        </w:tc>
        <w:tc>
          <w:tcPr>
            <w:tcW w:w="80" w:type="dxa"/>
            <w:vAlign w:val="bottom"/>
            <w:tcBorders>
              <w:bottom w:val="single" w:sz="8" w:color="E9F9D8"/>
            </w:tcBorders>
            <w:shd w:val="clear" w:color="auto" w:fill="E9F9D8"/>
          </w:tcPr>
          <w:p>
            <w:pPr>
              <w:spacing w:after="0"/>
              <w:rPr>
                <w:sz w:val="6"/>
                <w:szCs w:val="6"/>
                <w:color w:val="auto"/>
              </w:rPr>
            </w:pPr>
          </w:p>
        </w:tc>
        <w:tc>
          <w:tcPr>
            <w:tcW w:w="180" w:type="dxa"/>
            <w:vAlign w:val="bottom"/>
            <w:tcBorders>
              <w:bottom w:val="single" w:sz="8" w:color="4B5088"/>
            </w:tcBorders>
            <w:shd w:val="clear" w:color="auto" w:fill="E9F9D8"/>
          </w:tcPr>
          <w:p>
            <w:pPr>
              <w:spacing w:after="0"/>
              <w:rPr>
                <w:sz w:val="6"/>
                <w:szCs w:val="6"/>
                <w:color w:val="auto"/>
              </w:rPr>
            </w:pPr>
          </w:p>
        </w:tc>
        <w:tc>
          <w:tcPr>
            <w:tcW w:w="480" w:type="dxa"/>
            <w:vAlign w:val="bottom"/>
            <w:tcBorders>
              <w:bottom w:val="single" w:sz="8" w:color="4B5088"/>
            </w:tcBorders>
            <w:shd w:val="clear" w:color="auto" w:fill="E9F9D8"/>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840" w:type="dxa"/>
            <w:vAlign w:val="bottom"/>
            <w:gridSpan w:val="2"/>
            <w:vMerge w:val="continue"/>
          </w:tcPr>
          <w:p>
            <w:pPr>
              <w:spacing w:after="0"/>
              <w:rPr>
                <w:sz w:val="6"/>
                <w:szCs w:val="6"/>
                <w:color w:val="auto"/>
              </w:rPr>
            </w:pPr>
          </w:p>
        </w:tc>
        <w:tc>
          <w:tcPr>
            <w:tcW w:w="740" w:type="dxa"/>
            <w:vAlign w:val="bottom"/>
            <w:gridSpan w:val="3"/>
            <w:vMerge w:val="restart"/>
          </w:tcPr>
          <w:p>
            <w:pPr>
              <w:ind w:left="40"/>
              <w:spacing w:after="0"/>
              <w:rPr>
                <w:sz w:val="20"/>
                <w:szCs w:val="20"/>
                <w:color w:val="auto"/>
              </w:rPr>
            </w:pPr>
            <w:r>
              <w:rPr>
                <w:rFonts w:ascii="Arial" w:cs="Arial" w:eastAsia="Arial" w:hAnsi="Arial"/>
                <w:sz w:val="13"/>
                <w:szCs w:val="13"/>
                <w:color w:val="auto"/>
              </w:rPr>
              <w:t>​01/29/2024</w:t>
            </w:r>
          </w:p>
        </w:tc>
        <w:tc>
          <w:tcPr>
            <w:tcW w:w="760" w:type="dxa"/>
            <w:vAlign w:val="bottom"/>
            <w:gridSpan w:val="3"/>
            <w:vMerge w:val="restart"/>
          </w:tcPr>
          <w:p>
            <w:pPr>
              <w:ind w:left="40"/>
              <w:spacing w:after="0"/>
              <w:rPr>
                <w:sz w:val="20"/>
                <w:szCs w:val="20"/>
                <w:color w:val="auto"/>
              </w:rPr>
            </w:pPr>
            <w:r>
              <w:rPr>
                <w:rFonts w:ascii="Arial" w:cs="Arial" w:eastAsia="Arial" w:hAnsi="Arial"/>
                <w:sz w:val="13"/>
                <w:szCs w:val="13"/>
                <w:color w:val="auto"/>
              </w:rPr>
              <w:t>​01/29/2024</w:t>
            </w:r>
          </w:p>
        </w:tc>
        <w:tc>
          <w:tcPr>
            <w:tcW w:w="200" w:type="dxa"/>
            <w:vAlign w:val="bottom"/>
            <w:vMerge w:val="restart"/>
          </w:tcPr>
          <w:p>
            <w:pPr>
              <w:ind w:left="100"/>
              <w:spacing w:after="0"/>
              <w:rPr>
                <w:sz w:val="20"/>
                <w:szCs w:val="20"/>
                <w:color w:val="auto"/>
              </w:rPr>
            </w:pPr>
            <w:r>
              <w:rPr>
                <w:rFonts w:ascii="Arial" w:cs="Arial" w:eastAsia="Arial" w:hAnsi="Arial"/>
                <w:sz w:val="13"/>
                <w:szCs w:val="13"/>
                <w:color w:val="auto"/>
              </w:rPr>
              <w:t>​</w:t>
            </w:r>
          </w:p>
        </w:tc>
        <w:tc>
          <w:tcPr>
            <w:tcW w:w="460" w:type="dxa"/>
            <w:vAlign w:val="bottom"/>
            <w:gridSpan w:val="3"/>
            <w:vMerge w:val="restart"/>
          </w:tcPr>
          <w:p>
            <w:pPr>
              <w:jc w:val="right"/>
              <w:ind w:right="100"/>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56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ind w:left="80"/>
              <w:spacing w:after="0"/>
              <w:rPr>
                <w:sz w:val="20"/>
                <w:szCs w:val="20"/>
                <w:color w:val="auto"/>
              </w:rPr>
            </w:pPr>
            <w:r>
              <w:rPr>
                <w:rFonts w:ascii="Arial" w:cs="Arial" w:eastAsia="Arial" w:hAnsi="Arial"/>
                <w:sz w:val="1"/>
                <w:szCs w:val="1"/>
                <w:color w:val="auto"/>
                <w:w w:val="4294942296"/>
              </w:rPr>
              <w:t>​</w:t>
            </w: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gridSpan w:val="3"/>
            <w:vMerge w:val="restart"/>
          </w:tcPr>
          <w:p>
            <w:pPr>
              <w:jc w:val="right"/>
              <w:spacing w:after="0"/>
              <w:rPr>
                <w:sz w:val="20"/>
                <w:szCs w:val="20"/>
                <w:color w:val="auto"/>
              </w:rPr>
            </w:pPr>
            <w:r>
              <w:rPr>
                <w:rFonts w:ascii="Arial" w:cs="Arial" w:eastAsia="Arial" w:hAnsi="Arial"/>
                <w:sz w:val="13"/>
                <w:szCs w:val="13"/>
                <w:color w:val="auto"/>
              </w:rPr>
              <w:t>​ 75,856</w:t>
            </w:r>
            <w:r>
              <w:rPr>
                <w:rFonts w:ascii="Arial" w:cs="Arial" w:eastAsia="Arial" w:hAnsi="Arial"/>
                <w:sz w:val="16"/>
                <w:szCs w:val="16"/>
                <w:color w:val="auto"/>
                <w:vertAlign w:val="superscript"/>
              </w:rPr>
              <w:t>(2)</w:t>
            </w:r>
          </w:p>
        </w:tc>
        <w:tc>
          <w:tcPr>
            <w:tcW w:w="600" w:type="dxa"/>
            <w:vAlign w:val="bottom"/>
            <w:gridSpan w:val="3"/>
            <w:vMerge w:val="restart"/>
          </w:tcPr>
          <w:p>
            <w:pPr>
              <w:spacing w:after="0"/>
              <w:rPr>
                <w:sz w:val="20"/>
                <w:szCs w:val="20"/>
                <w:color w:val="auto"/>
              </w:rPr>
            </w:pPr>
            <w:r>
              <w:rPr>
                <w:rFonts w:ascii="Arial" w:cs="Arial" w:eastAsia="Arial" w:hAnsi="Arial"/>
                <w:sz w:val="13"/>
                <w:szCs w:val="13"/>
                <w:color w:val="auto"/>
                <w:w w:val="96"/>
              </w:rPr>
              <w:t>​161,825</w:t>
            </w:r>
            <w:r>
              <w:rPr>
                <w:rFonts w:ascii="Arial" w:cs="Arial" w:eastAsia="Arial" w:hAnsi="Arial"/>
                <w:sz w:val="16"/>
                <w:szCs w:val="16"/>
                <w:color w:val="auto"/>
                <w:w w:val="96"/>
                <w:vertAlign w:val="superscript"/>
              </w:rPr>
              <w:t>(2)</w:t>
            </w:r>
          </w:p>
        </w:tc>
        <w:tc>
          <w:tcPr>
            <w:tcW w:w="640" w:type="dxa"/>
            <w:vAlign w:val="bottom"/>
            <w:gridSpan w:val="3"/>
            <w:vMerge w:val="restart"/>
          </w:tcPr>
          <w:p>
            <w:pPr>
              <w:jc w:val="right"/>
              <w:spacing w:after="0"/>
              <w:rPr>
                <w:sz w:val="20"/>
                <w:szCs w:val="20"/>
                <w:color w:val="auto"/>
              </w:rPr>
            </w:pPr>
            <w:r>
              <w:rPr>
                <w:rFonts w:ascii="Arial" w:cs="Arial" w:eastAsia="Arial" w:hAnsi="Arial"/>
                <w:sz w:val="13"/>
                <w:szCs w:val="13"/>
                <w:color w:val="auto"/>
                <w:w w:val="97"/>
              </w:rPr>
              <w:t>​ 364,107</w:t>
            </w:r>
            <w:r>
              <w:rPr>
                <w:rFonts w:ascii="Arial" w:cs="Arial" w:eastAsia="Arial" w:hAnsi="Arial"/>
                <w:sz w:val="16"/>
                <w:szCs w:val="16"/>
                <w:color w:val="auto"/>
                <w:w w:val="97"/>
                <w:vertAlign w:val="superscript"/>
              </w:rPr>
              <w:t>(2)</w:t>
            </w:r>
          </w:p>
        </w:tc>
        <w:tc>
          <w:tcPr>
            <w:tcW w:w="16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48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ind w:left="100"/>
              <w:spacing w:after="0"/>
              <w:rPr>
                <w:sz w:val="20"/>
                <w:szCs w:val="20"/>
                <w:color w:val="auto"/>
              </w:rPr>
            </w:pPr>
            <w:r>
              <w:rPr>
                <w:rFonts w:ascii="Arial" w:cs="Arial" w:eastAsia="Arial" w:hAnsi="Arial"/>
                <w:sz w:val="13"/>
                <w:szCs w:val="13"/>
                <w:color w:val="auto"/>
              </w:rPr>
              <w:t>​</w:t>
            </w:r>
          </w:p>
        </w:tc>
        <w:tc>
          <w:tcPr>
            <w:tcW w:w="40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2"/>
            <w:vMerge w:val="restart"/>
          </w:tcPr>
          <w:p>
            <w:pPr>
              <w:jc w:val="right"/>
              <w:spacing w:after="0"/>
              <w:rPr>
                <w:sz w:val="20"/>
                <w:szCs w:val="20"/>
                <w:color w:val="auto"/>
              </w:rPr>
            </w:pPr>
            <w:r>
              <w:rPr>
                <w:rFonts w:ascii="Arial" w:cs="Arial" w:eastAsia="Arial" w:hAnsi="Arial"/>
                <w:sz w:val="13"/>
                <w:szCs w:val="13"/>
                <w:color w:val="auto"/>
                <w:w w:val="98"/>
              </w:rPr>
              <w:t>$8,363,869</w:t>
            </w:r>
          </w:p>
        </w:tc>
        <w:tc>
          <w:tcPr>
            <w:tcW w:w="0" w:type="dxa"/>
            <w:vAlign w:val="bottom"/>
          </w:tcPr>
          <w:p>
            <w:pPr>
              <w:spacing w:after="0"/>
              <w:rPr>
                <w:sz w:val="1"/>
                <w:szCs w:val="1"/>
                <w:color w:val="auto"/>
              </w:rPr>
            </w:pPr>
          </w:p>
        </w:tc>
      </w:tr>
      <w:tr>
        <w:trPr>
          <w:trHeight w:val="131"/>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460" w:type="dxa"/>
            <w:vAlign w:val="bottom"/>
            <w:gridSpan w:val="3"/>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4B5088"/>
            </w:tcBorders>
            <w:gridSpan w:val="2"/>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4B5088"/>
            </w:tcBorders>
            <w:gridSpan w:val="2"/>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4B5088"/>
            </w:tcBorders>
          </w:tcPr>
          <w:p>
            <w:pPr>
              <w:spacing w:after="0"/>
              <w:rPr>
                <w:sz w:val="2"/>
                <w:szCs w:val="2"/>
                <w:color w:val="auto"/>
              </w:rPr>
            </w:pPr>
          </w:p>
        </w:tc>
        <w:tc>
          <w:tcPr>
            <w:tcW w:w="360" w:type="dxa"/>
            <w:vAlign w:val="bottom"/>
            <w:tcBorders>
              <w:bottom w:val="single" w:sz="8" w:color="4B5088"/>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4B5088"/>
            </w:tcBorders>
          </w:tcPr>
          <w:p>
            <w:pPr>
              <w:spacing w:after="0"/>
              <w:rPr>
                <w:sz w:val="2"/>
                <w:szCs w:val="2"/>
                <w:color w:val="auto"/>
              </w:rPr>
            </w:pPr>
          </w:p>
        </w:tc>
        <w:tc>
          <w:tcPr>
            <w:tcW w:w="200" w:type="dxa"/>
            <w:vAlign w:val="bottom"/>
            <w:tcBorders>
              <w:bottom w:val="single" w:sz="8" w:color="4B5088"/>
            </w:tcBorders>
          </w:tcPr>
          <w:p>
            <w:pPr>
              <w:spacing w:after="0"/>
              <w:rPr>
                <w:sz w:val="2"/>
                <w:szCs w:val="2"/>
                <w:color w:val="auto"/>
              </w:rPr>
            </w:pPr>
          </w:p>
        </w:tc>
        <w:tc>
          <w:tcPr>
            <w:tcW w:w="440" w:type="dxa"/>
            <w:vAlign w:val="bottom"/>
            <w:tcBorders>
              <w:bottom w:val="single" w:sz="8" w:color="4B5088"/>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4B5088"/>
            </w:tcBorders>
          </w:tcPr>
          <w:p>
            <w:pPr>
              <w:spacing w:after="0"/>
              <w:rPr>
                <w:sz w:val="2"/>
                <w:szCs w:val="2"/>
                <w:color w:val="auto"/>
              </w:rPr>
            </w:pPr>
          </w:p>
        </w:tc>
        <w:tc>
          <w:tcPr>
            <w:tcW w:w="100" w:type="dxa"/>
            <w:vAlign w:val="bottom"/>
            <w:tcBorders>
              <w:bottom w:val="single" w:sz="8" w:color="4B5088"/>
            </w:tcBorders>
          </w:tcPr>
          <w:p>
            <w:pPr>
              <w:spacing w:after="0"/>
              <w:rPr>
                <w:sz w:val="2"/>
                <w:szCs w:val="2"/>
                <w:color w:val="auto"/>
              </w:rPr>
            </w:pPr>
          </w:p>
        </w:tc>
        <w:tc>
          <w:tcPr>
            <w:tcW w:w="540" w:type="dxa"/>
            <w:vAlign w:val="bottom"/>
            <w:tcBorders>
              <w:bottom w:val="single" w:sz="8" w:color="4B5088"/>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4B5088"/>
            </w:tcBorders>
          </w:tcPr>
          <w:p>
            <w:pPr>
              <w:spacing w:after="0"/>
              <w:rPr>
                <w:sz w:val="2"/>
                <w:szCs w:val="2"/>
                <w:color w:val="auto"/>
              </w:rPr>
            </w:pPr>
          </w:p>
        </w:tc>
        <w:tc>
          <w:tcPr>
            <w:tcW w:w="400" w:type="dxa"/>
            <w:vAlign w:val="bottom"/>
            <w:tcBorders>
              <w:bottom w:val="single" w:sz="8" w:color="4B5088"/>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4B5088"/>
            </w:tcBorders>
          </w:tcPr>
          <w:p>
            <w:pPr>
              <w:spacing w:after="0"/>
              <w:rPr>
                <w:sz w:val="2"/>
                <w:szCs w:val="2"/>
                <w:color w:val="auto"/>
              </w:rPr>
            </w:pPr>
          </w:p>
        </w:tc>
        <w:tc>
          <w:tcPr>
            <w:tcW w:w="380" w:type="dxa"/>
            <w:vAlign w:val="bottom"/>
            <w:tcBorders>
              <w:bottom w:val="single" w:sz="8" w:color="4B5088"/>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4B5088"/>
            </w:tcBorders>
          </w:tcPr>
          <w:p>
            <w:pPr>
              <w:spacing w:after="0"/>
              <w:rPr>
                <w:sz w:val="2"/>
                <w:szCs w:val="2"/>
                <w:color w:val="auto"/>
              </w:rPr>
            </w:pPr>
          </w:p>
        </w:tc>
        <w:tc>
          <w:tcPr>
            <w:tcW w:w="440" w:type="dxa"/>
            <w:vAlign w:val="bottom"/>
            <w:tcBorders>
              <w:bottom w:val="single" w:sz="8" w:color="4B5088"/>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4B5088"/>
            </w:tcBorders>
            <w:gridSpan w:val="2"/>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4B5088"/>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4B5088"/>
            </w:tcBorders>
          </w:tcPr>
          <w:p>
            <w:pPr>
              <w:spacing w:after="0"/>
              <w:rPr>
                <w:sz w:val="2"/>
                <w:szCs w:val="2"/>
                <w:color w:val="auto"/>
              </w:rPr>
            </w:pPr>
          </w:p>
        </w:tc>
        <w:tc>
          <w:tcPr>
            <w:tcW w:w="320" w:type="dxa"/>
            <w:vAlign w:val="bottom"/>
            <w:tcBorders>
              <w:bottom w:val="single" w:sz="8" w:color="4B5088"/>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4B5088"/>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3"/>
          </w:tcPr>
          <w:p>
            <w:pPr>
              <w:ind w:left="40"/>
              <w:spacing w:after="0"/>
              <w:rPr>
                <w:sz w:val="20"/>
                <w:szCs w:val="20"/>
                <w:color w:val="auto"/>
              </w:rPr>
            </w:pPr>
            <w:r>
              <w:rPr>
                <w:rFonts w:ascii="Arial" w:cs="Arial" w:eastAsia="Arial" w:hAnsi="Arial"/>
                <w:sz w:val="13"/>
                <w:szCs w:val="13"/>
                <w:color w:val="auto"/>
              </w:rPr>
              <w:t>​12/18/2024</w:t>
            </w:r>
          </w:p>
        </w:tc>
        <w:tc>
          <w:tcPr>
            <w:tcW w:w="760" w:type="dxa"/>
            <w:vAlign w:val="bottom"/>
            <w:gridSpan w:val="3"/>
          </w:tcPr>
          <w:p>
            <w:pPr>
              <w:ind w:left="40"/>
              <w:spacing w:after="0"/>
              <w:rPr>
                <w:sz w:val="20"/>
                <w:szCs w:val="20"/>
                <w:color w:val="auto"/>
              </w:rPr>
            </w:pPr>
            <w:r>
              <w:rPr>
                <w:rFonts w:ascii="Arial" w:cs="Arial" w:eastAsia="Arial" w:hAnsi="Arial"/>
                <w:sz w:val="13"/>
                <w:szCs w:val="13"/>
                <w:color w:val="auto"/>
              </w:rPr>
              <w:t>​12/18/2024</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46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200" w:type="dxa"/>
            <w:vAlign w:val="bottom"/>
          </w:tcPr>
          <w:p>
            <w:pPr>
              <w:ind w:left="80"/>
              <w:spacing w:after="0"/>
              <w:rPr>
                <w:sz w:val="20"/>
                <w:szCs w:val="20"/>
                <w:color w:val="auto"/>
              </w:rPr>
            </w:pPr>
            <w:r>
              <w:rPr>
                <w:rFonts w:ascii="Arial" w:cs="Arial" w:eastAsia="Arial" w:hAnsi="Arial"/>
                <w:sz w:val="13"/>
                <w:szCs w:val="13"/>
                <w:color w:val="auto"/>
              </w:rPr>
              <w:t>​</w:t>
            </w:r>
          </w:p>
        </w:tc>
        <w:tc>
          <w:tcPr>
            <w:tcW w:w="56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ind w:left="80"/>
              <w:spacing w:after="0"/>
              <w:rPr>
                <w:sz w:val="20"/>
                <w:szCs w:val="20"/>
                <w:color w:val="auto"/>
              </w:rPr>
            </w:pPr>
            <w:r>
              <w:rPr>
                <w:rFonts w:ascii="Arial" w:cs="Arial" w:eastAsia="Arial" w:hAnsi="Arial"/>
                <w:sz w:val="1"/>
                <w:szCs w:val="1"/>
                <w:color w:val="auto"/>
                <w:w w:val="4294942296"/>
              </w:rPr>
              <w:t>​</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60" w:type="dxa"/>
            <w:vAlign w:val="bottom"/>
          </w:tcPr>
          <w:p>
            <w:pPr>
              <w:ind w:left="12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center"/>
              <w:ind w:left="59"/>
              <w:spacing w:after="0"/>
              <w:rPr>
                <w:sz w:val="20"/>
                <w:szCs w:val="20"/>
                <w:color w:val="auto"/>
              </w:rPr>
            </w:pPr>
            <w:r>
              <w:rPr>
                <w:rFonts w:ascii="Arial" w:cs="Arial" w:eastAsia="Arial" w:hAnsi="Arial"/>
                <w:sz w:val="13"/>
                <w:szCs w:val="13"/>
                <w:color w:val="auto"/>
                <w:w w:val="91"/>
              </w:rPr>
              <w:t>—</w:t>
            </w: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40" w:type="dxa"/>
            <w:vAlign w:val="bottom"/>
            <w:gridSpan w:val="2"/>
          </w:tcPr>
          <w:p>
            <w:pPr>
              <w:ind w:left="80"/>
              <w:spacing w:after="0"/>
              <w:rPr>
                <w:sz w:val="20"/>
                <w:szCs w:val="20"/>
                <w:color w:val="auto"/>
              </w:rPr>
            </w:pPr>
            <w:r>
              <w:rPr>
                <w:rFonts w:ascii="Arial" w:cs="Arial" w:eastAsia="Arial" w:hAnsi="Arial"/>
                <w:sz w:val="13"/>
                <w:szCs w:val="13"/>
                <w:color w:val="auto"/>
              </w:rPr>
              <w:t>​ 45,884</w:t>
            </w:r>
          </w:p>
        </w:tc>
        <w:tc>
          <w:tcPr>
            <w:tcW w:w="100" w:type="dxa"/>
            <w:vAlign w:val="bottom"/>
          </w:tcPr>
          <w:p>
            <w:pPr>
              <w:jc w:val="right"/>
              <w:spacing w:after="0"/>
              <w:rPr>
                <w:sz w:val="20"/>
                <w:szCs w:val="20"/>
                <w:color w:val="auto"/>
              </w:rPr>
            </w:pPr>
            <w:r>
              <w:rPr>
                <w:rFonts w:ascii="Arial" w:cs="Arial" w:eastAsia="Arial" w:hAnsi="Arial"/>
                <w:sz w:val="8"/>
                <w:szCs w:val="8"/>
                <w:color w:val="auto"/>
                <w:w w:val="81"/>
              </w:rPr>
              <w:t>(3)</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ind w:left="100"/>
              <w:spacing w:after="0"/>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w w:val="98"/>
              </w:rPr>
              <w:t>$2,486,913</w:t>
            </w:r>
          </w:p>
        </w:tc>
        <w:tc>
          <w:tcPr>
            <w:tcW w:w="0" w:type="dxa"/>
            <w:vAlign w:val="bottom"/>
          </w:tcPr>
          <w:p>
            <w:pPr>
              <w:spacing w:after="0"/>
              <w:rPr>
                <w:sz w:val="1"/>
                <w:szCs w:val="1"/>
                <w:color w:val="auto"/>
              </w:rPr>
            </w:pPr>
          </w:p>
        </w:tc>
      </w:tr>
      <w:tr>
        <w:trPr>
          <w:trHeight w:val="41"/>
        </w:trPr>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Borders>
              <w:bottom w:val="single" w:sz="8" w:color="4B5088"/>
            </w:tcBorders>
            <w:gridSpan w:val="2"/>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Borders>
              <w:bottom w:val="single" w:sz="8" w:color="4B5088"/>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4B5088"/>
            </w:tcBorders>
          </w:tcPr>
          <w:p>
            <w:pPr>
              <w:spacing w:after="0"/>
              <w:rPr>
                <w:sz w:val="3"/>
                <w:szCs w:val="3"/>
                <w:color w:val="auto"/>
              </w:rPr>
            </w:pPr>
          </w:p>
        </w:tc>
        <w:tc>
          <w:tcPr>
            <w:tcW w:w="360" w:type="dxa"/>
            <w:vAlign w:val="bottom"/>
            <w:tcBorders>
              <w:bottom w:val="single" w:sz="8" w:color="4B5088"/>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4B5088"/>
            </w:tcBorders>
          </w:tcPr>
          <w:p>
            <w:pPr>
              <w:spacing w:after="0"/>
              <w:rPr>
                <w:sz w:val="3"/>
                <w:szCs w:val="3"/>
                <w:color w:val="auto"/>
              </w:rPr>
            </w:pPr>
          </w:p>
        </w:tc>
        <w:tc>
          <w:tcPr>
            <w:tcW w:w="200" w:type="dxa"/>
            <w:vAlign w:val="bottom"/>
            <w:tcBorders>
              <w:bottom w:val="single" w:sz="8" w:color="4B5088"/>
            </w:tcBorders>
          </w:tcPr>
          <w:p>
            <w:pPr>
              <w:spacing w:after="0"/>
              <w:rPr>
                <w:sz w:val="3"/>
                <w:szCs w:val="3"/>
                <w:color w:val="auto"/>
              </w:rPr>
            </w:pPr>
          </w:p>
        </w:tc>
        <w:tc>
          <w:tcPr>
            <w:tcW w:w="440" w:type="dxa"/>
            <w:vAlign w:val="bottom"/>
            <w:tcBorders>
              <w:bottom w:val="single" w:sz="8" w:color="4B5088"/>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4B5088"/>
            </w:tcBorders>
          </w:tcPr>
          <w:p>
            <w:pPr>
              <w:spacing w:after="0"/>
              <w:rPr>
                <w:sz w:val="3"/>
                <w:szCs w:val="3"/>
                <w:color w:val="auto"/>
              </w:rPr>
            </w:pPr>
          </w:p>
        </w:tc>
        <w:tc>
          <w:tcPr>
            <w:tcW w:w="100" w:type="dxa"/>
            <w:vAlign w:val="bottom"/>
            <w:tcBorders>
              <w:bottom w:val="single" w:sz="8" w:color="4B5088"/>
            </w:tcBorders>
          </w:tcPr>
          <w:p>
            <w:pPr>
              <w:spacing w:after="0"/>
              <w:rPr>
                <w:sz w:val="3"/>
                <w:szCs w:val="3"/>
                <w:color w:val="auto"/>
              </w:rPr>
            </w:pPr>
          </w:p>
        </w:tc>
        <w:tc>
          <w:tcPr>
            <w:tcW w:w="540" w:type="dxa"/>
            <w:vAlign w:val="bottom"/>
            <w:tcBorders>
              <w:bottom w:val="single" w:sz="8" w:color="4B5088"/>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4B5088"/>
            </w:tcBorders>
          </w:tcPr>
          <w:p>
            <w:pPr>
              <w:spacing w:after="0"/>
              <w:rPr>
                <w:sz w:val="3"/>
                <w:szCs w:val="3"/>
                <w:color w:val="auto"/>
              </w:rPr>
            </w:pPr>
          </w:p>
        </w:tc>
        <w:tc>
          <w:tcPr>
            <w:tcW w:w="400" w:type="dxa"/>
            <w:vAlign w:val="bottom"/>
            <w:tcBorders>
              <w:bottom w:val="single" w:sz="8" w:color="4B5088"/>
            </w:tcBorders>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Borders>
              <w:bottom w:val="single" w:sz="8" w:color="4B5088"/>
            </w:tcBorders>
            <w:gridSpan w:val="2"/>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Borders>
              <w:bottom w:val="single" w:sz="8" w:color="4B5088"/>
            </w:tcBorders>
          </w:tcPr>
          <w:p>
            <w:pPr>
              <w:spacing w:after="0"/>
              <w:rPr>
                <w:sz w:val="3"/>
                <w:szCs w:val="3"/>
                <w:color w:val="auto"/>
              </w:rPr>
            </w:pPr>
          </w:p>
        </w:tc>
        <w:tc>
          <w:tcPr>
            <w:tcW w:w="440" w:type="dxa"/>
            <w:vAlign w:val="bottom"/>
            <w:tcBorders>
              <w:bottom w:val="single" w:sz="8" w:color="4B5088"/>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4B5088"/>
            </w:tcBorders>
          </w:tcPr>
          <w:p>
            <w:pPr>
              <w:spacing w:after="0"/>
              <w:rPr>
                <w:sz w:val="3"/>
                <w:szCs w:val="3"/>
                <w:color w:val="auto"/>
              </w:rPr>
            </w:pPr>
          </w:p>
        </w:tc>
        <w:tc>
          <w:tcPr>
            <w:tcW w:w="380" w:type="dxa"/>
            <w:vAlign w:val="bottom"/>
            <w:tcBorders>
              <w:bottom w:val="single" w:sz="8" w:color="4B5088"/>
            </w:tcBorders>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bottom w:val="single" w:sz="8" w:color="4B5088"/>
            </w:tcBorders>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Borders>
              <w:bottom w:val="single" w:sz="8" w:color="4B5088"/>
            </w:tcBorders>
            <w:gridSpan w:val="2"/>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bottom w:val="single" w:sz="8" w:color="4B5088"/>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3"/>
          </w:tcPr>
          <w:p>
            <w:pPr>
              <w:ind w:left="40"/>
              <w:spacing w:after="0"/>
              <w:rPr>
                <w:sz w:val="20"/>
                <w:szCs w:val="20"/>
                <w:color w:val="auto"/>
              </w:rPr>
            </w:pPr>
            <w:r>
              <w:rPr>
                <w:rFonts w:ascii="Arial" w:cs="Arial" w:eastAsia="Arial" w:hAnsi="Arial"/>
                <w:sz w:val="13"/>
                <w:szCs w:val="13"/>
                <w:color w:val="auto"/>
              </w:rPr>
              <w:t>​12/27/2024</w:t>
            </w:r>
          </w:p>
        </w:tc>
        <w:tc>
          <w:tcPr>
            <w:tcW w:w="760" w:type="dxa"/>
            <w:vAlign w:val="bottom"/>
            <w:gridSpan w:val="3"/>
          </w:tcPr>
          <w:p>
            <w:pPr>
              <w:ind w:left="40"/>
              <w:spacing w:after="0"/>
              <w:rPr>
                <w:sz w:val="20"/>
                <w:szCs w:val="20"/>
                <w:color w:val="auto"/>
              </w:rPr>
            </w:pPr>
            <w:r>
              <w:rPr>
                <w:rFonts w:ascii="Arial" w:cs="Arial" w:eastAsia="Arial" w:hAnsi="Arial"/>
                <w:sz w:val="13"/>
                <w:szCs w:val="13"/>
                <w:color w:val="auto"/>
              </w:rPr>
              <w:t>​12/24/2024</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46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200" w:type="dxa"/>
            <w:vAlign w:val="bottom"/>
          </w:tcPr>
          <w:p>
            <w:pPr>
              <w:ind w:left="80"/>
              <w:spacing w:after="0"/>
              <w:rPr>
                <w:sz w:val="20"/>
                <w:szCs w:val="20"/>
                <w:color w:val="auto"/>
              </w:rPr>
            </w:pPr>
            <w:r>
              <w:rPr>
                <w:rFonts w:ascii="Arial" w:cs="Arial" w:eastAsia="Arial" w:hAnsi="Arial"/>
                <w:sz w:val="13"/>
                <w:szCs w:val="13"/>
                <w:color w:val="auto"/>
              </w:rPr>
              <w:t>​</w:t>
            </w:r>
          </w:p>
        </w:tc>
        <w:tc>
          <w:tcPr>
            <w:tcW w:w="56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ind w:left="80"/>
              <w:spacing w:after="0"/>
              <w:rPr>
                <w:sz w:val="20"/>
                <w:szCs w:val="20"/>
                <w:color w:val="auto"/>
              </w:rPr>
            </w:pPr>
            <w:r>
              <w:rPr>
                <w:rFonts w:ascii="Arial" w:cs="Arial" w:eastAsia="Arial" w:hAnsi="Arial"/>
                <w:sz w:val="1"/>
                <w:szCs w:val="1"/>
                <w:color w:val="auto"/>
                <w:w w:val="4294942296"/>
              </w:rPr>
              <w:t>​</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60" w:type="dxa"/>
            <w:vAlign w:val="bottom"/>
          </w:tcPr>
          <w:p>
            <w:pPr>
              <w:ind w:left="12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60" w:type="dxa"/>
            <w:vAlign w:val="bottom"/>
            <w:gridSpan w:val="2"/>
          </w:tcPr>
          <w:p>
            <w:pPr>
              <w:spacing w:after="0"/>
              <w:rPr>
                <w:sz w:val="20"/>
                <w:szCs w:val="20"/>
                <w:color w:val="auto"/>
              </w:rPr>
            </w:pPr>
            <w:r>
              <w:rPr>
                <w:rFonts w:ascii="Arial" w:cs="Arial" w:eastAsia="Arial" w:hAnsi="Arial"/>
                <w:sz w:val="13"/>
                <w:szCs w:val="13"/>
                <w:color w:val="auto"/>
                <w:w w:val="93"/>
              </w:rPr>
              <w:t>​217,917</w:t>
            </w:r>
          </w:p>
        </w:tc>
        <w:tc>
          <w:tcPr>
            <w:tcW w:w="140" w:type="dxa"/>
            <w:vAlign w:val="bottom"/>
          </w:tcPr>
          <w:p>
            <w:pPr>
              <w:jc w:val="right"/>
              <w:spacing w:after="0"/>
              <w:rPr>
                <w:sz w:val="20"/>
                <w:szCs w:val="20"/>
                <w:color w:val="auto"/>
              </w:rPr>
            </w:pPr>
            <w:r>
              <w:rPr>
                <w:rFonts w:ascii="Arial" w:cs="Arial" w:eastAsia="Arial" w:hAnsi="Arial"/>
                <w:sz w:val="8"/>
                <w:szCs w:val="8"/>
                <w:color w:val="auto"/>
                <w:w w:val="81"/>
              </w:rPr>
              <w:t>(4)</w:t>
            </w: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gridSpan w:val="3"/>
          </w:tcPr>
          <w:p>
            <w:pPr>
              <w:jc w:val="right"/>
              <w:ind w:right="80"/>
              <w:spacing w:after="0"/>
              <w:rPr>
                <w:sz w:val="20"/>
                <w:szCs w:val="20"/>
                <w:color w:val="auto"/>
              </w:rPr>
            </w:pPr>
            <w:r>
              <w:rPr>
                <w:rFonts w:ascii="Arial" w:cs="Arial" w:eastAsia="Arial" w:hAnsi="Arial"/>
                <w:sz w:val="13"/>
                <w:szCs w:val="13"/>
                <w:color w:val="auto"/>
              </w:rPr>
              <w:t>$ 68.07</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w w:val="98"/>
              </w:rPr>
              <w:t>$4,499,986</w:t>
            </w:r>
          </w:p>
        </w:tc>
        <w:tc>
          <w:tcPr>
            <w:tcW w:w="0" w:type="dxa"/>
            <w:vAlign w:val="bottom"/>
          </w:tcPr>
          <w:p>
            <w:pPr>
              <w:spacing w:after="0"/>
              <w:rPr>
                <w:sz w:val="1"/>
                <w:szCs w:val="1"/>
                <w:color w:val="auto"/>
              </w:rPr>
            </w:pPr>
          </w:p>
        </w:tc>
      </w:tr>
      <w:tr>
        <w:trPr>
          <w:trHeight w:val="41"/>
        </w:trPr>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4B5088"/>
            </w:tcBorders>
          </w:tcPr>
          <w:p>
            <w:pPr>
              <w:spacing w:after="0"/>
              <w:rPr>
                <w:sz w:val="3"/>
                <w:szCs w:val="3"/>
                <w:color w:val="auto"/>
              </w:rPr>
            </w:pPr>
          </w:p>
        </w:tc>
        <w:tc>
          <w:tcPr>
            <w:tcW w:w="580" w:type="dxa"/>
            <w:vAlign w:val="bottom"/>
            <w:tcBorders>
              <w:bottom w:val="single" w:sz="8" w:color="4B5088"/>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Borders>
              <w:bottom w:val="single" w:sz="8" w:color="4B5088"/>
            </w:tcBorders>
          </w:tcPr>
          <w:p>
            <w:pPr>
              <w:spacing w:after="0"/>
              <w:rPr>
                <w:sz w:val="3"/>
                <w:szCs w:val="3"/>
                <w:color w:val="auto"/>
              </w:rPr>
            </w:pPr>
          </w:p>
        </w:tc>
        <w:tc>
          <w:tcPr>
            <w:tcW w:w="540" w:type="dxa"/>
            <w:vAlign w:val="bottom"/>
            <w:tcBorders>
              <w:bottom w:val="single" w:sz="8" w:color="4B5088"/>
            </w:tcBorders>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Borders>
              <w:bottom w:val="single" w:sz="8" w:color="4B5088"/>
            </w:tcBorders>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4B5088"/>
            </w:tcBorders>
          </w:tcPr>
          <w:p>
            <w:pPr>
              <w:spacing w:after="0"/>
              <w:rPr>
                <w:sz w:val="3"/>
                <w:szCs w:val="3"/>
                <w:color w:val="auto"/>
              </w:rPr>
            </w:pPr>
          </w:p>
        </w:tc>
        <w:tc>
          <w:tcPr>
            <w:tcW w:w="640" w:type="dxa"/>
            <w:vAlign w:val="bottom"/>
            <w:tcBorders>
              <w:bottom w:val="single" w:sz="8" w:color="4B5088"/>
            </w:tcBorders>
            <w:gridSpan w:val="2"/>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4B5088"/>
            </w:tcBorders>
          </w:tcPr>
          <w:p>
            <w:pPr>
              <w:spacing w:after="0"/>
              <w:rPr>
                <w:sz w:val="3"/>
                <w:szCs w:val="3"/>
                <w:color w:val="auto"/>
              </w:rPr>
            </w:pPr>
          </w:p>
        </w:tc>
        <w:tc>
          <w:tcPr>
            <w:tcW w:w="640" w:type="dxa"/>
            <w:vAlign w:val="bottom"/>
            <w:tcBorders>
              <w:bottom w:val="single" w:sz="8" w:color="4B5088"/>
            </w:tcBorders>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4B5088"/>
            </w:tcBorders>
          </w:tcPr>
          <w:p>
            <w:pPr>
              <w:spacing w:after="0"/>
              <w:rPr>
                <w:sz w:val="3"/>
                <w:szCs w:val="3"/>
                <w:color w:val="auto"/>
              </w:rPr>
            </w:pPr>
          </w:p>
        </w:tc>
        <w:tc>
          <w:tcPr>
            <w:tcW w:w="400" w:type="dxa"/>
            <w:vAlign w:val="bottom"/>
            <w:tcBorders>
              <w:bottom w:val="single" w:sz="8" w:color="4B5088"/>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Borders>
              <w:bottom w:val="single" w:sz="8" w:color="4B5088"/>
            </w:tcBorders>
          </w:tcPr>
          <w:p>
            <w:pPr>
              <w:spacing w:after="0"/>
              <w:rPr>
                <w:sz w:val="3"/>
                <w:szCs w:val="3"/>
                <w:color w:val="auto"/>
              </w:rPr>
            </w:pPr>
          </w:p>
        </w:tc>
        <w:tc>
          <w:tcPr>
            <w:tcW w:w="380" w:type="dxa"/>
            <w:vAlign w:val="bottom"/>
            <w:tcBorders>
              <w:bottom w:val="single" w:sz="8" w:color="4B5088"/>
            </w:tcBorders>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Borders>
              <w:bottom w:val="single" w:sz="8" w:color="4B5088"/>
            </w:tcBorders>
          </w:tcPr>
          <w:p>
            <w:pPr>
              <w:spacing w:after="0"/>
              <w:rPr>
                <w:sz w:val="3"/>
                <w:szCs w:val="3"/>
                <w:color w:val="auto"/>
              </w:rPr>
            </w:pPr>
          </w:p>
        </w:tc>
        <w:tc>
          <w:tcPr>
            <w:tcW w:w="440" w:type="dxa"/>
            <w:vAlign w:val="bottom"/>
            <w:tcBorders>
              <w:bottom w:val="single" w:sz="8" w:color="4B5088"/>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4B5088"/>
            </w:tcBorders>
          </w:tcPr>
          <w:p>
            <w:pPr>
              <w:spacing w:after="0"/>
              <w:rPr>
                <w:sz w:val="3"/>
                <w:szCs w:val="3"/>
                <w:color w:val="auto"/>
              </w:rPr>
            </w:pPr>
          </w:p>
        </w:tc>
        <w:tc>
          <w:tcPr>
            <w:tcW w:w="380" w:type="dxa"/>
            <w:vAlign w:val="bottom"/>
            <w:tcBorders>
              <w:bottom w:val="single" w:sz="8" w:color="4B5088"/>
            </w:tcBorders>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bottom w:val="single" w:sz="8" w:color="4B5088"/>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4B5088"/>
            </w:tcBorders>
          </w:tcPr>
          <w:p>
            <w:pPr>
              <w:spacing w:after="0"/>
              <w:rPr>
                <w:sz w:val="3"/>
                <w:szCs w:val="3"/>
                <w:color w:val="auto"/>
              </w:rPr>
            </w:pPr>
          </w:p>
        </w:tc>
        <w:tc>
          <w:tcPr>
            <w:tcW w:w="320" w:type="dxa"/>
            <w:vAlign w:val="bottom"/>
            <w:tcBorders>
              <w:bottom w:val="single" w:sz="8" w:color="4B5088"/>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4B5088"/>
            </w:tcBorders>
          </w:tcPr>
          <w:p>
            <w:pPr>
              <w:spacing w:after="0"/>
              <w:rPr>
                <w:sz w:val="3"/>
                <w:szCs w:val="3"/>
                <w:color w:val="auto"/>
              </w:rPr>
            </w:pPr>
          </w:p>
        </w:tc>
        <w:tc>
          <w:tcPr>
            <w:tcW w:w="480" w:type="dxa"/>
            <w:vAlign w:val="bottom"/>
            <w:tcBorders>
              <w:bottom w:val="single" w:sz="8" w:color="4B5088"/>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ind w:left="4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80"/>
              <w:spacing w:after="0"/>
              <w:rPr>
                <w:sz w:val="20"/>
                <w:szCs w:val="20"/>
                <w:color w:val="auto"/>
              </w:rPr>
            </w:pPr>
            <w:r>
              <w:rPr>
                <w:rFonts w:ascii="Arial" w:cs="Arial" w:eastAsia="Arial" w:hAnsi="Arial"/>
                <w:sz w:val="13"/>
                <w:szCs w:val="13"/>
                <w:color w:val="auto"/>
              </w:rPr>
              <w:t>N/A</w:t>
            </w: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340"/>
              <w:spacing w:after="0"/>
              <w:rPr>
                <w:sz w:val="20"/>
                <w:szCs w:val="20"/>
                <w:color w:val="auto"/>
              </w:rPr>
            </w:pPr>
            <w:r>
              <w:rPr>
                <w:rFonts w:ascii="Arial" w:cs="Arial" w:eastAsia="Arial" w:hAnsi="Arial"/>
                <w:sz w:val="13"/>
                <w:szCs w:val="13"/>
                <w:color w:val="auto"/>
              </w:rPr>
              <w:t>N/A</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w w:val="99"/>
              </w:rPr>
              <w:t>$625,000</w:t>
            </w:r>
          </w:p>
        </w:tc>
        <w:tc>
          <w:tcPr>
            <w:tcW w:w="80" w:type="dxa"/>
            <w:vAlign w:val="bottom"/>
          </w:tcPr>
          <w:p>
            <w:pPr>
              <w:jc w:val="right"/>
              <w:spacing w:after="0"/>
              <w:rPr>
                <w:sz w:val="20"/>
                <w:szCs w:val="20"/>
                <w:color w:val="auto"/>
              </w:rPr>
            </w:pPr>
            <w:r>
              <w:rPr>
                <w:rFonts w:ascii="Arial" w:cs="Arial" w:eastAsia="Arial" w:hAnsi="Arial"/>
                <w:sz w:val="6"/>
                <w:szCs w:val="6"/>
                <w:color w:val="auto"/>
                <w:w w:val="81"/>
              </w:rPr>
              <w:t>(5)</w:t>
            </w:r>
          </w:p>
        </w:tc>
        <w:tc>
          <w:tcPr>
            <w:tcW w:w="2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w w:val="95"/>
              </w:rPr>
              <w:t>$2,500,000</w:t>
            </w:r>
          </w:p>
        </w:tc>
        <w:tc>
          <w:tcPr>
            <w:tcW w:w="100" w:type="dxa"/>
            <w:vAlign w:val="bottom"/>
          </w:tcPr>
          <w:p>
            <w:pPr>
              <w:jc w:val="right"/>
              <w:spacing w:after="0"/>
              <w:rPr>
                <w:sz w:val="20"/>
                <w:szCs w:val="20"/>
                <w:color w:val="auto"/>
              </w:rPr>
            </w:pPr>
            <w:r>
              <w:rPr>
                <w:rFonts w:ascii="Arial" w:cs="Arial" w:eastAsia="Arial" w:hAnsi="Arial"/>
                <w:sz w:val="8"/>
                <w:szCs w:val="8"/>
                <w:color w:val="auto"/>
                <w:w w:val="81"/>
              </w:rPr>
              <w:t>(5)</w:t>
            </w:r>
          </w:p>
        </w:tc>
        <w:tc>
          <w:tcPr>
            <w:tcW w:w="2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w w:val="95"/>
              </w:rPr>
              <w:t>$3,750,000</w:t>
            </w:r>
          </w:p>
        </w:tc>
        <w:tc>
          <w:tcPr>
            <w:tcW w:w="100" w:type="dxa"/>
            <w:vAlign w:val="bottom"/>
          </w:tcPr>
          <w:p>
            <w:pPr>
              <w:jc w:val="right"/>
              <w:spacing w:after="0"/>
              <w:rPr>
                <w:sz w:val="20"/>
                <w:szCs w:val="20"/>
                <w:color w:val="auto"/>
              </w:rPr>
            </w:pPr>
            <w:r>
              <w:rPr>
                <w:rFonts w:ascii="Arial" w:cs="Arial" w:eastAsia="Arial" w:hAnsi="Arial"/>
                <w:sz w:val="8"/>
                <w:szCs w:val="8"/>
                <w:color w:val="auto"/>
                <w:w w:val="81"/>
              </w:rPr>
              <w:t>(5)</w:t>
            </w:r>
          </w:p>
        </w:tc>
        <w:tc>
          <w:tcPr>
            <w:tcW w:w="160" w:type="dxa"/>
            <w:vAlign w:val="bottom"/>
          </w:tcPr>
          <w:p>
            <w:pPr>
              <w:ind w:left="12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center"/>
              <w:ind w:left="59"/>
              <w:spacing w:after="0"/>
              <w:rPr>
                <w:sz w:val="20"/>
                <w:szCs w:val="20"/>
                <w:color w:val="auto"/>
              </w:rPr>
            </w:pPr>
            <w:r>
              <w:rPr>
                <w:rFonts w:ascii="Arial" w:cs="Arial" w:eastAsia="Arial" w:hAnsi="Arial"/>
                <w:sz w:val="13"/>
                <w:szCs w:val="13"/>
                <w:color w:val="auto"/>
                <w:w w:val="91"/>
              </w:rPr>
              <w:t>—</w:t>
            </w: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ind w:left="100"/>
              <w:spacing w:after="0"/>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1"/>
        </w:trPr>
        <w:tc>
          <w:tcPr>
            <w:tcW w:w="720" w:type="dxa"/>
            <w:vAlign w:val="bottom"/>
            <w:tcBorders>
              <w:bottom w:val="single" w:sz="8" w:color="4B5088"/>
            </w:tcBorders>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Borders>
              <w:bottom w:val="single" w:sz="8" w:color="4B5088"/>
            </w:tcBorders>
            <w:gridSpan w:val="2"/>
          </w:tcPr>
          <w:p>
            <w:pPr>
              <w:spacing w:after="0"/>
              <w:rPr>
                <w:sz w:val="3"/>
                <w:szCs w:val="3"/>
                <w:color w:val="auto"/>
              </w:rPr>
            </w:pPr>
          </w:p>
        </w:tc>
        <w:tc>
          <w:tcPr>
            <w:tcW w:w="60" w:type="dxa"/>
            <w:vAlign w:val="bottom"/>
            <w:tcBorders>
              <w:bottom w:val="single" w:sz="8" w:color="E9F9D8"/>
            </w:tcBorders>
          </w:tcPr>
          <w:p>
            <w:pPr>
              <w:spacing w:after="0"/>
              <w:rPr>
                <w:sz w:val="3"/>
                <w:szCs w:val="3"/>
                <w:color w:val="auto"/>
              </w:rPr>
            </w:pPr>
          </w:p>
        </w:tc>
        <w:tc>
          <w:tcPr>
            <w:tcW w:w="680" w:type="dxa"/>
            <w:vAlign w:val="bottom"/>
            <w:tcBorders>
              <w:bottom w:val="single" w:sz="8" w:color="4B5088"/>
            </w:tcBorders>
            <w:gridSpan w:val="2"/>
          </w:tcPr>
          <w:p>
            <w:pPr>
              <w:spacing w:after="0"/>
              <w:rPr>
                <w:sz w:val="3"/>
                <w:szCs w:val="3"/>
                <w:color w:val="auto"/>
              </w:rPr>
            </w:pPr>
          </w:p>
        </w:tc>
        <w:tc>
          <w:tcPr>
            <w:tcW w:w="80" w:type="dxa"/>
            <w:vAlign w:val="bottom"/>
            <w:tcBorders>
              <w:bottom w:val="single" w:sz="8" w:color="E9F9D8"/>
            </w:tcBorders>
          </w:tcPr>
          <w:p>
            <w:pPr>
              <w:spacing w:after="0"/>
              <w:rPr>
                <w:sz w:val="3"/>
                <w:szCs w:val="3"/>
                <w:color w:val="auto"/>
              </w:rPr>
            </w:pPr>
          </w:p>
        </w:tc>
        <w:tc>
          <w:tcPr>
            <w:tcW w:w="200" w:type="dxa"/>
            <w:vAlign w:val="bottom"/>
            <w:tcBorders>
              <w:bottom w:val="single" w:sz="8" w:color="4B5088"/>
            </w:tcBorders>
          </w:tcPr>
          <w:p>
            <w:pPr>
              <w:spacing w:after="0"/>
              <w:rPr>
                <w:sz w:val="3"/>
                <w:szCs w:val="3"/>
                <w:color w:val="auto"/>
              </w:rPr>
            </w:pPr>
          </w:p>
        </w:tc>
        <w:tc>
          <w:tcPr>
            <w:tcW w:w="360" w:type="dxa"/>
            <w:vAlign w:val="bottom"/>
            <w:tcBorders>
              <w:bottom w:val="single" w:sz="8" w:color="4B5088"/>
            </w:tcBorders>
          </w:tcPr>
          <w:p>
            <w:pPr>
              <w:spacing w:after="0"/>
              <w:rPr>
                <w:sz w:val="3"/>
                <w:szCs w:val="3"/>
                <w:color w:val="auto"/>
              </w:rPr>
            </w:pPr>
          </w:p>
        </w:tc>
        <w:tc>
          <w:tcPr>
            <w:tcW w:w="80" w:type="dxa"/>
            <w:vAlign w:val="bottom"/>
            <w:tcBorders>
              <w:bottom w:val="single" w:sz="8" w:color="E9F9D8"/>
            </w:tcBorders>
          </w:tcPr>
          <w:p>
            <w:pPr>
              <w:spacing w:after="0"/>
              <w:rPr>
                <w:sz w:val="3"/>
                <w:szCs w:val="3"/>
                <w:color w:val="auto"/>
              </w:rPr>
            </w:pPr>
          </w:p>
        </w:tc>
        <w:tc>
          <w:tcPr>
            <w:tcW w:w="20" w:type="dxa"/>
            <w:vAlign w:val="bottom"/>
            <w:tcBorders>
              <w:bottom w:val="single" w:sz="8" w:color="4B5088"/>
            </w:tcBorders>
          </w:tcPr>
          <w:p>
            <w:pPr>
              <w:spacing w:after="0"/>
              <w:rPr>
                <w:sz w:val="3"/>
                <w:szCs w:val="3"/>
                <w:color w:val="auto"/>
              </w:rPr>
            </w:pPr>
          </w:p>
        </w:tc>
        <w:tc>
          <w:tcPr>
            <w:tcW w:w="200" w:type="dxa"/>
            <w:vAlign w:val="bottom"/>
            <w:tcBorders>
              <w:bottom w:val="single" w:sz="8" w:color="4B5088"/>
            </w:tcBorders>
          </w:tcPr>
          <w:p>
            <w:pPr>
              <w:spacing w:after="0"/>
              <w:rPr>
                <w:sz w:val="3"/>
                <w:szCs w:val="3"/>
                <w:color w:val="auto"/>
              </w:rPr>
            </w:pPr>
          </w:p>
        </w:tc>
        <w:tc>
          <w:tcPr>
            <w:tcW w:w="440" w:type="dxa"/>
            <w:vAlign w:val="bottom"/>
            <w:tcBorders>
              <w:bottom w:val="single" w:sz="8" w:color="4B5088"/>
            </w:tcBorders>
          </w:tcPr>
          <w:p>
            <w:pPr>
              <w:spacing w:after="0"/>
              <w:rPr>
                <w:sz w:val="3"/>
                <w:szCs w:val="3"/>
                <w:color w:val="auto"/>
              </w:rPr>
            </w:pPr>
          </w:p>
        </w:tc>
        <w:tc>
          <w:tcPr>
            <w:tcW w:w="100" w:type="dxa"/>
            <w:vAlign w:val="bottom"/>
            <w:tcBorders>
              <w:bottom w:val="single" w:sz="8" w:color="E9F9D8"/>
            </w:tcBorders>
          </w:tcPr>
          <w:p>
            <w:pPr>
              <w:spacing w:after="0"/>
              <w:rPr>
                <w:sz w:val="3"/>
                <w:szCs w:val="3"/>
                <w:color w:val="auto"/>
              </w:rPr>
            </w:pPr>
          </w:p>
        </w:tc>
        <w:tc>
          <w:tcPr>
            <w:tcW w:w="20" w:type="dxa"/>
            <w:vAlign w:val="bottom"/>
            <w:tcBorders>
              <w:bottom w:val="single" w:sz="8" w:color="4B5088"/>
            </w:tcBorders>
          </w:tcPr>
          <w:p>
            <w:pPr>
              <w:spacing w:after="0"/>
              <w:rPr>
                <w:sz w:val="3"/>
                <w:szCs w:val="3"/>
                <w:color w:val="auto"/>
              </w:rPr>
            </w:pPr>
          </w:p>
        </w:tc>
        <w:tc>
          <w:tcPr>
            <w:tcW w:w="100" w:type="dxa"/>
            <w:vAlign w:val="bottom"/>
            <w:tcBorders>
              <w:bottom w:val="single" w:sz="8" w:color="4B5088"/>
            </w:tcBorders>
          </w:tcPr>
          <w:p>
            <w:pPr>
              <w:spacing w:after="0"/>
              <w:rPr>
                <w:sz w:val="3"/>
                <w:szCs w:val="3"/>
                <w:color w:val="auto"/>
              </w:rPr>
            </w:pPr>
          </w:p>
        </w:tc>
        <w:tc>
          <w:tcPr>
            <w:tcW w:w="540" w:type="dxa"/>
            <w:vAlign w:val="bottom"/>
            <w:tcBorders>
              <w:bottom w:val="single" w:sz="8" w:color="4B5088"/>
            </w:tcBorders>
          </w:tcPr>
          <w:p>
            <w:pPr>
              <w:spacing w:after="0"/>
              <w:rPr>
                <w:sz w:val="3"/>
                <w:szCs w:val="3"/>
                <w:color w:val="auto"/>
              </w:rPr>
            </w:pPr>
          </w:p>
        </w:tc>
        <w:tc>
          <w:tcPr>
            <w:tcW w:w="100" w:type="dxa"/>
            <w:vAlign w:val="bottom"/>
            <w:tcBorders>
              <w:bottom w:val="single" w:sz="8" w:color="E9F9D8"/>
            </w:tcBorders>
          </w:tcPr>
          <w:p>
            <w:pPr>
              <w:spacing w:after="0"/>
              <w:rPr>
                <w:sz w:val="3"/>
                <w:szCs w:val="3"/>
                <w:color w:val="auto"/>
              </w:rPr>
            </w:pPr>
          </w:p>
        </w:tc>
        <w:tc>
          <w:tcPr>
            <w:tcW w:w="160" w:type="dxa"/>
            <w:vAlign w:val="bottom"/>
            <w:tcBorders>
              <w:bottom w:val="single" w:sz="8" w:color="4B5088"/>
            </w:tcBorders>
          </w:tcPr>
          <w:p>
            <w:pPr>
              <w:spacing w:after="0"/>
              <w:rPr>
                <w:sz w:val="3"/>
                <w:szCs w:val="3"/>
                <w:color w:val="auto"/>
              </w:rPr>
            </w:pPr>
          </w:p>
        </w:tc>
        <w:tc>
          <w:tcPr>
            <w:tcW w:w="400" w:type="dxa"/>
            <w:vAlign w:val="bottom"/>
            <w:tcBorders>
              <w:bottom w:val="single" w:sz="8" w:color="4B5088"/>
            </w:tcBorders>
          </w:tcPr>
          <w:p>
            <w:pPr>
              <w:spacing w:after="0"/>
              <w:rPr>
                <w:sz w:val="3"/>
                <w:szCs w:val="3"/>
                <w:color w:val="auto"/>
              </w:rPr>
            </w:pPr>
          </w:p>
        </w:tc>
        <w:tc>
          <w:tcPr>
            <w:tcW w:w="140" w:type="dxa"/>
            <w:vAlign w:val="bottom"/>
            <w:tcBorders>
              <w:bottom w:val="single" w:sz="8" w:color="E9F9D8"/>
            </w:tcBorders>
          </w:tcPr>
          <w:p>
            <w:pPr>
              <w:spacing w:after="0"/>
              <w:rPr>
                <w:sz w:val="3"/>
                <w:szCs w:val="3"/>
                <w:color w:val="auto"/>
              </w:rPr>
            </w:pPr>
          </w:p>
        </w:tc>
        <w:tc>
          <w:tcPr>
            <w:tcW w:w="80" w:type="dxa"/>
            <w:vAlign w:val="bottom"/>
            <w:tcBorders>
              <w:bottom w:val="single" w:sz="8" w:color="4B5088"/>
            </w:tcBorders>
          </w:tcPr>
          <w:p>
            <w:pPr>
              <w:spacing w:after="0"/>
              <w:rPr>
                <w:sz w:val="3"/>
                <w:szCs w:val="3"/>
                <w:color w:val="auto"/>
              </w:rPr>
            </w:pPr>
          </w:p>
        </w:tc>
        <w:tc>
          <w:tcPr>
            <w:tcW w:w="380" w:type="dxa"/>
            <w:vAlign w:val="bottom"/>
            <w:tcBorders>
              <w:bottom w:val="single" w:sz="8" w:color="4B5088"/>
            </w:tcBorders>
          </w:tcPr>
          <w:p>
            <w:pPr>
              <w:spacing w:after="0"/>
              <w:rPr>
                <w:sz w:val="3"/>
                <w:szCs w:val="3"/>
                <w:color w:val="auto"/>
              </w:rPr>
            </w:pPr>
          </w:p>
        </w:tc>
        <w:tc>
          <w:tcPr>
            <w:tcW w:w="140" w:type="dxa"/>
            <w:vAlign w:val="bottom"/>
            <w:tcBorders>
              <w:bottom w:val="single" w:sz="8" w:color="E9F9D8"/>
            </w:tcBorders>
          </w:tcPr>
          <w:p>
            <w:pPr>
              <w:spacing w:after="0"/>
              <w:rPr>
                <w:sz w:val="3"/>
                <w:szCs w:val="3"/>
                <w:color w:val="auto"/>
              </w:rPr>
            </w:pPr>
          </w:p>
        </w:tc>
        <w:tc>
          <w:tcPr>
            <w:tcW w:w="100" w:type="dxa"/>
            <w:vAlign w:val="bottom"/>
            <w:tcBorders>
              <w:bottom w:val="single" w:sz="8" w:color="4B5088"/>
            </w:tcBorders>
          </w:tcPr>
          <w:p>
            <w:pPr>
              <w:spacing w:after="0"/>
              <w:rPr>
                <w:sz w:val="3"/>
                <w:szCs w:val="3"/>
                <w:color w:val="auto"/>
              </w:rPr>
            </w:pPr>
          </w:p>
        </w:tc>
        <w:tc>
          <w:tcPr>
            <w:tcW w:w="440" w:type="dxa"/>
            <w:vAlign w:val="bottom"/>
            <w:tcBorders>
              <w:bottom w:val="single" w:sz="8" w:color="4B5088"/>
            </w:tcBorders>
          </w:tcPr>
          <w:p>
            <w:pPr>
              <w:spacing w:after="0"/>
              <w:rPr>
                <w:sz w:val="3"/>
                <w:szCs w:val="3"/>
                <w:color w:val="auto"/>
              </w:rPr>
            </w:pPr>
          </w:p>
        </w:tc>
        <w:tc>
          <w:tcPr>
            <w:tcW w:w="100" w:type="dxa"/>
            <w:vAlign w:val="bottom"/>
            <w:tcBorders>
              <w:bottom w:val="single" w:sz="8" w:color="E9F9D8"/>
            </w:tcBorders>
          </w:tcPr>
          <w:p>
            <w:pPr>
              <w:spacing w:after="0"/>
              <w:rPr>
                <w:sz w:val="3"/>
                <w:szCs w:val="3"/>
                <w:color w:val="auto"/>
              </w:rPr>
            </w:pPr>
          </w:p>
        </w:tc>
        <w:tc>
          <w:tcPr>
            <w:tcW w:w="540" w:type="dxa"/>
            <w:vAlign w:val="bottom"/>
            <w:tcBorders>
              <w:bottom w:val="single" w:sz="8" w:color="4B5088"/>
            </w:tcBorders>
            <w:gridSpan w:val="2"/>
          </w:tcPr>
          <w:p>
            <w:pPr>
              <w:spacing w:after="0"/>
              <w:rPr>
                <w:sz w:val="3"/>
                <w:szCs w:val="3"/>
                <w:color w:val="auto"/>
              </w:rPr>
            </w:pPr>
          </w:p>
        </w:tc>
        <w:tc>
          <w:tcPr>
            <w:tcW w:w="100" w:type="dxa"/>
            <w:vAlign w:val="bottom"/>
            <w:tcBorders>
              <w:bottom w:val="single" w:sz="8" w:color="E9F9D8"/>
            </w:tcBorders>
          </w:tcPr>
          <w:p>
            <w:pPr>
              <w:spacing w:after="0"/>
              <w:rPr>
                <w:sz w:val="3"/>
                <w:szCs w:val="3"/>
                <w:color w:val="auto"/>
              </w:rPr>
            </w:pPr>
          </w:p>
        </w:tc>
        <w:tc>
          <w:tcPr>
            <w:tcW w:w="680" w:type="dxa"/>
            <w:vAlign w:val="bottom"/>
            <w:tcBorders>
              <w:bottom w:val="single" w:sz="8" w:color="4B5088"/>
            </w:tcBorders>
          </w:tcPr>
          <w:p>
            <w:pPr>
              <w:spacing w:after="0"/>
              <w:rPr>
                <w:sz w:val="3"/>
                <w:szCs w:val="3"/>
                <w:color w:val="auto"/>
              </w:rPr>
            </w:pPr>
          </w:p>
        </w:tc>
        <w:tc>
          <w:tcPr>
            <w:tcW w:w="80" w:type="dxa"/>
            <w:vAlign w:val="bottom"/>
            <w:tcBorders>
              <w:bottom w:val="single" w:sz="8" w:color="E9F9D8"/>
            </w:tcBorders>
          </w:tcPr>
          <w:p>
            <w:pPr>
              <w:spacing w:after="0"/>
              <w:rPr>
                <w:sz w:val="3"/>
                <w:szCs w:val="3"/>
                <w:color w:val="auto"/>
              </w:rPr>
            </w:pPr>
          </w:p>
        </w:tc>
        <w:tc>
          <w:tcPr>
            <w:tcW w:w="160" w:type="dxa"/>
            <w:vAlign w:val="bottom"/>
            <w:tcBorders>
              <w:bottom w:val="single" w:sz="8" w:color="4B5088"/>
            </w:tcBorders>
          </w:tcPr>
          <w:p>
            <w:pPr>
              <w:spacing w:after="0"/>
              <w:rPr>
                <w:sz w:val="3"/>
                <w:szCs w:val="3"/>
                <w:color w:val="auto"/>
              </w:rPr>
            </w:pPr>
          </w:p>
        </w:tc>
        <w:tc>
          <w:tcPr>
            <w:tcW w:w="320" w:type="dxa"/>
            <w:vAlign w:val="bottom"/>
            <w:tcBorders>
              <w:bottom w:val="single" w:sz="8" w:color="4B5088"/>
            </w:tcBorders>
          </w:tcPr>
          <w:p>
            <w:pPr>
              <w:spacing w:after="0"/>
              <w:rPr>
                <w:sz w:val="3"/>
                <w:szCs w:val="3"/>
                <w:color w:val="auto"/>
              </w:rPr>
            </w:pPr>
          </w:p>
        </w:tc>
        <w:tc>
          <w:tcPr>
            <w:tcW w:w="80" w:type="dxa"/>
            <w:vAlign w:val="bottom"/>
            <w:tcBorders>
              <w:bottom w:val="single" w:sz="8" w:color="E9F9D8"/>
            </w:tcBorders>
          </w:tcPr>
          <w:p>
            <w:pPr>
              <w:spacing w:after="0"/>
              <w:rPr>
                <w:sz w:val="3"/>
                <w:szCs w:val="3"/>
                <w:color w:val="auto"/>
              </w:rPr>
            </w:pPr>
          </w:p>
        </w:tc>
        <w:tc>
          <w:tcPr>
            <w:tcW w:w="660" w:type="dxa"/>
            <w:vAlign w:val="bottom"/>
            <w:tcBorders>
              <w:bottom w:val="single" w:sz="8" w:color="4B5088"/>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840" w:type="dxa"/>
            <w:vAlign w:val="bottom"/>
            <w:gridSpan w:val="2"/>
          </w:tcPr>
          <w:p>
            <w:pPr>
              <w:spacing w:after="0"/>
              <w:rPr>
                <w:sz w:val="20"/>
                <w:szCs w:val="20"/>
                <w:color w:val="auto"/>
              </w:rPr>
            </w:pPr>
            <w:r>
              <w:rPr>
                <w:rFonts w:ascii="Arial" w:cs="Arial" w:eastAsia="Arial" w:hAnsi="Arial"/>
                <w:sz w:val="13"/>
                <w:szCs w:val="13"/>
                <w:b w:val="1"/>
                <w:bCs w:val="1"/>
                <w:color w:val="1F2668"/>
              </w:rPr>
              <w:t>Matthew J.</w:t>
            </w:r>
          </w:p>
        </w:tc>
        <w:tc>
          <w:tcPr>
            <w:tcW w:w="740" w:type="dxa"/>
            <w:vAlign w:val="bottom"/>
            <w:gridSpan w:val="3"/>
            <w:shd w:val="clear" w:color="auto" w:fill="E9F9D8"/>
          </w:tcPr>
          <w:p>
            <w:pPr>
              <w:ind w:left="40"/>
              <w:spacing w:after="0"/>
              <w:rPr>
                <w:sz w:val="20"/>
                <w:szCs w:val="20"/>
                <w:color w:val="auto"/>
              </w:rPr>
            </w:pPr>
            <w:r>
              <w:rPr>
                <w:rFonts w:ascii="Arial" w:cs="Arial" w:eastAsia="Arial" w:hAnsi="Arial"/>
                <w:sz w:val="13"/>
                <w:szCs w:val="13"/>
                <w:color w:val="auto"/>
              </w:rPr>
              <w:t>​01/29/2024</w:t>
            </w:r>
          </w:p>
        </w:tc>
        <w:tc>
          <w:tcPr>
            <w:tcW w:w="760" w:type="dxa"/>
            <w:vAlign w:val="bottom"/>
            <w:gridSpan w:val="3"/>
            <w:shd w:val="clear" w:color="auto" w:fill="E9F9D8"/>
          </w:tcPr>
          <w:p>
            <w:pPr>
              <w:ind w:left="40"/>
              <w:spacing w:after="0"/>
              <w:rPr>
                <w:sz w:val="20"/>
                <w:szCs w:val="20"/>
                <w:color w:val="auto"/>
              </w:rPr>
            </w:pPr>
            <w:r>
              <w:rPr>
                <w:rFonts w:ascii="Arial" w:cs="Arial" w:eastAsia="Arial" w:hAnsi="Arial"/>
                <w:sz w:val="13"/>
                <w:szCs w:val="13"/>
                <w:color w:val="auto"/>
              </w:rPr>
              <w:t>​01/29/2024</w:t>
            </w:r>
          </w:p>
        </w:tc>
        <w:tc>
          <w:tcPr>
            <w:tcW w:w="200" w:type="dxa"/>
            <w:vAlign w:val="bottom"/>
            <w:shd w:val="clear" w:color="auto" w:fill="E9F9D8"/>
          </w:tcPr>
          <w:p>
            <w:pPr>
              <w:ind w:left="100"/>
              <w:spacing w:after="0"/>
              <w:rPr>
                <w:sz w:val="20"/>
                <w:szCs w:val="20"/>
                <w:color w:val="auto"/>
              </w:rPr>
            </w:pPr>
            <w:r>
              <w:rPr>
                <w:rFonts w:ascii="Arial" w:cs="Arial" w:eastAsia="Arial" w:hAnsi="Arial"/>
                <w:sz w:val="13"/>
                <w:szCs w:val="13"/>
                <w:color w:val="auto"/>
              </w:rPr>
              <w:t>​</w:t>
            </w:r>
          </w:p>
        </w:tc>
        <w:tc>
          <w:tcPr>
            <w:tcW w:w="460" w:type="dxa"/>
            <w:vAlign w:val="bottom"/>
            <w:gridSpan w:val="3"/>
            <w:shd w:val="clear" w:color="auto" w:fill="E9F9D8"/>
          </w:tcPr>
          <w:p>
            <w:pPr>
              <w:jc w:val="right"/>
              <w:ind w:right="100"/>
              <w:spacing w:after="0"/>
              <w:rPr>
                <w:sz w:val="20"/>
                <w:szCs w:val="20"/>
                <w:color w:val="auto"/>
              </w:rPr>
            </w:pPr>
            <w:r>
              <w:rPr>
                <w:rFonts w:ascii="Arial" w:cs="Arial" w:eastAsia="Arial" w:hAnsi="Arial"/>
                <w:sz w:val="13"/>
                <w:szCs w:val="13"/>
                <w:color w:val="auto"/>
              </w:rPr>
              <w:t>—</w:t>
            </w:r>
          </w:p>
        </w:tc>
        <w:tc>
          <w:tcPr>
            <w:tcW w:w="200" w:type="dxa"/>
            <w:vAlign w:val="bottom"/>
            <w:shd w:val="clear" w:color="auto" w:fill="E9F9D8"/>
          </w:tcPr>
          <w:p>
            <w:pPr>
              <w:ind w:left="80"/>
              <w:spacing w:after="0"/>
              <w:rPr>
                <w:sz w:val="20"/>
                <w:szCs w:val="20"/>
                <w:color w:val="auto"/>
              </w:rPr>
            </w:pPr>
            <w:r>
              <w:rPr>
                <w:rFonts w:ascii="Arial" w:cs="Arial" w:eastAsia="Arial" w:hAnsi="Arial"/>
                <w:sz w:val="13"/>
                <w:szCs w:val="13"/>
                <w:color w:val="auto"/>
              </w:rPr>
              <w:t>​</w:t>
            </w:r>
          </w:p>
        </w:tc>
        <w:tc>
          <w:tcPr>
            <w:tcW w:w="560" w:type="dxa"/>
            <w:vAlign w:val="bottom"/>
            <w:gridSpan w:val="3"/>
            <w:shd w:val="clear" w:color="auto" w:fill="E9F9D8"/>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E9F9D8"/>
          </w:tcPr>
          <w:p>
            <w:pPr>
              <w:ind w:left="80"/>
              <w:spacing w:after="0"/>
              <w:rPr>
                <w:sz w:val="20"/>
                <w:szCs w:val="20"/>
                <w:color w:val="auto"/>
              </w:rPr>
            </w:pPr>
            <w:r>
              <w:rPr>
                <w:rFonts w:ascii="Arial" w:cs="Arial" w:eastAsia="Arial" w:hAnsi="Arial"/>
                <w:sz w:val="1"/>
                <w:szCs w:val="1"/>
                <w:color w:val="auto"/>
                <w:w w:val="4294942296"/>
              </w:rPr>
              <w:t>​</w:t>
            </w:r>
          </w:p>
        </w:tc>
        <w:tc>
          <w:tcPr>
            <w:tcW w:w="640" w:type="dxa"/>
            <w:vAlign w:val="bottom"/>
            <w:gridSpan w:val="2"/>
            <w:shd w:val="clear" w:color="auto" w:fill="E9F9D8"/>
          </w:tcPr>
          <w:p>
            <w:pPr>
              <w:jc w:val="right"/>
              <w:ind w:right="60"/>
              <w:spacing w:after="0"/>
              <w:rPr>
                <w:sz w:val="20"/>
                <w:szCs w:val="20"/>
                <w:color w:val="auto"/>
              </w:rPr>
            </w:pPr>
            <w:r>
              <w:rPr>
                <w:rFonts w:ascii="Arial" w:cs="Arial" w:eastAsia="Arial" w:hAnsi="Arial"/>
                <w:sz w:val="13"/>
                <w:szCs w:val="13"/>
                <w:color w:val="auto"/>
              </w:rPr>
              <w:t>—</w:t>
            </w:r>
          </w:p>
        </w:tc>
        <w:tc>
          <w:tcPr>
            <w:tcW w:w="160" w:type="dxa"/>
            <w:vAlign w:val="bottom"/>
            <w:shd w:val="clear" w:color="auto" w:fill="E9F9D8"/>
          </w:tcPr>
          <w:p>
            <w:pPr>
              <w:ind w:left="12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E9F9D8"/>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E9F9D8"/>
          </w:tcPr>
          <w:p>
            <w:pPr>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E9F9D8"/>
          </w:tcPr>
          <w:p>
            <w:pPr>
              <w:jc w:val="center"/>
              <w:ind w:left="59"/>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E9F9D8"/>
          </w:tcPr>
          <w:p>
            <w:pPr>
              <w:ind w:left="2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E9F9D8"/>
          </w:tcPr>
          <w:p>
            <w:pPr>
              <w:jc w:val="right"/>
              <w:ind w:right="60"/>
              <w:spacing w:after="0"/>
              <w:rPr>
                <w:sz w:val="20"/>
                <w:szCs w:val="20"/>
                <w:color w:val="auto"/>
              </w:rPr>
            </w:pPr>
            <w:r>
              <w:rPr>
                <w:rFonts w:ascii="Arial" w:cs="Arial" w:eastAsia="Arial" w:hAnsi="Arial"/>
                <w:sz w:val="13"/>
                <w:szCs w:val="13"/>
                <w:color w:val="auto"/>
              </w:rPr>
              <w:t>—</w:t>
            </w:r>
          </w:p>
        </w:tc>
        <w:tc>
          <w:tcPr>
            <w:tcW w:w="640" w:type="dxa"/>
            <w:vAlign w:val="bottom"/>
            <w:gridSpan w:val="3"/>
            <w:shd w:val="clear" w:color="auto" w:fill="E9F9D8"/>
          </w:tcPr>
          <w:p>
            <w:pPr>
              <w:ind w:left="80"/>
              <w:spacing w:after="0" w:line="151" w:lineRule="exact"/>
              <w:rPr>
                <w:sz w:val="20"/>
                <w:szCs w:val="20"/>
                <w:color w:val="auto"/>
              </w:rPr>
            </w:pPr>
            <w:r>
              <w:rPr>
                <w:rFonts w:ascii="Arial" w:cs="Arial" w:eastAsia="Arial" w:hAnsi="Arial"/>
                <w:sz w:val="13"/>
                <w:szCs w:val="13"/>
                <w:color w:val="auto"/>
                <w:w w:val="95"/>
              </w:rPr>
              <w:t>​ 30,208</w:t>
            </w:r>
            <w:r>
              <w:rPr>
                <w:rFonts w:ascii="Arial" w:cs="Arial" w:eastAsia="Arial" w:hAnsi="Arial"/>
                <w:sz w:val="16"/>
                <w:szCs w:val="16"/>
                <w:color w:val="auto"/>
                <w:w w:val="95"/>
                <w:vertAlign w:val="superscript"/>
              </w:rPr>
              <w:t>(1)</w:t>
            </w:r>
          </w:p>
        </w:tc>
        <w:tc>
          <w:tcPr>
            <w:tcW w:w="760" w:type="dxa"/>
            <w:vAlign w:val="bottom"/>
            <w:gridSpan w:val="2"/>
            <w:shd w:val="clear" w:color="auto" w:fill="E9F9D8"/>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shd w:val="clear" w:color="auto" w:fill="E9F9D8"/>
          </w:tcPr>
          <w:p>
            <w:pPr>
              <w:ind w:left="100"/>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E9F9D8"/>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E9F9D8"/>
          </w:tcPr>
          <w:p>
            <w:pPr>
              <w:jc w:val="right"/>
              <w:spacing w:after="0"/>
              <w:rPr>
                <w:sz w:val="20"/>
                <w:szCs w:val="20"/>
                <w:color w:val="auto"/>
              </w:rPr>
            </w:pPr>
            <w:r>
              <w:rPr>
                <w:rFonts w:ascii="Arial" w:cs="Arial" w:eastAsia="Arial" w:hAnsi="Arial"/>
                <w:sz w:val="13"/>
                <w:szCs w:val="13"/>
                <w:color w:val="auto"/>
                <w:w w:val="98"/>
              </w:rPr>
              <w:t>$1,191,706</w:t>
            </w:r>
          </w:p>
        </w:tc>
        <w:tc>
          <w:tcPr>
            <w:tcW w:w="0" w:type="dxa"/>
            <w:vAlign w:val="bottom"/>
          </w:tcPr>
          <w:p>
            <w:pPr>
              <w:spacing w:after="0"/>
              <w:rPr>
                <w:sz w:val="1"/>
                <w:szCs w:val="1"/>
                <w:color w:val="auto"/>
              </w:rPr>
            </w:pPr>
          </w:p>
        </w:tc>
      </w:tr>
      <w:tr>
        <w:trPr>
          <w:trHeight w:val="72"/>
        </w:trPr>
        <w:tc>
          <w:tcPr>
            <w:tcW w:w="840" w:type="dxa"/>
            <w:vAlign w:val="bottom"/>
            <w:gridSpan w:val="2"/>
            <w:vMerge w:val="restart"/>
          </w:tcPr>
          <w:p>
            <w:pPr>
              <w:spacing w:after="0"/>
              <w:rPr>
                <w:sz w:val="20"/>
                <w:szCs w:val="20"/>
                <w:color w:val="auto"/>
              </w:rPr>
            </w:pPr>
            <w:r>
              <w:rPr>
                <w:rFonts w:ascii="Arial" w:cs="Arial" w:eastAsia="Arial" w:hAnsi="Arial"/>
                <w:sz w:val="13"/>
                <w:szCs w:val="13"/>
                <w:b w:val="1"/>
                <w:bCs w:val="1"/>
                <w:color w:val="1F2668"/>
              </w:rPr>
              <w:t>DiLiberto</w:t>
            </w:r>
          </w:p>
        </w:tc>
        <w:tc>
          <w:tcPr>
            <w:tcW w:w="100" w:type="dxa"/>
            <w:vAlign w:val="bottom"/>
            <w:tcBorders>
              <w:bottom w:val="single" w:sz="8" w:color="4B5088"/>
            </w:tcBorders>
            <w:shd w:val="clear" w:color="auto" w:fill="E9F9D8"/>
          </w:tcPr>
          <w:p>
            <w:pPr>
              <w:spacing w:after="0"/>
              <w:rPr>
                <w:sz w:val="6"/>
                <w:szCs w:val="6"/>
                <w:color w:val="auto"/>
              </w:rPr>
            </w:pPr>
          </w:p>
        </w:tc>
        <w:tc>
          <w:tcPr>
            <w:tcW w:w="580" w:type="dxa"/>
            <w:vAlign w:val="bottom"/>
            <w:tcBorders>
              <w:bottom w:val="single" w:sz="8" w:color="4B5088"/>
            </w:tcBorders>
            <w:shd w:val="clear" w:color="auto" w:fill="E9F9D8"/>
          </w:tcPr>
          <w:p>
            <w:pPr>
              <w:spacing w:after="0"/>
              <w:rPr>
                <w:sz w:val="6"/>
                <w:szCs w:val="6"/>
                <w:color w:val="auto"/>
              </w:rPr>
            </w:pPr>
          </w:p>
        </w:tc>
        <w:tc>
          <w:tcPr>
            <w:tcW w:w="60" w:type="dxa"/>
            <w:vAlign w:val="bottom"/>
            <w:shd w:val="clear" w:color="auto" w:fill="E9F9D8"/>
          </w:tcPr>
          <w:p>
            <w:pPr>
              <w:spacing w:after="0"/>
              <w:rPr>
                <w:sz w:val="6"/>
                <w:szCs w:val="6"/>
                <w:color w:val="auto"/>
              </w:rPr>
            </w:pPr>
          </w:p>
        </w:tc>
        <w:tc>
          <w:tcPr>
            <w:tcW w:w="140" w:type="dxa"/>
            <w:vAlign w:val="bottom"/>
            <w:tcBorders>
              <w:bottom w:val="single" w:sz="8" w:color="4B5088"/>
            </w:tcBorders>
            <w:shd w:val="clear" w:color="auto" w:fill="E9F9D8"/>
          </w:tcPr>
          <w:p>
            <w:pPr>
              <w:spacing w:after="0"/>
              <w:rPr>
                <w:sz w:val="6"/>
                <w:szCs w:val="6"/>
                <w:color w:val="auto"/>
              </w:rPr>
            </w:pPr>
          </w:p>
        </w:tc>
        <w:tc>
          <w:tcPr>
            <w:tcW w:w="540" w:type="dxa"/>
            <w:vAlign w:val="bottom"/>
            <w:tcBorders>
              <w:bottom w:val="single" w:sz="8" w:color="4B5088"/>
            </w:tcBorders>
            <w:shd w:val="clear" w:color="auto" w:fill="E9F9D8"/>
          </w:tcPr>
          <w:p>
            <w:pPr>
              <w:spacing w:after="0"/>
              <w:rPr>
                <w:sz w:val="6"/>
                <w:szCs w:val="6"/>
                <w:color w:val="auto"/>
              </w:rPr>
            </w:pPr>
          </w:p>
        </w:tc>
        <w:tc>
          <w:tcPr>
            <w:tcW w:w="80" w:type="dxa"/>
            <w:vAlign w:val="bottom"/>
            <w:tcBorders>
              <w:bottom w:val="single" w:sz="8" w:color="E9F9D8"/>
            </w:tcBorders>
            <w:shd w:val="clear" w:color="auto" w:fill="E9F9D8"/>
          </w:tcPr>
          <w:p>
            <w:pPr>
              <w:spacing w:after="0"/>
              <w:rPr>
                <w:sz w:val="6"/>
                <w:szCs w:val="6"/>
                <w:color w:val="auto"/>
              </w:rPr>
            </w:pPr>
          </w:p>
        </w:tc>
        <w:tc>
          <w:tcPr>
            <w:tcW w:w="200" w:type="dxa"/>
            <w:vAlign w:val="bottom"/>
            <w:tcBorders>
              <w:bottom w:val="single" w:sz="8" w:color="4B5088"/>
            </w:tcBorders>
            <w:shd w:val="clear" w:color="auto" w:fill="E9F9D8"/>
          </w:tcPr>
          <w:p>
            <w:pPr>
              <w:spacing w:after="0"/>
              <w:rPr>
                <w:sz w:val="6"/>
                <w:szCs w:val="6"/>
                <w:color w:val="auto"/>
              </w:rPr>
            </w:pPr>
          </w:p>
        </w:tc>
        <w:tc>
          <w:tcPr>
            <w:tcW w:w="360" w:type="dxa"/>
            <w:vAlign w:val="bottom"/>
            <w:tcBorders>
              <w:bottom w:val="single" w:sz="8" w:color="4B5088"/>
            </w:tcBorders>
            <w:shd w:val="clear" w:color="auto" w:fill="E9F9D8"/>
          </w:tcPr>
          <w:p>
            <w:pPr>
              <w:spacing w:after="0"/>
              <w:rPr>
                <w:sz w:val="6"/>
                <w:szCs w:val="6"/>
                <w:color w:val="auto"/>
              </w:rPr>
            </w:pPr>
          </w:p>
        </w:tc>
        <w:tc>
          <w:tcPr>
            <w:tcW w:w="80" w:type="dxa"/>
            <w:vAlign w:val="bottom"/>
            <w:tcBorders>
              <w:bottom w:val="single" w:sz="8" w:color="E9F9D8"/>
            </w:tcBorders>
            <w:shd w:val="clear" w:color="auto" w:fill="E9F9D8"/>
          </w:tcPr>
          <w:p>
            <w:pPr>
              <w:spacing w:after="0"/>
              <w:rPr>
                <w:sz w:val="6"/>
                <w:szCs w:val="6"/>
                <w:color w:val="auto"/>
              </w:rPr>
            </w:pPr>
          </w:p>
        </w:tc>
        <w:tc>
          <w:tcPr>
            <w:tcW w:w="20" w:type="dxa"/>
            <w:vAlign w:val="bottom"/>
            <w:tcBorders>
              <w:bottom w:val="single" w:sz="8" w:color="4B5088"/>
            </w:tcBorders>
            <w:shd w:val="clear" w:color="auto" w:fill="E9F9D8"/>
          </w:tcPr>
          <w:p>
            <w:pPr>
              <w:spacing w:after="0"/>
              <w:rPr>
                <w:sz w:val="6"/>
                <w:szCs w:val="6"/>
                <w:color w:val="auto"/>
              </w:rPr>
            </w:pPr>
          </w:p>
        </w:tc>
        <w:tc>
          <w:tcPr>
            <w:tcW w:w="200" w:type="dxa"/>
            <w:vAlign w:val="bottom"/>
            <w:tcBorders>
              <w:bottom w:val="single" w:sz="8" w:color="4B5088"/>
            </w:tcBorders>
            <w:shd w:val="clear" w:color="auto" w:fill="E9F9D8"/>
          </w:tcPr>
          <w:p>
            <w:pPr>
              <w:spacing w:after="0"/>
              <w:rPr>
                <w:sz w:val="6"/>
                <w:szCs w:val="6"/>
                <w:color w:val="auto"/>
              </w:rPr>
            </w:pPr>
          </w:p>
        </w:tc>
        <w:tc>
          <w:tcPr>
            <w:tcW w:w="440" w:type="dxa"/>
            <w:vAlign w:val="bottom"/>
            <w:tcBorders>
              <w:bottom w:val="single" w:sz="8" w:color="4B5088"/>
            </w:tcBorders>
            <w:shd w:val="clear" w:color="auto" w:fill="E9F9D8"/>
          </w:tcPr>
          <w:p>
            <w:pPr>
              <w:spacing w:after="0"/>
              <w:rPr>
                <w:sz w:val="6"/>
                <w:szCs w:val="6"/>
                <w:color w:val="auto"/>
              </w:rPr>
            </w:pPr>
          </w:p>
        </w:tc>
        <w:tc>
          <w:tcPr>
            <w:tcW w:w="100" w:type="dxa"/>
            <w:vAlign w:val="bottom"/>
            <w:tcBorders>
              <w:bottom w:val="single" w:sz="8" w:color="E9F9D8"/>
            </w:tcBorders>
            <w:shd w:val="clear" w:color="auto" w:fill="E9F9D8"/>
          </w:tcPr>
          <w:p>
            <w:pPr>
              <w:spacing w:after="0"/>
              <w:rPr>
                <w:sz w:val="6"/>
                <w:szCs w:val="6"/>
                <w:color w:val="auto"/>
              </w:rPr>
            </w:pPr>
          </w:p>
        </w:tc>
        <w:tc>
          <w:tcPr>
            <w:tcW w:w="20" w:type="dxa"/>
            <w:vAlign w:val="bottom"/>
            <w:tcBorders>
              <w:bottom w:val="single" w:sz="8" w:color="4B5088"/>
            </w:tcBorders>
            <w:shd w:val="clear" w:color="auto" w:fill="E9F9D8"/>
          </w:tcPr>
          <w:p>
            <w:pPr>
              <w:spacing w:after="0"/>
              <w:rPr>
                <w:sz w:val="6"/>
                <w:szCs w:val="6"/>
                <w:color w:val="auto"/>
              </w:rPr>
            </w:pPr>
          </w:p>
        </w:tc>
        <w:tc>
          <w:tcPr>
            <w:tcW w:w="100" w:type="dxa"/>
            <w:vAlign w:val="bottom"/>
            <w:tcBorders>
              <w:bottom w:val="single" w:sz="8" w:color="4B5088"/>
            </w:tcBorders>
            <w:shd w:val="clear" w:color="auto" w:fill="E9F9D8"/>
          </w:tcPr>
          <w:p>
            <w:pPr>
              <w:spacing w:after="0"/>
              <w:rPr>
                <w:sz w:val="6"/>
                <w:szCs w:val="6"/>
                <w:color w:val="auto"/>
              </w:rPr>
            </w:pPr>
          </w:p>
        </w:tc>
        <w:tc>
          <w:tcPr>
            <w:tcW w:w="540" w:type="dxa"/>
            <w:vAlign w:val="bottom"/>
            <w:tcBorders>
              <w:bottom w:val="single" w:sz="8" w:color="4B5088"/>
            </w:tcBorders>
            <w:shd w:val="clear" w:color="auto" w:fill="E9F9D8"/>
          </w:tcPr>
          <w:p>
            <w:pPr>
              <w:spacing w:after="0"/>
              <w:rPr>
                <w:sz w:val="6"/>
                <w:szCs w:val="6"/>
                <w:color w:val="auto"/>
              </w:rPr>
            </w:pPr>
          </w:p>
        </w:tc>
        <w:tc>
          <w:tcPr>
            <w:tcW w:w="100" w:type="dxa"/>
            <w:vAlign w:val="bottom"/>
            <w:tcBorders>
              <w:bottom w:val="single" w:sz="8" w:color="E9F9D8"/>
            </w:tcBorders>
            <w:shd w:val="clear" w:color="auto" w:fill="E9F9D8"/>
          </w:tcPr>
          <w:p>
            <w:pPr>
              <w:spacing w:after="0"/>
              <w:rPr>
                <w:sz w:val="6"/>
                <w:szCs w:val="6"/>
                <w:color w:val="auto"/>
              </w:rPr>
            </w:pPr>
          </w:p>
        </w:tc>
        <w:tc>
          <w:tcPr>
            <w:tcW w:w="160" w:type="dxa"/>
            <w:vAlign w:val="bottom"/>
            <w:tcBorders>
              <w:bottom w:val="single" w:sz="8" w:color="4B5088"/>
            </w:tcBorders>
            <w:shd w:val="clear" w:color="auto" w:fill="E9F9D8"/>
          </w:tcPr>
          <w:p>
            <w:pPr>
              <w:spacing w:after="0"/>
              <w:rPr>
                <w:sz w:val="6"/>
                <w:szCs w:val="6"/>
                <w:color w:val="auto"/>
              </w:rPr>
            </w:pPr>
          </w:p>
        </w:tc>
        <w:tc>
          <w:tcPr>
            <w:tcW w:w="400" w:type="dxa"/>
            <w:vAlign w:val="bottom"/>
            <w:tcBorders>
              <w:bottom w:val="single" w:sz="8" w:color="4B5088"/>
            </w:tcBorders>
            <w:shd w:val="clear" w:color="auto" w:fill="E9F9D8"/>
          </w:tcPr>
          <w:p>
            <w:pPr>
              <w:spacing w:after="0"/>
              <w:rPr>
                <w:sz w:val="6"/>
                <w:szCs w:val="6"/>
                <w:color w:val="auto"/>
              </w:rPr>
            </w:pPr>
          </w:p>
        </w:tc>
        <w:tc>
          <w:tcPr>
            <w:tcW w:w="140" w:type="dxa"/>
            <w:vAlign w:val="bottom"/>
            <w:tcBorders>
              <w:bottom w:val="single" w:sz="8" w:color="E9F9D8"/>
            </w:tcBorders>
            <w:shd w:val="clear" w:color="auto" w:fill="E9F9D8"/>
          </w:tcPr>
          <w:p>
            <w:pPr>
              <w:spacing w:after="0"/>
              <w:rPr>
                <w:sz w:val="6"/>
                <w:szCs w:val="6"/>
                <w:color w:val="auto"/>
              </w:rPr>
            </w:pPr>
          </w:p>
        </w:tc>
        <w:tc>
          <w:tcPr>
            <w:tcW w:w="80" w:type="dxa"/>
            <w:vAlign w:val="bottom"/>
            <w:tcBorders>
              <w:bottom w:val="single" w:sz="8" w:color="4B5088"/>
            </w:tcBorders>
            <w:shd w:val="clear" w:color="auto" w:fill="E9F9D8"/>
          </w:tcPr>
          <w:p>
            <w:pPr>
              <w:spacing w:after="0"/>
              <w:rPr>
                <w:sz w:val="6"/>
                <w:szCs w:val="6"/>
                <w:color w:val="auto"/>
              </w:rPr>
            </w:pPr>
          </w:p>
        </w:tc>
        <w:tc>
          <w:tcPr>
            <w:tcW w:w="380" w:type="dxa"/>
            <w:vAlign w:val="bottom"/>
            <w:tcBorders>
              <w:bottom w:val="single" w:sz="8" w:color="4B5088"/>
            </w:tcBorders>
            <w:shd w:val="clear" w:color="auto" w:fill="E9F9D8"/>
          </w:tcPr>
          <w:p>
            <w:pPr>
              <w:spacing w:after="0"/>
              <w:rPr>
                <w:sz w:val="6"/>
                <w:szCs w:val="6"/>
                <w:color w:val="auto"/>
              </w:rPr>
            </w:pPr>
          </w:p>
        </w:tc>
        <w:tc>
          <w:tcPr>
            <w:tcW w:w="140" w:type="dxa"/>
            <w:vAlign w:val="bottom"/>
            <w:tcBorders>
              <w:bottom w:val="single" w:sz="8" w:color="E9F9D8"/>
            </w:tcBorders>
            <w:shd w:val="clear" w:color="auto" w:fill="E9F9D8"/>
          </w:tcPr>
          <w:p>
            <w:pPr>
              <w:spacing w:after="0"/>
              <w:rPr>
                <w:sz w:val="6"/>
                <w:szCs w:val="6"/>
                <w:color w:val="auto"/>
              </w:rPr>
            </w:pPr>
          </w:p>
        </w:tc>
        <w:tc>
          <w:tcPr>
            <w:tcW w:w="100" w:type="dxa"/>
            <w:vAlign w:val="bottom"/>
            <w:tcBorders>
              <w:bottom w:val="single" w:sz="8" w:color="4B5088"/>
            </w:tcBorders>
            <w:shd w:val="clear" w:color="auto" w:fill="E9F9D8"/>
          </w:tcPr>
          <w:p>
            <w:pPr>
              <w:spacing w:after="0"/>
              <w:rPr>
                <w:sz w:val="6"/>
                <w:szCs w:val="6"/>
                <w:color w:val="auto"/>
              </w:rPr>
            </w:pPr>
          </w:p>
        </w:tc>
        <w:tc>
          <w:tcPr>
            <w:tcW w:w="440" w:type="dxa"/>
            <w:vAlign w:val="bottom"/>
            <w:tcBorders>
              <w:bottom w:val="single" w:sz="8" w:color="4B5088"/>
            </w:tcBorders>
            <w:shd w:val="clear" w:color="auto" w:fill="E9F9D8"/>
          </w:tcPr>
          <w:p>
            <w:pPr>
              <w:spacing w:after="0"/>
              <w:rPr>
                <w:sz w:val="6"/>
                <w:szCs w:val="6"/>
                <w:color w:val="auto"/>
              </w:rPr>
            </w:pPr>
          </w:p>
        </w:tc>
        <w:tc>
          <w:tcPr>
            <w:tcW w:w="100" w:type="dxa"/>
            <w:vAlign w:val="bottom"/>
            <w:tcBorders>
              <w:bottom w:val="single" w:sz="8" w:color="E9F9D8"/>
            </w:tcBorders>
            <w:shd w:val="clear" w:color="auto" w:fill="E9F9D8"/>
          </w:tcPr>
          <w:p>
            <w:pPr>
              <w:spacing w:after="0"/>
              <w:rPr>
                <w:sz w:val="6"/>
                <w:szCs w:val="6"/>
                <w:color w:val="auto"/>
              </w:rPr>
            </w:pPr>
          </w:p>
        </w:tc>
        <w:tc>
          <w:tcPr>
            <w:tcW w:w="160" w:type="dxa"/>
            <w:vAlign w:val="bottom"/>
            <w:tcBorders>
              <w:bottom w:val="single" w:sz="8" w:color="4B5088"/>
            </w:tcBorders>
            <w:shd w:val="clear" w:color="auto" w:fill="E9F9D8"/>
          </w:tcPr>
          <w:p>
            <w:pPr>
              <w:spacing w:after="0"/>
              <w:rPr>
                <w:sz w:val="6"/>
                <w:szCs w:val="6"/>
                <w:color w:val="auto"/>
              </w:rPr>
            </w:pPr>
          </w:p>
        </w:tc>
        <w:tc>
          <w:tcPr>
            <w:tcW w:w="380" w:type="dxa"/>
            <w:vAlign w:val="bottom"/>
            <w:tcBorders>
              <w:bottom w:val="single" w:sz="8" w:color="4B5088"/>
            </w:tcBorders>
            <w:shd w:val="clear" w:color="auto" w:fill="E9F9D8"/>
          </w:tcPr>
          <w:p>
            <w:pPr>
              <w:spacing w:after="0"/>
              <w:rPr>
                <w:sz w:val="6"/>
                <w:szCs w:val="6"/>
                <w:color w:val="auto"/>
              </w:rPr>
            </w:pPr>
          </w:p>
        </w:tc>
        <w:tc>
          <w:tcPr>
            <w:tcW w:w="100" w:type="dxa"/>
            <w:vAlign w:val="bottom"/>
            <w:tcBorders>
              <w:bottom w:val="single" w:sz="8" w:color="E9F9D8"/>
            </w:tcBorders>
            <w:shd w:val="clear" w:color="auto" w:fill="E9F9D8"/>
          </w:tcPr>
          <w:p>
            <w:pPr>
              <w:spacing w:after="0"/>
              <w:rPr>
                <w:sz w:val="6"/>
                <w:szCs w:val="6"/>
                <w:color w:val="auto"/>
              </w:rPr>
            </w:pPr>
          </w:p>
        </w:tc>
        <w:tc>
          <w:tcPr>
            <w:tcW w:w="680" w:type="dxa"/>
            <w:vAlign w:val="bottom"/>
            <w:tcBorders>
              <w:bottom w:val="single" w:sz="8" w:color="4B5088"/>
            </w:tcBorders>
            <w:shd w:val="clear" w:color="auto" w:fill="E9F9D8"/>
          </w:tcPr>
          <w:p>
            <w:pPr>
              <w:spacing w:after="0"/>
              <w:rPr>
                <w:sz w:val="6"/>
                <w:szCs w:val="6"/>
                <w:color w:val="auto"/>
              </w:rPr>
            </w:pPr>
          </w:p>
        </w:tc>
        <w:tc>
          <w:tcPr>
            <w:tcW w:w="80" w:type="dxa"/>
            <w:vAlign w:val="bottom"/>
            <w:tcBorders>
              <w:bottom w:val="single" w:sz="8" w:color="E9F9D8"/>
            </w:tcBorders>
            <w:shd w:val="clear" w:color="auto" w:fill="E9F9D8"/>
          </w:tcPr>
          <w:p>
            <w:pPr>
              <w:spacing w:after="0"/>
              <w:rPr>
                <w:sz w:val="6"/>
                <w:szCs w:val="6"/>
                <w:color w:val="auto"/>
              </w:rPr>
            </w:pPr>
          </w:p>
        </w:tc>
        <w:tc>
          <w:tcPr>
            <w:tcW w:w="160" w:type="dxa"/>
            <w:vAlign w:val="bottom"/>
            <w:tcBorders>
              <w:bottom w:val="single" w:sz="8" w:color="4B5088"/>
            </w:tcBorders>
            <w:shd w:val="clear" w:color="auto" w:fill="E9F9D8"/>
          </w:tcPr>
          <w:p>
            <w:pPr>
              <w:spacing w:after="0"/>
              <w:rPr>
                <w:sz w:val="6"/>
                <w:szCs w:val="6"/>
                <w:color w:val="auto"/>
              </w:rPr>
            </w:pPr>
          </w:p>
        </w:tc>
        <w:tc>
          <w:tcPr>
            <w:tcW w:w="320" w:type="dxa"/>
            <w:vAlign w:val="bottom"/>
            <w:tcBorders>
              <w:bottom w:val="single" w:sz="8" w:color="4B5088"/>
            </w:tcBorders>
            <w:shd w:val="clear" w:color="auto" w:fill="E9F9D8"/>
          </w:tcPr>
          <w:p>
            <w:pPr>
              <w:spacing w:after="0"/>
              <w:rPr>
                <w:sz w:val="6"/>
                <w:szCs w:val="6"/>
                <w:color w:val="auto"/>
              </w:rPr>
            </w:pPr>
          </w:p>
        </w:tc>
        <w:tc>
          <w:tcPr>
            <w:tcW w:w="80" w:type="dxa"/>
            <w:vAlign w:val="bottom"/>
            <w:tcBorders>
              <w:bottom w:val="single" w:sz="8" w:color="E9F9D8"/>
            </w:tcBorders>
            <w:shd w:val="clear" w:color="auto" w:fill="E9F9D8"/>
          </w:tcPr>
          <w:p>
            <w:pPr>
              <w:spacing w:after="0"/>
              <w:rPr>
                <w:sz w:val="6"/>
                <w:szCs w:val="6"/>
                <w:color w:val="auto"/>
              </w:rPr>
            </w:pPr>
          </w:p>
        </w:tc>
        <w:tc>
          <w:tcPr>
            <w:tcW w:w="180" w:type="dxa"/>
            <w:vAlign w:val="bottom"/>
            <w:tcBorders>
              <w:bottom w:val="single" w:sz="8" w:color="4B5088"/>
            </w:tcBorders>
            <w:shd w:val="clear" w:color="auto" w:fill="E9F9D8"/>
          </w:tcPr>
          <w:p>
            <w:pPr>
              <w:spacing w:after="0"/>
              <w:rPr>
                <w:sz w:val="6"/>
                <w:szCs w:val="6"/>
                <w:color w:val="auto"/>
              </w:rPr>
            </w:pPr>
          </w:p>
        </w:tc>
        <w:tc>
          <w:tcPr>
            <w:tcW w:w="480" w:type="dxa"/>
            <w:vAlign w:val="bottom"/>
            <w:tcBorders>
              <w:bottom w:val="single" w:sz="8" w:color="4B5088"/>
            </w:tcBorders>
            <w:shd w:val="clear" w:color="auto" w:fill="E9F9D8"/>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840" w:type="dxa"/>
            <w:vAlign w:val="bottom"/>
            <w:gridSpan w:val="2"/>
            <w:vMerge w:val="continue"/>
          </w:tcPr>
          <w:p>
            <w:pPr>
              <w:spacing w:after="0"/>
              <w:rPr>
                <w:sz w:val="6"/>
                <w:szCs w:val="6"/>
                <w:color w:val="auto"/>
              </w:rPr>
            </w:pPr>
          </w:p>
        </w:tc>
        <w:tc>
          <w:tcPr>
            <w:tcW w:w="740" w:type="dxa"/>
            <w:vAlign w:val="bottom"/>
            <w:gridSpan w:val="3"/>
            <w:vMerge w:val="restart"/>
          </w:tcPr>
          <w:p>
            <w:pPr>
              <w:ind w:left="40"/>
              <w:spacing w:after="0"/>
              <w:rPr>
                <w:sz w:val="20"/>
                <w:szCs w:val="20"/>
                <w:color w:val="auto"/>
              </w:rPr>
            </w:pPr>
            <w:r>
              <w:rPr>
                <w:rFonts w:ascii="Arial" w:cs="Arial" w:eastAsia="Arial" w:hAnsi="Arial"/>
                <w:sz w:val="13"/>
                <w:szCs w:val="13"/>
                <w:color w:val="auto"/>
              </w:rPr>
              <w:t>​01/29/2024</w:t>
            </w:r>
          </w:p>
        </w:tc>
        <w:tc>
          <w:tcPr>
            <w:tcW w:w="760" w:type="dxa"/>
            <w:vAlign w:val="bottom"/>
            <w:gridSpan w:val="3"/>
            <w:vMerge w:val="restart"/>
          </w:tcPr>
          <w:p>
            <w:pPr>
              <w:ind w:left="40"/>
              <w:spacing w:after="0"/>
              <w:rPr>
                <w:sz w:val="20"/>
                <w:szCs w:val="20"/>
                <w:color w:val="auto"/>
              </w:rPr>
            </w:pPr>
            <w:r>
              <w:rPr>
                <w:rFonts w:ascii="Arial" w:cs="Arial" w:eastAsia="Arial" w:hAnsi="Arial"/>
                <w:sz w:val="13"/>
                <w:szCs w:val="13"/>
                <w:color w:val="auto"/>
              </w:rPr>
              <w:t>​01/29/2024</w:t>
            </w:r>
          </w:p>
        </w:tc>
        <w:tc>
          <w:tcPr>
            <w:tcW w:w="200" w:type="dxa"/>
            <w:vAlign w:val="bottom"/>
            <w:vMerge w:val="restart"/>
          </w:tcPr>
          <w:p>
            <w:pPr>
              <w:ind w:left="100"/>
              <w:spacing w:after="0"/>
              <w:rPr>
                <w:sz w:val="20"/>
                <w:szCs w:val="20"/>
                <w:color w:val="auto"/>
              </w:rPr>
            </w:pPr>
            <w:r>
              <w:rPr>
                <w:rFonts w:ascii="Arial" w:cs="Arial" w:eastAsia="Arial" w:hAnsi="Arial"/>
                <w:sz w:val="13"/>
                <w:szCs w:val="13"/>
                <w:color w:val="auto"/>
              </w:rPr>
              <w:t>​</w:t>
            </w:r>
          </w:p>
        </w:tc>
        <w:tc>
          <w:tcPr>
            <w:tcW w:w="460" w:type="dxa"/>
            <w:vAlign w:val="bottom"/>
            <w:gridSpan w:val="3"/>
            <w:vMerge w:val="restart"/>
          </w:tcPr>
          <w:p>
            <w:pPr>
              <w:jc w:val="right"/>
              <w:ind w:right="100"/>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56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ind w:left="80"/>
              <w:spacing w:after="0"/>
              <w:rPr>
                <w:sz w:val="20"/>
                <w:szCs w:val="20"/>
                <w:color w:val="auto"/>
              </w:rPr>
            </w:pPr>
            <w:r>
              <w:rPr>
                <w:rFonts w:ascii="Arial" w:cs="Arial" w:eastAsia="Arial" w:hAnsi="Arial"/>
                <w:sz w:val="1"/>
                <w:szCs w:val="1"/>
                <w:color w:val="auto"/>
                <w:w w:val="4294942296"/>
              </w:rPr>
              <w:t>​</w:t>
            </w: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ind w:left="120"/>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spacing w:after="0"/>
              <w:rPr>
                <w:sz w:val="20"/>
                <w:szCs w:val="20"/>
                <w:color w:val="auto"/>
              </w:rPr>
            </w:pPr>
            <w:r>
              <w:rPr>
                <w:rFonts w:ascii="Arial" w:cs="Arial" w:eastAsia="Arial" w:hAnsi="Arial"/>
                <w:sz w:val="13"/>
                <w:szCs w:val="13"/>
                <w:color w:val="auto"/>
              </w:rPr>
              <w:t>​</w:t>
            </w:r>
          </w:p>
        </w:tc>
        <w:tc>
          <w:tcPr>
            <w:tcW w:w="520" w:type="dxa"/>
            <w:vAlign w:val="bottom"/>
            <w:gridSpan w:val="2"/>
            <w:vMerge w:val="restart"/>
          </w:tcPr>
          <w:p>
            <w:pPr>
              <w:jc w:val="center"/>
              <w:ind w:left="59"/>
              <w:spacing w:after="0"/>
              <w:rPr>
                <w:sz w:val="20"/>
                <w:szCs w:val="20"/>
                <w:color w:val="auto"/>
              </w:rPr>
            </w:pPr>
            <w:r>
              <w:rPr>
                <w:rFonts w:ascii="Arial" w:cs="Arial" w:eastAsia="Arial" w:hAnsi="Arial"/>
                <w:sz w:val="13"/>
                <w:szCs w:val="13"/>
                <w:color w:val="auto"/>
                <w:w w:val="91"/>
              </w:rPr>
              <w:t>—</w:t>
            </w: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640" w:type="dxa"/>
            <w:vAlign w:val="bottom"/>
            <w:gridSpan w:val="3"/>
            <w:vMerge w:val="restart"/>
          </w:tcPr>
          <w:p>
            <w:pPr>
              <w:ind w:left="80"/>
              <w:spacing w:after="0"/>
              <w:rPr>
                <w:sz w:val="20"/>
                <w:szCs w:val="20"/>
                <w:color w:val="auto"/>
              </w:rPr>
            </w:pPr>
            <w:r>
              <w:rPr>
                <w:rFonts w:ascii="Arial" w:cs="Arial" w:eastAsia="Arial" w:hAnsi="Arial"/>
                <w:sz w:val="13"/>
                <w:szCs w:val="13"/>
                <w:color w:val="auto"/>
                <w:w w:val="95"/>
              </w:rPr>
              <w:t>​ 40,534</w:t>
            </w:r>
            <w:r>
              <w:rPr>
                <w:rFonts w:ascii="Arial" w:cs="Arial" w:eastAsia="Arial" w:hAnsi="Arial"/>
                <w:sz w:val="16"/>
                <w:szCs w:val="16"/>
                <w:color w:val="auto"/>
                <w:w w:val="95"/>
                <w:vertAlign w:val="superscript"/>
              </w:rPr>
              <w:t>(3)</w:t>
            </w: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ind w:left="100"/>
              <w:spacing w:after="0"/>
              <w:rPr>
                <w:sz w:val="20"/>
                <w:szCs w:val="20"/>
                <w:color w:val="auto"/>
              </w:rPr>
            </w:pPr>
            <w:r>
              <w:rPr>
                <w:rFonts w:ascii="Arial" w:cs="Arial" w:eastAsia="Arial" w:hAnsi="Arial"/>
                <w:sz w:val="13"/>
                <w:szCs w:val="13"/>
                <w:color w:val="auto"/>
              </w:rPr>
              <w:t>​</w:t>
            </w:r>
          </w:p>
        </w:tc>
        <w:tc>
          <w:tcPr>
            <w:tcW w:w="40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2"/>
            <w:vMerge w:val="restart"/>
          </w:tcPr>
          <w:p>
            <w:pPr>
              <w:jc w:val="right"/>
              <w:spacing w:after="0"/>
              <w:rPr>
                <w:sz w:val="20"/>
                <w:szCs w:val="20"/>
                <w:color w:val="auto"/>
              </w:rPr>
            </w:pPr>
            <w:r>
              <w:rPr>
                <w:rFonts w:ascii="Arial" w:cs="Arial" w:eastAsia="Arial" w:hAnsi="Arial"/>
                <w:sz w:val="13"/>
                <w:szCs w:val="13"/>
                <w:color w:val="auto"/>
                <w:w w:val="98"/>
              </w:rPr>
              <w:t>$1,526,916</w:t>
            </w:r>
          </w:p>
        </w:tc>
        <w:tc>
          <w:tcPr>
            <w:tcW w:w="0" w:type="dxa"/>
            <w:vAlign w:val="bottom"/>
          </w:tcPr>
          <w:p>
            <w:pPr>
              <w:spacing w:after="0"/>
              <w:rPr>
                <w:sz w:val="1"/>
                <w:szCs w:val="1"/>
                <w:color w:val="auto"/>
              </w:rPr>
            </w:pPr>
          </w:p>
        </w:tc>
      </w:tr>
      <w:tr>
        <w:trPr>
          <w:trHeight w:val="131"/>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460" w:type="dxa"/>
            <w:vAlign w:val="bottom"/>
            <w:gridSpan w:val="3"/>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4B5088"/>
            </w:tcBorders>
            <w:gridSpan w:val="2"/>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4B5088"/>
            </w:tcBorders>
            <w:gridSpan w:val="2"/>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4B5088"/>
            </w:tcBorders>
          </w:tcPr>
          <w:p>
            <w:pPr>
              <w:spacing w:after="0"/>
              <w:rPr>
                <w:sz w:val="2"/>
                <w:szCs w:val="2"/>
                <w:color w:val="auto"/>
              </w:rPr>
            </w:pPr>
          </w:p>
        </w:tc>
        <w:tc>
          <w:tcPr>
            <w:tcW w:w="360" w:type="dxa"/>
            <w:vAlign w:val="bottom"/>
            <w:tcBorders>
              <w:bottom w:val="single" w:sz="8" w:color="4B5088"/>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4B5088"/>
            </w:tcBorders>
          </w:tcPr>
          <w:p>
            <w:pPr>
              <w:spacing w:after="0"/>
              <w:rPr>
                <w:sz w:val="2"/>
                <w:szCs w:val="2"/>
                <w:color w:val="auto"/>
              </w:rPr>
            </w:pPr>
          </w:p>
        </w:tc>
        <w:tc>
          <w:tcPr>
            <w:tcW w:w="200" w:type="dxa"/>
            <w:vAlign w:val="bottom"/>
            <w:tcBorders>
              <w:bottom w:val="single" w:sz="8" w:color="4B5088"/>
            </w:tcBorders>
          </w:tcPr>
          <w:p>
            <w:pPr>
              <w:spacing w:after="0"/>
              <w:rPr>
                <w:sz w:val="2"/>
                <w:szCs w:val="2"/>
                <w:color w:val="auto"/>
              </w:rPr>
            </w:pPr>
          </w:p>
        </w:tc>
        <w:tc>
          <w:tcPr>
            <w:tcW w:w="440" w:type="dxa"/>
            <w:vAlign w:val="bottom"/>
            <w:tcBorders>
              <w:bottom w:val="single" w:sz="8" w:color="4B5088"/>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4B5088"/>
            </w:tcBorders>
          </w:tcPr>
          <w:p>
            <w:pPr>
              <w:spacing w:after="0"/>
              <w:rPr>
                <w:sz w:val="2"/>
                <w:szCs w:val="2"/>
                <w:color w:val="auto"/>
              </w:rPr>
            </w:pPr>
          </w:p>
        </w:tc>
        <w:tc>
          <w:tcPr>
            <w:tcW w:w="100" w:type="dxa"/>
            <w:vAlign w:val="bottom"/>
            <w:tcBorders>
              <w:bottom w:val="single" w:sz="8" w:color="4B5088"/>
            </w:tcBorders>
          </w:tcPr>
          <w:p>
            <w:pPr>
              <w:spacing w:after="0"/>
              <w:rPr>
                <w:sz w:val="2"/>
                <w:szCs w:val="2"/>
                <w:color w:val="auto"/>
              </w:rPr>
            </w:pPr>
          </w:p>
        </w:tc>
        <w:tc>
          <w:tcPr>
            <w:tcW w:w="540" w:type="dxa"/>
            <w:vAlign w:val="bottom"/>
            <w:tcBorders>
              <w:bottom w:val="single" w:sz="8" w:color="4B5088"/>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4B5088"/>
            </w:tcBorders>
          </w:tcPr>
          <w:p>
            <w:pPr>
              <w:spacing w:after="0"/>
              <w:rPr>
                <w:sz w:val="2"/>
                <w:szCs w:val="2"/>
                <w:color w:val="auto"/>
              </w:rPr>
            </w:pPr>
          </w:p>
        </w:tc>
        <w:tc>
          <w:tcPr>
            <w:tcW w:w="400" w:type="dxa"/>
            <w:vAlign w:val="bottom"/>
            <w:tcBorders>
              <w:bottom w:val="single" w:sz="8" w:color="4B5088"/>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4B5088"/>
            </w:tcBorders>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4B5088"/>
            </w:tcBorders>
          </w:tcPr>
          <w:p>
            <w:pPr>
              <w:spacing w:after="0"/>
              <w:rPr>
                <w:sz w:val="2"/>
                <w:szCs w:val="2"/>
                <w:color w:val="auto"/>
              </w:rPr>
            </w:pPr>
          </w:p>
        </w:tc>
        <w:tc>
          <w:tcPr>
            <w:tcW w:w="440" w:type="dxa"/>
            <w:vAlign w:val="bottom"/>
            <w:tcBorders>
              <w:bottom w:val="single" w:sz="8" w:color="4B5088"/>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4B5088"/>
            </w:tcBorders>
          </w:tcPr>
          <w:p>
            <w:pPr>
              <w:spacing w:after="0"/>
              <w:rPr>
                <w:sz w:val="2"/>
                <w:szCs w:val="2"/>
                <w:color w:val="auto"/>
              </w:rPr>
            </w:pPr>
          </w:p>
        </w:tc>
        <w:tc>
          <w:tcPr>
            <w:tcW w:w="380" w:type="dxa"/>
            <w:vAlign w:val="bottom"/>
            <w:tcBorders>
              <w:bottom w:val="single" w:sz="8" w:color="4B5088"/>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4B5088"/>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4B5088"/>
            </w:tcBorders>
          </w:tcPr>
          <w:p>
            <w:pPr>
              <w:spacing w:after="0"/>
              <w:rPr>
                <w:sz w:val="2"/>
                <w:szCs w:val="2"/>
                <w:color w:val="auto"/>
              </w:rPr>
            </w:pPr>
          </w:p>
        </w:tc>
        <w:tc>
          <w:tcPr>
            <w:tcW w:w="320" w:type="dxa"/>
            <w:vAlign w:val="bottom"/>
            <w:tcBorders>
              <w:bottom w:val="single" w:sz="8" w:color="4B5088"/>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4B5088"/>
            </w:tcBorders>
          </w:tcPr>
          <w:p>
            <w:pPr>
              <w:spacing w:after="0"/>
              <w:rPr>
                <w:sz w:val="2"/>
                <w:szCs w:val="2"/>
                <w:color w:val="auto"/>
              </w:rPr>
            </w:pPr>
          </w:p>
        </w:tc>
        <w:tc>
          <w:tcPr>
            <w:tcW w:w="480" w:type="dxa"/>
            <w:vAlign w:val="bottom"/>
            <w:tcBorders>
              <w:bottom w:val="single" w:sz="8" w:color="4B5088"/>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3"/>
          </w:tcPr>
          <w:p>
            <w:pPr>
              <w:ind w:left="40"/>
              <w:spacing w:after="0"/>
              <w:rPr>
                <w:sz w:val="20"/>
                <w:szCs w:val="20"/>
                <w:color w:val="auto"/>
              </w:rPr>
            </w:pPr>
            <w:r>
              <w:rPr>
                <w:rFonts w:ascii="Arial" w:cs="Arial" w:eastAsia="Arial" w:hAnsi="Arial"/>
                <w:sz w:val="13"/>
                <w:szCs w:val="13"/>
                <w:color w:val="auto"/>
              </w:rPr>
              <w:t>​01/29/2024</w:t>
            </w:r>
          </w:p>
        </w:tc>
        <w:tc>
          <w:tcPr>
            <w:tcW w:w="760" w:type="dxa"/>
            <w:vAlign w:val="bottom"/>
            <w:gridSpan w:val="3"/>
          </w:tcPr>
          <w:p>
            <w:pPr>
              <w:ind w:left="40"/>
              <w:spacing w:after="0"/>
              <w:rPr>
                <w:sz w:val="20"/>
                <w:szCs w:val="20"/>
                <w:color w:val="auto"/>
              </w:rPr>
            </w:pPr>
            <w:r>
              <w:rPr>
                <w:rFonts w:ascii="Arial" w:cs="Arial" w:eastAsia="Arial" w:hAnsi="Arial"/>
                <w:sz w:val="13"/>
                <w:szCs w:val="13"/>
                <w:color w:val="auto"/>
              </w:rPr>
              <w:t>​01/29/2024</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46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200" w:type="dxa"/>
            <w:vAlign w:val="bottom"/>
          </w:tcPr>
          <w:p>
            <w:pPr>
              <w:ind w:left="80"/>
              <w:spacing w:after="0"/>
              <w:rPr>
                <w:sz w:val="20"/>
                <w:szCs w:val="20"/>
                <w:color w:val="auto"/>
              </w:rPr>
            </w:pPr>
            <w:r>
              <w:rPr>
                <w:rFonts w:ascii="Arial" w:cs="Arial" w:eastAsia="Arial" w:hAnsi="Arial"/>
                <w:sz w:val="13"/>
                <w:szCs w:val="13"/>
                <w:color w:val="auto"/>
              </w:rPr>
              <w:t>​</w:t>
            </w:r>
          </w:p>
        </w:tc>
        <w:tc>
          <w:tcPr>
            <w:tcW w:w="56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ind w:left="80"/>
              <w:spacing w:after="0"/>
              <w:rPr>
                <w:sz w:val="20"/>
                <w:szCs w:val="20"/>
                <w:color w:val="auto"/>
              </w:rPr>
            </w:pPr>
            <w:r>
              <w:rPr>
                <w:rFonts w:ascii="Arial" w:cs="Arial" w:eastAsia="Arial" w:hAnsi="Arial"/>
                <w:sz w:val="1"/>
                <w:szCs w:val="1"/>
                <w:color w:val="auto"/>
                <w:w w:val="4294942296"/>
              </w:rPr>
              <w:t>​</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60" w:type="dxa"/>
            <w:vAlign w:val="bottom"/>
          </w:tcPr>
          <w:p>
            <w:pPr>
              <w:ind w:left="12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5,619</w:t>
            </w:r>
          </w:p>
        </w:tc>
        <w:tc>
          <w:tcPr>
            <w:tcW w:w="140" w:type="dxa"/>
            <w:vAlign w:val="bottom"/>
          </w:tcPr>
          <w:p>
            <w:pPr>
              <w:jc w:val="right"/>
              <w:spacing w:after="0"/>
              <w:rPr>
                <w:sz w:val="20"/>
                <w:szCs w:val="20"/>
                <w:color w:val="auto"/>
              </w:rPr>
            </w:pPr>
            <w:r>
              <w:rPr>
                <w:rFonts w:ascii="Arial" w:cs="Arial" w:eastAsia="Arial" w:hAnsi="Arial"/>
                <w:sz w:val="8"/>
                <w:szCs w:val="8"/>
                <w:color w:val="auto"/>
                <w:w w:val="81"/>
              </w:rPr>
              <w:t>(2)</w:t>
            </w:r>
          </w:p>
        </w:tc>
        <w:tc>
          <w:tcPr>
            <w:tcW w:w="460" w:type="dxa"/>
            <w:vAlign w:val="bottom"/>
            <w:gridSpan w:val="2"/>
          </w:tcPr>
          <w:p>
            <w:pPr>
              <w:spacing w:after="0"/>
              <w:rPr>
                <w:sz w:val="20"/>
                <w:szCs w:val="20"/>
                <w:color w:val="auto"/>
              </w:rPr>
            </w:pPr>
            <w:r>
              <w:rPr>
                <w:rFonts w:ascii="Arial" w:cs="Arial" w:eastAsia="Arial" w:hAnsi="Arial"/>
                <w:sz w:val="13"/>
                <w:szCs w:val="13"/>
                <w:color w:val="auto"/>
              </w:rPr>
              <w:t>​ 11,988</w:t>
            </w:r>
          </w:p>
        </w:tc>
        <w:tc>
          <w:tcPr>
            <w:tcW w:w="140" w:type="dxa"/>
            <w:vAlign w:val="bottom"/>
          </w:tcPr>
          <w:p>
            <w:pPr>
              <w:jc w:val="right"/>
              <w:spacing w:after="0"/>
              <w:rPr>
                <w:sz w:val="20"/>
                <w:szCs w:val="20"/>
                <w:color w:val="auto"/>
              </w:rPr>
            </w:pPr>
            <w:r>
              <w:rPr>
                <w:rFonts w:ascii="Arial" w:cs="Arial" w:eastAsia="Arial" w:hAnsi="Arial"/>
                <w:sz w:val="8"/>
                <w:szCs w:val="8"/>
                <w:color w:val="auto"/>
                <w:w w:val="81"/>
              </w:rPr>
              <w:t>(2)</w:t>
            </w: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26,972</w:t>
            </w:r>
          </w:p>
        </w:tc>
        <w:tc>
          <w:tcPr>
            <w:tcW w:w="100" w:type="dxa"/>
            <w:vAlign w:val="bottom"/>
          </w:tcPr>
          <w:p>
            <w:pPr>
              <w:jc w:val="right"/>
              <w:spacing w:after="0"/>
              <w:rPr>
                <w:sz w:val="20"/>
                <w:szCs w:val="20"/>
                <w:color w:val="auto"/>
              </w:rPr>
            </w:pPr>
            <w:r>
              <w:rPr>
                <w:rFonts w:ascii="Arial" w:cs="Arial" w:eastAsia="Arial" w:hAnsi="Arial"/>
                <w:sz w:val="8"/>
                <w:szCs w:val="8"/>
                <w:color w:val="auto"/>
                <w:w w:val="81"/>
              </w:rPr>
              <w:t>(2)</w:t>
            </w:r>
          </w:p>
        </w:tc>
        <w:tc>
          <w:tcPr>
            <w:tcW w:w="160" w:type="dxa"/>
            <w:vAlign w:val="bottom"/>
          </w:tcPr>
          <w:p>
            <w:pPr>
              <w:ind w:left="8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ind w:left="100"/>
              <w:spacing w:after="0"/>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w w:val="97"/>
              </w:rPr>
              <w:t>637,800</w:t>
            </w:r>
          </w:p>
        </w:tc>
        <w:tc>
          <w:tcPr>
            <w:tcW w:w="0" w:type="dxa"/>
            <w:vAlign w:val="bottom"/>
          </w:tcPr>
          <w:p>
            <w:pPr>
              <w:spacing w:after="0"/>
              <w:rPr>
                <w:sz w:val="1"/>
                <w:szCs w:val="1"/>
                <w:color w:val="auto"/>
              </w:rPr>
            </w:pPr>
          </w:p>
        </w:tc>
      </w:tr>
      <w:tr>
        <w:trPr>
          <w:trHeight w:val="41"/>
        </w:trPr>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4B5088"/>
            </w:tcBorders>
          </w:tcPr>
          <w:p>
            <w:pPr>
              <w:spacing w:after="0"/>
              <w:rPr>
                <w:sz w:val="3"/>
                <w:szCs w:val="3"/>
                <w:color w:val="auto"/>
              </w:rPr>
            </w:pPr>
          </w:p>
        </w:tc>
        <w:tc>
          <w:tcPr>
            <w:tcW w:w="580" w:type="dxa"/>
            <w:vAlign w:val="bottom"/>
            <w:tcBorders>
              <w:bottom w:val="single" w:sz="8" w:color="4B5088"/>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Borders>
              <w:bottom w:val="single" w:sz="8" w:color="4B5088"/>
            </w:tcBorders>
          </w:tcPr>
          <w:p>
            <w:pPr>
              <w:spacing w:after="0"/>
              <w:rPr>
                <w:sz w:val="3"/>
                <w:szCs w:val="3"/>
                <w:color w:val="auto"/>
              </w:rPr>
            </w:pPr>
          </w:p>
        </w:tc>
        <w:tc>
          <w:tcPr>
            <w:tcW w:w="540" w:type="dxa"/>
            <w:vAlign w:val="bottom"/>
            <w:tcBorders>
              <w:bottom w:val="single" w:sz="8" w:color="4B5088"/>
            </w:tcBorders>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Borders>
              <w:bottom w:val="single" w:sz="8" w:color="4B5088"/>
            </w:tcBorders>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4B5088"/>
            </w:tcBorders>
          </w:tcPr>
          <w:p>
            <w:pPr>
              <w:spacing w:after="0"/>
              <w:rPr>
                <w:sz w:val="3"/>
                <w:szCs w:val="3"/>
                <w:color w:val="auto"/>
              </w:rPr>
            </w:pPr>
          </w:p>
        </w:tc>
        <w:tc>
          <w:tcPr>
            <w:tcW w:w="640" w:type="dxa"/>
            <w:vAlign w:val="bottom"/>
            <w:tcBorders>
              <w:bottom w:val="single" w:sz="8" w:color="4B5088"/>
            </w:tcBorders>
            <w:gridSpan w:val="2"/>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4B5088"/>
            </w:tcBorders>
          </w:tcPr>
          <w:p>
            <w:pPr>
              <w:spacing w:after="0"/>
              <w:rPr>
                <w:sz w:val="3"/>
                <w:szCs w:val="3"/>
                <w:color w:val="auto"/>
              </w:rPr>
            </w:pPr>
          </w:p>
        </w:tc>
        <w:tc>
          <w:tcPr>
            <w:tcW w:w="640" w:type="dxa"/>
            <w:vAlign w:val="bottom"/>
            <w:tcBorders>
              <w:bottom w:val="single" w:sz="8" w:color="4B5088"/>
            </w:tcBorders>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4B5088"/>
            </w:tcBorders>
          </w:tcPr>
          <w:p>
            <w:pPr>
              <w:spacing w:after="0"/>
              <w:rPr>
                <w:sz w:val="3"/>
                <w:szCs w:val="3"/>
                <w:color w:val="auto"/>
              </w:rPr>
            </w:pPr>
          </w:p>
        </w:tc>
        <w:tc>
          <w:tcPr>
            <w:tcW w:w="400" w:type="dxa"/>
            <w:vAlign w:val="bottom"/>
            <w:tcBorders>
              <w:bottom w:val="single" w:sz="8" w:color="4B5088"/>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Borders>
              <w:bottom w:val="single" w:sz="8" w:color="4B5088"/>
            </w:tcBorders>
          </w:tcPr>
          <w:p>
            <w:pPr>
              <w:spacing w:after="0"/>
              <w:rPr>
                <w:sz w:val="3"/>
                <w:szCs w:val="3"/>
                <w:color w:val="auto"/>
              </w:rPr>
            </w:pPr>
          </w:p>
        </w:tc>
        <w:tc>
          <w:tcPr>
            <w:tcW w:w="380" w:type="dxa"/>
            <w:vAlign w:val="bottom"/>
            <w:tcBorders>
              <w:bottom w:val="single" w:sz="8" w:color="4B5088"/>
            </w:tcBorders>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Borders>
              <w:bottom w:val="single" w:sz="8" w:color="4B5088"/>
            </w:tcBorders>
          </w:tcPr>
          <w:p>
            <w:pPr>
              <w:spacing w:after="0"/>
              <w:rPr>
                <w:sz w:val="3"/>
                <w:szCs w:val="3"/>
                <w:color w:val="auto"/>
              </w:rPr>
            </w:pPr>
          </w:p>
        </w:tc>
        <w:tc>
          <w:tcPr>
            <w:tcW w:w="440" w:type="dxa"/>
            <w:vAlign w:val="bottom"/>
            <w:tcBorders>
              <w:bottom w:val="single" w:sz="8" w:color="4B5088"/>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4B5088"/>
            </w:tcBorders>
          </w:tcPr>
          <w:p>
            <w:pPr>
              <w:spacing w:after="0"/>
              <w:rPr>
                <w:sz w:val="3"/>
                <w:szCs w:val="3"/>
                <w:color w:val="auto"/>
              </w:rPr>
            </w:pPr>
          </w:p>
        </w:tc>
        <w:tc>
          <w:tcPr>
            <w:tcW w:w="380" w:type="dxa"/>
            <w:vAlign w:val="bottom"/>
            <w:tcBorders>
              <w:bottom w:val="single" w:sz="8" w:color="4B5088"/>
            </w:tcBorders>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bottom w:val="single" w:sz="8" w:color="4B5088"/>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4B5088"/>
            </w:tcBorders>
          </w:tcPr>
          <w:p>
            <w:pPr>
              <w:spacing w:after="0"/>
              <w:rPr>
                <w:sz w:val="3"/>
                <w:szCs w:val="3"/>
                <w:color w:val="auto"/>
              </w:rPr>
            </w:pPr>
          </w:p>
        </w:tc>
        <w:tc>
          <w:tcPr>
            <w:tcW w:w="320" w:type="dxa"/>
            <w:vAlign w:val="bottom"/>
            <w:tcBorders>
              <w:bottom w:val="single" w:sz="8" w:color="4B5088"/>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4B5088"/>
            </w:tcBorders>
          </w:tcPr>
          <w:p>
            <w:pPr>
              <w:spacing w:after="0"/>
              <w:rPr>
                <w:sz w:val="3"/>
                <w:szCs w:val="3"/>
                <w:color w:val="auto"/>
              </w:rPr>
            </w:pPr>
          </w:p>
        </w:tc>
        <w:tc>
          <w:tcPr>
            <w:tcW w:w="480" w:type="dxa"/>
            <w:vAlign w:val="bottom"/>
            <w:tcBorders>
              <w:bottom w:val="single" w:sz="8" w:color="4B5088"/>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ind w:left="4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80"/>
              <w:spacing w:after="0"/>
              <w:rPr>
                <w:sz w:val="20"/>
                <w:szCs w:val="20"/>
                <w:color w:val="auto"/>
              </w:rPr>
            </w:pPr>
            <w:r>
              <w:rPr>
                <w:rFonts w:ascii="Arial" w:cs="Arial" w:eastAsia="Arial" w:hAnsi="Arial"/>
                <w:sz w:val="13"/>
                <w:szCs w:val="13"/>
                <w:color w:val="auto"/>
              </w:rPr>
              <w:t>N/A</w:t>
            </w: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340"/>
              <w:spacing w:after="0"/>
              <w:rPr>
                <w:sz w:val="20"/>
                <w:szCs w:val="20"/>
                <w:color w:val="auto"/>
              </w:rPr>
            </w:pPr>
            <w:r>
              <w:rPr>
                <w:rFonts w:ascii="Arial" w:cs="Arial" w:eastAsia="Arial" w:hAnsi="Arial"/>
                <w:sz w:val="13"/>
                <w:szCs w:val="13"/>
                <w:color w:val="auto"/>
              </w:rPr>
              <w:t>N/A</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w w:val="99"/>
              </w:rPr>
              <w:t>$300,000</w:t>
            </w:r>
          </w:p>
        </w:tc>
        <w:tc>
          <w:tcPr>
            <w:tcW w:w="80" w:type="dxa"/>
            <w:vAlign w:val="bottom"/>
          </w:tcPr>
          <w:p>
            <w:pPr>
              <w:jc w:val="right"/>
              <w:spacing w:after="0"/>
              <w:rPr>
                <w:sz w:val="20"/>
                <w:szCs w:val="20"/>
                <w:color w:val="auto"/>
              </w:rPr>
            </w:pPr>
            <w:r>
              <w:rPr>
                <w:rFonts w:ascii="Arial" w:cs="Arial" w:eastAsia="Arial" w:hAnsi="Arial"/>
                <w:sz w:val="6"/>
                <w:szCs w:val="6"/>
                <w:color w:val="auto"/>
                <w:w w:val="81"/>
              </w:rPr>
              <w:t>(5)</w:t>
            </w:r>
          </w:p>
        </w:tc>
        <w:tc>
          <w:tcPr>
            <w:tcW w:w="2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w w:val="95"/>
              </w:rPr>
              <w:t>$1,050,000</w:t>
            </w:r>
          </w:p>
        </w:tc>
        <w:tc>
          <w:tcPr>
            <w:tcW w:w="100" w:type="dxa"/>
            <w:vAlign w:val="bottom"/>
          </w:tcPr>
          <w:p>
            <w:pPr>
              <w:jc w:val="right"/>
              <w:spacing w:after="0"/>
              <w:rPr>
                <w:sz w:val="20"/>
                <w:szCs w:val="20"/>
                <w:color w:val="auto"/>
              </w:rPr>
            </w:pPr>
            <w:r>
              <w:rPr>
                <w:rFonts w:ascii="Arial" w:cs="Arial" w:eastAsia="Arial" w:hAnsi="Arial"/>
                <w:sz w:val="8"/>
                <w:szCs w:val="8"/>
                <w:color w:val="auto"/>
                <w:w w:val="81"/>
              </w:rPr>
              <w:t>(5)</w:t>
            </w:r>
          </w:p>
        </w:tc>
        <w:tc>
          <w:tcPr>
            <w:tcW w:w="2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w w:val="95"/>
              </w:rPr>
              <w:t>$1,500,000</w:t>
            </w:r>
          </w:p>
        </w:tc>
        <w:tc>
          <w:tcPr>
            <w:tcW w:w="100" w:type="dxa"/>
            <w:vAlign w:val="bottom"/>
          </w:tcPr>
          <w:p>
            <w:pPr>
              <w:jc w:val="right"/>
              <w:spacing w:after="0"/>
              <w:rPr>
                <w:sz w:val="20"/>
                <w:szCs w:val="20"/>
                <w:color w:val="auto"/>
              </w:rPr>
            </w:pPr>
            <w:r>
              <w:rPr>
                <w:rFonts w:ascii="Arial" w:cs="Arial" w:eastAsia="Arial" w:hAnsi="Arial"/>
                <w:sz w:val="8"/>
                <w:szCs w:val="8"/>
                <w:color w:val="auto"/>
                <w:w w:val="81"/>
              </w:rPr>
              <w:t>(5)</w:t>
            </w:r>
          </w:p>
        </w:tc>
        <w:tc>
          <w:tcPr>
            <w:tcW w:w="160" w:type="dxa"/>
            <w:vAlign w:val="bottom"/>
          </w:tcPr>
          <w:p>
            <w:pPr>
              <w:ind w:left="12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center"/>
              <w:ind w:left="59"/>
              <w:spacing w:after="0"/>
              <w:rPr>
                <w:sz w:val="20"/>
                <w:szCs w:val="20"/>
                <w:color w:val="auto"/>
              </w:rPr>
            </w:pPr>
            <w:r>
              <w:rPr>
                <w:rFonts w:ascii="Arial" w:cs="Arial" w:eastAsia="Arial" w:hAnsi="Arial"/>
                <w:sz w:val="13"/>
                <w:szCs w:val="13"/>
                <w:color w:val="auto"/>
                <w:w w:val="91"/>
              </w:rPr>
              <w:t>—</w:t>
            </w: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ind w:left="100"/>
              <w:spacing w:after="0"/>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1"/>
        </w:trPr>
        <w:tc>
          <w:tcPr>
            <w:tcW w:w="720" w:type="dxa"/>
            <w:vAlign w:val="bottom"/>
            <w:tcBorders>
              <w:bottom w:val="single" w:sz="8" w:color="4B5088"/>
            </w:tcBorders>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Borders>
              <w:bottom w:val="single" w:sz="8" w:color="4B5088"/>
            </w:tcBorders>
            <w:gridSpan w:val="2"/>
          </w:tcPr>
          <w:p>
            <w:pPr>
              <w:spacing w:after="0"/>
              <w:rPr>
                <w:sz w:val="3"/>
                <w:szCs w:val="3"/>
                <w:color w:val="auto"/>
              </w:rPr>
            </w:pPr>
          </w:p>
        </w:tc>
        <w:tc>
          <w:tcPr>
            <w:tcW w:w="60" w:type="dxa"/>
            <w:vAlign w:val="bottom"/>
            <w:tcBorders>
              <w:bottom w:val="single" w:sz="8" w:color="E9F9D8"/>
            </w:tcBorders>
          </w:tcPr>
          <w:p>
            <w:pPr>
              <w:spacing w:after="0"/>
              <w:rPr>
                <w:sz w:val="3"/>
                <w:szCs w:val="3"/>
                <w:color w:val="auto"/>
              </w:rPr>
            </w:pPr>
          </w:p>
        </w:tc>
        <w:tc>
          <w:tcPr>
            <w:tcW w:w="680" w:type="dxa"/>
            <w:vAlign w:val="bottom"/>
            <w:tcBorders>
              <w:bottom w:val="single" w:sz="8" w:color="4B5088"/>
            </w:tcBorders>
            <w:gridSpan w:val="2"/>
          </w:tcPr>
          <w:p>
            <w:pPr>
              <w:spacing w:after="0"/>
              <w:rPr>
                <w:sz w:val="3"/>
                <w:szCs w:val="3"/>
                <w:color w:val="auto"/>
              </w:rPr>
            </w:pPr>
          </w:p>
        </w:tc>
        <w:tc>
          <w:tcPr>
            <w:tcW w:w="80" w:type="dxa"/>
            <w:vAlign w:val="bottom"/>
            <w:tcBorders>
              <w:bottom w:val="single" w:sz="8" w:color="E9F9D8"/>
            </w:tcBorders>
          </w:tcPr>
          <w:p>
            <w:pPr>
              <w:spacing w:after="0"/>
              <w:rPr>
                <w:sz w:val="3"/>
                <w:szCs w:val="3"/>
                <w:color w:val="auto"/>
              </w:rPr>
            </w:pPr>
          </w:p>
        </w:tc>
        <w:tc>
          <w:tcPr>
            <w:tcW w:w="200" w:type="dxa"/>
            <w:vAlign w:val="bottom"/>
            <w:tcBorders>
              <w:bottom w:val="single" w:sz="8" w:color="4B5088"/>
            </w:tcBorders>
          </w:tcPr>
          <w:p>
            <w:pPr>
              <w:spacing w:after="0"/>
              <w:rPr>
                <w:sz w:val="3"/>
                <w:szCs w:val="3"/>
                <w:color w:val="auto"/>
              </w:rPr>
            </w:pPr>
          </w:p>
        </w:tc>
        <w:tc>
          <w:tcPr>
            <w:tcW w:w="360" w:type="dxa"/>
            <w:vAlign w:val="bottom"/>
            <w:tcBorders>
              <w:bottom w:val="single" w:sz="8" w:color="4B5088"/>
            </w:tcBorders>
          </w:tcPr>
          <w:p>
            <w:pPr>
              <w:spacing w:after="0"/>
              <w:rPr>
                <w:sz w:val="3"/>
                <w:szCs w:val="3"/>
                <w:color w:val="auto"/>
              </w:rPr>
            </w:pPr>
          </w:p>
        </w:tc>
        <w:tc>
          <w:tcPr>
            <w:tcW w:w="80" w:type="dxa"/>
            <w:vAlign w:val="bottom"/>
            <w:tcBorders>
              <w:bottom w:val="single" w:sz="8" w:color="E9F9D8"/>
            </w:tcBorders>
          </w:tcPr>
          <w:p>
            <w:pPr>
              <w:spacing w:after="0"/>
              <w:rPr>
                <w:sz w:val="3"/>
                <w:szCs w:val="3"/>
                <w:color w:val="auto"/>
              </w:rPr>
            </w:pPr>
          </w:p>
        </w:tc>
        <w:tc>
          <w:tcPr>
            <w:tcW w:w="20" w:type="dxa"/>
            <w:vAlign w:val="bottom"/>
            <w:tcBorders>
              <w:bottom w:val="single" w:sz="8" w:color="4B5088"/>
            </w:tcBorders>
          </w:tcPr>
          <w:p>
            <w:pPr>
              <w:spacing w:after="0"/>
              <w:rPr>
                <w:sz w:val="3"/>
                <w:szCs w:val="3"/>
                <w:color w:val="auto"/>
              </w:rPr>
            </w:pPr>
          </w:p>
        </w:tc>
        <w:tc>
          <w:tcPr>
            <w:tcW w:w="200" w:type="dxa"/>
            <w:vAlign w:val="bottom"/>
            <w:tcBorders>
              <w:bottom w:val="single" w:sz="8" w:color="4B5088"/>
            </w:tcBorders>
          </w:tcPr>
          <w:p>
            <w:pPr>
              <w:spacing w:after="0"/>
              <w:rPr>
                <w:sz w:val="3"/>
                <w:szCs w:val="3"/>
                <w:color w:val="auto"/>
              </w:rPr>
            </w:pPr>
          </w:p>
        </w:tc>
        <w:tc>
          <w:tcPr>
            <w:tcW w:w="440" w:type="dxa"/>
            <w:vAlign w:val="bottom"/>
            <w:tcBorders>
              <w:bottom w:val="single" w:sz="8" w:color="4B5088"/>
            </w:tcBorders>
          </w:tcPr>
          <w:p>
            <w:pPr>
              <w:spacing w:after="0"/>
              <w:rPr>
                <w:sz w:val="3"/>
                <w:szCs w:val="3"/>
                <w:color w:val="auto"/>
              </w:rPr>
            </w:pPr>
          </w:p>
        </w:tc>
        <w:tc>
          <w:tcPr>
            <w:tcW w:w="100" w:type="dxa"/>
            <w:vAlign w:val="bottom"/>
            <w:tcBorders>
              <w:bottom w:val="single" w:sz="8" w:color="E9F9D8"/>
            </w:tcBorders>
          </w:tcPr>
          <w:p>
            <w:pPr>
              <w:spacing w:after="0"/>
              <w:rPr>
                <w:sz w:val="3"/>
                <w:szCs w:val="3"/>
                <w:color w:val="auto"/>
              </w:rPr>
            </w:pPr>
          </w:p>
        </w:tc>
        <w:tc>
          <w:tcPr>
            <w:tcW w:w="20" w:type="dxa"/>
            <w:vAlign w:val="bottom"/>
            <w:tcBorders>
              <w:bottom w:val="single" w:sz="8" w:color="4B5088"/>
            </w:tcBorders>
          </w:tcPr>
          <w:p>
            <w:pPr>
              <w:spacing w:after="0"/>
              <w:rPr>
                <w:sz w:val="3"/>
                <w:szCs w:val="3"/>
                <w:color w:val="auto"/>
              </w:rPr>
            </w:pPr>
          </w:p>
        </w:tc>
        <w:tc>
          <w:tcPr>
            <w:tcW w:w="100" w:type="dxa"/>
            <w:vAlign w:val="bottom"/>
            <w:tcBorders>
              <w:bottom w:val="single" w:sz="8" w:color="4B5088"/>
            </w:tcBorders>
          </w:tcPr>
          <w:p>
            <w:pPr>
              <w:spacing w:after="0"/>
              <w:rPr>
                <w:sz w:val="3"/>
                <w:szCs w:val="3"/>
                <w:color w:val="auto"/>
              </w:rPr>
            </w:pPr>
          </w:p>
        </w:tc>
        <w:tc>
          <w:tcPr>
            <w:tcW w:w="540" w:type="dxa"/>
            <w:vAlign w:val="bottom"/>
            <w:tcBorders>
              <w:bottom w:val="single" w:sz="8" w:color="4B5088"/>
            </w:tcBorders>
          </w:tcPr>
          <w:p>
            <w:pPr>
              <w:spacing w:after="0"/>
              <w:rPr>
                <w:sz w:val="3"/>
                <w:szCs w:val="3"/>
                <w:color w:val="auto"/>
              </w:rPr>
            </w:pPr>
          </w:p>
        </w:tc>
        <w:tc>
          <w:tcPr>
            <w:tcW w:w="100" w:type="dxa"/>
            <w:vAlign w:val="bottom"/>
            <w:tcBorders>
              <w:bottom w:val="single" w:sz="8" w:color="E9F9D8"/>
            </w:tcBorders>
          </w:tcPr>
          <w:p>
            <w:pPr>
              <w:spacing w:after="0"/>
              <w:rPr>
                <w:sz w:val="3"/>
                <w:szCs w:val="3"/>
                <w:color w:val="auto"/>
              </w:rPr>
            </w:pPr>
          </w:p>
        </w:tc>
        <w:tc>
          <w:tcPr>
            <w:tcW w:w="160" w:type="dxa"/>
            <w:vAlign w:val="bottom"/>
            <w:tcBorders>
              <w:bottom w:val="single" w:sz="8" w:color="4B5088"/>
            </w:tcBorders>
          </w:tcPr>
          <w:p>
            <w:pPr>
              <w:spacing w:after="0"/>
              <w:rPr>
                <w:sz w:val="3"/>
                <w:szCs w:val="3"/>
                <w:color w:val="auto"/>
              </w:rPr>
            </w:pPr>
          </w:p>
        </w:tc>
        <w:tc>
          <w:tcPr>
            <w:tcW w:w="400" w:type="dxa"/>
            <w:vAlign w:val="bottom"/>
            <w:tcBorders>
              <w:bottom w:val="single" w:sz="8" w:color="4B5088"/>
            </w:tcBorders>
          </w:tcPr>
          <w:p>
            <w:pPr>
              <w:spacing w:after="0"/>
              <w:rPr>
                <w:sz w:val="3"/>
                <w:szCs w:val="3"/>
                <w:color w:val="auto"/>
              </w:rPr>
            </w:pPr>
          </w:p>
        </w:tc>
        <w:tc>
          <w:tcPr>
            <w:tcW w:w="140" w:type="dxa"/>
            <w:vAlign w:val="bottom"/>
            <w:tcBorders>
              <w:bottom w:val="single" w:sz="8" w:color="E9F9D8"/>
            </w:tcBorders>
          </w:tcPr>
          <w:p>
            <w:pPr>
              <w:spacing w:after="0"/>
              <w:rPr>
                <w:sz w:val="3"/>
                <w:szCs w:val="3"/>
                <w:color w:val="auto"/>
              </w:rPr>
            </w:pPr>
          </w:p>
        </w:tc>
        <w:tc>
          <w:tcPr>
            <w:tcW w:w="80" w:type="dxa"/>
            <w:vAlign w:val="bottom"/>
            <w:tcBorders>
              <w:bottom w:val="single" w:sz="8" w:color="4B5088"/>
            </w:tcBorders>
          </w:tcPr>
          <w:p>
            <w:pPr>
              <w:spacing w:after="0"/>
              <w:rPr>
                <w:sz w:val="3"/>
                <w:szCs w:val="3"/>
                <w:color w:val="auto"/>
              </w:rPr>
            </w:pPr>
          </w:p>
        </w:tc>
        <w:tc>
          <w:tcPr>
            <w:tcW w:w="380" w:type="dxa"/>
            <w:vAlign w:val="bottom"/>
            <w:tcBorders>
              <w:bottom w:val="single" w:sz="8" w:color="4B5088"/>
            </w:tcBorders>
          </w:tcPr>
          <w:p>
            <w:pPr>
              <w:spacing w:after="0"/>
              <w:rPr>
                <w:sz w:val="3"/>
                <w:szCs w:val="3"/>
                <w:color w:val="auto"/>
              </w:rPr>
            </w:pPr>
          </w:p>
        </w:tc>
        <w:tc>
          <w:tcPr>
            <w:tcW w:w="140" w:type="dxa"/>
            <w:vAlign w:val="bottom"/>
            <w:tcBorders>
              <w:bottom w:val="single" w:sz="8" w:color="E9F9D8"/>
            </w:tcBorders>
          </w:tcPr>
          <w:p>
            <w:pPr>
              <w:spacing w:after="0"/>
              <w:rPr>
                <w:sz w:val="3"/>
                <w:szCs w:val="3"/>
                <w:color w:val="auto"/>
              </w:rPr>
            </w:pPr>
          </w:p>
        </w:tc>
        <w:tc>
          <w:tcPr>
            <w:tcW w:w="100" w:type="dxa"/>
            <w:vAlign w:val="bottom"/>
            <w:tcBorders>
              <w:bottom w:val="single" w:sz="8" w:color="4B5088"/>
            </w:tcBorders>
          </w:tcPr>
          <w:p>
            <w:pPr>
              <w:spacing w:after="0"/>
              <w:rPr>
                <w:sz w:val="3"/>
                <w:szCs w:val="3"/>
                <w:color w:val="auto"/>
              </w:rPr>
            </w:pPr>
          </w:p>
        </w:tc>
        <w:tc>
          <w:tcPr>
            <w:tcW w:w="440" w:type="dxa"/>
            <w:vAlign w:val="bottom"/>
            <w:tcBorders>
              <w:bottom w:val="single" w:sz="8" w:color="4B5088"/>
            </w:tcBorders>
          </w:tcPr>
          <w:p>
            <w:pPr>
              <w:spacing w:after="0"/>
              <w:rPr>
                <w:sz w:val="3"/>
                <w:szCs w:val="3"/>
                <w:color w:val="auto"/>
              </w:rPr>
            </w:pPr>
          </w:p>
        </w:tc>
        <w:tc>
          <w:tcPr>
            <w:tcW w:w="100" w:type="dxa"/>
            <w:vAlign w:val="bottom"/>
            <w:tcBorders>
              <w:bottom w:val="single" w:sz="8" w:color="E9F9D8"/>
            </w:tcBorders>
          </w:tcPr>
          <w:p>
            <w:pPr>
              <w:spacing w:after="0"/>
              <w:rPr>
                <w:sz w:val="3"/>
                <w:szCs w:val="3"/>
                <w:color w:val="auto"/>
              </w:rPr>
            </w:pPr>
          </w:p>
        </w:tc>
        <w:tc>
          <w:tcPr>
            <w:tcW w:w="540" w:type="dxa"/>
            <w:vAlign w:val="bottom"/>
            <w:tcBorders>
              <w:bottom w:val="single" w:sz="8" w:color="4B5088"/>
            </w:tcBorders>
            <w:gridSpan w:val="2"/>
          </w:tcPr>
          <w:p>
            <w:pPr>
              <w:spacing w:after="0"/>
              <w:rPr>
                <w:sz w:val="3"/>
                <w:szCs w:val="3"/>
                <w:color w:val="auto"/>
              </w:rPr>
            </w:pPr>
          </w:p>
        </w:tc>
        <w:tc>
          <w:tcPr>
            <w:tcW w:w="100" w:type="dxa"/>
            <w:vAlign w:val="bottom"/>
            <w:tcBorders>
              <w:bottom w:val="single" w:sz="8" w:color="E9F9D8"/>
            </w:tcBorders>
          </w:tcPr>
          <w:p>
            <w:pPr>
              <w:spacing w:after="0"/>
              <w:rPr>
                <w:sz w:val="3"/>
                <w:szCs w:val="3"/>
                <w:color w:val="auto"/>
              </w:rPr>
            </w:pPr>
          </w:p>
        </w:tc>
        <w:tc>
          <w:tcPr>
            <w:tcW w:w="680" w:type="dxa"/>
            <w:vAlign w:val="bottom"/>
            <w:tcBorders>
              <w:bottom w:val="single" w:sz="8" w:color="4B5088"/>
            </w:tcBorders>
          </w:tcPr>
          <w:p>
            <w:pPr>
              <w:spacing w:after="0"/>
              <w:rPr>
                <w:sz w:val="3"/>
                <w:szCs w:val="3"/>
                <w:color w:val="auto"/>
              </w:rPr>
            </w:pPr>
          </w:p>
        </w:tc>
        <w:tc>
          <w:tcPr>
            <w:tcW w:w="80" w:type="dxa"/>
            <w:vAlign w:val="bottom"/>
            <w:tcBorders>
              <w:bottom w:val="single" w:sz="8" w:color="E9F9D8"/>
            </w:tcBorders>
          </w:tcPr>
          <w:p>
            <w:pPr>
              <w:spacing w:after="0"/>
              <w:rPr>
                <w:sz w:val="3"/>
                <w:szCs w:val="3"/>
                <w:color w:val="auto"/>
              </w:rPr>
            </w:pPr>
          </w:p>
        </w:tc>
        <w:tc>
          <w:tcPr>
            <w:tcW w:w="160" w:type="dxa"/>
            <w:vAlign w:val="bottom"/>
            <w:tcBorders>
              <w:bottom w:val="single" w:sz="8" w:color="4B5088"/>
            </w:tcBorders>
          </w:tcPr>
          <w:p>
            <w:pPr>
              <w:spacing w:after="0"/>
              <w:rPr>
                <w:sz w:val="3"/>
                <w:szCs w:val="3"/>
                <w:color w:val="auto"/>
              </w:rPr>
            </w:pPr>
          </w:p>
        </w:tc>
        <w:tc>
          <w:tcPr>
            <w:tcW w:w="320" w:type="dxa"/>
            <w:vAlign w:val="bottom"/>
            <w:tcBorders>
              <w:bottom w:val="single" w:sz="8" w:color="4B5088"/>
            </w:tcBorders>
          </w:tcPr>
          <w:p>
            <w:pPr>
              <w:spacing w:after="0"/>
              <w:rPr>
                <w:sz w:val="3"/>
                <w:szCs w:val="3"/>
                <w:color w:val="auto"/>
              </w:rPr>
            </w:pPr>
          </w:p>
        </w:tc>
        <w:tc>
          <w:tcPr>
            <w:tcW w:w="80" w:type="dxa"/>
            <w:vAlign w:val="bottom"/>
            <w:tcBorders>
              <w:bottom w:val="single" w:sz="8" w:color="E9F9D8"/>
            </w:tcBorders>
          </w:tcPr>
          <w:p>
            <w:pPr>
              <w:spacing w:after="0"/>
              <w:rPr>
                <w:sz w:val="3"/>
                <w:szCs w:val="3"/>
                <w:color w:val="auto"/>
              </w:rPr>
            </w:pPr>
          </w:p>
        </w:tc>
        <w:tc>
          <w:tcPr>
            <w:tcW w:w="660" w:type="dxa"/>
            <w:vAlign w:val="bottom"/>
            <w:tcBorders>
              <w:bottom w:val="single" w:sz="8" w:color="4B5088"/>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840" w:type="dxa"/>
            <w:vAlign w:val="bottom"/>
            <w:gridSpan w:val="2"/>
          </w:tcPr>
          <w:p>
            <w:pPr>
              <w:spacing w:after="0"/>
              <w:rPr>
                <w:sz w:val="20"/>
                <w:szCs w:val="20"/>
                <w:color w:val="auto"/>
              </w:rPr>
            </w:pPr>
            <w:r>
              <w:rPr>
                <w:rFonts w:ascii="Arial" w:cs="Arial" w:eastAsia="Arial" w:hAnsi="Arial"/>
                <w:sz w:val="13"/>
                <w:szCs w:val="13"/>
                <w:b w:val="1"/>
                <w:bCs w:val="1"/>
                <w:color w:val="1F2668"/>
              </w:rPr>
              <w:t>Andrew S.</w:t>
            </w:r>
          </w:p>
        </w:tc>
        <w:tc>
          <w:tcPr>
            <w:tcW w:w="740" w:type="dxa"/>
            <w:vAlign w:val="bottom"/>
            <w:gridSpan w:val="3"/>
            <w:shd w:val="clear" w:color="auto" w:fill="E9F9D8"/>
          </w:tcPr>
          <w:p>
            <w:pPr>
              <w:ind w:left="40"/>
              <w:spacing w:after="0"/>
              <w:rPr>
                <w:sz w:val="20"/>
                <w:szCs w:val="20"/>
                <w:color w:val="auto"/>
              </w:rPr>
            </w:pPr>
            <w:r>
              <w:rPr>
                <w:rFonts w:ascii="Arial" w:cs="Arial" w:eastAsia="Arial" w:hAnsi="Arial"/>
                <w:sz w:val="13"/>
                <w:szCs w:val="13"/>
                <w:color w:val="auto"/>
              </w:rPr>
              <w:t>​01/29/2024</w:t>
            </w:r>
          </w:p>
        </w:tc>
        <w:tc>
          <w:tcPr>
            <w:tcW w:w="760" w:type="dxa"/>
            <w:vAlign w:val="bottom"/>
            <w:gridSpan w:val="3"/>
            <w:shd w:val="clear" w:color="auto" w:fill="E9F9D8"/>
          </w:tcPr>
          <w:p>
            <w:pPr>
              <w:ind w:left="40"/>
              <w:spacing w:after="0"/>
              <w:rPr>
                <w:sz w:val="20"/>
                <w:szCs w:val="20"/>
                <w:color w:val="auto"/>
              </w:rPr>
            </w:pPr>
            <w:r>
              <w:rPr>
                <w:rFonts w:ascii="Arial" w:cs="Arial" w:eastAsia="Arial" w:hAnsi="Arial"/>
                <w:sz w:val="13"/>
                <w:szCs w:val="13"/>
                <w:color w:val="auto"/>
              </w:rPr>
              <w:t>​01/29/2024</w:t>
            </w:r>
          </w:p>
        </w:tc>
        <w:tc>
          <w:tcPr>
            <w:tcW w:w="200" w:type="dxa"/>
            <w:vAlign w:val="bottom"/>
            <w:shd w:val="clear" w:color="auto" w:fill="E9F9D8"/>
          </w:tcPr>
          <w:p>
            <w:pPr>
              <w:ind w:left="100"/>
              <w:spacing w:after="0"/>
              <w:rPr>
                <w:sz w:val="20"/>
                <w:szCs w:val="20"/>
                <w:color w:val="auto"/>
              </w:rPr>
            </w:pPr>
            <w:r>
              <w:rPr>
                <w:rFonts w:ascii="Arial" w:cs="Arial" w:eastAsia="Arial" w:hAnsi="Arial"/>
                <w:sz w:val="13"/>
                <w:szCs w:val="13"/>
                <w:color w:val="auto"/>
              </w:rPr>
              <w:t>​</w:t>
            </w:r>
          </w:p>
        </w:tc>
        <w:tc>
          <w:tcPr>
            <w:tcW w:w="460" w:type="dxa"/>
            <w:vAlign w:val="bottom"/>
            <w:gridSpan w:val="3"/>
            <w:shd w:val="clear" w:color="auto" w:fill="E9F9D8"/>
          </w:tcPr>
          <w:p>
            <w:pPr>
              <w:jc w:val="right"/>
              <w:ind w:right="100"/>
              <w:spacing w:after="0"/>
              <w:rPr>
                <w:sz w:val="20"/>
                <w:szCs w:val="20"/>
                <w:color w:val="auto"/>
              </w:rPr>
            </w:pPr>
            <w:r>
              <w:rPr>
                <w:rFonts w:ascii="Arial" w:cs="Arial" w:eastAsia="Arial" w:hAnsi="Arial"/>
                <w:sz w:val="13"/>
                <w:szCs w:val="13"/>
                <w:color w:val="auto"/>
              </w:rPr>
              <w:t>—</w:t>
            </w:r>
          </w:p>
        </w:tc>
        <w:tc>
          <w:tcPr>
            <w:tcW w:w="200" w:type="dxa"/>
            <w:vAlign w:val="bottom"/>
            <w:shd w:val="clear" w:color="auto" w:fill="E9F9D8"/>
          </w:tcPr>
          <w:p>
            <w:pPr>
              <w:ind w:left="80"/>
              <w:spacing w:after="0"/>
              <w:rPr>
                <w:sz w:val="20"/>
                <w:szCs w:val="20"/>
                <w:color w:val="auto"/>
              </w:rPr>
            </w:pPr>
            <w:r>
              <w:rPr>
                <w:rFonts w:ascii="Arial" w:cs="Arial" w:eastAsia="Arial" w:hAnsi="Arial"/>
                <w:sz w:val="13"/>
                <w:szCs w:val="13"/>
                <w:color w:val="auto"/>
              </w:rPr>
              <w:t>​</w:t>
            </w:r>
          </w:p>
        </w:tc>
        <w:tc>
          <w:tcPr>
            <w:tcW w:w="560" w:type="dxa"/>
            <w:vAlign w:val="bottom"/>
            <w:gridSpan w:val="3"/>
            <w:shd w:val="clear" w:color="auto" w:fill="E9F9D8"/>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E9F9D8"/>
          </w:tcPr>
          <w:p>
            <w:pPr>
              <w:ind w:left="80"/>
              <w:spacing w:after="0"/>
              <w:rPr>
                <w:sz w:val="20"/>
                <w:szCs w:val="20"/>
                <w:color w:val="auto"/>
              </w:rPr>
            </w:pPr>
            <w:r>
              <w:rPr>
                <w:rFonts w:ascii="Arial" w:cs="Arial" w:eastAsia="Arial" w:hAnsi="Arial"/>
                <w:sz w:val="1"/>
                <w:szCs w:val="1"/>
                <w:color w:val="auto"/>
                <w:w w:val="4294942296"/>
              </w:rPr>
              <w:t>​</w:t>
            </w:r>
          </w:p>
        </w:tc>
        <w:tc>
          <w:tcPr>
            <w:tcW w:w="640" w:type="dxa"/>
            <w:vAlign w:val="bottom"/>
            <w:gridSpan w:val="2"/>
            <w:shd w:val="clear" w:color="auto" w:fill="E9F9D8"/>
          </w:tcPr>
          <w:p>
            <w:pPr>
              <w:jc w:val="right"/>
              <w:ind w:right="60"/>
              <w:spacing w:after="0"/>
              <w:rPr>
                <w:sz w:val="20"/>
                <w:szCs w:val="20"/>
                <w:color w:val="auto"/>
              </w:rPr>
            </w:pPr>
            <w:r>
              <w:rPr>
                <w:rFonts w:ascii="Arial" w:cs="Arial" w:eastAsia="Arial" w:hAnsi="Arial"/>
                <w:sz w:val="13"/>
                <w:szCs w:val="13"/>
                <w:color w:val="auto"/>
              </w:rPr>
              <w:t>—</w:t>
            </w:r>
          </w:p>
        </w:tc>
        <w:tc>
          <w:tcPr>
            <w:tcW w:w="160" w:type="dxa"/>
            <w:vAlign w:val="bottom"/>
            <w:shd w:val="clear" w:color="auto" w:fill="E9F9D8"/>
          </w:tcPr>
          <w:p>
            <w:pPr>
              <w:ind w:left="12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E9F9D8"/>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E9F9D8"/>
          </w:tcPr>
          <w:p>
            <w:pPr>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E9F9D8"/>
          </w:tcPr>
          <w:p>
            <w:pPr>
              <w:jc w:val="center"/>
              <w:ind w:left="59"/>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E9F9D8"/>
          </w:tcPr>
          <w:p>
            <w:pPr>
              <w:ind w:left="2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E9F9D8"/>
          </w:tcPr>
          <w:p>
            <w:pPr>
              <w:jc w:val="right"/>
              <w:ind w:right="60"/>
              <w:spacing w:after="0"/>
              <w:rPr>
                <w:sz w:val="20"/>
                <w:szCs w:val="20"/>
                <w:color w:val="auto"/>
              </w:rPr>
            </w:pPr>
            <w:r>
              <w:rPr>
                <w:rFonts w:ascii="Arial" w:cs="Arial" w:eastAsia="Arial" w:hAnsi="Arial"/>
                <w:sz w:val="13"/>
                <w:szCs w:val="13"/>
                <w:color w:val="auto"/>
              </w:rPr>
              <w:t>—</w:t>
            </w:r>
          </w:p>
        </w:tc>
        <w:tc>
          <w:tcPr>
            <w:tcW w:w="640" w:type="dxa"/>
            <w:vAlign w:val="bottom"/>
            <w:gridSpan w:val="3"/>
            <w:shd w:val="clear" w:color="auto" w:fill="E9F9D8"/>
          </w:tcPr>
          <w:p>
            <w:pPr>
              <w:ind w:left="80"/>
              <w:spacing w:after="0" w:line="151" w:lineRule="exact"/>
              <w:rPr>
                <w:sz w:val="20"/>
                <w:szCs w:val="20"/>
                <w:color w:val="auto"/>
              </w:rPr>
            </w:pPr>
            <w:r>
              <w:rPr>
                <w:rFonts w:ascii="Arial" w:cs="Arial" w:eastAsia="Arial" w:hAnsi="Arial"/>
                <w:sz w:val="13"/>
                <w:szCs w:val="13"/>
                <w:color w:val="auto"/>
                <w:w w:val="95"/>
              </w:rPr>
              <w:t>​ 28,050</w:t>
            </w:r>
            <w:r>
              <w:rPr>
                <w:rFonts w:ascii="Arial" w:cs="Arial" w:eastAsia="Arial" w:hAnsi="Arial"/>
                <w:sz w:val="16"/>
                <w:szCs w:val="16"/>
                <w:color w:val="auto"/>
                <w:w w:val="95"/>
                <w:vertAlign w:val="superscript"/>
              </w:rPr>
              <w:t>(1)</w:t>
            </w:r>
          </w:p>
        </w:tc>
        <w:tc>
          <w:tcPr>
            <w:tcW w:w="760" w:type="dxa"/>
            <w:vAlign w:val="bottom"/>
            <w:gridSpan w:val="2"/>
            <w:shd w:val="clear" w:color="auto" w:fill="E9F9D8"/>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shd w:val="clear" w:color="auto" w:fill="E9F9D8"/>
          </w:tcPr>
          <w:p>
            <w:pPr>
              <w:ind w:left="100"/>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E9F9D8"/>
          </w:tcPr>
          <w:p>
            <w:pPr>
              <w:jc w:val="right"/>
              <w:ind w:right="8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E9F9D8"/>
          </w:tcPr>
          <w:p>
            <w:pPr>
              <w:jc w:val="right"/>
              <w:spacing w:after="0"/>
              <w:rPr>
                <w:sz w:val="20"/>
                <w:szCs w:val="20"/>
                <w:color w:val="auto"/>
              </w:rPr>
            </w:pPr>
            <w:r>
              <w:rPr>
                <w:rFonts w:ascii="Arial" w:cs="Arial" w:eastAsia="Arial" w:hAnsi="Arial"/>
                <w:sz w:val="13"/>
                <w:szCs w:val="13"/>
                <w:color w:val="auto"/>
                <w:w w:val="98"/>
              </w:rPr>
              <w:t>$1,090,304</w:t>
            </w:r>
          </w:p>
        </w:tc>
        <w:tc>
          <w:tcPr>
            <w:tcW w:w="0" w:type="dxa"/>
            <w:vAlign w:val="bottom"/>
          </w:tcPr>
          <w:p>
            <w:pPr>
              <w:spacing w:after="0"/>
              <w:rPr>
                <w:sz w:val="1"/>
                <w:szCs w:val="1"/>
                <w:color w:val="auto"/>
              </w:rPr>
            </w:pPr>
          </w:p>
        </w:tc>
      </w:tr>
      <w:tr>
        <w:trPr>
          <w:trHeight w:val="72"/>
        </w:trPr>
        <w:tc>
          <w:tcPr>
            <w:tcW w:w="840" w:type="dxa"/>
            <w:vAlign w:val="bottom"/>
            <w:gridSpan w:val="2"/>
            <w:vMerge w:val="restart"/>
          </w:tcPr>
          <w:p>
            <w:pPr>
              <w:spacing w:after="0"/>
              <w:rPr>
                <w:sz w:val="20"/>
                <w:szCs w:val="20"/>
                <w:color w:val="auto"/>
              </w:rPr>
            </w:pPr>
            <w:r>
              <w:rPr>
                <w:rFonts w:ascii="Arial" w:cs="Arial" w:eastAsia="Arial" w:hAnsi="Arial"/>
                <w:sz w:val="13"/>
                <w:szCs w:val="13"/>
                <w:b w:val="1"/>
                <w:bCs w:val="1"/>
                <w:color w:val="1F2668"/>
              </w:rPr>
              <w:t>Levine</w:t>
            </w:r>
          </w:p>
        </w:tc>
        <w:tc>
          <w:tcPr>
            <w:tcW w:w="100" w:type="dxa"/>
            <w:vAlign w:val="bottom"/>
            <w:tcBorders>
              <w:bottom w:val="single" w:sz="8" w:color="4B5088"/>
            </w:tcBorders>
            <w:shd w:val="clear" w:color="auto" w:fill="E9F9D8"/>
          </w:tcPr>
          <w:p>
            <w:pPr>
              <w:spacing w:after="0"/>
              <w:rPr>
                <w:sz w:val="6"/>
                <w:szCs w:val="6"/>
                <w:color w:val="auto"/>
              </w:rPr>
            </w:pPr>
          </w:p>
        </w:tc>
        <w:tc>
          <w:tcPr>
            <w:tcW w:w="580" w:type="dxa"/>
            <w:vAlign w:val="bottom"/>
            <w:tcBorders>
              <w:bottom w:val="single" w:sz="8" w:color="4B5088"/>
            </w:tcBorders>
            <w:shd w:val="clear" w:color="auto" w:fill="E9F9D8"/>
          </w:tcPr>
          <w:p>
            <w:pPr>
              <w:spacing w:after="0"/>
              <w:rPr>
                <w:sz w:val="6"/>
                <w:szCs w:val="6"/>
                <w:color w:val="auto"/>
              </w:rPr>
            </w:pPr>
          </w:p>
        </w:tc>
        <w:tc>
          <w:tcPr>
            <w:tcW w:w="60" w:type="dxa"/>
            <w:vAlign w:val="bottom"/>
            <w:shd w:val="clear" w:color="auto" w:fill="E9F9D8"/>
          </w:tcPr>
          <w:p>
            <w:pPr>
              <w:spacing w:after="0"/>
              <w:rPr>
                <w:sz w:val="6"/>
                <w:szCs w:val="6"/>
                <w:color w:val="auto"/>
              </w:rPr>
            </w:pPr>
          </w:p>
        </w:tc>
        <w:tc>
          <w:tcPr>
            <w:tcW w:w="140" w:type="dxa"/>
            <w:vAlign w:val="bottom"/>
            <w:tcBorders>
              <w:bottom w:val="single" w:sz="8" w:color="4B5088"/>
            </w:tcBorders>
            <w:shd w:val="clear" w:color="auto" w:fill="E9F9D8"/>
          </w:tcPr>
          <w:p>
            <w:pPr>
              <w:spacing w:after="0"/>
              <w:rPr>
                <w:sz w:val="6"/>
                <w:szCs w:val="6"/>
                <w:color w:val="auto"/>
              </w:rPr>
            </w:pPr>
          </w:p>
        </w:tc>
        <w:tc>
          <w:tcPr>
            <w:tcW w:w="540" w:type="dxa"/>
            <w:vAlign w:val="bottom"/>
            <w:tcBorders>
              <w:bottom w:val="single" w:sz="8" w:color="4B5088"/>
            </w:tcBorders>
            <w:shd w:val="clear" w:color="auto" w:fill="E9F9D8"/>
          </w:tcPr>
          <w:p>
            <w:pPr>
              <w:spacing w:after="0"/>
              <w:rPr>
                <w:sz w:val="6"/>
                <w:szCs w:val="6"/>
                <w:color w:val="auto"/>
              </w:rPr>
            </w:pPr>
          </w:p>
        </w:tc>
        <w:tc>
          <w:tcPr>
            <w:tcW w:w="80" w:type="dxa"/>
            <w:vAlign w:val="bottom"/>
            <w:tcBorders>
              <w:bottom w:val="single" w:sz="8" w:color="E9F9D8"/>
            </w:tcBorders>
            <w:shd w:val="clear" w:color="auto" w:fill="E9F9D8"/>
          </w:tcPr>
          <w:p>
            <w:pPr>
              <w:spacing w:after="0"/>
              <w:rPr>
                <w:sz w:val="6"/>
                <w:szCs w:val="6"/>
                <w:color w:val="auto"/>
              </w:rPr>
            </w:pPr>
          </w:p>
        </w:tc>
        <w:tc>
          <w:tcPr>
            <w:tcW w:w="200" w:type="dxa"/>
            <w:vAlign w:val="bottom"/>
            <w:tcBorders>
              <w:bottom w:val="single" w:sz="8" w:color="4B5088"/>
            </w:tcBorders>
            <w:shd w:val="clear" w:color="auto" w:fill="E9F9D8"/>
          </w:tcPr>
          <w:p>
            <w:pPr>
              <w:spacing w:after="0"/>
              <w:rPr>
                <w:sz w:val="6"/>
                <w:szCs w:val="6"/>
                <w:color w:val="auto"/>
              </w:rPr>
            </w:pPr>
          </w:p>
        </w:tc>
        <w:tc>
          <w:tcPr>
            <w:tcW w:w="360" w:type="dxa"/>
            <w:vAlign w:val="bottom"/>
            <w:tcBorders>
              <w:bottom w:val="single" w:sz="8" w:color="4B5088"/>
            </w:tcBorders>
            <w:shd w:val="clear" w:color="auto" w:fill="E9F9D8"/>
          </w:tcPr>
          <w:p>
            <w:pPr>
              <w:spacing w:after="0"/>
              <w:rPr>
                <w:sz w:val="6"/>
                <w:szCs w:val="6"/>
                <w:color w:val="auto"/>
              </w:rPr>
            </w:pPr>
          </w:p>
        </w:tc>
        <w:tc>
          <w:tcPr>
            <w:tcW w:w="80" w:type="dxa"/>
            <w:vAlign w:val="bottom"/>
            <w:tcBorders>
              <w:bottom w:val="single" w:sz="8" w:color="E9F9D8"/>
            </w:tcBorders>
            <w:shd w:val="clear" w:color="auto" w:fill="E9F9D8"/>
          </w:tcPr>
          <w:p>
            <w:pPr>
              <w:spacing w:after="0"/>
              <w:rPr>
                <w:sz w:val="6"/>
                <w:szCs w:val="6"/>
                <w:color w:val="auto"/>
              </w:rPr>
            </w:pPr>
          </w:p>
        </w:tc>
        <w:tc>
          <w:tcPr>
            <w:tcW w:w="20" w:type="dxa"/>
            <w:vAlign w:val="bottom"/>
            <w:tcBorders>
              <w:bottom w:val="single" w:sz="8" w:color="4B5088"/>
            </w:tcBorders>
            <w:shd w:val="clear" w:color="auto" w:fill="E9F9D8"/>
          </w:tcPr>
          <w:p>
            <w:pPr>
              <w:spacing w:after="0"/>
              <w:rPr>
                <w:sz w:val="6"/>
                <w:szCs w:val="6"/>
                <w:color w:val="auto"/>
              </w:rPr>
            </w:pPr>
          </w:p>
        </w:tc>
        <w:tc>
          <w:tcPr>
            <w:tcW w:w="200" w:type="dxa"/>
            <w:vAlign w:val="bottom"/>
            <w:tcBorders>
              <w:bottom w:val="single" w:sz="8" w:color="4B5088"/>
            </w:tcBorders>
            <w:shd w:val="clear" w:color="auto" w:fill="E9F9D8"/>
          </w:tcPr>
          <w:p>
            <w:pPr>
              <w:spacing w:after="0"/>
              <w:rPr>
                <w:sz w:val="6"/>
                <w:szCs w:val="6"/>
                <w:color w:val="auto"/>
              </w:rPr>
            </w:pPr>
          </w:p>
        </w:tc>
        <w:tc>
          <w:tcPr>
            <w:tcW w:w="440" w:type="dxa"/>
            <w:vAlign w:val="bottom"/>
            <w:tcBorders>
              <w:bottom w:val="single" w:sz="8" w:color="4B5088"/>
            </w:tcBorders>
            <w:shd w:val="clear" w:color="auto" w:fill="E9F9D8"/>
          </w:tcPr>
          <w:p>
            <w:pPr>
              <w:spacing w:after="0"/>
              <w:rPr>
                <w:sz w:val="6"/>
                <w:szCs w:val="6"/>
                <w:color w:val="auto"/>
              </w:rPr>
            </w:pPr>
          </w:p>
        </w:tc>
        <w:tc>
          <w:tcPr>
            <w:tcW w:w="100" w:type="dxa"/>
            <w:vAlign w:val="bottom"/>
            <w:tcBorders>
              <w:bottom w:val="single" w:sz="8" w:color="E9F9D8"/>
            </w:tcBorders>
            <w:shd w:val="clear" w:color="auto" w:fill="E9F9D8"/>
          </w:tcPr>
          <w:p>
            <w:pPr>
              <w:spacing w:after="0"/>
              <w:rPr>
                <w:sz w:val="6"/>
                <w:szCs w:val="6"/>
                <w:color w:val="auto"/>
              </w:rPr>
            </w:pPr>
          </w:p>
        </w:tc>
        <w:tc>
          <w:tcPr>
            <w:tcW w:w="20" w:type="dxa"/>
            <w:vAlign w:val="bottom"/>
            <w:tcBorders>
              <w:bottom w:val="single" w:sz="8" w:color="4B5088"/>
            </w:tcBorders>
            <w:shd w:val="clear" w:color="auto" w:fill="E9F9D8"/>
          </w:tcPr>
          <w:p>
            <w:pPr>
              <w:spacing w:after="0"/>
              <w:rPr>
                <w:sz w:val="6"/>
                <w:szCs w:val="6"/>
                <w:color w:val="auto"/>
              </w:rPr>
            </w:pPr>
          </w:p>
        </w:tc>
        <w:tc>
          <w:tcPr>
            <w:tcW w:w="100" w:type="dxa"/>
            <w:vAlign w:val="bottom"/>
            <w:tcBorders>
              <w:bottom w:val="single" w:sz="8" w:color="4B5088"/>
            </w:tcBorders>
            <w:shd w:val="clear" w:color="auto" w:fill="E9F9D8"/>
          </w:tcPr>
          <w:p>
            <w:pPr>
              <w:spacing w:after="0"/>
              <w:rPr>
                <w:sz w:val="6"/>
                <w:szCs w:val="6"/>
                <w:color w:val="auto"/>
              </w:rPr>
            </w:pPr>
          </w:p>
        </w:tc>
        <w:tc>
          <w:tcPr>
            <w:tcW w:w="540" w:type="dxa"/>
            <w:vAlign w:val="bottom"/>
            <w:tcBorders>
              <w:bottom w:val="single" w:sz="8" w:color="4B5088"/>
            </w:tcBorders>
            <w:shd w:val="clear" w:color="auto" w:fill="E9F9D8"/>
          </w:tcPr>
          <w:p>
            <w:pPr>
              <w:spacing w:after="0"/>
              <w:rPr>
                <w:sz w:val="6"/>
                <w:szCs w:val="6"/>
                <w:color w:val="auto"/>
              </w:rPr>
            </w:pPr>
          </w:p>
        </w:tc>
        <w:tc>
          <w:tcPr>
            <w:tcW w:w="100" w:type="dxa"/>
            <w:vAlign w:val="bottom"/>
            <w:tcBorders>
              <w:bottom w:val="single" w:sz="8" w:color="E9F9D8"/>
            </w:tcBorders>
            <w:shd w:val="clear" w:color="auto" w:fill="E9F9D8"/>
          </w:tcPr>
          <w:p>
            <w:pPr>
              <w:spacing w:after="0"/>
              <w:rPr>
                <w:sz w:val="6"/>
                <w:szCs w:val="6"/>
                <w:color w:val="auto"/>
              </w:rPr>
            </w:pPr>
          </w:p>
        </w:tc>
        <w:tc>
          <w:tcPr>
            <w:tcW w:w="160" w:type="dxa"/>
            <w:vAlign w:val="bottom"/>
            <w:tcBorders>
              <w:bottom w:val="single" w:sz="8" w:color="4B5088"/>
            </w:tcBorders>
            <w:shd w:val="clear" w:color="auto" w:fill="E9F9D8"/>
          </w:tcPr>
          <w:p>
            <w:pPr>
              <w:spacing w:after="0"/>
              <w:rPr>
                <w:sz w:val="6"/>
                <w:szCs w:val="6"/>
                <w:color w:val="auto"/>
              </w:rPr>
            </w:pPr>
          </w:p>
        </w:tc>
        <w:tc>
          <w:tcPr>
            <w:tcW w:w="400" w:type="dxa"/>
            <w:vAlign w:val="bottom"/>
            <w:tcBorders>
              <w:bottom w:val="single" w:sz="8" w:color="4B5088"/>
            </w:tcBorders>
            <w:shd w:val="clear" w:color="auto" w:fill="E9F9D8"/>
          </w:tcPr>
          <w:p>
            <w:pPr>
              <w:spacing w:after="0"/>
              <w:rPr>
                <w:sz w:val="6"/>
                <w:szCs w:val="6"/>
                <w:color w:val="auto"/>
              </w:rPr>
            </w:pPr>
          </w:p>
        </w:tc>
        <w:tc>
          <w:tcPr>
            <w:tcW w:w="140" w:type="dxa"/>
            <w:vAlign w:val="bottom"/>
            <w:tcBorders>
              <w:bottom w:val="single" w:sz="8" w:color="E9F9D8"/>
            </w:tcBorders>
            <w:shd w:val="clear" w:color="auto" w:fill="E9F9D8"/>
          </w:tcPr>
          <w:p>
            <w:pPr>
              <w:spacing w:after="0"/>
              <w:rPr>
                <w:sz w:val="6"/>
                <w:szCs w:val="6"/>
                <w:color w:val="auto"/>
              </w:rPr>
            </w:pPr>
          </w:p>
        </w:tc>
        <w:tc>
          <w:tcPr>
            <w:tcW w:w="80" w:type="dxa"/>
            <w:vAlign w:val="bottom"/>
            <w:tcBorders>
              <w:bottom w:val="single" w:sz="8" w:color="4B5088"/>
            </w:tcBorders>
            <w:shd w:val="clear" w:color="auto" w:fill="E9F9D8"/>
          </w:tcPr>
          <w:p>
            <w:pPr>
              <w:spacing w:after="0"/>
              <w:rPr>
                <w:sz w:val="6"/>
                <w:szCs w:val="6"/>
                <w:color w:val="auto"/>
              </w:rPr>
            </w:pPr>
          </w:p>
        </w:tc>
        <w:tc>
          <w:tcPr>
            <w:tcW w:w="380" w:type="dxa"/>
            <w:vAlign w:val="bottom"/>
            <w:tcBorders>
              <w:bottom w:val="single" w:sz="8" w:color="4B5088"/>
            </w:tcBorders>
            <w:shd w:val="clear" w:color="auto" w:fill="E9F9D8"/>
          </w:tcPr>
          <w:p>
            <w:pPr>
              <w:spacing w:after="0"/>
              <w:rPr>
                <w:sz w:val="6"/>
                <w:szCs w:val="6"/>
                <w:color w:val="auto"/>
              </w:rPr>
            </w:pPr>
          </w:p>
        </w:tc>
        <w:tc>
          <w:tcPr>
            <w:tcW w:w="140" w:type="dxa"/>
            <w:vAlign w:val="bottom"/>
            <w:tcBorders>
              <w:bottom w:val="single" w:sz="8" w:color="E9F9D8"/>
            </w:tcBorders>
            <w:shd w:val="clear" w:color="auto" w:fill="E9F9D8"/>
          </w:tcPr>
          <w:p>
            <w:pPr>
              <w:spacing w:after="0"/>
              <w:rPr>
                <w:sz w:val="6"/>
                <w:szCs w:val="6"/>
                <w:color w:val="auto"/>
              </w:rPr>
            </w:pPr>
          </w:p>
        </w:tc>
        <w:tc>
          <w:tcPr>
            <w:tcW w:w="100" w:type="dxa"/>
            <w:vAlign w:val="bottom"/>
            <w:tcBorders>
              <w:bottom w:val="single" w:sz="8" w:color="4B5088"/>
            </w:tcBorders>
            <w:shd w:val="clear" w:color="auto" w:fill="E9F9D8"/>
          </w:tcPr>
          <w:p>
            <w:pPr>
              <w:spacing w:after="0"/>
              <w:rPr>
                <w:sz w:val="6"/>
                <w:szCs w:val="6"/>
                <w:color w:val="auto"/>
              </w:rPr>
            </w:pPr>
          </w:p>
        </w:tc>
        <w:tc>
          <w:tcPr>
            <w:tcW w:w="440" w:type="dxa"/>
            <w:vAlign w:val="bottom"/>
            <w:tcBorders>
              <w:bottom w:val="single" w:sz="8" w:color="4B5088"/>
            </w:tcBorders>
            <w:shd w:val="clear" w:color="auto" w:fill="E9F9D8"/>
          </w:tcPr>
          <w:p>
            <w:pPr>
              <w:spacing w:after="0"/>
              <w:rPr>
                <w:sz w:val="6"/>
                <w:szCs w:val="6"/>
                <w:color w:val="auto"/>
              </w:rPr>
            </w:pPr>
          </w:p>
        </w:tc>
        <w:tc>
          <w:tcPr>
            <w:tcW w:w="100" w:type="dxa"/>
            <w:vAlign w:val="bottom"/>
            <w:tcBorders>
              <w:bottom w:val="single" w:sz="8" w:color="E9F9D8"/>
            </w:tcBorders>
            <w:shd w:val="clear" w:color="auto" w:fill="E9F9D8"/>
          </w:tcPr>
          <w:p>
            <w:pPr>
              <w:spacing w:after="0"/>
              <w:rPr>
                <w:sz w:val="6"/>
                <w:szCs w:val="6"/>
                <w:color w:val="auto"/>
              </w:rPr>
            </w:pPr>
          </w:p>
        </w:tc>
        <w:tc>
          <w:tcPr>
            <w:tcW w:w="160" w:type="dxa"/>
            <w:vAlign w:val="bottom"/>
            <w:tcBorders>
              <w:bottom w:val="single" w:sz="8" w:color="4B5088"/>
            </w:tcBorders>
            <w:shd w:val="clear" w:color="auto" w:fill="E9F9D8"/>
          </w:tcPr>
          <w:p>
            <w:pPr>
              <w:spacing w:after="0"/>
              <w:rPr>
                <w:sz w:val="6"/>
                <w:szCs w:val="6"/>
                <w:color w:val="auto"/>
              </w:rPr>
            </w:pPr>
          </w:p>
        </w:tc>
        <w:tc>
          <w:tcPr>
            <w:tcW w:w="380" w:type="dxa"/>
            <w:vAlign w:val="bottom"/>
            <w:tcBorders>
              <w:bottom w:val="single" w:sz="8" w:color="4B5088"/>
            </w:tcBorders>
            <w:shd w:val="clear" w:color="auto" w:fill="E9F9D8"/>
          </w:tcPr>
          <w:p>
            <w:pPr>
              <w:spacing w:after="0"/>
              <w:rPr>
                <w:sz w:val="6"/>
                <w:szCs w:val="6"/>
                <w:color w:val="auto"/>
              </w:rPr>
            </w:pPr>
          </w:p>
        </w:tc>
        <w:tc>
          <w:tcPr>
            <w:tcW w:w="100" w:type="dxa"/>
            <w:vAlign w:val="bottom"/>
            <w:tcBorders>
              <w:bottom w:val="single" w:sz="8" w:color="E9F9D8"/>
            </w:tcBorders>
            <w:shd w:val="clear" w:color="auto" w:fill="E9F9D8"/>
          </w:tcPr>
          <w:p>
            <w:pPr>
              <w:spacing w:after="0"/>
              <w:rPr>
                <w:sz w:val="6"/>
                <w:szCs w:val="6"/>
                <w:color w:val="auto"/>
              </w:rPr>
            </w:pPr>
          </w:p>
        </w:tc>
        <w:tc>
          <w:tcPr>
            <w:tcW w:w="680" w:type="dxa"/>
            <w:vAlign w:val="bottom"/>
            <w:tcBorders>
              <w:bottom w:val="single" w:sz="8" w:color="4B5088"/>
            </w:tcBorders>
            <w:shd w:val="clear" w:color="auto" w:fill="E9F9D8"/>
          </w:tcPr>
          <w:p>
            <w:pPr>
              <w:spacing w:after="0"/>
              <w:rPr>
                <w:sz w:val="6"/>
                <w:szCs w:val="6"/>
                <w:color w:val="auto"/>
              </w:rPr>
            </w:pPr>
          </w:p>
        </w:tc>
        <w:tc>
          <w:tcPr>
            <w:tcW w:w="80" w:type="dxa"/>
            <w:vAlign w:val="bottom"/>
            <w:tcBorders>
              <w:bottom w:val="single" w:sz="8" w:color="E9F9D8"/>
            </w:tcBorders>
            <w:shd w:val="clear" w:color="auto" w:fill="E9F9D8"/>
          </w:tcPr>
          <w:p>
            <w:pPr>
              <w:spacing w:after="0"/>
              <w:rPr>
                <w:sz w:val="6"/>
                <w:szCs w:val="6"/>
                <w:color w:val="auto"/>
              </w:rPr>
            </w:pPr>
          </w:p>
        </w:tc>
        <w:tc>
          <w:tcPr>
            <w:tcW w:w="160" w:type="dxa"/>
            <w:vAlign w:val="bottom"/>
            <w:tcBorders>
              <w:bottom w:val="single" w:sz="8" w:color="4B5088"/>
            </w:tcBorders>
            <w:shd w:val="clear" w:color="auto" w:fill="E9F9D8"/>
          </w:tcPr>
          <w:p>
            <w:pPr>
              <w:spacing w:after="0"/>
              <w:rPr>
                <w:sz w:val="6"/>
                <w:szCs w:val="6"/>
                <w:color w:val="auto"/>
              </w:rPr>
            </w:pPr>
          </w:p>
        </w:tc>
        <w:tc>
          <w:tcPr>
            <w:tcW w:w="320" w:type="dxa"/>
            <w:vAlign w:val="bottom"/>
            <w:tcBorders>
              <w:bottom w:val="single" w:sz="8" w:color="4B5088"/>
            </w:tcBorders>
            <w:shd w:val="clear" w:color="auto" w:fill="E9F9D8"/>
          </w:tcPr>
          <w:p>
            <w:pPr>
              <w:spacing w:after="0"/>
              <w:rPr>
                <w:sz w:val="6"/>
                <w:szCs w:val="6"/>
                <w:color w:val="auto"/>
              </w:rPr>
            </w:pPr>
          </w:p>
        </w:tc>
        <w:tc>
          <w:tcPr>
            <w:tcW w:w="80" w:type="dxa"/>
            <w:vAlign w:val="bottom"/>
            <w:tcBorders>
              <w:bottom w:val="single" w:sz="8" w:color="E9F9D8"/>
            </w:tcBorders>
            <w:shd w:val="clear" w:color="auto" w:fill="E9F9D8"/>
          </w:tcPr>
          <w:p>
            <w:pPr>
              <w:spacing w:after="0"/>
              <w:rPr>
                <w:sz w:val="6"/>
                <w:szCs w:val="6"/>
                <w:color w:val="auto"/>
              </w:rPr>
            </w:pPr>
          </w:p>
        </w:tc>
        <w:tc>
          <w:tcPr>
            <w:tcW w:w="180" w:type="dxa"/>
            <w:vAlign w:val="bottom"/>
            <w:tcBorders>
              <w:bottom w:val="single" w:sz="8" w:color="4B5088"/>
            </w:tcBorders>
            <w:shd w:val="clear" w:color="auto" w:fill="E9F9D8"/>
          </w:tcPr>
          <w:p>
            <w:pPr>
              <w:spacing w:after="0"/>
              <w:rPr>
                <w:sz w:val="6"/>
                <w:szCs w:val="6"/>
                <w:color w:val="auto"/>
              </w:rPr>
            </w:pPr>
          </w:p>
        </w:tc>
        <w:tc>
          <w:tcPr>
            <w:tcW w:w="480" w:type="dxa"/>
            <w:vAlign w:val="bottom"/>
            <w:tcBorders>
              <w:bottom w:val="single" w:sz="8" w:color="4B5088"/>
            </w:tcBorders>
            <w:shd w:val="clear" w:color="auto" w:fill="E9F9D8"/>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840" w:type="dxa"/>
            <w:vAlign w:val="bottom"/>
            <w:gridSpan w:val="2"/>
            <w:vMerge w:val="continue"/>
          </w:tcPr>
          <w:p>
            <w:pPr>
              <w:spacing w:after="0"/>
              <w:rPr>
                <w:sz w:val="6"/>
                <w:szCs w:val="6"/>
                <w:color w:val="auto"/>
              </w:rPr>
            </w:pPr>
          </w:p>
        </w:tc>
        <w:tc>
          <w:tcPr>
            <w:tcW w:w="740" w:type="dxa"/>
            <w:vAlign w:val="bottom"/>
            <w:gridSpan w:val="3"/>
            <w:vMerge w:val="restart"/>
          </w:tcPr>
          <w:p>
            <w:pPr>
              <w:ind w:left="40"/>
              <w:spacing w:after="0"/>
              <w:rPr>
                <w:sz w:val="20"/>
                <w:szCs w:val="20"/>
                <w:color w:val="auto"/>
              </w:rPr>
            </w:pPr>
            <w:r>
              <w:rPr>
                <w:rFonts w:ascii="Arial" w:cs="Arial" w:eastAsia="Arial" w:hAnsi="Arial"/>
                <w:sz w:val="13"/>
                <w:szCs w:val="13"/>
                <w:color w:val="auto"/>
              </w:rPr>
              <w:t>​01/29/2024</w:t>
            </w:r>
          </w:p>
        </w:tc>
        <w:tc>
          <w:tcPr>
            <w:tcW w:w="760" w:type="dxa"/>
            <w:vAlign w:val="bottom"/>
            <w:gridSpan w:val="3"/>
            <w:vMerge w:val="restart"/>
          </w:tcPr>
          <w:p>
            <w:pPr>
              <w:ind w:left="40"/>
              <w:spacing w:after="0"/>
              <w:rPr>
                <w:sz w:val="20"/>
                <w:szCs w:val="20"/>
                <w:color w:val="auto"/>
              </w:rPr>
            </w:pPr>
            <w:r>
              <w:rPr>
                <w:rFonts w:ascii="Arial" w:cs="Arial" w:eastAsia="Arial" w:hAnsi="Arial"/>
                <w:sz w:val="13"/>
                <w:szCs w:val="13"/>
                <w:color w:val="auto"/>
              </w:rPr>
              <w:t>​01/29/2024</w:t>
            </w:r>
          </w:p>
        </w:tc>
        <w:tc>
          <w:tcPr>
            <w:tcW w:w="200" w:type="dxa"/>
            <w:vAlign w:val="bottom"/>
            <w:vMerge w:val="restart"/>
          </w:tcPr>
          <w:p>
            <w:pPr>
              <w:ind w:left="100"/>
              <w:spacing w:after="0"/>
              <w:rPr>
                <w:sz w:val="20"/>
                <w:szCs w:val="20"/>
                <w:color w:val="auto"/>
              </w:rPr>
            </w:pPr>
            <w:r>
              <w:rPr>
                <w:rFonts w:ascii="Arial" w:cs="Arial" w:eastAsia="Arial" w:hAnsi="Arial"/>
                <w:sz w:val="13"/>
                <w:szCs w:val="13"/>
                <w:color w:val="auto"/>
              </w:rPr>
              <w:t>​</w:t>
            </w:r>
          </w:p>
        </w:tc>
        <w:tc>
          <w:tcPr>
            <w:tcW w:w="460" w:type="dxa"/>
            <w:vAlign w:val="bottom"/>
            <w:gridSpan w:val="3"/>
            <w:vMerge w:val="restart"/>
          </w:tcPr>
          <w:p>
            <w:pPr>
              <w:jc w:val="right"/>
              <w:ind w:right="100"/>
              <w:spacing w:after="0"/>
              <w:rPr>
                <w:sz w:val="20"/>
                <w:szCs w:val="20"/>
                <w:color w:val="auto"/>
              </w:rPr>
            </w:pPr>
            <w:r>
              <w:rPr>
                <w:rFonts w:ascii="Arial" w:cs="Arial" w:eastAsia="Arial" w:hAnsi="Arial"/>
                <w:sz w:val="13"/>
                <w:szCs w:val="13"/>
                <w:color w:val="auto"/>
              </w:rPr>
              <w:t>—</w:t>
            </w:r>
          </w:p>
        </w:tc>
        <w:tc>
          <w:tcPr>
            <w:tcW w:w="20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56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ind w:left="80"/>
              <w:spacing w:after="0"/>
              <w:rPr>
                <w:sz w:val="20"/>
                <w:szCs w:val="20"/>
                <w:color w:val="auto"/>
              </w:rPr>
            </w:pPr>
            <w:r>
              <w:rPr>
                <w:rFonts w:ascii="Arial" w:cs="Arial" w:eastAsia="Arial" w:hAnsi="Arial"/>
                <w:sz w:val="1"/>
                <w:szCs w:val="1"/>
                <w:color w:val="auto"/>
                <w:w w:val="4294942296"/>
              </w:rPr>
              <w:t>​</w:t>
            </w: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ind w:left="120"/>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spacing w:after="0"/>
              <w:rPr>
                <w:sz w:val="20"/>
                <w:szCs w:val="20"/>
                <w:color w:val="auto"/>
              </w:rPr>
            </w:pPr>
            <w:r>
              <w:rPr>
                <w:rFonts w:ascii="Arial" w:cs="Arial" w:eastAsia="Arial" w:hAnsi="Arial"/>
                <w:sz w:val="13"/>
                <w:szCs w:val="13"/>
                <w:color w:val="auto"/>
              </w:rPr>
              <w:t>​</w:t>
            </w:r>
          </w:p>
        </w:tc>
        <w:tc>
          <w:tcPr>
            <w:tcW w:w="520" w:type="dxa"/>
            <w:vAlign w:val="bottom"/>
            <w:gridSpan w:val="2"/>
            <w:vMerge w:val="restart"/>
          </w:tcPr>
          <w:p>
            <w:pPr>
              <w:jc w:val="center"/>
              <w:ind w:left="59"/>
              <w:spacing w:after="0"/>
              <w:rPr>
                <w:sz w:val="20"/>
                <w:szCs w:val="20"/>
                <w:color w:val="auto"/>
              </w:rPr>
            </w:pPr>
            <w:r>
              <w:rPr>
                <w:rFonts w:ascii="Arial" w:cs="Arial" w:eastAsia="Arial" w:hAnsi="Arial"/>
                <w:sz w:val="13"/>
                <w:szCs w:val="13"/>
                <w:color w:val="auto"/>
                <w:w w:val="91"/>
              </w:rPr>
              <w:t>—</w:t>
            </w: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640" w:type="dxa"/>
            <w:vAlign w:val="bottom"/>
            <w:gridSpan w:val="3"/>
            <w:vMerge w:val="restart"/>
          </w:tcPr>
          <w:p>
            <w:pPr>
              <w:ind w:left="80"/>
              <w:spacing w:after="0"/>
              <w:rPr>
                <w:sz w:val="20"/>
                <w:szCs w:val="20"/>
                <w:color w:val="auto"/>
              </w:rPr>
            </w:pPr>
            <w:r>
              <w:rPr>
                <w:rFonts w:ascii="Arial" w:cs="Arial" w:eastAsia="Arial" w:hAnsi="Arial"/>
                <w:sz w:val="13"/>
                <w:szCs w:val="13"/>
                <w:color w:val="auto"/>
                <w:w w:val="95"/>
              </w:rPr>
              <w:t>​ 21,459</w:t>
            </w:r>
            <w:r>
              <w:rPr>
                <w:rFonts w:ascii="Arial" w:cs="Arial" w:eastAsia="Arial" w:hAnsi="Arial"/>
                <w:sz w:val="16"/>
                <w:szCs w:val="16"/>
                <w:color w:val="auto"/>
                <w:w w:val="95"/>
                <w:vertAlign w:val="superscript"/>
              </w:rPr>
              <w:t>(3)</w:t>
            </w: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ind w:left="100"/>
              <w:spacing w:after="0"/>
              <w:rPr>
                <w:sz w:val="20"/>
                <w:szCs w:val="20"/>
                <w:color w:val="auto"/>
              </w:rPr>
            </w:pPr>
            <w:r>
              <w:rPr>
                <w:rFonts w:ascii="Arial" w:cs="Arial" w:eastAsia="Arial" w:hAnsi="Arial"/>
                <w:sz w:val="13"/>
                <w:szCs w:val="13"/>
                <w:color w:val="auto"/>
              </w:rPr>
              <w:t>​</w:t>
            </w:r>
          </w:p>
        </w:tc>
        <w:tc>
          <w:tcPr>
            <w:tcW w:w="40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jc w:val="right"/>
              <w:ind w:right="18"/>
              <w:spacing w:after="0"/>
              <w:rPr>
                <w:sz w:val="20"/>
                <w:szCs w:val="20"/>
                <w:color w:val="auto"/>
              </w:rPr>
            </w:pPr>
            <w:r>
              <w:rPr>
                <w:rFonts w:ascii="Arial" w:cs="Arial" w:eastAsia="Arial" w:hAnsi="Arial"/>
                <w:sz w:val="13"/>
                <w:szCs w:val="13"/>
                <w:color w:val="auto"/>
              </w:rPr>
              <w:t>$</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w w:val="97"/>
              </w:rPr>
              <w:t>808,361</w:t>
            </w:r>
          </w:p>
        </w:tc>
        <w:tc>
          <w:tcPr>
            <w:tcW w:w="0" w:type="dxa"/>
            <w:vAlign w:val="bottom"/>
          </w:tcPr>
          <w:p>
            <w:pPr>
              <w:spacing w:after="0"/>
              <w:rPr>
                <w:sz w:val="1"/>
                <w:szCs w:val="1"/>
                <w:color w:val="auto"/>
              </w:rPr>
            </w:pPr>
          </w:p>
        </w:tc>
      </w:tr>
      <w:tr>
        <w:trPr>
          <w:trHeight w:val="144"/>
        </w:trPr>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460" w:type="dxa"/>
            <w:vAlign w:val="bottom"/>
            <w:gridSpan w:val="3"/>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560" w:type="dxa"/>
            <w:vAlign w:val="bottom"/>
            <w:gridSpan w:val="3"/>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4B5088"/>
            </w:tcBorders>
            <w:gridSpan w:val="2"/>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4B5088"/>
            </w:tcBorders>
            <w:gridSpan w:val="2"/>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4B5088"/>
            </w:tcBorders>
          </w:tcPr>
          <w:p>
            <w:pPr>
              <w:spacing w:after="0"/>
              <w:rPr>
                <w:sz w:val="2"/>
                <w:szCs w:val="2"/>
                <w:color w:val="auto"/>
              </w:rPr>
            </w:pPr>
          </w:p>
        </w:tc>
        <w:tc>
          <w:tcPr>
            <w:tcW w:w="360" w:type="dxa"/>
            <w:vAlign w:val="bottom"/>
            <w:tcBorders>
              <w:bottom w:val="single" w:sz="8" w:color="4B5088"/>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4B5088"/>
            </w:tcBorders>
          </w:tcPr>
          <w:p>
            <w:pPr>
              <w:spacing w:after="0"/>
              <w:rPr>
                <w:sz w:val="2"/>
                <w:szCs w:val="2"/>
                <w:color w:val="auto"/>
              </w:rPr>
            </w:pPr>
          </w:p>
        </w:tc>
        <w:tc>
          <w:tcPr>
            <w:tcW w:w="200" w:type="dxa"/>
            <w:vAlign w:val="bottom"/>
            <w:tcBorders>
              <w:bottom w:val="single" w:sz="8" w:color="4B5088"/>
            </w:tcBorders>
          </w:tcPr>
          <w:p>
            <w:pPr>
              <w:spacing w:after="0"/>
              <w:rPr>
                <w:sz w:val="2"/>
                <w:szCs w:val="2"/>
                <w:color w:val="auto"/>
              </w:rPr>
            </w:pPr>
          </w:p>
        </w:tc>
        <w:tc>
          <w:tcPr>
            <w:tcW w:w="440" w:type="dxa"/>
            <w:vAlign w:val="bottom"/>
            <w:tcBorders>
              <w:bottom w:val="single" w:sz="8" w:color="4B5088"/>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4B5088"/>
            </w:tcBorders>
          </w:tcPr>
          <w:p>
            <w:pPr>
              <w:spacing w:after="0"/>
              <w:rPr>
                <w:sz w:val="2"/>
                <w:szCs w:val="2"/>
                <w:color w:val="auto"/>
              </w:rPr>
            </w:pPr>
          </w:p>
        </w:tc>
        <w:tc>
          <w:tcPr>
            <w:tcW w:w="100" w:type="dxa"/>
            <w:vAlign w:val="bottom"/>
            <w:tcBorders>
              <w:bottom w:val="single" w:sz="8" w:color="4B5088"/>
            </w:tcBorders>
          </w:tcPr>
          <w:p>
            <w:pPr>
              <w:spacing w:after="0"/>
              <w:rPr>
                <w:sz w:val="2"/>
                <w:szCs w:val="2"/>
                <w:color w:val="auto"/>
              </w:rPr>
            </w:pPr>
          </w:p>
        </w:tc>
        <w:tc>
          <w:tcPr>
            <w:tcW w:w="540" w:type="dxa"/>
            <w:vAlign w:val="bottom"/>
            <w:tcBorders>
              <w:bottom w:val="single" w:sz="8" w:color="4B5088"/>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4B5088"/>
            </w:tcBorders>
          </w:tcPr>
          <w:p>
            <w:pPr>
              <w:spacing w:after="0"/>
              <w:rPr>
                <w:sz w:val="2"/>
                <w:szCs w:val="2"/>
                <w:color w:val="auto"/>
              </w:rPr>
            </w:pPr>
          </w:p>
        </w:tc>
        <w:tc>
          <w:tcPr>
            <w:tcW w:w="400" w:type="dxa"/>
            <w:vAlign w:val="bottom"/>
            <w:tcBorders>
              <w:bottom w:val="single" w:sz="8" w:color="4B5088"/>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4B5088"/>
            </w:tcBorders>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4B5088"/>
            </w:tcBorders>
          </w:tcPr>
          <w:p>
            <w:pPr>
              <w:spacing w:after="0"/>
              <w:rPr>
                <w:sz w:val="2"/>
                <w:szCs w:val="2"/>
                <w:color w:val="auto"/>
              </w:rPr>
            </w:pPr>
          </w:p>
        </w:tc>
        <w:tc>
          <w:tcPr>
            <w:tcW w:w="440" w:type="dxa"/>
            <w:vAlign w:val="bottom"/>
            <w:tcBorders>
              <w:bottom w:val="single" w:sz="8" w:color="4B5088"/>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4B5088"/>
            </w:tcBorders>
          </w:tcPr>
          <w:p>
            <w:pPr>
              <w:spacing w:after="0"/>
              <w:rPr>
                <w:sz w:val="2"/>
                <w:szCs w:val="2"/>
                <w:color w:val="auto"/>
              </w:rPr>
            </w:pPr>
          </w:p>
        </w:tc>
        <w:tc>
          <w:tcPr>
            <w:tcW w:w="380" w:type="dxa"/>
            <w:vAlign w:val="bottom"/>
            <w:tcBorders>
              <w:bottom w:val="single" w:sz="8" w:color="4B5088"/>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4B5088"/>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4B5088"/>
            </w:tcBorders>
          </w:tcPr>
          <w:p>
            <w:pPr>
              <w:spacing w:after="0"/>
              <w:rPr>
                <w:sz w:val="2"/>
                <w:szCs w:val="2"/>
                <w:color w:val="auto"/>
              </w:rPr>
            </w:pPr>
          </w:p>
        </w:tc>
        <w:tc>
          <w:tcPr>
            <w:tcW w:w="320" w:type="dxa"/>
            <w:vAlign w:val="bottom"/>
            <w:tcBorders>
              <w:bottom w:val="single" w:sz="8" w:color="4B5088"/>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4B5088"/>
            </w:tcBorders>
          </w:tcPr>
          <w:p>
            <w:pPr>
              <w:spacing w:after="0"/>
              <w:rPr>
                <w:sz w:val="2"/>
                <w:szCs w:val="2"/>
                <w:color w:val="auto"/>
              </w:rPr>
            </w:pPr>
          </w:p>
        </w:tc>
        <w:tc>
          <w:tcPr>
            <w:tcW w:w="480" w:type="dxa"/>
            <w:vAlign w:val="bottom"/>
            <w:tcBorders>
              <w:bottom w:val="single" w:sz="8" w:color="4B5088"/>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3"/>
          </w:tcPr>
          <w:p>
            <w:pPr>
              <w:ind w:left="40"/>
              <w:spacing w:after="0"/>
              <w:rPr>
                <w:sz w:val="20"/>
                <w:szCs w:val="20"/>
                <w:color w:val="auto"/>
              </w:rPr>
            </w:pPr>
            <w:r>
              <w:rPr>
                <w:rFonts w:ascii="Arial" w:cs="Arial" w:eastAsia="Arial" w:hAnsi="Arial"/>
                <w:sz w:val="13"/>
                <w:szCs w:val="13"/>
                <w:color w:val="auto"/>
              </w:rPr>
              <w:t>​01/29/2024</w:t>
            </w:r>
          </w:p>
        </w:tc>
        <w:tc>
          <w:tcPr>
            <w:tcW w:w="760" w:type="dxa"/>
            <w:vAlign w:val="bottom"/>
            <w:gridSpan w:val="3"/>
          </w:tcPr>
          <w:p>
            <w:pPr>
              <w:ind w:left="40"/>
              <w:spacing w:after="0"/>
              <w:rPr>
                <w:sz w:val="20"/>
                <w:szCs w:val="20"/>
                <w:color w:val="auto"/>
              </w:rPr>
            </w:pPr>
            <w:r>
              <w:rPr>
                <w:rFonts w:ascii="Arial" w:cs="Arial" w:eastAsia="Arial" w:hAnsi="Arial"/>
                <w:sz w:val="13"/>
                <w:szCs w:val="13"/>
                <w:color w:val="auto"/>
              </w:rPr>
              <w:t>​01/29/2024</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46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200" w:type="dxa"/>
            <w:vAlign w:val="bottom"/>
          </w:tcPr>
          <w:p>
            <w:pPr>
              <w:ind w:left="80"/>
              <w:spacing w:after="0"/>
              <w:rPr>
                <w:sz w:val="20"/>
                <w:szCs w:val="20"/>
                <w:color w:val="auto"/>
              </w:rPr>
            </w:pPr>
            <w:r>
              <w:rPr>
                <w:rFonts w:ascii="Arial" w:cs="Arial" w:eastAsia="Arial" w:hAnsi="Arial"/>
                <w:sz w:val="13"/>
                <w:szCs w:val="13"/>
                <w:color w:val="auto"/>
              </w:rPr>
              <w:t>​</w:t>
            </w:r>
          </w:p>
        </w:tc>
        <w:tc>
          <w:tcPr>
            <w:tcW w:w="56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ind w:left="80"/>
              <w:spacing w:after="0"/>
              <w:rPr>
                <w:sz w:val="20"/>
                <w:szCs w:val="20"/>
                <w:color w:val="auto"/>
              </w:rPr>
            </w:pPr>
            <w:r>
              <w:rPr>
                <w:rFonts w:ascii="Arial" w:cs="Arial" w:eastAsia="Arial" w:hAnsi="Arial"/>
                <w:sz w:val="1"/>
                <w:szCs w:val="1"/>
                <w:color w:val="auto"/>
                <w:w w:val="4294942296"/>
              </w:rPr>
              <w:t>​</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60" w:type="dxa"/>
            <w:vAlign w:val="bottom"/>
          </w:tcPr>
          <w:p>
            <w:pPr>
              <w:ind w:left="12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5,619</w:t>
            </w:r>
            <w:r>
              <w:rPr>
                <w:rFonts w:ascii="Arial" w:cs="Arial" w:eastAsia="Arial" w:hAnsi="Arial"/>
                <w:sz w:val="16"/>
                <w:szCs w:val="16"/>
                <w:color w:val="auto"/>
                <w:vertAlign w:val="superscript"/>
              </w:rPr>
              <w:t>(2)</w:t>
            </w:r>
          </w:p>
        </w:tc>
        <w:tc>
          <w:tcPr>
            <w:tcW w:w="600" w:type="dxa"/>
            <w:vAlign w:val="bottom"/>
            <w:gridSpan w:val="3"/>
          </w:tcPr>
          <w:p>
            <w:pPr>
              <w:spacing w:after="0"/>
              <w:rPr>
                <w:sz w:val="20"/>
                <w:szCs w:val="20"/>
                <w:color w:val="auto"/>
              </w:rPr>
            </w:pPr>
            <w:r>
              <w:rPr>
                <w:rFonts w:ascii="Arial" w:cs="Arial" w:eastAsia="Arial" w:hAnsi="Arial"/>
                <w:sz w:val="13"/>
                <w:szCs w:val="13"/>
                <w:color w:val="auto"/>
              </w:rPr>
              <w:t>​ 11,988</w:t>
            </w:r>
            <w:r>
              <w:rPr>
                <w:rFonts w:ascii="Arial" w:cs="Arial" w:eastAsia="Arial" w:hAnsi="Arial"/>
                <w:sz w:val="16"/>
                <w:szCs w:val="16"/>
                <w:color w:val="auto"/>
                <w:vertAlign w:val="superscript"/>
              </w:rPr>
              <w:t>(2)</w:t>
            </w: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w w:val="98"/>
              </w:rPr>
              <w:t>26,972</w:t>
            </w:r>
            <w:r>
              <w:rPr>
                <w:rFonts w:ascii="Arial" w:cs="Arial" w:eastAsia="Arial" w:hAnsi="Arial"/>
                <w:sz w:val="16"/>
                <w:szCs w:val="16"/>
                <w:color w:val="auto"/>
                <w:w w:val="98"/>
                <w:vertAlign w:val="superscript"/>
              </w:rPr>
              <w:t>(2)</w:t>
            </w:r>
          </w:p>
        </w:tc>
        <w:tc>
          <w:tcPr>
            <w:tcW w:w="160" w:type="dxa"/>
            <w:vAlign w:val="bottom"/>
          </w:tcPr>
          <w:p>
            <w:pPr>
              <w:ind w:left="8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ind w:left="100"/>
              <w:spacing w:after="0"/>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w w:val="97"/>
              </w:rPr>
              <w:t>637,800</w:t>
            </w:r>
          </w:p>
        </w:tc>
        <w:tc>
          <w:tcPr>
            <w:tcW w:w="0" w:type="dxa"/>
            <w:vAlign w:val="bottom"/>
          </w:tcPr>
          <w:p>
            <w:pPr>
              <w:spacing w:after="0"/>
              <w:rPr>
                <w:sz w:val="1"/>
                <w:szCs w:val="1"/>
                <w:color w:val="auto"/>
              </w:rPr>
            </w:pPr>
          </w:p>
        </w:tc>
      </w:tr>
      <w:tr>
        <w:trPr>
          <w:trHeight w:val="26"/>
        </w:trPr>
        <w:tc>
          <w:tcPr>
            <w:tcW w:w="720" w:type="dxa"/>
            <w:vAlign w:val="bottom"/>
            <w:tcBorders>
              <w:bottom w:val="single" w:sz="8" w:color="1F2668"/>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1F2668"/>
            </w:tcBorders>
          </w:tcPr>
          <w:p>
            <w:pPr>
              <w:spacing w:after="0"/>
              <w:rPr>
                <w:sz w:val="2"/>
                <w:szCs w:val="2"/>
                <w:color w:val="auto"/>
              </w:rPr>
            </w:pPr>
          </w:p>
        </w:tc>
        <w:tc>
          <w:tcPr>
            <w:tcW w:w="580" w:type="dxa"/>
            <w:vAlign w:val="bottom"/>
            <w:tcBorders>
              <w:bottom w:val="single" w:sz="8" w:color="1F2668"/>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1F2668"/>
            </w:tcBorders>
          </w:tcPr>
          <w:p>
            <w:pPr>
              <w:spacing w:after="0"/>
              <w:rPr>
                <w:sz w:val="2"/>
                <w:szCs w:val="2"/>
                <w:color w:val="auto"/>
              </w:rPr>
            </w:pPr>
          </w:p>
        </w:tc>
        <w:tc>
          <w:tcPr>
            <w:tcW w:w="540" w:type="dxa"/>
            <w:vAlign w:val="bottom"/>
            <w:tcBorders>
              <w:bottom w:val="single" w:sz="8" w:color="1F2668"/>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1F2668"/>
            </w:tcBorders>
          </w:tcPr>
          <w:p>
            <w:pPr>
              <w:spacing w:after="0"/>
              <w:rPr>
                <w:sz w:val="2"/>
                <w:szCs w:val="2"/>
                <w:color w:val="auto"/>
              </w:rPr>
            </w:pPr>
          </w:p>
        </w:tc>
        <w:tc>
          <w:tcPr>
            <w:tcW w:w="360" w:type="dxa"/>
            <w:vAlign w:val="bottom"/>
            <w:tcBorders>
              <w:bottom w:val="single" w:sz="8" w:color="1F2668"/>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1F2668"/>
            </w:tcBorders>
          </w:tcPr>
          <w:p>
            <w:pPr>
              <w:spacing w:after="0"/>
              <w:rPr>
                <w:sz w:val="2"/>
                <w:szCs w:val="2"/>
                <w:color w:val="auto"/>
              </w:rPr>
            </w:pPr>
          </w:p>
        </w:tc>
        <w:tc>
          <w:tcPr>
            <w:tcW w:w="200" w:type="dxa"/>
            <w:vAlign w:val="bottom"/>
            <w:tcBorders>
              <w:bottom w:val="single" w:sz="8" w:color="1F2668"/>
            </w:tcBorders>
          </w:tcPr>
          <w:p>
            <w:pPr>
              <w:spacing w:after="0"/>
              <w:rPr>
                <w:sz w:val="2"/>
                <w:szCs w:val="2"/>
                <w:color w:val="auto"/>
              </w:rPr>
            </w:pPr>
          </w:p>
        </w:tc>
        <w:tc>
          <w:tcPr>
            <w:tcW w:w="440" w:type="dxa"/>
            <w:vAlign w:val="bottom"/>
            <w:tcBorders>
              <w:bottom w:val="single" w:sz="8" w:color="1F2668"/>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1F2668"/>
            </w:tcBorders>
          </w:tcPr>
          <w:p>
            <w:pPr>
              <w:spacing w:after="0"/>
              <w:rPr>
                <w:sz w:val="2"/>
                <w:szCs w:val="2"/>
                <w:color w:val="auto"/>
              </w:rPr>
            </w:pPr>
          </w:p>
        </w:tc>
        <w:tc>
          <w:tcPr>
            <w:tcW w:w="100" w:type="dxa"/>
            <w:vAlign w:val="bottom"/>
            <w:tcBorders>
              <w:bottom w:val="single" w:sz="8" w:color="1F2668"/>
            </w:tcBorders>
          </w:tcPr>
          <w:p>
            <w:pPr>
              <w:spacing w:after="0"/>
              <w:rPr>
                <w:sz w:val="2"/>
                <w:szCs w:val="2"/>
                <w:color w:val="auto"/>
              </w:rPr>
            </w:pPr>
          </w:p>
        </w:tc>
        <w:tc>
          <w:tcPr>
            <w:tcW w:w="540" w:type="dxa"/>
            <w:vAlign w:val="bottom"/>
            <w:tcBorders>
              <w:bottom w:val="single" w:sz="8" w:color="1F2668"/>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1F2668"/>
            </w:tcBorders>
          </w:tcPr>
          <w:p>
            <w:pPr>
              <w:spacing w:after="0"/>
              <w:rPr>
                <w:sz w:val="2"/>
                <w:szCs w:val="2"/>
                <w:color w:val="auto"/>
              </w:rPr>
            </w:pPr>
          </w:p>
        </w:tc>
        <w:tc>
          <w:tcPr>
            <w:tcW w:w="400" w:type="dxa"/>
            <w:vAlign w:val="bottom"/>
            <w:tcBorders>
              <w:bottom w:val="single" w:sz="8" w:color="1F2668"/>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1F2668"/>
            </w:tcBorders>
          </w:tcPr>
          <w:p>
            <w:pPr>
              <w:spacing w:after="0"/>
              <w:rPr>
                <w:sz w:val="2"/>
                <w:szCs w:val="2"/>
                <w:color w:val="auto"/>
              </w:rPr>
            </w:pPr>
          </w:p>
        </w:tc>
        <w:tc>
          <w:tcPr>
            <w:tcW w:w="380" w:type="dxa"/>
            <w:vAlign w:val="bottom"/>
            <w:tcBorders>
              <w:bottom w:val="single" w:sz="8" w:color="1F2668"/>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1F2668"/>
            </w:tcBorders>
          </w:tcPr>
          <w:p>
            <w:pPr>
              <w:spacing w:after="0"/>
              <w:rPr>
                <w:sz w:val="2"/>
                <w:szCs w:val="2"/>
                <w:color w:val="auto"/>
              </w:rPr>
            </w:pPr>
          </w:p>
        </w:tc>
        <w:tc>
          <w:tcPr>
            <w:tcW w:w="440" w:type="dxa"/>
            <w:vAlign w:val="bottom"/>
            <w:tcBorders>
              <w:bottom w:val="single" w:sz="8" w:color="1F2668"/>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1F2668"/>
            </w:tcBorders>
          </w:tcPr>
          <w:p>
            <w:pPr>
              <w:spacing w:after="0"/>
              <w:rPr>
                <w:sz w:val="2"/>
                <w:szCs w:val="2"/>
                <w:color w:val="auto"/>
              </w:rPr>
            </w:pPr>
          </w:p>
        </w:tc>
        <w:tc>
          <w:tcPr>
            <w:tcW w:w="380" w:type="dxa"/>
            <w:vAlign w:val="bottom"/>
            <w:tcBorders>
              <w:bottom w:val="single" w:sz="8" w:color="1F2668"/>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1F2668"/>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1F2668"/>
            </w:tcBorders>
          </w:tcPr>
          <w:p>
            <w:pPr>
              <w:spacing w:after="0"/>
              <w:rPr>
                <w:sz w:val="2"/>
                <w:szCs w:val="2"/>
                <w:color w:val="auto"/>
              </w:rPr>
            </w:pPr>
          </w:p>
        </w:tc>
        <w:tc>
          <w:tcPr>
            <w:tcW w:w="320" w:type="dxa"/>
            <w:vAlign w:val="bottom"/>
            <w:tcBorders>
              <w:bottom w:val="single" w:sz="8" w:color="1F2668"/>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1F2668"/>
            </w:tcBorders>
          </w:tcPr>
          <w:p>
            <w:pPr>
              <w:spacing w:after="0"/>
              <w:rPr>
                <w:sz w:val="2"/>
                <w:szCs w:val="2"/>
                <w:color w:val="auto"/>
              </w:rPr>
            </w:pPr>
          </w:p>
        </w:tc>
        <w:tc>
          <w:tcPr>
            <w:tcW w:w="480" w:type="dxa"/>
            <w:vAlign w:val="bottom"/>
            <w:tcBorders>
              <w:bottom w:val="single" w:sz="8" w:color="1F2668"/>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1485900</wp:posOffset>
            </wp:positionH>
            <wp:positionV relativeFrom="paragraph">
              <wp:posOffset>-393700</wp:posOffset>
            </wp:positionV>
            <wp:extent cx="3429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5806440</wp:posOffset>
            </wp:positionH>
            <wp:positionV relativeFrom="paragraph">
              <wp:posOffset>-548005</wp:posOffset>
            </wp:positionV>
            <wp:extent cx="5143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-548005</wp:posOffset>
            </wp:positionV>
            <wp:extent cx="5143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-548005</wp:posOffset>
            </wp:positionV>
            <wp:extent cx="6858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-548005</wp:posOffset>
            </wp:positionV>
            <wp:extent cx="6858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4117340</wp:posOffset>
            </wp:positionH>
            <wp:positionV relativeFrom="paragraph">
              <wp:posOffset>-548005</wp:posOffset>
            </wp:positionV>
            <wp:extent cx="8572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3731895</wp:posOffset>
            </wp:positionH>
            <wp:positionV relativeFrom="paragraph">
              <wp:posOffset>-548005</wp:posOffset>
            </wp:positionV>
            <wp:extent cx="8572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3311525</wp:posOffset>
            </wp:positionH>
            <wp:positionV relativeFrom="paragraph">
              <wp:posOffset>-548005</wp:posOffset>
            </wp:positionV>
            <wp:extent cx="6858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2831465</wp:posOffset>
            </wp:positionH>
            <wp:positionV relativeFrom="paragraph">
              <wp:posOffset>-548005</wp:posOffset>
            </wp:positionV>
            <wp:extent cx="6032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2360295</wp:posOffset>
            </wp:positionH>
            <wp:positionV relativeFrom="paragraph">
              <wp:posOffset>-548005</wp:posOffset>
            </wp:positionV>
            <wp:extent cx="5143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1957070</wp:posOffset>
            </wp:positionH>
            <wp:positionV relativeFrom="paragraph">
              <wp:posOffset>-548005</wp:posOffset>
            </wp:positionV>
            <wp:extent cx="5143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1485900</wp:posOffset>
            </wp:positionH>
            <wp:positionV relativeFrom="paragraph">
              <wp:posOffset>-548005</wp:posOffset>
            </wp:positionV>
            <wp:extent cx="3429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1485900</wp:posOffset>
            </wp:positionH>
            <wp:positionV relativeFrom="paragraph">
              <wp:posOffset>-1036320</wp:posOffset>
            </wp:positionV>
            <wp:extent cx="3429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5806440</wp:posOffset>
            </wp:positionH>
            <wp:positionV relativeFrom="paragraph">
              <wp:posOffset>-1190625</wp:posOffset>
            </wp:positionV>
            <wp:extent cx="5143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-1190625</wp:posOffset>
            </wp:positionV>
            <wp:extent cx="5143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-1190625</wp:posOffset>
            </wp:positionV>
            <wp:extent cx="6858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-1190625</wp:posOffset>
            </wp:positionV>
            <wp:extent cx="6858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4117340</wp:posOffset>
            </wp:positionH>
            <wp:positionV relativeFrom="paragraph">
              <wp:posOffset>-1190625</wp:posOffset>
            </wp:positionV>
            <wp:extent cx="8572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3731895</wp:posOffset>
            </wp:positionH>
            <wp:positionV relativeFrom="paragraph">
              <wp:posOffset>-1190625</wp:posOffset>
            </wp:positionV>
            <wp:extent cx="8572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3311525</wp:posOffset>
            </wp:positionH>
            <wp:positionV relativeFrom="paragraph">
              <wp:posOffset>-1190625</wp:posOffset>
            </wp:positionV>
            <wp:extent cx="6858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2831465</wp:posOffset>
            </wp:positionH>
            <wp:positionV relativeFrom="paragraph">
              <wp:posOffset>-1190625</wp:posOffset>
            </wp:positionV>
            <wp:extent cx="6032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2360295</wp:posOffset>
            </wp:positionH>
            <wp:positionV relativeFrom="paragraph">
              <wp:posOffset>-1190625</wp:posOffset>
            </wp:positionV>
            <wp:extent cx="5143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1957070</wp:posOffset>
            </wp:positionH>
            <wp:positionV relativeFrom="paragraph">
              <wp:posOffset>-1190625</wp:posOffset>
            </wp:positionV>
            <wp:extent cx="5143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1485900</wp:posOffset>
            </wp:positionH>
            <wp:positionV relativeFrom="paragraph">
              <wp:posOffset>-1190625</wp:posOffset>
            </wp:positionV>
            <wp:extent cx="3429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1485900</wp:posOffset>
            </wp:positionH>
            <wp:positionV relativeFrom="paragraph">
              <wp:posOffset>-1842135</wp:posOffset>
            </wp:positionV>
            <wp:extent cx="3429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4117340</wp:posOffset>
            </wp:positionH>
            <wp:positionV relativeFrom="paragraph">
              <wp:posOffset>-2005330</wp:posOffset>
            </wp:positionV>
            <wp:extent cx="8572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3731895</wp:posOffset>
            </wp:positionH>
            <wp:positionV relativeFrom="paragraph">
              <wp:posOffset>-2005330</wp:posOffset>
            </wp:positionV>
            <wp:extent cx="8572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3311525</wp:posOffset>
            </wp:positionH>
            <wp:positionV relativeFrom="paragraph">
              <wp:posOffset>-2005330</wp:posOffset>
            </wp:positionV>
            <wp:extent cx="6858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2831465</wp:posOffset>
            </wp:positionH>
            <wp:positionV relativeFrom="paragraph">
              <wp:posOffset>-2005330</wp:posOffset>
            </wp:positionV>
            <wp:extent cx="6032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2360295</wp:posOffset>
            </wp:positionH>
            <wp:positionV relativeFrom="paragraph">
              <wp:posOffset>-2005330</wp:posOffset>
            </wp:positionV>
            <wp:extent cx="5143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1957070</wp:posOffset>
            </wp:positionH>
            <wp:positionV relativeFrom="paragraph">
              <wp:posOffset>-2005330</wp:posOffset>
            </wp:positionV>
            <wp:extent cx="5143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1485900</wp:posOffset>
            </wp:positionH>
            <wp:positionV relativeFrom="paragraph">
              <wp:posOffset>-2005330</wp:posOffset>
            </wp:positionV>
            <wp:extent cx="3429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5806440</wp:posOffset>
            </wp:positionH>
            <wp:positionV relativeFrom="paragraph">
              <wp:posOffset>-2005330</wp:posOffset>
            </wp:positionV>
            <wp:extent cx="5143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-2005330</wp:posOffset>
            </wp:positionV>
            <wp:extent cx="5143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-2005330</wp:posOffset>
            </wp:positionV>
            <wp:extent cx="6858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-2005330</wp:posOffset>
            </wp:positionV>
            <wp:extent cx="6858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ind w:left="1180" w:right="100" w:hanging="364"/>
        <w:spacing w:after="0" w:line="282" w:lineRule="auto"/>
        <w:tabs>
          <w:tab w:leader="none" w:pos="11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Represents grants of LTIP units awarded in connection with our respective employment agreements with Messrs. Holliday, DiLiberto and Levine. For Mr. Holliday, the LTIP units vest in three equal installments on each of January 1, 2025, January 1, 2026 and January 1, 2027, for Mr. DiLiberto, the LTIP units vest in two equal installments on each of January 1, 2025 and January 1, 2026 and, for Mr. Levine, the LTIP units vested on January 1, 2025, subject in each case to continued employment.</w:t>
      </w:r>
    </w:p>
    <w:p>
      <w:pPr>
        <w:spacing w:after="0" w:line="26" w:lineRule="exact"/>
        <w:rPr>
          <w:rFonts w:ascii="Arial" w:cs="Arial" w:eastAsia="Arial" w:hAnsi="Arial"/>
          <w:sz w:val="14"/>
          <w:szCs w:val="14"/>
          <w:color w:val="auto"/>
        </w:rPr>
      </w:pPr>
    </w:p>
    <w:p>
      <w:pPr>
        <w:ind w:left="1180" w:right="160" w:hanging="364"/>
        <w:spacing w:after="0" w:line="275" w:lineRule="auto"/>
        <w:tabs>
          <w:tab w:leader="none" w:pos="11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Represents LTIP units granted as 2024 annual performance-based equity awards that were subject to performance-based vesting hurdles. The amount shown in the “Threshold” column of the table reflects the total number of LTIP units that would be earned at threshold performance with respect to both the operating performance metrics and the relative TSR metrics, after giving effect to the maximum downward modifier. The amount shown in the “Maximum” column reflects the total number of LTIP units that would be earned at maximum performance with respect to both the operating performance metrics and the relative TSR metrics, after giving effect to the maximum upward modifier. See “—Compensation Discussion and Analysis—Our 2024 Executive Compensation Program” for a description of the terms of these performance-based awards and the Company’s estimated performance as of December 31, 2024.</w:t>
      </w:r>
    </w:p>
    <w:p>
      <w:pPr>
        <w:spacing w:after="0" w:line="31" w:lineRule="exact"/>
        <w:rPr>
          <w:rFonts w:ascii="Arial" w:cs="Arial" w:eastAsia="Arial" w:hAnsi="Arial"/>
          <w:sz w:val="14"/>
          <w:szCs w:val="14"/>
          <w:color w:val="auto"/>
        </w:rPr>
      </w:pPr>
    </w:p>
    <w:p>
      <w:pPr>
        <w:ind w:left="1180" w:hanging="364"/>
        <w:spacing w:after="0"/>
        <w:tabs>
          <w:tab w:leader="none" w:pos="11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This grant of LTIP units vested immediately upon grant, but remains subject to a three-year restriction on transfer from the date of grant.</w:t>
      </w:r>
    </w:p>
    <w:p>
      <w:pPr>
        <w:spacing w:after="0" w:line="82" w:lineRule="exact"/>
        <w:rPr>
          <w:rFonts w:ascii="Arial" w:cs="Arial" w:eastAsia="Arial" w:hAnsi="Arial"/>
          <w:sz w:val="14"/>
          <w:szCs w:val="14"/>
          <w:color w:val="auto"/>
        </w:rPr>
      </w:pPr>
    </w:p>
    <w:p>
      <w:pPr>
        <w:ind w:left="1180" w:right="60" w:hanging="364"/>
        <w:spacing w:after="0" w:line="274" w:lineRule="auto"/>
        <w:tabs>
          <w:tab w:leader="none" w:pos="11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This grant of Class O LTIP units was awarded in connection with the extension of Mr. Holliday’s employment. This grant reflects an award of Class O LTIP units with a mandatory conversion date that is 10 years after the date of grant, which vests in three equal installments on each of December 31, 2025, December 31, 2026 and December 31, 2027, subject to continued employment. In addition, the Class O LTIP units are subject to performance-based vesting conditions and will only be eligible for conversion if the average per share price of our common stock equals or exceeds $100.00 as of any trailing twenty trading day period between the grant date and the fifth anniversary thereafter. The conversion threshold for the Class O LTIP units, which is equivalent to the exercise price for a stock option, was determined by reference to the fair market value under our Fifth Amended and Restated 2005 Stock Option and Incentive Plan of one share of our common stock, meaning, in this instance, the closing stock price of one share of our common stock on the NYSE on December 26, 2024, the last preceding trading date prior to the grant date.</w:t>
      </w:r>
    </w:p>
    <w:p>
      <w:pPr>
        <w:spacing w:after="0" w:line="33" w:lineRule="exact"/>
        <w:rPr>
          <w:rFonts w:ascii="Arial" w:cs="Arial" w:eastAsia="Arial" w:hAnsi="Arial"/>
          <w:sz w:val="14"/>
          <w:szCs w:val="14"/>
          <w:color w:val="auto"/>
        </w:rPr>
      </w:pPr>
    </w:p>
    <w:p>
      <w:pPr>
        <w:ind w:left="1180" w:right="940" w:hanging="364"/>
        <w:spacing w:after="0" w:line="325" w:lineRule="auto"/>
        <w:tabs>
          <w:tab w:leader="none" w:pos="11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Represents cash payouts that were possible pursuant to the formulaic component of our annual bonus program for 2024. See “— Compensation Discussion and Analysis—Our 2024 Executive Compensation Program” for a description of these awards.</w:t>
      </w:r>
    </w:p>
    <w:p>
      <w:pPr>
        <w:spacing w:after="0" w:line="72" w:lineRule="exact"/>
        <w:rPr>
          <w:sz w:val="20"/>
          <w:szCs w:val="20"/>
          <w:color w:val="auto"/>
        </w:rPr>
      </w:pPr>
    </w:p>
    <w:p>
      <w:pPr>
        <w:ind w:left="820" w:right="140"/>
        <w:spacing w:after="0" w:line="274" w:lineRule="auto"/>
        <w:rPr>
          <w:sz w:val="20"/>
          <w:szCs w:val="20"/>
          <w:color w:val="auto"/>
        </w:rPr>
      </w:pPr>
      <w:r>
        <w:rPr>
          <w:rFonts w:ascii="Arial" w:cs="Arial" w:eastAsia="Arial" w:hAnsi="Arial"/>
          <w:sz w:val="16"/>
          <w:szCs w:val="16"/>
          <w:color w:val="auto"/>
        </w:rPr>
        <w:t>Grants of all equity awards were made pursuant to the Fifth Amended and Restated 2005 Stock Option and Incentive Plan. LTIP units that are only subject to time-based vesting based on continued employment through a specified date (and have not been forfeited) generally entitle executives to receive cash dividends, dividend equivalents or distributions whether or not then vested. LTIP units that are subject to performance-based vesting hurdles do not entitle the holder to receive distributions prior to the achievement of these hurdles. If and when performance-based vesting occurs, the holders are entitled to receive a combination of cash payments and distributions with respect to all LTIP units that are earned equal to the amounts that would have been received if the earned LTIP units had been entitled to receive full distributions from the beginning of the applicable performance period.</w:t>
      </w:r>
    </w:p>
    <w:p>
      <w:pPr>
        <w:spacing w:after="0" w:line="115" w:lineRule="exact"/>
        <w:rPr>
          <w:sz w:val="20"/>
          <w:szCs w:val="20"/>
          <w:color w:val="auto"/>
        </w:rPr>
      </w:pPr>
    </w:p>
    <w:p>
      <w:pPr>
        <w:ind w:left="820" w:right="200"/>
        <w:spacing w:after="0" w:line="304" w:lineRule="auto"/>
        <w:rPr>
          <w:sz w:val="20"/>
          <w:szCs w:val="20"/>
          <w:color w:val="auto"/>
        </w:rPr>
      </w:pPr>
      <w:r>
        <w:rPr>
          <w:rFonts w:ascii="Arial" w:cs="Arial" w:eastAsia="Arial" w:hAnsi="Arial"/>
          <w:sz w:val="16"/>
          <w:szCs w:val="16"/>
          <w:color w:val="auto"/>
        </w:rPr>
        <w:t>See “Potential Payments Upon Termination or Change in Control” below, for a discussion regarding potential acceleration of the equity awards and a description of the material terms of each named executive officer’s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6831965"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5100" w:type="dxa"/>
            <w:vAlign w:val="bottom"/>
          </w:tcPr>
          <w:p>
            <w:pPr>
              <w:spacing w:after="0"/>
              <w:rPr>
                <w:sz w:val="20"/>
                <w:szCs w:val="20"/>
                <w:color w:val="auto"/>
              </w:rPr>
            </w:pPr>
            <w:r>
              <w:rPr>
                <w:rFonts w:ascii="Arial" w:cs="Arial" w:eastAsia="Arial" w:hAnsi="Arial"/>
                <w:sz w:val="14"/>
                <w:szCs w:val="14"/>
                <w:b w:val="1"/>
                <w:bCs w:val="1"/>
                <w:color w:val="auto"/>
              </w:rPr>
              <w:t>​</w:t>
            </w:r>
          </w:p>
        </w:tc>
        <w:tc>
          <w:tcPr>
            <w:tcW w:w="3480" w:type="dxa"/>
            <w:vAlign w:val="bottom"/>
          </w:tcPr>
          <w:p>
            <w:pPr>
              <w:ind w:left="3100"/>
              <w:spacing w:after="0"/>
              <w:rPr>
                <w:sz w:val="20"/>
                <w:szCs w:val="20"/>
                <w:color w:val="auto"/>
              </w:rPr>
            </w:pPr>
            <w:r>
              <w:rPr>
                <w:rFonts w:ascii="Arial" w:cs="Arial" w:eastAsia="Arial" w:hAnsi="Arial"/>
                <w:sz w:val="14"/>
                <w:szCs w:val="14"/>
                <w:b w:val="1"/>
                <w:bCs w:val="1"/>
                <w:color w:val="auto"/>
              </w:rPr>
              <w:t>​ ​</w:t>
            </w:r>
          </w:p>
        </w:tc>
        <w:tc>
          <w:tcPr>
            <w:tcW w:w="480" w:type="dxa"/>
            <w:vAlign w:val="bottom"/>
            <w:vMerge w:val="restart"/>
          </w:tcPr>
          <w:p>
            <w:pPr>
              <w:jc w:val="right"/>
              <w:spacing w:after="0"/>
              <w:rPr>
                <w:sz w:val="20"/>
                <w:szCs w:val="20"/>
                <w:color w:val="auto"/>
              </w:rPr>
            </w:pPr>
            <w:r>
              <w:rPr>
                <w:rFonts w:ascii="Arial" w:cs="Arial" w:eastAsia="Arial" w:hAnsi="Arial"/>
                <w:sz w:val="22"/>
                <w:szCs w:val="22"/>
                <w:b w:val="1"/>
                <w:bCs w:val="1"/>
                <w:color w:val="1F2668"/>
              </w:rPr>
              <w:t>69</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5100" w:type="dxa"/>
            <w:vAlign w:val="bottom"/>
          </w:tcPr>
          <w:p>
            <w:pPr>
              <w:spacing w:after="0"/>
              <w:rPr>
                <w:sz w:val="20"/>
                <w:szCs w:val="20"/>
                <w:color w:val="auto"/>
              </w:rPr>
            </w:pPr>
            <w:r>
              <w:rPr>
                <w:rFonts w:ascii="Arial" w:cs="Arial" w:eastAsia="Arial" w:hAnsi="Arial"/>
                <w:sz w:val="14"/>
                <w:szCs w:val="14"/>
                <w:b w:val="1"/>
                <w:bCs w:val="1"/>
                <w:color w:val="auto"/>
              </w:rPr>
              <w:t>EXECUTIVE COMPENSATION</w:t>
            </w:r>
          </w:p>
        </w:tc>
        <w:tc>
          <w:tcPr>
            <w:tcW w:w="348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38"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Outstanding Equity Awards at Fiscal Year-End 2024</w:t>
      </w:r>
    </w:p>
    <w:p>
      <w:pPr>
        <w:spacing w:after="0" w:line="133" w:lineRule="exact"/>
        <w:rPr>
          <w:sz w:val="20"/>
          <w:szCs w:val="20"/>
          <w:color w:val="auto"/>
        </w:rPr>
      </w:pPr>
    </w:p>
    <w:p>
      <w:pPr>
        <w:ind w:left="820" w:right="180"/>
        <w:spacing w:after="0" w:line="321" w:lineRule="auto"/>
        <w:rPr>
          <w:sz w:val="20"/>
          <w:szCs w:val="20"/>
          <w:color w:val="auto"/>
        </w:rPr>
      </w:pPr>
      <w:r>
        <w:rPr>
          <w:rFonts w:ascii="Arial" w:cs="Arial" w:eastAsia="Arial" w:hAnsi="Arial"/>
          <w:sz w:val="16"/>
          <w:szCs w:val="16"/>
          <w:color w:val="auto"/>
        </w:rPr>
        <w:t>The following table sets forth certain information with respect to outstanding equity awards held by each named executive officer at the fiscal year ended December 31, 2024.</w:t>
      </w:r>
    </w:p>
    <w:p>
      <w:pPr>
        <w:spacing w:after="0" w:line="134" w:lineRule="exact"/>
        <w:rPr>
          <w:sz w:val="20"/>
          <w:szCs w:val="20"/>
          <w:color w:val="auto"/>
        </w:rPr>
      </w:pPr>
    </w:p>
    <w:tbl>
      <w:tblPr>
        <w:tblLayout w:type="fixed"/>
        <w:tblInd w:w="820" w:type="dxa"/>
        <w:tblCellMar>
          <w:top w:w="0" w:type="dxa"/>
          <w:left w:w="0" w:type="dxa"/>
          <w:bottom w:w="0" w:type="dxa"/>
          <w:right w:w="0" w:type="dxa"/>
        </w:tblCellMar>
      </w:tblPr>
      <w:tr>
        <w:trPr>
          <w:trHeight w:val="190"/>
        </w:trPr>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gridSpan w:val="6"/>
          </w:tcPr>
          <w:p>
            <w:pPr>
              <w:jc w:val="right"/>
              <w:ind w:right="520"/>
              <w:spacing w:after="0"/>
              <w:rPr>
                <w:sz w:val="20"/>
                <w:szCs w:val="20"/>
                <w:color w:val="auto"/>
              </w:rPr>
            </w:pPr>
            <w:r>
              <w:rPr>
                <w:rFonts w:ascii="Arial" w:cs="Arial" w:eastAsia="Arial" w:hAnsi="Arial"/>
                <w:sz w:val="14"/>
                <w:szCs w:val="14"/>
                <w:color w:val="1F2668"/>
              </w:rPr>
              <w:t>Option Awards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3"/>
          </w:tcPr>
          <w:p>
            <w:pPr>
              <w:ind w:left="580"/>
              <w:spacing w:after="0"/>
              <w:rPr>
                <w:sz w:val="20"/>
                <w:szCs w:val="20"/>
                <w:color w:val="auto"/>
              </w:rPr>
            </w:pPr>
            <w:r>
              <w:rPr>
                <w:rFonts w:ascii="Arial" w:cs="Arial" w:eastAsia="Arial" w:hAnsi="Arial"/>
                <w:sz w:val="14"/>
                <w:szCs w:val="14"/>
                <w:color w:val="1F2668"/>
                <w:w w:val="98"/>
              </w:rPr>
              <w:t>Stock Awards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Borders>
              <w:bottom w:val="single" w:sz="8" w:color="1F2668"/>
            </w:tcBorders>
          </w:tcPr>
          <w:p>
            <w:pPr>
              <w:spacing w:after="0"/>
              <w:rPr>
                <w:sz w:val="3"/>
                <w:szCs w:val="3"/>
                <w:color w:val="auto"/>
              </w:rPr>
            </w:pPr>
          </w:p>
        </w:tc>
        <w:tc>
          <w:tcPr>
            <w:tcW w:w="320" w:type="dxa"/>
            <w:vAlign w:val="bottom"/>
            <w:tcBorders>
              <w:bottom w:val="single" w:sz="8" w:color="1F2668"/>
            </w:tcBorders>
          </w:tcPr>
          <w:p>
            <w:pPr>
              <w:spacing w:after="0"/>
              <w:rPr>
                <w:sz w:val="3"/>
                <w:szCs w:val="3"/>
                <w:color w:val="auto"/>
              </w:rPr>
            </w:pPr>
          </w:p>
        </w:tc>
        <w:tc>
          <w:tcPr>
            <w:tcW w:w="140" w:type="dxa"/>
            <w:vAlign w:val="bottom"/>
            <w:tcBorders>
              <w:bottom w:val="single" w:sz="8" w:color="1F2668"/>
            </w:tcBorders>
          </w:tcPr>
          <w:p>
            <w:pPr>
              <w:spacing w:after="0"/>
              <w:rPr>
                <w:sz w:val="3"/>
                <w:szCs w:val="3"/>
                <w:color w:val="auto"/>
              </w:rPr>
            </w:pPr>
          </w:p>
        </w:tc>
        <w:tc>
          <w:tcPr>
            <w:tcW w:w="580" w:type="dxa"/>
            <w:vAlign w:val="bottom"/>
            <w:tcBorders>
              <w:bottom w:val="single" w:sz="8" w:color="1F2668"/>
            </w:tcBorders>
          </w:tcPr>
          <w:p>
            <w:pPr>
              <w:spacing w:after="0"/>
              <w:rPr>
                <w:sz w:val="3"/>
                <w:szCs w:val="3"/>
                <w:color w:val="auto"/>
              </w:rPr>
            </w:pPr>
          </w:p>
        </w:tc>
        <w:tc>
          <w:tcPr>
            <w:tcW w:w="360" w:type="dxa"/>
            <w:vAlign w:val="bottom"/>
            <w:tcBorders>
              <w:bottom w:val="single" w:sz="8" w:color="1F2668"/>
            </w:tcBorders>
          </w:tcPr>
          <w:p>
            <w:pPr>
              <w:spacing w:after="0"/>
              <w:rPr>
                <w:sz w:val="3"/>
                <w:szCs w:val="3"/>
                <w:color w:val="auto"/>
              </w:rPr>
            </w:pPr>
          </w:p>
        </w:tc>
        <w:tc>
          <w:tcPr>
            <w:tcW w:w="160" w:type="dxa"/>
            <w:vAlign w:val="bottom"/>
            <w:tcBorders>
              <w:bottom w:val="single" w:sz="8" w:color="1F2668"/>
            </w:tcBorders>
          </w:tcPr>
          <w:p>
            <w:pPr>
              <w:spacing w:after="0"/>
              <w:rPr>
                <w:sz w:val="3"/>
                <w:szCs w:val="3"/>
                <w:color w:val="auto"/>
              </w:rPr>
            </w:pPr>
          </w:p>
        </w:tc>
        <w:tc>
          <w:tcPr>
            <w:tcW w:w="100" w:type="dxa"/>
            <w:vAlign w:val="bottom"/>
            <w:tcBorders>
              <w:bottom w:val="single" w:sz="8" w:color="1F2668"/>
            </w:tcBorders>
          </w:tcPr>
          <w:p>
            <w:pPr>
              <w:spacing w:after="0"/>
              <w:rPr>
                <w:sz w:val="3"/>
                <w:szCs w:val="3"/>
                <w:color w:val="auto"/>
              </w:rPr>
            </w:pPr>
          </w:p>
        </w:tc>
        <w:tc>
          <w:tcPr>
            <w:tcW w:w="500" w:type="dxa"/>
            <w:vAlign w:val="bottom"/>
            <w:tcBorders>
              <w:bottom w:val="single" w:sz="8" w:color="1F2668"/>
            </w:tcBorders>
          </w:tcPr>
          <w:p>
            <w:pPr>
              <w:spacing w:after="0"/>
              <w:rPr>
                <w:sz w:val="3"/>
                <w:szCs w:val="3"/>
                <w:color w:val="auto"/>
              </w:rPr>
            </w:pPr>
          </w:p>
        </w:tc>
        <w:tc>
          <w:tcPr>
            <w:tcW w:w="120" w:type="dxa"/>
            <w:vAlign w:val="bottom"/>
            <w:tcBorders>
              <w:bottom w:val="single" w:sz="8" w:color="1F2668"/>
            </w:tcBorders>
          </w:tcPr>
          <w:p>
            <w:pPr>
              <w:spacing w:after="0"/>
              <w:rPr>
                <w:sz w:val="3"/>
                <w:szCs w:val="3"/>
                <w:color w:val="auto"/>
              </w:rPr>
            </w:pPr>
          </w:p>
        </w:tc>
        <w:tc>
          <w:tcPr>
            <w:tcW w:w="820" w:type="dxa"/>
            <w:vAlign w:val="bottom"/>
            <w:tcBorders>
              <w:bottom w:val="single" w:sz="8" w:color="1F2668"/>
            </w:tcBorders>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Borders>
              <w:bottom w:val="single" w:sz="8" w:color="1F2668"/>
            </w:tcBorders>
          </w:tcPr>
          <w:p>
            <w:pPr>
              <w:spacing w:after="0"/>
              <w:rPr>
                <w:sz w:val="3"/>
                <w:szCs w:val="3"/>
                <w:color w:val="auto"/>
              </w:rPr>
            </w:pPr>
          </w:p>
        </w:tc>
        <w:tc>
          <w:tcPr>
            <w:tcW w:w="340" w:type="dxa"/>
            <w:vAlign w:val="bottom"/>
            <w:tcBorders>
              <w:bottom w:val="single" w:sz="8" w:color="1F2668"/>
            </w:tcBorders>
          </w:tcPr>
          <w:p>
            <w:pPr>
              <w:spacing w:after="0"/>
              <w:rPr>
                <w:sz w:val="3"/>
                <w:szCs w:val="3"/>
                <w:color w:val="auto"/>
              </w:rPr>
            </w:pPr>
          </w:p>
        </w:tc>
        <w:tc>
          <w:tcPr>
            <w:tcW w:w="100" w:type="dxa"/>
            <w:vAlign w:val="bottom"/>
            <w:tcBorders>
              <w:bottom w:val="single" w:sz="8" w:color="1F2668"/>
            </w:tcBorders>
          </w:tcPr>
          <w:p>
            <w:pPr>
              <w:spacing w:after="0"/>
              <w:rPr>
                <w:sz w:val="3"/>
                <w:szCs w:val="3"/>
                <w:color w:val="auto"/>
              </w:rPr>
            </w:pPr>
          </w:p>
        </w:tc>
        <w:tc>
          <w:tcPr>
            <w:tcW w:w="220" w:type="dxa"/>
            <w:vAlign w:val="bottom"/>
            <w:tcBorders>
              <w:bottom w:val="single" w:sz="8" w:color="1F2668"/>
            </w:tcBorders>
          </w:tcPr>
          <w:p>
            <w:pPr>
              <w:spacing w:after="0"/>
              <w:rPr>
                <w:sz w:val="3"/>
                <w:szCs w:val="3"/>
                <w:color w:val="auto"/>
              </w:rPr>
            </w:pPr>
          </w:p>
        </w:tc>
        <w:tc>
          <w:tcPr>
            <w:tcW w:w="760" w:type="dxa"/>
            <w:vAlign w:val="bottom"/>
            <w:tcBorders>
              <w:bottom w:val="single" w:sz="8" w:color="1F2668"/>
            </w:tcBorders>
          </w:tcPr>
          <w:p>
            <w:pPr>
              <w:spacing w:after="0"/>
              <w:rPr>
                <w:sz w:val="3"/>
                <w:szCs w:val="3"/>
                <w:color w:val="auto"/>
              </w:rPr>
            </w:pPr>
          </w:p>
        </w:tc>
        <w:tc>
          <w:tcPr>
            <w:tcW w:w="100" w:type="dxa"/>
            <w:vAlign w:val="bottom"/>
            <w:tcBorders>
              <w:bottom w:val="single" w:sz="8" w:color="1F2668"/>
            </w:tcBorders>
          </w:tcPr>
          <w:p>
            <w:pPr>
              <w:spacing w:after="0"/>
              <w:rPr>
                <w:sz w:val="3"/>
                <w:szCs w:val="3"/>
                <w:color w:val="auto"/>
              </w:rPr>
            </w:pPr>
          </w:p>
        </w:tc>
        <w:tc>
          <w:tcPr>
            <w:tcW w:w="580" w:type="dxa"/>
            <w:vAlign w:val="bottom"/>
            <w:tcBorders>
              <w:bottom w:val="single" w:sz="8" w:color="1F2668"/>
            </w:tcBorders>
          </w:tcPr>
          <w:p>
            <w:pPr>
              <w:spacing w:after="0"/>
              <w:rPr>
                <w:sz w:val="3"/>
                <w:szCs w:val="3"/>
                <w:color w:val="auto"/>
              </w:rPr>
            </w:pPr>
          </w:p>
        </w:tc>
        <w:tc>
          <w:tcPr>
            <w:tcW w:w="560" w:type="dxa"/>
            <w:vAlign w:val="bottom"/>
            <w:tcBorders>
              <w:bottom w:val="single" w:sz="8" w:color="1F2668"/>
            </w:tcBorders>
            <w:gridSpan w:val="2"/>
          </w:tcPr>
          <w:p>
            <w:pPr>
              <w:spacing w:after="0"/>
              <w:rPr>
                <w:sz w:val="3"/>
                <w:szCs w:val="3"/>
                <w:color w:val="auto"/>
              </w:rPr>
            </w:pPr>
          </w:p>
        </w:tc>
        <w:tc>
          <w:tcPr>
            <w:tcW w:w="300" w:type="dxa"/>
            <w:vAlign w:val="bottom"/>
            <w:tcBorders>
              <w:bottom w:val="single" w:sz="8" w:color="1F2668"/>
            </w:tcBorders>
          </w:tcPr>
          <w:p>
            <w:pPr>
              <w:spacing w:after="0"/>
              <w:rPr>
                <w:sz w:val="3"/>
                <w:szCs w:val="3"/>
                <w:color w:val="auto"/>
              </w:rPr>
            </w:pPr>
          </w:p>
        </w:tc>
        <w:tc>
          <w:tcPr>
            <w:tcW w:w="760" w:type="dxa"/>
            <w:vAlign w:val="bottom"/>
            <w:tcBorders>
              <w:bottom w:val="single" w:sz="8" w:color="1F2668"/>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1F2668"/>
                <w:w w:val="97"/>
              </w:rPr>
              <w:t>Equity</w:t>
            </w: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1F2668"/>
              </w:rPr>
              <w:t>Equity</w:t>
            </w:r>
          </w:p>
        </w:tc>
        <w:tc>
          <w:tcPr>
            <w:tcW w:w="0" w:type="dxa"/>
            <w:vAlign w:val="bottom"/>
          </w:tcPr>
          <w:p>
            <w:pPr>
              <w:spacing w:after="0"/>
              <w:rPr>
                <w:sz w:val="1"/>
                <w:szCs w:val="1"/>
                <w:color w:val="auto"/>
              </w:rPr>
            </w:pPr>
          </w:p>
        </w:tc>
      </w:tr>
      <w:tr>
        <w:trPr>
          <w:trHeight w:val="162"/>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4"/>
                <w:szCs w:val="14"/>
                <w:color w:val="1F2668"/>
              </w:rPr>
              <w:t>Incentive</w:t>
            </w:r>
          </w:p>
        </w:tc>
        <w:tc>
          <w:tcPr>
            <w:tcW w:w="1060" w:type="dxa"/>
            <w:vAlign w:val="bottom"/>
            <w:gridSpan w:val="2"/>
          </w:tcPr>
          <w:p>
            <w:pPr>
              <w:jc w:val="right"/>
              <w:spacing w:after="0"/>
              <w:rPr>
                <w:sz w:val="20"/>
                <w:szCs w:val="20"/>
                <w:color w:val="auto"/>
              </w:rPr>
            </w:pPr>
            <w:r>
              <w:rPr>
                <w:rFonts w:ascii="Arial" w:cs="Arial" w:eastAsia="Arial" w:hAnsi="Arial"/>
                <w:sz w:val="14"/>
                <w:szCs w:val="14"/>
                <w:color w:val="1F2668"/>
              </w:rPr>
              <w:t>Incentive Plan</w:t>
            </w:r>
          </w:p>
        </w:tc>
        <w:tc>
          <w:tcPr>
            <w:tcW w:w="0" w:type="dxa"/>
            <w:vAlign w:val="bottom"/>
          </w:tcPr>
          <w:p>
            <w:pPr>
              <w:spacing w:after="0"/>
              <w:rPr>
                <w:sz w:val="1"/>
                <w:szCs w:val="1"/>
                <w:color w:val="auto"/>
              </w:rPr>
            </w:pPr>
          </w:p>
        </w:tc>
      </w:tr>
      <w:tr>
        <w:trPr>
          <w:trHeight w:val="162"/>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4"/>
                <w:szCs w:val="14"/>
                <w:color w:val="1F2668"/>
              </w:rPr>
              <w:t>Plan Awards:</w:t>
            </w:r>
          </w:p>
        </w:tc>
        <w:tc>
          <w:tcPr>
            <w:tcW w:w="1060" w:type="dxa"/>
            <w:vAlign w:val="bottom"/>
            <w:gridSpan w:val="2"/>
          </w:tcPr>
          <w:p>
            <w:pPr>
              <w:jc w:val="right"/>
              <w:spacing w:after="0"/>
              <w:rPr>
                <w:sz w:val="20"/>
                <w:szCs w:val="20"/>
                <w:color w:val="auto"/>
              </w:rPr>
            </w:pPr>
            <w:r>
              <w:rPr>
                <w:rFonts w:ascii="Arial" w:cs="Arial" w:eastAsia="Arial" w:hAnsi="Arial"/>
                <w:sz w:val="14"/>
                <w:szCs w:val="14"/>
                <w:color w:val="1F2668"/>
              </w:rPr>
              <w:t>Awards: Market</w:t>
            </w:r>
          </w:p>
        </w:tc>
        <w:tc>
          <w:tcPr>
            <w:tcW w:w="0" w:type="dxa"/>
            <w:vAlign w:val="bottom"/>
          </w:tcPr>
          <w:p>
            <w:pPr>
              <w:spacing w:after="0"/>
              <w:rPr>
                <w:sz w:val="1"/>
                <w:szCs w:val="1"/>
                <w:color w:val="auto"/>
              </w:rPr>
            </w:pPr>
          </w:p>
        </w:tc>
      </w:tr>
      <w:tr>
        <w:trPr>
          <w:trHeight w:val="162"/>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ind w:right="131"/>
              <w:spacing w:after="0"/>
              <w:rPr>
                <w:sz w:val="20"/>
                <w:szCs w:val="20"/>
                <w:color w:val="auto"/>
              </w:rPr>
            </w:pPr>
            <w:r>
              <w:rPr>
                <w:rFonts w:ascii="Arial" w:cs="Arial" w:eastAsia="Arial" w:hAnsi="Arial"/>
                <w:sz w:val="14"/>
                <w:szCs w:val="14"/>
                <w:color w:val="1F2668"/>
              </w:rPr>
              <w:t>Number of</w:t>
            </w:r>
          </w:p>
        </w:tc>
        <w:tc>
          <w:tcPr>
            <w:tcW w:w="1100" w:type="dxa"/>
            <w:vAlign w:val="bottom"/>
            <w:gridSpan w:val="3"/>
          </w:tcPr>
          <w:p>
            <w:pPr>
              <w:jc w:val="right"/>
              <w:ind w:right="171"/>
              <w:spacing w:after="0"/>
              <w:rPr>
                <w:sz w:val="20"/>
                <w:szCs w:val="20"/>
                <w:color w:val="auto"/>
              </w:rPr>
            </w:pPr>
            <w:r>
              <w:rPr>
                <w:rFonts w:ascii="Arial" w:cs="Arial" w:eastAsia="Arial" w:hAnsi="Arial"/>
                <w:sz w:val="14"/>
                <w:szCs w:val="14"/>
                <w:color w:val="1F2668"/>
              </w:rPr>
              <w:t>Number of</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1F2668"/>
              </w:rPr>
              <w:t>Number</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4"/>
                <w:szCs w:val="14"/>
                <w:color w:val="1F2668"/>
              </w:rPr>
              <w:t>Number of</w:t>
            </w:r>
          </w:p>
        </w:tc>
        <w:tc>
          <w:tcPr>
            <w:tcW w:w="1060" w:type="dxa"/>
            <w:vAlign w:val="bottom"/>
            <w:gridSpan w:val="2"/>
          </w:tcPr>
          <w:p>
            <w:pPr>
              <w:jc w:val="right"/>
              <w:spacing w:after="0"/>
              <w:rPr>
                <w:sz w:val="20"/>
                <w:szCs w:val="20"/>
                <w:color w:val="auto"/>
              </w:rPr>
            </w:pPr>
            <w:r>
              <w:rPr>
                <w:rFonts w:ascii="Arial" w:cs="Arial" w:eastAsia="Arial" w:hAnsi="Arial"/>
                <w:sz w:val="14"/>
                <w:szCs w:val="14"/>
                <w:color w:val="1F2668"/>
              </w:rPr>
              <w:t>or Payout Value</w:t>
            </w:r>
          </w:p>
        </w:tc>
        <w:tc>
          <w:tcPr>
            <w:tcW w:w="0" w:type="dxa"/>
            <w:vAlign w:val="bottom"/>
          </w:tcPr>
          <w:p>
            <w:pPr>
              <w:spacing w:after="0"/>
              <w:rPr>
                <w:sz w:val="1"/>
                <w:szCs w:val="1"/>
                <w:color w:val="auto"/>
              </w:rPr>
            </w:pPr>
          </w:p>
        </w:tc>
      </w:tr>
      <w:tr>
        <w:trPr>
          <w:trHeight w:val="162"/>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ind w:right="131"/>
              <w:spacing w:after="0"/>
              <w:rPr>
                <w:sz w:val="20"/>
                <w:szCs w:val="20"/>
                <w:color w:val="auto"/>
              </w:rPr>
            </w:pPr>
            <w:r>
              <w:rPr>
                <w:rFonts w:ascii="Arial" w:cs="Arial" w:eastAsia="Arial" w:hAnsi="Arial"/>
                <w:sz w:val="14"/>
                <w:szCs w:val="14"/>
                <w:color w:val="1F2668"/>
              </w:rPr>
              <w:t>Securities</w:t>
            </w:r>
          </w:p>
        </w:tc>
        <w:tc>
          <w:tcPr>
            <w:tcW w:w="1100" w:type="dxa"/>
            <w:vAlign w:val="bottom"/>
            <w:gridSpan w:val="3"/>
          </w:tcPr>
          <w:p>
            <w:pPr>
              <w:jc w:val="right"/>
              <w:ind w:right="171"/>
              <w:spacing w:after="0"/>
              <w:rPr>
                <w:sz w:val="20"/>
                <w:szCs w:val="20"/>
                <w:color w:val="auto"/>
              </w:rPr>
            </w:pPr>
            <w:r>
              <w:rPr>
                <w:rFonts w:ascii="Arial" w:cs="Arial" w:eastAsia="Arial" w:hAnsi="Arial"/>
                <w:sz w:val="14"/>
                <w:szCs w:val="14"/>
                <w:color w:val="1F2668"/>
              </w:rPr>
              <w:t>Securities</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1F2668"/>
              </w:rPr>
              <w:t>of Shares</w:t>
            </w:r>
          </w:p>
        </w:tc>
        <w:tc>
          <w:tcPr>
            <w:tcW w:w="1080" w:type="dxa"/>
            <w:vAlign w:val="bottom"/>
            <w:gridSpan w:val="3"/>
          </w:tcPr>
          <w:p>
            <w:pPr>
              <w:jc w:val="right"/>
              <w:ind w:right="140"/>
              <w:spacing w:after="0"/>
              <w:rPr>
                <w:sz w:val="20"/>
                <w:szCs w:val="20"/>
                <w:color w:val="auto"/>
              </w:rPr>
            </w:pPr>
            <w:r>
              <w:rPr>
                <w:rFonts w:ascii="Arial" w:cs="Arial" w:eastAsia="Arial" w:hAnsi="Arial"/>
                <w:sz w:val="14"/>
                <w:szCs w:val="14"/>
                <w:color w:val="1F2668"/>
              </w:rPr>
              <w:t>Market Value</w:t>
            </w:r>
          </w:p>
        </w:tc>
        <w:tc>
          <w:tcPr>
            <w:tcW w:w="1140" w:type="dxa"/>
            <w:vAlign w:val="bottom"/>
            <w:gridSpan w:val="3"/>
          </w:tcPr>
          <w:p>
            <w:pPr>
              <w:jc w:val="right"/>
              <w:ind w:right="160"/>
              <w:spacing w:after="0"/>
              <w:rPr>
                <w:sz w:val="20"/>
                <w:szCs w:val="20"/>
                <w:color w:val="auto"/>
              </w:rPr>
            </w:pPr>
            <w:r>
              <w:rPr>
                <w:rFonts w:ascii="Arial" w:cs="Arial" w:eastAsia="Arial" w:hAnsi="Arial"/>
                <w:sz w:val="14"/>
                <w:szCs w:val="14"/>
                <w:color w:val="1F2668"/>
              </w:rPr>
              <w:t>Unearned</w:t>
            </w:r>
          </w:p>
        </w:tc>
        <w:tc>
          <w:tcPr>
            <w:tcW w:w="1060" w:type="dxa"/>
            <w:vAlign w:val="bottom"/>
            <w:gridSpan w:val="2"/>
          </w:tcPr>
          <w:p>
            <w:pPr>
              <w:jc w:val="right"/>
              <w:spacing w:after="0"/>
              <w:rPr>
                <w:sz w:val="20"/>
                <w:szCs w:val="20"/>
                <w:color w:val="auto"/>
              </w:rPr>
            </w:pPr>
            <w:r>
              <w:rPr>
                <w:rFonts w:ascii="Arial" w:cs="Arial" w:eastAsia="Arial" w:hAnsi="Arial"/>
                <w:sz w:val="14"/>
                <w:szCs w:val="14"/>
                <w:color w:val="1F2668"/>
              </w:rPr>
              <w:t>of Unearned</w:t>
            </w:r>
          </w:p>
        </w:tc>
        <w:tc>
          <w:tcPr>
            <w:tcW w:w="0" w:type="dxa"/>
            <w:vAlign w:val="bottom"/>
          </w:tcPr>
          <w:p>
            <w:pPr>
              <w:spacing w:after="0"/>
              <w:rPr>
                <w:sz w:val="1"/>
                <w:szCs w:val="1"/>
                <w:color w:val="auto"/>
              </w:rPr>
            </w:pPr>
          </w:p>
        </w:tc>
      </w:tr>
      <w:tr>
        <w:trPr>
          <w:trHeight w:val="162"/>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ind w:right="131"/>
              <w:spacing w:after="0"/>
              <w:rPr>
                <w:sz w:val="20"/>
                <w:szCs w:val="20"/>
                <w:color w:val="auto"/>
              </w:rPr>
            </w:pPr>
            <w:r>
              <w:rPr>
                <w:rFonts w:ascii="Arial" w:cs="Arial" w:eastAsia="Arial" w:hAnsi="Arial"/>
                <w:sz w:val="14"/>
                <w:szCs w:val="14"/>
                <w:color w:val="1F2668"/>
              </w:rPr>
              <w:t>Underlying</w:t>
            </w:r>
          </w:p>
        </w:tc>
        <w:tc>
          <w:tcPr>
            <w:tcW w:w="1100" w:type="dxa"/>
            <w:vAlign w:val="bottom"/>
            <w:gridSpan w:val="3"/>
          </w:tcPr>
          <w:p>
            <w:pPr>
              <w:jc w:val="right"/>
              <w:ind w:right="171"/>
              <w:spacing w:after="0"/>
              <w:rPr>
                <w:sz w:val="20"/>
                <w:szCs w:val="20"/>
                <w:color w:val="auto"/>
              </w:rPr>
            </w:pPr>
            <w:r>
              <w:rPr>
                <w:rFonts w:ascii="Arial" w:cs="Arial" w:eastAsia="Arial" w:hAnsi="Arial"/>
                <w:sz w:val="14"/>
                <w:szCs w:val="14"/>
                <w:color w:val="1F2668"/>
              </w:rPr>
              <w:t>Underlying</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1F2668"/>
              </w:rPr>
              <w:t>Option</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1F2668"/>
              </w:rPr>
              <w:t>or Units of</w:t>
            </w:r>
          </w:p>
        </w:tc>
        <w:tc>
          <w:tcPr>
            <w:tcW w:w="1080" w:type="dxa"/>
            <w:vAlign w:val="bottom"/>
            <w:gridSpan w:val="3"/>
          </w:tcPr>
          <w:p>
            <w:pPr>
              <w:jc w:val="right"/>
              <w:ind w:right="140"/>
              <w:spacing w:after="0"/>
              <w:rPr>
                <w:sz w:val="20"/>
                <w:szCs w:val="20"/>
                <w:color w:val="auto"/>
              </w:rPr>
            </w:pPr>
            <w:r>
              <w:rPr>
                <w:rFonts w:ascii="Arial" w:cs="Arial" w:eastAsia="Arial" w:hAnsi="Arial"/>
                <w:sz w:val="14"/>
                <w:szCs w:val="14"/>
                <w:color w:val="1F2668"/>
              </w:rPr>
              <w:t>of Shares or</w:t>
            </w:r>
          </w:p>
        </w:tc>
        <w:tc>
          <w:tcPr>
            <w:tcW w:w="1140" w:type="dxa"/>
            <w:vAlign w:val="bottom"/>
            <w:gridSpan w:val="3"/>
          </w:tcPr>
          <w:p>
            <w:pPr>
              <w:jc w:val="right"/>
              <w:ind w:right="160"/>
              <w:spacing w:after="0"/>
              <w:rPr>
                <w:sz w:val="20"/>
                <w:szCs w:val="20"/>
                <w:color w:val="auto"/>
              </w:rPr>
            </w:pPr>
            <w:r>
              <w:rPr>
                <w:rFonts w:ascii="Arial" w:cs="Arial" w:eastAsia="Arial" w:hAnsi="Arial"/>
                <w:sz w:val="14"/>
                <w:szCs w:val="14"/>
                <w:color w:val="1F2668"/>
              </w:rPr>
              <w:t>Shares, Units</w:t>
            </w:r>
          </w:p>
        </w:tc>
        <w:tc>
          <w:tcPr>
            <w:tcW w:w="1060" w:type="dxa"/>
            <w:vAlign w:val="bottom"/>
            <w:gridSpan w:val="2"/>
          </w:tcPr>
          <w:p>
            <w:pPr>
              <w:jc w:val="right"/>
              <w:spacing w:after="0"/>
              <w:rPr>
                <w:sz w:val="20"/>
                <w:szCs w:val="20"/>
                <w:color w:val="auto"/>
              </w:rPr>
            </w:pPr>
            <w:r>
              <w:rPr>
                <w:rFonts w:ascii="Arial" w:cs="Arial" w:eastAsia="Arial" w:hAnsi="Arial"/>
                <w:sz w:val="14"/>
                <w:szCs w:val="14"/>
                <w:color w:val="1F2668"/>
              </w:rPr>
              <w:t>Shares or Units</w:t>
            </w:r>
          </w:p>
        </w:tc>
        <w:tc>
          <w:tcPr>
            <w:tcW w:w="0" w:type="dxa"/>
            <w:vAlign w:val="bottom"/>
          </w:tcPr>
          <w:p>
            <w:pPr>
              <w:spacing w:after="0"/>
              <w:rPr>
                <w:sz w:val="1"/>
                <w:szCs w:val="1"/>
                <w:color w:val="auto"/>
              </w:rPr>
            </w:pPr>
          </w:p>
        </w:tc>
      </w:tr>
      <w:tr>
        <w:trPr>
          <w:trHeight w:val="162"/>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ind w:right="131"/>
              <w:spacing w:after="0"/>
              <w:rPr>
                <w:sz w:val="20"/>
                <w:szCs w:val="20"/>
                <w:color w:val="auto"/>
              </w:rPr>
            </w:pPr>
            <w:r>
              <w:rPr>
                <w:rFonts w:ascii="Arial" w:cs="Arial" w:eastAsia="Arial" w:hAnsi="Arial"/>
                <w:sz w:val="14"/>
                <w:szCs w:val="14"/>
                <w:color w:val="1F2668"/>
              </w:rPr>
              <w:t>Unexercised</w:t>
            </w:r>
          </w:p>
        </w:tc>
        <w:tc>
          <w:tcPr>
            <w:tcW w:w="1100" w:type="dxa"/>
            <w:vAlign w:val="bottom"/>
            <w:gridSpan w:val="3"/>
          </w:tcPr>
          <w:p>
            <w:pPr>
              <w:jc w:val="right"/>
              <w:ind w:right="171"/>
              <w:spacing w:after="0"/>
              <w:rPr>
                <w:sz w:val="20"/>
                <w:szCs w:val="20"/>
                <w:color w:val="auto"/>
              </w:rPr>
            </w:pPr>
            <w:r>
              <w:rPr>
                <w:rFonts w:ascii="Arial" w:cs="Arial" w:eastAsia="Arial" w:hAnsi="Arial"/>
                <w:sz w:val="14"/>
                <w:szCs w:val="14"/>
                <w:color w:val="1F2668"/>
              </w:rPr>
              <w:t>Unexercised</w:t>
            </w:r>
          </w:p>
        </w:tc>
        <w:tc>
          <w:tcPr>
            <w:tcW w:w="720" w:type="dxa"/>
            <w:vAlign w:val="bottom"/>
            <w:gridSpan w:val="3"/>
          </w:tcPr>
          <w:p>
            <w:pPr>
              <w:ind w:left="20"/>
              <w:spacing w:after="0"/>
              <w:rPr>
                <w:sz w:val="20"/>
                <w:szCs w:val="20"/>
                <w:color w:val="auto"/>
              </w:rPr>
            </w:pPr>
            <w:r>
              <w:rPr>
                <w:rFonts w:ascii="Arial" w:cs="Arial" w:eastAsia="Arial" w:hAnsi="Arial"/>
                <w:sz w:val="14"/>
                <w:szCs w:val="14"/>
                <w:color w:val="1F2668"/>
              </w:rPr>
              <w:t>Exercise</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1F2668"/>
              </w:rPr>
              <w:t>Option</w:t>
            </w: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1F2668"/>
              </w:rPr>
              <w:t>Stock That</w:t>
            </w:r>
          </w:p>
        </w:tc>
        <w:tc>
          <w:tcPr>
            <w:tcW w:w="1080" w:type="dxa"/>
            <w:vAlign w:val="bottom"/>
            <w:gridSpan w:val="3"/>
          </w:tcPr>
          <w:p>
            <w:pPr>
              <w:jc w:val="right"/>
              <w:ind w:right="140"/>
              <w:spacing w:after="0"/>
              <w:rPr>
                <w:sz w:val="20"/>
                <w:szCs w:val="20"/>
                <w:color w:val="auto"/>
              </w:rPr>
            </w:pPr>
            <w:r>
              <w:rPr>
                <w:rFonts w:ascii="Arial" w:cs="Arial" w:eastAsia="Arial" w:hAnsi="Arial"/>
                <w:sz w:val="14"/>
                <w:szCs w:val="14"/>
                <w:color w:val="1F2668"/>
              </w:rPr>
              <w:t>Units of Stock</w:t>
            </w:r>
          </w:p>
        </w:tc>
        <w:tc>
          <w:tcPr>
            <w:tcW w:w="1140" w:type="dxa"/>
            <w:vAlign w:val="bottom"/>
            <w:gridSpan w:val="3"/>
          </w:tcPr>
          <w:p>
            <w:pPr>
              <w:jc w:val="right"/>
              <w:ind w:right="160"/>
              <w:spacing w:after="0"/>
              <w:rPr>
                <w:sz w:val="20"/>
                <w:szCs w:val="20"/>
                <w:color w:val="auto"/>
              </w:rPr>
            </w:pPr>
            <w:r>
              <w:rPr>
                <w:rFonts w:ascii="Arial" w:cs="Arial" w:eastAsia="Arial" w:hAnsi="Arial"/>
                <w:sz w:val="14"/>
                <w:szCs w:val="14"/>
                <w:color w:val="1F2668"/>
              </w:rPr>
              <w:t>or Other Rights</w:t>
            </w:r>
          </w:p>
        </w:tc>
        <w:tc>
          <w:tcPr>
            <w:tcW w:w="1060" w:type="dxa"/>
            <w:vAlign w:val="bottom"/>
            <w:gridSpan w:val="2"/>
          </w:tcPr>
          <w:p>
            <w:pPr>
              <w:jc w:val="right"/>
              <w:spacing w:after="0"/>
              <w:rPr>
                <w:sz w:val="20"/>
                <w:szCs w:val="20"/>
                <w:color w:val="auto"/>
              </w:rPr>
            </w:pPr>
            <w:r>
              <w:rPr>
                <w:rFonts w:ascii="Arial" w:cs="Arial" w:eastAsia="Arial" w:hAnsi="Arial"/>
                <w:sz w:val="14"/>
                <w:szCs w:val="14"/>
                <w:color w:val="1F2668"/>
              </w:rPr>
              <w:t>or Other Rights</w:t>
            </w:r>
          </w:p>
        </w:tc>
        <w:tc>
          <w:tcPr>
            <w:tcW w:w="0" w:type="dxa"/>
            <w:vAlign w:val="bottom"/>
          </w:tcPr>
          <w:p>
            <w:pPr>
              <w:spacing w:after="0"/>
              <w:rPr>
                <w:sz w:val="1"/>
                <w:szCs w:val="1"/>
                <w:color w:val="auto"/>
              </w:rPr>
            </w:pPr>
          </w:p>
        </w:tc>
      </w:tr>
      <w:tr>
        <w:trPr>
          <w:trHeight w:val="162"/>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ind w:right="131"/>
              <w:spacing w:after="0"/>
              <w:rPr>
                <w:sz w:val="20"/>
                <w:szCs w:val="20"/>
                <w:color w:val="auto"/>
              </w:rPr>
            </w:pPr>
            <w:r>
              <w:rPr>
                <w:rFonts w:ascii="Arial" w:cs="Arial" w:eastAsia="Arial" w:hAnsi="Arial"/>
                <w:sz w:val="14"/>
                <w:szCs w:val="14"/>
                <w:color w:val="1F2668"/>
              </w:rPr>
              <w:t>Options (#)</w:t>
            </w:r>
          </w:p>
        </w:tc>
        <w:tc>
          <w:tcPr>
            <w:tcW w:w="1100" w:type="dxa"/>
            <w:vAlign w:val="bottom"/>
            <w:gridSpan w:val="3"/>
          </w:tcPr>
          <w:p>
            <w:pPr>
              <w:jc w:val="right"/>
              <w:ind w:right="171"/>
              <w:spacing w:after="0"/>
              <w:rPr>
                <w:sz w:val="20"/>
                <w:szCs w:val="20"/>
                <w:color w:val="auto"/>
              </w:rPr>
            </w:pPr>
            <w:r>
              <w:rPr>
                <w:rFonts w:ascii="Arial" w:cs="Arial" w:eastAsia="Arial" w:hAnsi="Arial"/>
                <w:sz w:val="14"/>
                <w:szCs w:val="14"/>
                <w:color w:val="1F2668"/>
              </w:rPr>
              <w:t>Options (#)</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1F2668"/>
              </w:rPr>
              <w:t>Price</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1F2668"/>
              </w:rPr>
              <w:t>Expiration</w:t>
            </w: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1F2668"/>
              </w:rPr>
              <w:t>Have Not</w:t>
            </w:r>
          </w:p>
        </w:tc>
        <w:tc>
          <w:tcPr>
            <w:tcW w:w="1080" w:type="dxa"/>
            <w:vAlign w:val="bottom"/>
            <w:gridSpan w:val="3"/>
          </w:tcPr>
          <w:p>
            <w:pPr>
              <w:jc w:val="right"/>
              <w:ind w:right="140"/>
              <w:spacing w:after="0"/>
              <w:rPr>
                <w:sz w:val="20"/>
                <w:szCs w:val="20"/>
                <w:color w:val="auto"/>
              </w:rPr>
            </w:pPr>
            <w:r>
              <w:rPr>
                <w:rFonts w:ascii="Arial" w:cs="Arial" w:eastAsia="Arial" w:hAnsi="Arial"/>
                <w:sz w:val="14"/>
                <w:szCs w:val="14"/>
                <w:color w:val="1F2668"/>
              </w:rPr>
              <w:t>That Have Not</w:t>
            </w:r>
          </w:p>
        </w:tc>
        <w:tc>
          <w:tcPr>
            <w:tcW w:w="1140" w:type="dxa"/>
            <w:vAlign w:val="bottom"/>
            <w:gridSpan w:val="3"/>
          </w:tcPr>
          <w:p>
            <w:pPr>
              <w:jc w:val="right"/>
              <w:ind w:right="160"/>
              <w:spacing w:after="0"/>
              <w:rPr>
                <w:sz w:val="20"/>
                <w:szCs w:val="20"/>
                <w:color w:val="auto"/>
              </w:rPr>
            </w:pPr>
            <w:r>
              <w:rPr>
                <w:rFonts w:ascii="Arial" w:cs="Arial" w:eastAsia="Arial" w:hAnsi="Arial"/>
                <w:sz w:val="14"/>
                <w:szCs w:val="14"/>
                <w:color w:val="1F2668"/>
              </w:rPr>
              <w:t>That Have Not</w:t>
            </w:r>
          </w:p>
        </w:tc>
        <w:tc>
          <w:tcPr>
            <w:tcW w:w="1060" w:type="dxa"/>
            <w:vAlign w:val="bottom"/>
            <w:gridSpan w:val="2"/>
          </w:tcPr>
          <w:p>
            <w:pPr>
              <w:jc w:val="right"/>
              <w:spacing w:after="0"/>
              <w:rPr>
                <w:sz w:val="20"/>
                <w:szCs w:val="20"/>
                <w:color w:val="auto"/>
              </w:rPr>
            </w:pPr>
            <w:r>
              <w:rPr>
                <w:rFonts w:ascii="Arial" w:cs="Arial" w:eastAsia="Arial" w:hAnsi="Arial"/>
                <w:sz w:val="14"/>
                <w:szCs w:val="14"/>
                <w:color w:val="1F2668"/>
              </w:rPr>
              <w:t>that Have Not</w:t>
            </w:r>
          </w:p>
        </w:tc>
        <w:tc>
          <w:tcPr>
            <w:tcW w:w="0" w:type="dxa"/>
            <w:vAlign w:val="bottom"/>
          </w:tcPr>
          <w:p>
            <w:pPr>
              <w:spacing w:after="0"/>
              <w:rPr>
                <w:sz w:val="1"/>
                <w:szCs w:val="1"/>
                <w:color w:val="auto"/>
              </w:rPr>
            </w:pPr>
          </w:p>
        </w:tc>
      </w:tr>
      <w:tr>
        <w:trPr>
          <w:trHeight w:val="225"/>
        </w:trPr>
        <w:tc>
          <w:tcPr>
            <w:tcW w:w="1100" w:type="dxa"/>
            <w:vAlign w:val="bottom"/>
          </w:tcPr>
          <w:p>
            <w:pPr>
              <w:spacing w:after="0"/>
              <w:rPr>
                <w:sz w:val="20"/>
                <w:szCs w:val="20"/>
                <w:color w:val="auto"/>
              </w:rPr>
            </w:pPr>
            <w:r>
              <w:rPr>
                <w:rFonts w:ascii="Arial" w:cs="Arial" w:eastAsia="Arial" w:hAnsi="Arial"/>
                <w:sz w:val="14"/>
                <w:szCs w:val="14"/>
                <w:color w:val="1F2668"/>
              </w:rPr>
              <w:t>Name</w:t>
            </w:r>
          </w:p>
        </w:tc>
        <w:tc>
          <w:tcPr>
            <w:tcW w:w="100" w:type="dxa"/>
            <w:vAlign w:val="bottom"/>
          </w:tcPr>
          <w:p>
            <w:pPr>
              <w:spacing w:after="0"/>
              <w:rPr>
                <w:sz w:val="19"/>
                <w:szCs w:val="19"/>
                <w:color w:val="auto"/>
              </w:rPr>
            </w:pPr>
          </w:p>
        </w:tc>
        <w:tc>
          <w:tcPr>
            <w:tcW w:w="980" w:type="dxa"/>
            <w:vAlign w:val="bottom"/>
            <w:gridSpan w:val="3"/>
          </w:tcPr>
          <w:p>
            <w:pPr>
              <w:ind w:left="120"/>
              <w:spacing w:after="0"/>
              <w:rPr>
                <w:sz w:val="20"/>
                <w:szCs w:val="20"/>
                <w:color w:val="auto"/>
              </w:rPr>
            </w:pPr>
            <w:r>
              <w:rPr>
                <w:rFonts w:ascii="Arial" w:cs="Arial" w:eastAsia="Arial" w:hAnsi="Arial"/>
                <w:sz w:val="14"/>
                <w:szCs w:val="14"/>
                <w:color w:val="1F2668"/>
              </w:rPr>
              <w:t>Exercisable</w:t>
            </w:r>
          </w:p>
        </w:tc>
        <w:tc>
          <w:tcPr>
            <w:tcW w:w="1100" w:type="dxa"/>
            <w:vAlign w:val="bottom"/>
            <w:gridSpan w:val="3"/>
          </w:tcPr>
          <w:p>
            <w:pPr>
              <w:ind w:left="40"/>
              <w:spacing w:after="0"/>
              <w:rPr>
                <w:sz w:val="20"/>
                <w:szCs w:val="20"/>
                <w:color w:val="auto"/>
              </w:rPr>
            </w:pPr>
            <w:r>
              <w:rPr>
                <w:rFonts w:ascii="Arial" w:cs="Arial" w:eastAsia="Arial" w:hAnsi="Arial"/>
                <w:sz w:val="14"/>
                <w:szCs w:val="14"/>
                <w:color w:val="1F2668"/>
              </w:rPr>
              <w:t>Unexercisable</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1F2668"/>
              </w:rPr>
              <w:t>($)</w:t>
            </w:r>
          </w:p>
        </w:tc>
        <w:tc>
          <w:tcPr>
            <w:tcW w:w="120" w:type="dxa"/>
            <w:vAlign w:val="bottom"/>
          </w:tcPr>
          <w:p>
            <w:pPr>
              <w:spacing w:after="0"/>
              <w:rPr>
                <w:sz w:val="19"/>
                <w:szCs w:val="19"/>
                <w:color w:val="auto"/>
              </w:rPr>
            </w:pPr>
          </w:p>
        </w:tc>
        <w:tc>
          <w:tcPr>
            <w:tcW w:w="940" w:type="dxa"/>
            <w:vAlign w:val="bottom"/>
            <w:gridSpan w:val="2"/>
          </w:tcPr>
          <w:p>
            <w:pPr>
              <w:ind w:left="520"/>
              <w:spacing w:after="0"/>
              <w:rPr>
                <w:sz w:val="20"/>
                <w:szCs w:val="20"/>
                <w:color w:val="auto"/>
              </w:rPr>
            </w:pPr>
            <w:r>
              <w:rPr>
                <w:rFonts w:ascii="Arial" w:cs="Arial" w:eastAsia="Arial" w:hAnsi="Arial"/>
                <w:sz w:val="14"/>
                <w:szCs w:val="14"/>
                <w:color w:val="1F2668"/>
              </w:rPr>
              <w:t>Date</w:t>
            </w:r>
          </w:p>
        </w:tc>
        <w:tc>
          <w:tcPr>
            <w:tcW w:w="840" w:type="dxa"/>
            <w:vAlign w:val="bottom"/>
            <w:gridSpan w:val="3"/>
          </w:tcPr>
          <w:p>
            <w:pPr>
              <w:ind w:left="20"/>
              <w:spacing w:after="0"/>
              <w:rPr>
                <w:sz w:val="20"/>
                <w:szCs w:val="20"/>
                <w:color w:val="auto"/>
              </w:rPr>
            </w:pPr>
            <w:r>
              <w:rPr>
                <w:rFonts w:ascii="Arial" w:cs="Arial" w:eastAsia="Arial" w:hAnsi="Arial"/>
                <w:sz w:val="14"/>
                <w:szCs w:val="14"/>
                <w:color w:val="1F2668"/>
              </w:rPr>
              <w:t>Vested(#)</w:t>
            </w:r>
            <w:r>
              <w:rPr>
                <w:rFonts w:ascii="Arial" w:cs="Arial" w:eastAsia="Arial" w:hAnsi="Arial"/>
                <w:sz w:val="17"/>
                <w:szCs w:val="17"/>
                <w:b w:val="1"/>
                <w:bCs w:val="1"/>
                <w:color w:val="1F2668"/>
                <w:vertAlign w:val="superscript"/>
              </w:rPr>
              <w:t>(1)</w:t>
            </w:r>
          </w:p>
        </w:tc>
        <w:tc>
          <w:tcPr>
            <w:tcW w:w="220" w:type="dxa"/>
            <w:vAlign w:val="bottom"/>
          </w:tcPr>
          <w:p>
            <w:pPr>
              <w:spacing w:after="0"/>
              <w:rPr>
                <w:sz w:val="19"/>
                <w:szCs w:val="19"/>
                <w:color w:val="auto"/>
              </w:rPr>
            </w:pPr>
          </w:p>
        </w:tc>
        <w:tc>
          <w:tcPr>
            <w:tcW w:w="860" w:type="dxa"/>
            <w:vAlign w:val="bottom"/>
            <w:gridSpan w:val="2"/>
          </w:tcPr>
          <w:p>
            <w:pPr>
              <w:ind w:left="220"/>
              <w:spacing w:after="0"/>
              <w:rPr>
                <w:sz w:val="20"/>
                <w:szCs w:val="20"/>
                <w:color w:val="auto"/>
              </w:rPr>
            </w:pPr>
            <w:r>
              <w:rPr>
                <w:rFonts w:ascii="Arial" w:cs="Arial" w:eastAsia="Arial" w:hAnsi="Arial"/>
                <w:sz w:val="14"/>
                <w:szCs w:val="14"/>
                <w:color w:val="1F2668"/>
              </w:rPr>
              <w:t>Vested</w:t>
            </w:r>
            <w:r>
              <w:rPr>
                <w:rFonts w:ascii="Arial" w:cs="Arial" w:eastAsia="Arial" w:hAnsi="Arial"/>
                <w:sz w:val="17"/>
                <w:szCs w:val="17"/>
                <w:b w:val="1"/>
                <w:bCs w:val="1"/>
                <w:color w:val="1F2668"/>
                <w:vertAlign w:val="superscript"/>
              </w:rPr>
              <w:t>(2)</w:t>
            </w:r>
          </w:p>
        </w:tc>
        <w:tc>
          <w:tcPr>
            <w:tcW w:w="1140" w:type="dxa"/>
            <w:vAlign w:val="bottom"/>
            <w:gridSpan w:val="3"/>
          </w:tcPr>
          <w:p>
            <w:pPr>
              <w:ind w:left="280"/>
              <w:spacing w:after="0"/>
              <w:rPr>
                <w:sz w:val="20"/>
                <w:szCs w:val="20"/>
                <w:color w:val="auto"/>
              </w:rPr>
            </w:pPr>
            <w:r>
              <w:rPr>
                <w:rFonts w:ascii="Arial" w:cs="Arial" w:eastAsia="Arial" w:hAnsi="Arial"/>
                <w:sz w:val="14"/>
                <w:szCs w:val="14"/>
                <w:color w:val="1F2668"/>
              </w:rPr>
              <w:t>Vested (#)</w:t>
            </w:r>
            <w:r>
              <w:rPr>
                <w:rFonts w:ascii="Arial" w:cs="Arial" w:eastAsia="Arial" w:hAnsi="Arial"/>
                <w:sz w:val="17"/>
                <w:szCs w:val="17"/>
                <w:b w:val="1"/>
                <w:bCs w:val="1"/>
                <w:color w:val="1F2668"/>
                <w:vertAlign w:val="superscript"/>
              </w:rPr>
              <w:t>(3)</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1F2668"/>
              </w:rPr>
              <w:t>Vested</w:t>
            </w:r>
            <w:r>
              <w:rPr>
                <w:rFonts w:ascii="Arial" w:cs="Arial" w:eastAsia="Arial" w:hAnsi="Arial"/>
                <w:sz w:val="17"/>
                <w:szCs w:val="17"/>
                <w:b w:val="1"/>
                <w:bCs w:val="1"/>
                <w:color w:val="1F2668"/>
                <w:vertAlign w:val="superscript"/>
              </w:rPr>
              <w:t>(2)</w:t>
            </w:r>
          </w:p>
        </w:tc>
        <w:tc>
          <w:tcPr>
            <w:tcW w:w="0" w:type="dxa"/>
            <w:vAlign w:val="bottom"/>
          </w:tcPr>
          <w:p>
            <w:pPr>
              <w:spacing w:after="0"/>
              <w:rPr>
                <w:sz w:val="1"/>
                <w:szCs w:val="1"/>
                <w:color w:val="auto"/>
              </w:rPr>
            </w:pPr>
          </w:p>
        </w:tc>
      </w:tr>
      <w:tr>
        <w:trPr>
          <w:trHeight w:val="20"/>
        </w:trPr>
        <w:tc>
          <w:tcPr>
            <w:tcW w:w="1100" w:type="dxa"/>
            <w:vAlign w:val="bottom"/>
            <w:shd w:val="clear" w:color="auto" w:fill="1F2668"/>
          </w:tcPr>
          <w:p>
            <w:pPr>
              <w:spacing w:after="0" w:line="20" w:lineRule="exact"/>
              <w:rPr>
                <w:sz w:val="1"/>
                <w:szCs w:val="1"/>
                <w:color w:val="auto"/>
              </w:rPr>
            </w:pPr>
          </w:p>
        </w:tc>
        <w:tc>
          <w:tcPr>
            <w:tcW w:w="100" w:type="dxa"/>
            <w:vAlign w:val="bottom"/>
            <w:tcBorders>
              <w:right w:val="single" w:sz="8" w:color="E9F9D8"/>
            </w:tcBorders>
          </w:tcPr>
          <w:p>
            <w:pPr>
              <w:spacing w:after="0" w:line="20" w:lineRule="exact"/>
              <w:rPr>
                <w:sz w:val="1"/>
                <w:szCs w:val="1"/>
                <w:color w:val="auto"/>
              </w:rPr>
            </w:pPr>
          </w:p>
        </w:tc>
        <w:tc>
          <w:tcPr>
            <w:tcW w:w="840" w:type="dxa"/>
            <w:vAlign w:val="bottom"/>
            <w:gridSpan w:val="2"/>
            <w:shd w:val="clear" w:color="auto" w:fill="1F2668"/>
          </w:tcPr>
          <w:p>
            <w:pPr>
              <w:spacing w:after="0" w:line="20" w:lineRule="exact"/>
              <w:rPr>
                <w:sz w:val="1"/>
                <w:szCs w:val="1"/>
                <w:color w:val="auto"/>
              </w:rPr>
            </w:pPr>
          </w:p>
        </w:tc>
        <w:tc>
          <w:tcPr>
            <w:tcW w:w="140" w:type="dxa"/>
            <w:vAlign w:val="bottom"/>
            <w:shd w:val="clear" w:color="auto" w:fill="E9F9D8"/>
          </w:tcPr>
          <w:p>
            <w:pPr>
              <w:spacing w:after="0" w:line="20" w:lineRule="exact"/>
              <w:rPr>
                <w:sz w:val="1"/>
                <w:szCs w:val="1"/>
                <w:color w:val="auto"/>
              </w:rPr>
            </w:pPr>
          </w:p>
        </w:tc>
        <w:tc>
          <w:tcPr>
            <w:tcW w:w="580" w:type="dxa"/>
            <w:vAlign w:val="bottom"/>
            <w:shd w:val="clear" w:color="auto" w:fill="1F2668"/>
          </w:tcPr>
          <w:p>
            <w:pPr>
              <w:spacing w:after="0" w:line="20" w:lineRule="exact"/>
              <w:rPr>
                <w:sz w:val="1"/>
                <w:szCs w:val="1"/>
                <w:color w:val="auto"/>
              </w:rPr>
            </w:pPr>
          </w:p>
        </w:tc>
        <w:tc>
          <w:tcPr>
            <w:tcW w:w="360" w:type="dxa"/>
            <w:vAlign w:val="bottom"/>
            <w:shd w:val="clear" w:color="auto" w:fill="1F2668"/>
          </w:tcPr>
          <w:p>
            <w:pPr>
              <w:spacing w:after="0" w:line="20" w:lineRule="exact"/>
              <w:rPr>
                <w:sz w:val="1"/>
                <w:szCs w:val="1"/>
                <w:color w:val="auto"/>
              </w:rPr>
            </w:pPr>
          </w:p>
        </w:tc>
        <w:tc>
          <w:tcPr>
            <w:tcW w:w="160" w:type="dxa"/>
            <w:vAlign w:val="bottom"/>
            <w:shd w:val="clear" w:color="auto" w:fill="E9F9D8"/>
          </w:tcPr>
          <w:p>
            <w:pPr>
              <w:spacing w:after="0" w:line="20" w:lineRule="exact"/>
              <w:rPr>
                <w:sz w:val="1"/>
                <w:szCs w:val="1"/>
                <w:color w:val="auto"/>
              </w:rPr>
            </w:pPr>
          </w:p>
        </w:tc>
        <w:tc>
          <w:tcPr>
            <w:tcW w:w="100" w:type="dxa"/>
            <w:vAlign w:val="bottom"/>
            <w:shd w:val="clear" w:color="auto" w:fill="1F2668"/>
          </w:tcPr>
          <w:p>
            <w:pPr>
              <w:spacing w:after="0" w:line="20" w:lineRule="exact"/>
              <w:rPr>
                <w:sz w:val="1"/>
                <w:szCs w:val="1"/>
                <w:color w:val="auto"/>
              </w:rPr>
            </w:pPr>
          </w:p>
        </w:tc>
        <w:tc>
          <w:tcPr>
            <w:tcW w:w="500" w:type="dxa"/>
            <w:vAlign w:val="bottom"/>
            <w:shd w:val="clear" w:color="auto" w:fill="1F2668"/>
          </w:tcPr>
          <w:p>
            <w:pPr>
              <w:spacing w:after="0" w:line="20" w:lineRule="exact"/>
              <w:rPr>
                <w:sz w:val="1"/>
                <w:szCs w:val="1"/>
                <w:color w:val="auto"/>
              </w:rPr>
            </w:pPr>
          </w:p>
        </w:tc>
        <w:tc>
          <w:tcPr>
            <w:tcW w:w="120" w:type="dxa"/>
            <w:vAlign w:val="bottom"/>
            <w:shd w:val="clear" w:color="auto" w:fill="E9F9D8"/>
          </w:tcPr>
          <w:p>
            <w:pPr>
              <w:spacing w:after="0" w:line="20" w:lineRule="exact"/>
              <w:rPr>
                <w:sz w:val="1"/>
                <w:szCs w:val="1"/>
                <w:color w:val="auto"/>
              </w:rPr>
            </w:pPr>
          </w:p>
        </w:tc>
        <w:tc>
          <w:tcPr>
            <w:tcW w:w="820" w:type="dxa"/>
            <w:vAlign w:val="bottom"/>
            <w:shd w:val="clear" w:color="auto" w:fill="1F2668"/>
          </w:tcPr>
          <w:p>
            <w:pPr>
              <w:spacing w:after="0" w:line="20" w:lineRule="exact"/>
              <w:rPr>
                <w:sz w:val="1"/>
                <w:szCs w:val="1"/>
                <w:color w:val="auto"/>
              </w:rPr>
            </w:pPr>
          </w:p>
        </w:tc>
        <w:tc>
          <w:tcPr>
            <w:tcW w:w="120" w:type="dxa"/>
            <w:vAlign w:val="bottom"/>
            <w:shd w:val="clear" w:color="auto" w:fill="E9F9D8"/>
          </w:tcPr>
          <w:p>
            <w:pPr>
              <w:spacing w:after="0" w:line="20" w:lineRule="exact"/>
              <w:rPr>
                <w:sz w:val="1"/>
                <w:szCs w:val="1"/>
                <w:color w:val="auto"/>
              </w:rPr>
            </w:pPr>
          </w:p>
        </w:tc>
        <w:tc>
          <w:tcPr>
            <w:tcW w:w="740" w:type="dxa"/>
            <w:vAlign w:val="bottom"/>
            <w:gridSpan w:val="2"/>
            <w:shd w:val="clear" w:color="auto" w:fill="1F2668"/>
          </w:tcPr>
          <w:p>
            <w:pPr>
              <w:spacing w:after="0" w:line="20" w:lineRule="exact"/>
              <w:rPr>
                <w:sz w:val="1"/>
                <w:szCs w:val="1"/>
                <w:color w:val="auto"/>
              </w:rPr>
            </w:pPr>
          </w:p>
        </w:tc>
        <w:tc>
          <w:tcPr>
            <w:tcW w:w="100" w:type="dxa"/>
            <w:vAlign w:val="bottom"/>
            <w:shd w:val="clear" w:color="auto" w:fill="E9F9D8"/>
          </w:tcPr>
          <w:p>
            <w:pPr>
              <w:spacing w:after="0" w:line="20" w:lineRule="exact"/>
              <w:rPr>
                <w:sz w:val="1"/>
                <w:szCs w:val="1"/>
                <w:color w:val="auto"/>
              </w:rPr>
            </w:pPr>
          </w:p>
        </w:tc>
        <w:tc>
          <w:tcPr>
            <w:tcW w:w="980" w:type="dxa"/>
            <w:vAlign w:val="bottom"/>
            <w:gridSpan w:val="2"/>
            <w:shd w:val="clear" w:color="auto" w:fill="1F2668"/>
          </w:tcPr>
          <w:p>
            <w:pPr>
              <w:spacing w:after="0" w:line="20" w:lineRule="exact"/>
              <w:rPr>
                <w:sz w:val="1"/>
                <w:szCs w:val="1"/>
                <w:color w:val="auto"/>
              </w:rPr>
            </w:pPr>
          </w:p>
        </w:tc>
        <w:tc>
          <w:tcPr>
            <w:tcW w:w="100" w:type="dxa"/>
            <w:vAlign w:val="bottom"/>
            <w:shd w:val="clear" w:color="auto" w:fill="E9F9D8"/>
          </w:tcPr>
          <w:p>
            <w:pPr>
              <w:spacing w:after="0" w:line="20" w:lineRule="exact"/>
              <w:rPr>
                <w:sz w:val="1"/>
                <w:szCs w:val="1"/>
                <w:color w:val="auto"/>
              </w:rPr>
            </w:pPr>
          </w:p>
        </w:tc>
        <w:tc>
          <w:tcPr>
            <w:tcW w:w="1040" w:type="dxa"/>
            <w:vAlign w:val="bottom"/>
            <w:gridSpan w:val="2"/>
            <w:shd w:val="clear" w:color="auto" w:fill="1F2668"/>
          </w:tcPr>
          <w:p>
            <w:pPr>
              <w:spacing w:after="0" w:line="20" w:lineRule="exact"/>
              <w:rPr>
                <w:sz w:val="1"/>
                <w:szCs w:val="1"/>
                <w:color w:val="auto"/>
              </w:rPr>
            </w:pPr>
          </w:p>
        </w:tc>
        <w:tc>
          <w:tcPr>
            <w:tcW w:w="100" w:type="dxa"/>
            <w:vAlign w:val="bottom"/>
            <w:shd w:val="clear" w:color="auto" w:fill="E9F9D8"/>
          </w:tcPr>
          <w:p>
            <w:pPr>
              <w:spacing w:after="0" w:line="20" w:lineRule="exact"/>
              <w:rPr>
                <w:sz w:val="1"/>
                <w:szCs w:val="1"/>
                <w:color w:val="auto"/>
              </w:rPr>
            </w:pPr>
          </w:p>
        </w:tc>
        <w:tc>
          <w:tcPr>
            <w:tcW w:w="1060" w:type="dxa"/>
            <w:vAlign w:val="bottom"/>
            <w:gridSpan w:val="2"/>
            <w:shd w:val="clear" w:color="auto" w:fill="1F266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00" w:type="dxa"/>
            <w:vAlign w:val="bottom"/>
          </w:tcPr>
          <w:p>
            <w:pPr>
              <w:spacing w:after="0"/>
              <w:rPr>
                <w:sz w:val="20"/>
                <w:szCs w:val="20"/>
                <w:color w:val="auto"/>
              </w:rPr>
            </w:pPr>
            <w:r>
              <w:rPr>
                <w:rFonts w:ascii="Arial" w:cs="Arial" w:eastAsia="Arial" w:hAnsi="Arial"/>
                <w:sz w:val="16"/>
                <w:szCs w:val="16"/>
                <w:b w:val="1"/>
                <w:bCs w:val="1"/>
                <w:color w:val="1F2668"/>
              </w:rPr>
              <w:t>Marc Holliday</w:t>
            </w:r>
          </w:p>
        </w:tc>
        <w:tc>
          <w:tcPr>
            <w:tcW w:w="100" w:type="dxa"/>
            <w:vAlign w:val="bottom"/>
            <w:tcBorders>
              <w:right w:val="single" w:sz="8" w:color="E9F9D8"/>
            </w:tcBorders>
          </w:tcPr>
          <w:p>
            <w:pPr>
              <w:spacing w:after="0"/>
              <w:rPr>
                <w:sz w:val="24"/>
                <w:szCs w:val="24"/>
                <w:color w:val="auto"/>
              </w:rPr>
            </w:pPr>
          </w:p>
        </w:tc>
        <w:tc>
          <w:tcPr>
            <w:tcW w:w="980" w:type="dxa"/>
            <w:vAlign w:val="bottom"/>
            <w:gridSpan w:val="3"/>
            <w:shd w:val="clear" w:color="auto" w:fill="E9F9D8"/>
          </w:tcPr>
          <w:p>
            <w:pPr>
              <w:ind w:left="320"/>
              <w:spacing w:after="0"/>
              <w:rPr>
                <w:sz w:val="20"/>
                <w:szCs w:val="20"/>
                <w:color w:val="auto"/>
              </w:rPr>
            </w:pPr>
            <w:r>
              <w:rPr>
                <w:rFonts w:ascii="Arial" w:cs="Arial" w:eastAsia="Arial" w:hAnsi="Arial"/>
                <w:sz w:val="16"/>
                <w:szCs w:val="16"/>
                <w:color w:val="auto"/>
                <w:w w:val="99"/>
              </w:rPr>
              <w:t>​52,500</w:t>
            </w:r>
            <w:r>
              <w:rPr>
                <w:rFonts w:ascii="Arial" w:cs="Arial" w:eastAsia="Arial" w:hAnsi="Arial"/>
                <w:sz w:val="19"/>
                <w:szCs w:val="19"/>
                <w:color w:val="auto"/>
                <w:w w:val="99"/>
                <w:vertAlign w:val="superscript"/>
              </w:rPr>
              <w:t>(4)</w:t>
            </w:r>
          </w:p>
        </w:tc>
        <w:tc>
          <w:tcPr>
            <w:tcW w:w="580" w:type="dxa"/>
            <w:vAlign w:val="bottom"/>
            <w:shd w:val="clear" w:color="auto" w:fill="E9F9D8"/>
          </w:tcPr>
          <w:p>
            <w:pPr>
              <w:ind w:left="340"/>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E9F9D8"/>
          </w:tcPr>
          <w:p>
            <w:pPr>
              <w:jc w:val="right"/>
              <w:ind w:right="111"/>
              <w:spacing w:after="0"/>
              <w:rPr>
                <w:sz w:val="20"/>
                <w:szCs w:val="20"/>
                <w:color w:val="auto"/>
              </w:rPr>
            </w:pPr>
            <w:r>
              <w:rPr>
                <w:rFonts w:ascii="Arial" w:cs="Arial" w:eastAsia="Arial" w:hAnsi="Arial"/>
                <w:sz w:val="16"/>
                <w:szCs w:val="16"/>
                <w:color w:val="auto"/>
              </w:rPr>
              <w:t>—</w:t>
            </w:r>
          </w:p>
        </w:tc>
        <w:tc>
          <w:tcPr>
            <w:tcW w:w="100" w:type="dxa"/>
            <w:vAlign w:val="bottom"/>
            <w:shd w:val="clear" w:color="auto" w:fill="E9F9D8"/>
          </w:tcPr>
          <w:p>
            <w:pPr>
              <w:ind w:left="20"/>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E9F9D8"/>
          </w:tcPr>
          <w:p>
            <w:pPr>
              <w:jc w:val="right"/>
              <w:ind w:right="120"/>
              <w:spacing w:after="0"/>
              <w:rPr>
                <w:sz w:val="20"/>
                <w:szCs w:val="20"/>
                <w:color w:val="auto"/>
              </w:rPr>
            </w:pPr>
            <w:r>
              <w:rPr>
                <w:rFonts w:ascii="Arial" w:cs="Arial" w:eastAsia="Arial" w:hAnsi="Arial"/>
                <w:sz w:val="16"/>
                <w:szCs w:val="16"/>
                <w:color w:val="auto"/>
              </w:rPr>
              <w:t>99.86</w:t>
            </w:r>
          </w:p>
        </w:tc>
        <w:tc>
          <w:tcPr>
            <w:tcW w:w="940" w:type="dxa"/>
            <w:vAlign w:val="bottom"/>
            <w:gridSpan w:val="2"/>
            <w:shd w:val="clear" w:color="auto" w:fill="E9F9D8"/>
          </w:tcPr>
          <w:p>
            <w:pPr>
              <w:spacing w:after="0"/>
              <w:rPr>
                <w:sz w:val="20"/>
                <w:szCs w:val="20"/>
                <w:color w:val="auto"/>
              </w:rPr>
            </w:pPr>
            <w:r>
              <w:rPr>
                <w:rFonts w:ascii="Arial" w:cs="Arial" w:eastAsia="Arial" w:hAnsi="Arial"/>
                <w:sz w:val="16"/>
                <w:szCs w:val="16"/>
                <w:color w:val="auto"/>
              </w:rPr>
              <w:t>​06/17/2026</w:t>
            </w:r>
          </w:p>
        </w:tc>
        <w:tc>
          <w:tcPr>
            <w:tcW w:w="840" w:type="dxa"/>
            <w:vAlign w:val="bottom"/>
            <w:gridSpan w:val="3"/>
            <w:shd w:val="clear" w:color="auto" w:fill="E9F9D8"/>
          </w:tcPr>
          <w:p>
            <w:pPr>
              <w:jc w:val="right"/>
              <w:ind w:right="100"/>
              <w:spacing w:after="0"/>
              <w:rPr>
                <w:sz w:val="20"/>
                <w:szCs w:val="20"/>
                <w:color w:val="auto"/>
              </w:rPr>
            </w:pPr>
            <w:r>
              <w:rPr>
                <w:rFonts w:ascii="Arial" w:cs="Arial" w:eastAsia="Arial" w:hAnsi="Arial"/>
                <w:sz w:val="16"/>
                <w:szCs w:val="16"/>
                <w:color w:val="auto"/>
              </w:rPr>
              <w:t>​406,311</w:t>
            </w:r>
          </w:p>
        </w:tc>
        <w:tc>
          <w:tcPr>
            <w:tcW w:w="1080" w:type="dxa"/>
            <w:vAlign w:val="bottom"/>
            <w:gridSpan w:val="3"/>
            <w:shd w:val="clear" w:color="auto" w:fill="E9F9D8"/>
          </w:tcPr>
          <w:p>
            <w:pPr>
              <w:jc w:val="right"/>
              <w:ind w:right="100"/>
              <w:spacing w:after="0"/>
              <w:rPr>
                <w:sz w:val="20"/>
                <w:szCs w:val="20"/>
                <w:color w:val="auto"/>
              </w:rPr>
            </w:pPr>
            <w:r>
              <w:rPr>
                <w:rFonts w:ascii="Arial" w:cs="Arial" w:eastAsia="Arial" w:hAnsi="Arial"/>
                <w:sz w:val="16"/>
                <w:szCs w:val="16"/>
                <w:color w:val="auto"/>
              </w:rPr>
              <w:t>$ 27,596,643</w:t>
            </w:r>
          </w:p>
        </w:tc>
        <w:tc>
          <w:tcPr>
            <w:tcW w:w="1140" w:type="dxa"/>
            <w:vAlign w:val="bottom"/>
            <w:gridSpan w:val="3"/>
            <w:shd w:val="clear" w:color="auto" w:fill="E9F9D8"/>
          </w:tcPr>
          <w:p>
            <w:pPr>
              <w:jc w:val="right"/>
              <w:ind w:right="100"/>
              <w:spacing w:after="0"/>
              <w:rPr>
                <w:sz w:val="20"/>
                <w:szCs w:val="20"/>
                <w:color w:val="auto"/>
              </w:rPr>
            </w:pPr>
            <w:r>
              <w:rPr>
                <w:rFonts w:ascii="Arial" w:cs="Arial" w:eastAsia="Arial" w:hAnsi="Arial"/>
                <w:sz w:val="16"/>
                <w:szCs w:val="16"/>
                <w:color w:val="auto"/>
              </w:rPr>
              <w:t>​490,554</w:t>
            </w:r>
          </w:p>
        </w:tc>
        <w:tc>
          <w:tcPr>
            <w:tcW w:w="1060" w:type="dxa"/>
            <w:vAlign w:val="bottom"/>
            <w:gridSpan w:val="2"/>
            <w:shd w:val="clear" w:color="auto" w:fill="E9F9D8"/>
          </w:tcPr>
          <w:p>
            <w:pPr>
              <w:jc w:val="right"/>
              <w:spacing w:after="0"/>
              <w:rPr>
                <w:sz w:val="20"/>
                <w:szCs w:val="20"/>
                <w:color w:val="auto"/>
              </w:rPr>
            </w:pPr>
            <w:r>
              <w:rPr>
                <w:rFonts w:ascii="Arial" w:cs="Arial" w:eastAsia="Arial" w:hAnsi="Arial"/>
                <w:sz w:val="16"/>
                <w:szCs w:val="16"/>
                <w:color w:val="auto"/>
              </w:rPr>
              <w:t>$ 33,318,428</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Borders>
              <w:right w:val="single" w:sz="8" w:color="E9F9D8"/>
            </w:tcBorders>
          </w:tcPr>
          <w:p>
            <w:pPr>
              <w:spacing w:after="0" w:line="20" w:lineRule="exact"/>
              <w:rPr>
                <w:sz w:val="1"/>
                <w:szCs w:val="1"/>
                <w:color w:val="auto"/>
              </w:rPr>
            </w:pPr>
          </w:p>
        </w:tc>
        <w:tc>
          <w:tcPr>
            <w:tcW w:w="840" w:type="dxa"/>
            <w:vAlign w:val="bottom"/>
            <w:gridSpan w:val="2"/>
            <w:shd w:val="clear" w:color="auto" w:fill="4B5088"/>
          </w:tcPr>
          <w:p>
            <w:pPr>
              <w:spacing w:after="0" w:line="20" w:lineRule="exact"/>
              <w:rPr>
                <w:sz w:val="1"/>
                <w:szCs w:val="1"/>
                <w:color w:val="auto"/>
              </w:rPr>
            </w:pPr>
          </w:p>
        </w:tc>
        <w:tc>
          <w:tcPr>
            <w:tcW w:w="140" w:type="dxa"/>
            <w:vAlign w:val="bottom"/>
            <w:shd w:val="clear" w:color="auto" w:fill="E9F9D8"/>
          </w:tcPr>
          <w:p>
            <w:pPr>
              <w:spacing w:after="0" w:line="20" w:lineRule="exact"/>
              <w:rPr>
                <w:sz w:val="1"/>
                <w:szCs w:val="1"/>
                <w:color w:val="auto"/>
              </w:rPr>
            </w:pPr>
          </w:p>
        </w:tc>
        <w:tc>
          <w:tcPr>
            <w:tcW w:w="580" w:type="dxa"/>
            <w:vAlign w:val="bottom"/>
            <w:shd w:val="clear" w:color="auto" w:fill="4B5088"/>
          </w:tcPr>
          <w:p>
            <w:pPr>
              <w:spacing w:after="0" w:line="20" w:lineRule="exact"/>
              <w:rPr>
                <w:sz w:val="1"/>
                <w:szCs w:val="1"/>
                <w:color w:val="auto"/>
              </w:rPr>
            </w:pPr>
          </w:p>
        </w:tc>
        <w:tc>
          <w:tcPr>
            <w:tcW w:w="360" w:type="dxa"/>
            <w:vAlign w:val="bottom"/>
            <w:shd w:val="clear" w:color="auto" w:fill="4B5088"/>
          </w:tcPr>
          <w:p>
            <w:pPr>
              <w:spacing w:after="0" w:line="20" w:lineRule="exact"/>
              <w:rPr>
                <w:sz w:val="1"/>
                <w:szCs w:val="1"/>
                <w:color w:val="auto"/>
              </w:rPr>
            </w:pPr>
          </w:p>
        </w:tc>
        <w:tc>
          <w:tcPr>
            <w:tcW w:w="160" w:type="dxa"/>
            <w:vAlign w:val="bottom"/>
            <w:shd w:val="clear" w:color="auto" w:fill="E9F9D8"/>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500" w:type="dxa"/>
            <w:vAlign w:val="bottom"/>
            <w:shd w:val="clear" w:color="auto" w:fill="4B5088"/>
          </w:tcPr>
          <w:p>
            <w:pPr>
              <w:spacing w:after="0" w:line="20" w:lineRule="exact"/>
              <w:rPr>
                <w:sz w:val="1"/>
                <w:szCs w:val="1"/>
                <w:color w:val="auto"/>
              </w:rPr>
            </w:pPr>
          </w:p>
        </w:tc>
        <w:tc>
          <w:tcPr>
            <w:tcW w:w="120" w:type="dxa"/>
            <w:vAlign w:val="bottom"/>
            <w:shd w:val="clear" w:color="auto" w:fill="E9F9D8"/>
          </w:tcPr>
          <w:p>
            <w:pPr>
              <w:spacing w:after="0" w:line="20" w:lineRule="exact"/>
              <w:rPr>
                <w:sz w:val="1"/>
                <w:szCs w:val="1"/>
                <w:color w:val="auto"/>
              </w:rPr>
            </w:pPr>
          </w:p>
        </w:tc>
        <w:tc>
          <w:tcPr>
            <w:tcW w:w="820" w:type="dxa"/>
            <w:vAlign w:val="bottom"/>
            <w:shd w:val="clear" w:color="auto" w:fill="4B5088"/>
          </w:tcPr>
          <w:p>
            <w:pPr>
              <w:spacing w:after="0" w:line="20" w:lineRule="exact"/>
              <w:rPr>
                <w:sz w:val="1"/>
                <w:szCs w:val="1"/>
                <w:color w:val="auto"/>
              </w:rPr>
            </w:pPr>
          </w:p>
        </w:tc>
        <w:tc>
          <w:tcPr>
            <w:tcW w:w="120" w:type="dxa"/>
            <w:vAlign w:val="bottom"/>
            <w:shd w:val="clear" w:color="auto" w:fill="E9F9D8"/>
          </w:tcPr>
          <w:p>
            <w:pPr>
              <w:spacing w:after="0" w:line="20" w:lineRule="exact"/>
              <w:rPr>
                <w:sz w:val="1"/>
                <w:szCs w:val="1"/>
                <w:color w:val="auto"/>
              </w:rPr>
            </w:pPr>
          </w:p>
        </w:tc>
        <w:tc>
          <w:tcPr>
            <w:tcW w:w="400" w:type="dxa"/>
            <w:vAlign w:val="bottom"/>
            <w:shd w:val="clear" w:color="auto" w:fill="4B5088"/>
          </w:tcPr>
          <w:p>
            <w:pPr>
              <w:spacing w:after="0" w:line="20" w:lineRule="exact"/>
              <w:rPr>
                <w:sz w:val="1"/>
                <w:szCs w:val="1"/>
                <w:color w:val="auto"/>
              </w:rPr>
            </w:pPr>
          </w:p>
        </w:tc>
        <w:tc>
          <w:tcPr>
            <w:tcW w:w="340" w:type="dxa"/>
            <w:vAlign w:val="bottom"/>
            <w:shd w:val="clear" w:color="auto" w:fill="4B5088"/>
          </w:tcPr>
          <w:p>
            <w:pPr>
              <w:spacing w:after="0" w:line="20" w:lineRule="exact"/>
              <w:rPr>
                <w:sz w:val="1"/>
                <w:szCs w:val="1"/>
                <w:color w:val="auto"/>
              </w:rPr>
            </w:pPr>
          </w:p>
        </w:tc>
        <w:tc>
          <w:tcPr>
            <w:tcW w:w="100" w:type="dxa"/>
            <w:vAlign w:val="bottom"/>
            <w:shd w:val="clear" w:color="auto" w:fill="E9F9D8"/>
          </w:tcPr>
          <w:p>
            <w:pPr>
              <w:spacing w:after="0" w:line="20" w:lineRule="exact"/>
              <w:rPr>
                <w:sz w:val="1"/>
                <w:szCs w:val="1"/>
                <w:color w:val="auto"/>
              </w:rPr>
            </w:pPr>
          </w:p>
        </w:tc>
        <w:tc>
          <w:tcPr>
            <w:tcW w:w="220" w:type="dxa"/>
            <w:vAlign w:val="bottom"/>
            <w:shd w:val="clear" w:color="auto" w:fill="4B5088"/>
          </w:tcPr>
          <w:p>
            <w:pPr>
              <w:spacing w:after="0" w:line="20" w:lineRule="exact"/>
              <w:rPr>
                <w:sz w:val="1"/>
                <w:szCs w:val="1"/>
                <w:color w:val="auto"/>
              </w:rPr>
            </w:pPr>
          </w:p>
        </w:tc>
        <w:tc>
          <w:tcPr>
            <w:tcW w:w="760" w:type="dxa"/>
            <w:vAlign w:val="bottom"/>
            <w:shd w:val="clear" w:color="auto" w:fill="4B5088"/>
          </w:tcPr>
          <w:p>
            <w:pPr>
              <w:spacing w:after="0" w:line="20" w:lineRule="exact"/>
              <w:rPr>
                <w:sz w:val="1"/>
                <w:szCs w:val="1"/>
                <w:color w:val="auto"/>
              </w:rPr>
            </w:pPr>
          </w:p>
        </w:tc>
        <w:tc>
          <w:tcPr>
            <w:tcW w:w="100" w:type="dxa"/>
            <w:vAlign w:val="bottom"/>
            <w:shd w:val="clear" w:color="auto" w:fill="E9F9D8"/>
          </w:tcPr>
          <w:p>
            <w:pPr>
              <w:spacing w:after="0" w:line="20" w:lineRule="exact"/>
              <w:rPr>
                <w:sz w:val="1"/>
                <w:szCs w:val="1"/>
                <w:color w:val="auto"/>
              </w:rPr>
            </w:pPr>
          </w:p>
        </w:tc>
        <w:tc>
          <w:tcPr>
            <w:tcW w:w="580" w:type="dxa"/>
            <w:vAlign w:val="bottom"/>
            <w:shd w:val="clear" w:color="auto" w:fill="4B5088"/>
          </w:tcPr>
          <w:p>
            <w:pPr>
              <w:spacing w:after="0" w:line="20" w:lineRule="exact"/>
              <w:rPr>
                <w:sz w:val="1"/>
                <w:szCs w:val="1"/>
                <w:color w:val="auto"/>
              </w:rPr>
            </w:pPr>
          </w:p>
        </w:tc>
        <w:tc>
          <w:tcPr>
            <w:tcW w:w="460" w:type="dxa"/>
            <w:vAlign w:val="bottom"/>
            <w:shd w:val="clear" w:color="auto" w:fill="4B5088"/>
          </w:tcPr>
          <w:p>
            <w:pPr>
              <w:spacing w:after="0" w:line="20" w:lineRule="exact"/>
              <w:rPr>
                <w:sz w:val="1"/>
                <w:szCs w:val="1"/>
                <w:color w:val="auto"/>
              </w:rPr>
            </w:pPr>
          </w:p>
        </w:tc>
        <w:tc>
          <w:tcPr>
            <w:tcW w:w="100" w:type="dxa"/>
            <w:vAlign w:val="bottom"/>
            <w:shd w:val="clear" w:color="auto" w:fill="E9F9D8"/>
          </w:tcPr>
          <w:p>
            <w:pPr>
              <w:spacing w:after="0" w:line="20" w:lineRule="exact"/>
              <w:rPr>
                <w:sz w:val="1"/>
                <w:szCs w:val="1"/>
                <w:color w:val="auto"/>
              </w:rPr>
            </w:pPr>
          </w:p>
        </w:tc>
        <w:tc>
          <w:tcPr>
            <w:tcW w:w="300" w:type="dxa"/>
            <w:vAlign w:val="bottom"/>
            <w:shd w:val="clear" w:color="auto" w:fill="4B5088"/>
          </w:tcPr>
          <w:p>
            <w:pPr>
              <w:spacing w:after="0" w:line="20" w:lineRule="exact"/>
              <w:rPr>
                <w:sz w:val="1"/>
                <w:szCs w:val="1"/>
                <w:color w:val="auto"/>
              </w:rPr>
            </w:pPr>
          </w:p>
        </w:tc>
        <w:tc>
          <w:tcPr>
            <w:tcW w:w="760" w:type="dxa"/>
            <w:vAlign w:val="bottom"/>
            <w:shd w:val="clear" w:color="auto" w:fill="4B508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ind w:left="320"/>
              <w:spacing w:after="0"/>
              <w:rPr>
                <w:sz w:val="20"/>
                <w:szCs w:val="20"/>
                <w:color w:val="auto"/>
              </w:rPr>
            </w:pPr>
            <w:r>
              <w:rPr>
                <w:rFonts w:ascii="Arial" w:cs="Arial" w:eastAsia="Arial" w:hAnsi="Arial"/>
                <w:sz w:val="16"/>
                <w:szCs w:val="16"/>
                <w:color w:val="auto"/>
              </w:rPr>
              <w:t>​52,500</w:t>
            </w:r>
          </w:p>
        </w:tc>
        <w:tc>
          <w:tcPr>
            <w:tcW w:w="140" w:type="dxa"/>
            <w:vAlign w:val="bottom"/>
          </w:tcPr>
          <w:p>
            <w:pPr>
              <w:jc w:val="right"/>
              <w:spacing w:after="0"/>
              <w:rPr>
                <w:sz w:val="20"/>
                <w:szCs w:val="20"/>
                <w:color w:val="auto"/>
              </w:rPr>
            </w:pPr>
            <w:r>
              <w:rPr>
                <w:rFonts w:ascii="Arial" w:cs="Arial" w:eastAsia="Arial" w:hAnsi="Arial"/>
                <w:sz w:val="10"/>
                <w:szCs w:val="10"/>
                <w:color w:val="auto"/>
                <w:w w:val="81"/>
              </w:rPr>
              <w:t>(4)</w:t>
            </w:r>
          </w:p>
        </w:tc>
        <w:tc>
          <w:tcPr>
            <w:tcW w:w="580" w:type="dxa"/>
            <w:vAlign w:val="bottom"/>
          </w:tcPr>
          <w:p>
            <w:pPr>
              <w:ind w:left="340"/>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w w:val="98"/>
              </w:rPr>
              <w:t>105.73</w:t>
            </w:r>
          </w:p>
        </w:tc>
        <w:tc>
          <w:tcPr>
            <w:tcW w:w="940" w:type="dxa"/>
            <w:vAlign w:val="bottom"/>
            <w:gridSpan w:val="2"/>
          </w:tcPr>
          <w:p>
            <w:pPr>
              <w:spacing w:after="0"/>
              <w:rPr>
                <w:sz w:val="20"/>
                <w:szCs w:val="20"/>
                <w:color w:val="auto"/>
              </w:rPr>
            </w:pPr>
            <w:r>
              <w:rPr>
                <w:rFonts w:ascii="Arial" w:cs="Arial" w:eastAsia="Arial" w:hAnsi="Arial"/>
                <w:sz w:val="16"/>
                <w:szCs w:val="16"/>
                <w:color w:val="auto"/>
              </w:rPr>
              <w:t>​06/17/2027</w:t>
            </w: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580" w:type="dxa"/>
            <w:vAlign w:val="bottom"/>
          </w:tcPr>
          <w:p>
            <w:pPr>
              <w:ind w:left="42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3"/>
        </w:trPr>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Borders>
              <w:bottom w:val="single" w:sz="8" w:color="4B5088"/>
            </w:tcBorders>
          </w:tcPr>
          <w:p>
            <w:pPr>
              <w:spacing w:after="0"/>
              <w:rPr>
                <w:sz w:val="3"/>
                <w:szCs w:val="3"/>
                <w:color w:val="auto"/>
              </w:rPr>
            </w:pPr>
          </w:p>
        </w:tc>
        <w:tc>
          <w:tcPr>
            <w:tcW w:w="320" w:type="dxa"/>
            <w:vAlign w:val="bottom"/>
            <w:tcBorders>
              <w:bottom w:val="single" w:sz="8" w:color="4B5088"/>
            </w:tcBorders>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Borders>
              <w:bottom w:val="single" w:sz="8" w:color="4B5088"/>
            </w:tcBorders>
            <w:gridSpan w:val="2"/>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Borders>
              <w:bottom w:val="single" w:sz="8" w:color="4B5088"/>
            </w:tcBorders>
          </w:tcPr>
          <w:p>
            <w:pPr>
              <w:spacing w:after="0"/>
              <w:rPr>
                <w:sz w:val="3"/>
                <w:szCs w:val="3"/>
                <w:color w:val="auto"/>
              </w:rPr>
            </w:pPr>
          </w:p>
        </w:tc>
        <w:tc>
          <w:tcPr>
            <w:tcW w:w="500" w:type="dxa"/>
            <w:vAlign w:val="bottom"/>
            <w:tcBorders>
              <w:bottom w:val="single" w:sz="8" w:color="4B5088"/>
            </w:tcBorders>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Borders>
              <w:bottom w:val="single" w:sz="8" w:color="4B5088"/>
            </w:tcBorders>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Borders>
              <w:bottom w:val="single" w:sz="8" w:color="4B5088"/>
            </w:tcBorders>
          </w:tcPr>
          <w:p>
            <w:pPr>
              <w:spacing w:after="0"/>
              <w:rPr>
                <w:sz w:val="3"/>
                <w:szCs w:val="3"/>
                <w:color w:val="auto"/>
              </w:rPr>
            </w:pPr>
          </w:p>
        </w:tc>
        <w:tc>
          <w:tcPr>
            <w:tcW w:w="340" w:type="dxa"/>
            <w:vAlign w:val="bottom"/>
            <w:tcBorders>
              <w:bottom w:val="single" w:sz="8" w:color="4B5088"/>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4B5088"/>
            </w:tcBorders>
          </w:tcPr>
          <w:p>
            <w:pPr>
              <w:spacing w:after="0"/>
              <w:rPr>
                <w:sz w:val="3"/>
                <w:szCs w:val="3"/>
                <w:color w:val="auto"/>
              </w:rPr>
            </w:pPr>
          </w:p>
        </w:tc>
        <w:tc>
          <w:tcPr>
            <w:tcW w:w="760" w:type="dxa"/>
            <w:vAlign w:val="bottom"/>
            <w:tcBorders>
              <w:bottom w:val="single" w:sz="8" w:color="4B5088"/>
            </w:tcBorders>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Borders>
              <w:bottom w:val="single" w:sz="8" w:color="4B5088"/>
            </w:tcBorders>
          </w:tcPr>
          <w:p>
            <w:pPr>
              <w:spacing w:after="0"/>
              <w:rPr>
                <w:sz w:val="3"/>
                <w:szCs w:val="3"/>
                <w:color w:val="auto"/>
              </w:rPr>
            </w:pPr>
          </w:p>
        </w:tc>
        <w:tc>
          <w:tcPr>
            <w:tcW w:w="460" w:type="dxa"/>
            <w:vAlign w:val="bottom"/>
            <w:tcBorders>
              <w:bottom w:val="single" w:sz="8" w:color="4B5088"/>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4B5088"/>
            </w:tcBorders>
          </w:tcPr>
          <w:p>
            <w:pPr>
              <w:spacing w:after="0"/>
              <w:rPr>
                <w:sz w:val="3"/>
                <w:szCs w:val="3"/>
                <w:color w:val="auto"/>
              </w:rPr>
            </w:pPr>
          </w:p>
        </w:tc>
        <w:tc>
          <w:tcPr>
            <w:tcW w:w="760" w:type="dxa"/>
            <w:vAlign w:val="bottom"/>
            <w:tcBorders>
              <w:bottom w:val="single" w:sz="8" w:color="4B5088"/>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ind w:left="320"/>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91"/>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​217,917</w:t>
            </w:r>
          </w:p>
        </w:tc>
        <w:tc>
          <w:tcPr>
            <w:tcW w:w="160" w:type="dxa"/>
            <w:vAlign w:val="bottom"/>
          </w:tcPr>
          <w:p>
            <w:pPr>
              <w:jc w:val="right"/>
              <w:spacing w:after="0"/>
              <w:rPr>
                <w:sz w:val="20"/>
                <w:szCs w:val="20"/>
                <w:color w:val="auto"/>
              </w:rPr>
            </w:pPr>
            <w:r>
              <w:rPr>
                <w:rFonts w:ascii="Arial" w:cs="Arial" w:eastAsia="Arial" w:hAnsi="Arial"/>
                <w:sz w:val="10"/>
                <w:szCs w:val="10"/>
                <w:color w:val="auto"/>
                <w:w w:val="81"/>
              </w:rPr>
              <w:t>(5)</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68.07</w:t>
            </w:r>
          </w:p>
        </w:tc>
        <w:tc>
          <w:tcPr>
            <w:tcW w:w="940" w:type="dxa"/>
            <w:vAlign w:val="bottom"/>
            <w:gridSpan w:val="2"/>
          </w:tcPr>
          <w:p>
            <w:pPr>
              <w:spacing w:after="0"/>
              <w:rPr>
                <w:sz w:val="20"/>
                <w:szCs w:val="20"/>
                <w:color w:val="auto"/>
              </w:rPr>
            </w:pPr>
            <w:r>
              <w:rPr>
                <w:rFonts w:ascii="Arial" w:cs="Arial" w:eastAsia="Arial" w:hAnsi="Arial"/>
                <w:sz w:val="16"/>
                <w:szCs w:val="16"/>
                <w:color w:val="auto"/>
              </w:rPr>
              <w:t>​12/27/2034</w:t>
            </w: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580" w:type="dxa"/>
            <w:vAlign w:val="bottom"/>
          </w:tcPr>
          <w:p>
            <w:pPr>
              <w:ind w:left="42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3"/>
        </w:trPr>
        <w:tc>
          <w:tcPr>
            <w:tcW w:w="1100" w:type="dxa"/>
            <w:vAlign w:val="bottom"/>
            <w:tcBorders>
              <w:bottom w:val="single" w:sz="8" w:color="4B5088"/>
            </w:tcBorders>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Borders>
              <w:bottom w:val="single" w:sz="8" w:color="4B5088"/>
            </w:tcBorders>
          </w:tcPr>
          <w:p>
            <w:pPr>
              <w:spacing w:after="0"/>
              <w:rPr>
                <w:sz w:val="3"/>
                <w:szCs w:val="3"/>
                <w:color w:val="auto"/>
              </w:rPr>
            </w:pPr>
          </w:p>
        </w:tc>
        <w:tc>
          <w:tcPr>
            <w:tcW w:w="320" w:type="dxa"/>
            <w:vAlign w:val="bottom"/>
            <w:tcBorders>
              <w:bottom w:val="single" w:sz="8" w:color="4B5088"/>
            </w:tcBorders>
          </w:tcPr>
          <w:p>
            <w:pPr>
              <w:spacing w:after="0"/>
              <w:rPr>
                <w:sz w:val="3"/>
                <w:szCs w:val="3"/>
                <w:color w:val="auto"/>
              </w:rPr>
            </w:pPr>
          </w:p>
        </w:tc>
        <w:tc>
          <w:tcPr>
            <w:tcW w:w="140" w:type="dxa"/>
            <w:vAlign w:val="bottom"/>
            <w:tcBorders>
              <w:bottom w:val="single" w:sz="8" w:color="E9F9D8"/>
            </w:tcBorders>
          </w:tcPr>
          <w:p>
            <w:pPr>
              <w:spacing w:after="0"/>
              <w:rPr>
                <w:sz w:val="3"/>
                <w:szCs w:val="3"/>
                <w:color w:val="auto"/>
              </w:rPr>
            </w:pPr>
          </w:p>
        </w:tc>
        <w:tc>
          <w:tcPr>
            <w:tcW w:w="580" w:type="dxa"/>
            <w:vAlign w:val="bottom"/>
            <w:tcBorders>
              <w:bottom w:val="single" w:sz="8" w:color="4B5088"/>
            </w:tcBorders>
          </w:tcPr>
          <w:p>
            <w:pPr>
              <w:spacing w:after="0"/>
              <w:rPr>
                <w:sz w:val="3"/>
                <w:szCs w:val="3"/>
                <w:color w:val="auto"/>
              </w:rPr>
            </w:pPr>
          </w:p>
        </w:tc>
        <w:tc>
          <w:tcPr>
            <w:tcW w:w="360" w:type="dxa"/>
            <w:vAlign w:val="bottom"/>
            <w:tcBorders>
              <w:bottom w:val="single" w:sz="8" w:color="4B5088"/>
            </w:tcBorders>
          </w:tcPr>
          <w:p>
            <w:pPr>
              <w:spacing w:after="0"/>
              <w:rPr>
                <w:sz w:val="3"/>
                <w:szCs w:val="3"/>
                <w:color w:val="auto"/>
              </w:rPr>
            </w:pPr>
          </w:p>
        </w:tc>
        <w:tc>
          <w:tcPr>
            <w:tcW w:w="160" w:type="dxa"/>
            <w:vAlign w:val="bottom"/>
            <w:tcBorders>
              <w:bottom w:val="single" w:sz="8" w:color="E9F9D8"/>
            </w:tcBorders>
          </w:tcPr>
          <w:p>
            <w:pPr>
              <w:spacing w:after="0"/>
              <w:rPr>
                <w:sz w:val="3"/>
                <w:szCs w:val="3"/>
                <w:color w:val="auto"/>
              </w:rPr>
            </w:pPr>
          </w:p>
        </w:tc>
        <w:tc>
          <w:tcPr>
            <w:tcW w:w="100" w:type="dxa"/>
            <w:vAlign w:val="bottom"/>
            <w:tcBorders>
              <w:bottom w:val="single" w:sz="8" w:color="4B5088"/>
            </w:tcBorders>
          </w:tcPr>
          <w:p>
            <w:pPr>
              <w:spacing w:after="0"/>
              <w:rPr>
                <w:sz w:val="3"/>
                <w:szCs w:val="3"/>
                <w:color w:val="auto"/>
              </w:rPr>
            </w:pPr>
          </w:p>
        </w:tc>
        <w:tc>
          <w:tcPr>
            <w:tcW w:w="500" w:type="dxa"/>
            <w:vAlign w:val="bottom"/>
            <w:tcBorders>
              <w:bottom w:val="single" w:sz="8" w:color="4B5088"/>
            </w:tcBorders>
          </w:tcPr>
          <w:p>
            <w:pPr>
              <w:spacing w:after="0"/>
              <w:rPr>
                <w:sz w:val="3"/>
                <w:szCs w:val="3"/>
                <w:color w:val="auto"/>
              </w:rPr>
            </w:pPr>
          </w:p>
        </w:tc>
        <w:tc>
          <w:tcPr>
            <w:tcW w:w="120" w:type="dxa"/>
            <w:vAlign w:val="bottom"/>
            <w:tcBorders>
              <w:bottom w:val="single" w:sz="8" w:color="E9F9D8"/>
            </w:tcBorders>
          </w:tcPr>
          <w:p>
            <w:pPr>
              <w:spacing w:after="0"/>
              <w:rPr>
                <w:sz w:val="3"/>
                <w:szCs w:val="3"/>
                <w:color w:val="auto"/>
              </w:rPr>
            </w:pPr>
          </w:p>
        </w:tc>
        <w:tc>
          <w:tcPr>
            <w:tcW w:w="820" w:type="dxa"/>
            <w:vAlign w:val="bottom"/>
            <w:tcBorders>
              <w:bottom w:val="single" w:sz="8" w:color="4B5088"/>
            </w:tcBorders>
          </w:tcPr>
          <w:p>
            <w:pPr>
              <w:spacing w:after="0"/>
              <w:rPr>
                <w:sz w:val="3"/>
                <w:szCs w:val="3"/>
                <w:color w:val="auto"/>
              </w:rPr>
            </w:pPr>
          </w:p>
        </w:tc>
        <w:tc>
          <w:tcPr>
            <w:tcW w:w="120" w:type="dxa"/>
            <w:vAlign w:val="bottom"/>
            <w:tcBorders>
              <w:bottom w:val="single" w:sz="8" w:color="E9F9D8"/>
            </w:tcBorders>
          </w:tcPr>
          <w:p>
            <w:pPr>
              <w:spacing w:after="0"/>
              <w:rPr>
                <w:sz w:val="3"/>
                <w:szCs w:val="3"/>
                <w:color w:val="auto"/>
              </w:rPr>
            </w:pPr>
          </w:p>
        </w:tc>
        <w:tc>
          <w:tcPr>
            <w:tcW w:w="400" w:type="dxa"/>
            <w:vAlign w:val="bottom"/>
            <w:tcBorders>
              <w:bottom w:val="single" w:sz="8" w:color="4B5088"/>
            </w:tcBorders>
          </w:tcPr>
          <w:p>
            <w:pPr>
              <w:spacing w:after="0"/>
              <w:rPr>
                <w:sz w:val="3"/>
                <w:szCs w:val="3"/>
                <w:color w:val="auto"/>
              </w:rPr>
            </w:pPr>
          </w:p>
        </w:tc>
        <w:tc>
          <w:tcPr>
            <w:tcW w:w="340" w:type="dxa"/>
            <w:vAlign w:val="bottom"/>
            <w:tcBorders>
              <w:bottom w:val="single" w:sz="8" w:color="4B5088"/>
            </w:tcBorders>
          </w:tcPr>
          <w:p>
            <w:pPr>
              <w:spacing w:after="0"/>
              <w:rPr>
                <w:sz w:val="3"/>
                <w:szCs w:val="3"/>
                <w:color w:val="auto"/>
              </w:rPr>
            </w:pPr>
          </w:p>
        </w:tc>
        <w:tc>
          <w:tcPr>
            <w:tcW w:w="100" w:type="dxa"/>
            <w:vAlign w:val="bottom"/>
            <w:tcBorders>
              <w:bottom w:val="single" w:sz="8" w:color="E9F9D8"/>
            </w:tcBorders>
          </w:tcPr>
          <w:p>
            <w:pPr>
              <w:spacing w:after="0"/>
              <w:rPr>
                <w:sz w:val="3"/>
                <w:szCs w:val="3"/>
                <w:color w:val="auto"/>
              </w:rPr>
            </w:pPr>
          </w:p>
        </w:tc>
        <w:tc>
          <w:tcPr>
            <w:tcW w:w="220" w:type="dxa"/>
            <w:vAlign w:val="bottom"/>
            <w:tcBorders>
              <w:bottom w:val="single" w:sz="8" w:color="4B5088"/>
            </w:tcBorders>
          </w:tcPr>
          <w:p>
            <w:pPr>
              <w:spacing w:after="0"/>
              <w:rPr>
                <w:sz w:val="3"/>
                <w:szCs w:val="3"/>
                <w:color w:val="auto"/>
              </w:rPr>
            </w:pPr>
          </w:p>
        </w:tc>
        <w:tc>
          <w:tcPr>
            <w:tcW w:w="760" w:type="dxa"/>
            <w:vAlign w:val="bottom"/>
            <w:tcBorders>
              <w:bottom w:val="single" w:sz="8" w:color="4B5088"/>
            </w:tcBorders>
          </w:tcPr>
          <w:p>
            <w:pPr>
              <w:spacing w:after="0"/>
              <w:rPr>
                <w:sz w:val="3"/>
                <w:szCs w:val="3"/>
                <w:color w:val="auto"/>
              </w:rPr>
            </w:pPr>
          </w:p>
        </w:tc>
        <w:tc>
          <w:tcPr>
            <w:tcW w:w="100" w:type="dxa"/>
            <w:vAlign w:val="bottom"/>
            <w:tcBorders>
              <w:bottom w:val="single" w:sz="8" w:color="E9F9D8"/>
            </w:tcBorders>
          </w:tcPr>
          <w:p>
            <w:pPr>
              <w:spacing w:after="0"/>
              <w:rPr>
                <w:sz w:val="3"/>
                <w:szCs w:val="3"/>
                <w:color w:val="auto"/>
              </w:rPr>
            </w:pPr>
          </w:p>
        </w:tc>
        <w:tc>
          <w:tcPr>
            <w:tcW w:w="580" w:type="dxa"/>
            <w:vAlign w:val="bottom"/>
            <w:tcBorders>
              <w:bottom w:val="single" w:sz="8" w:color="4B5088"/>
            </w:tcBorders>
          </w:tcPr>
          <w:p>
            <w:pPr>
              <w:spacing w:after="0"/>
              <w:rPr>
                <w:sz w:val="3"/>
                <w:szCs w:val="3"/>
                <w:color w:val="auto"/>
              </w:rPr>
            </w:pPr>
          </w:p>
        </w:tc>
        <w:tc>
          <w:tcPr>
            <w:tcW w:w="460" w:type="dxa"/>
            <w:vAlign w:val="bottom"/>
            <w:tcBorders>
              <w:bottom w:val="single" w:sz="8" w:color="4B5088"/>
            </w:tcBorders>
          </w:tcPr>
          <w:p>
            <w:pPr>
              <w:spacing w:after="0"/>
              <w:rPr>
                <w:sz w:val="3"/>
                <w:szCs w:val="3"/>
                <w:color w:val="auto"/>
              </w:rPr>
            </w:pPr>
          </w:p>
        </w:tc>
        <w:tc>
          <w:tcPr>
            <w:tcW w:w="100" w:type="dxa"/>
            <w:vAlign w:val="bottom"/>
            <w:tcBorders>
              <w:bottom w:val="single" w:sz="8" w:color="E9F9D8"/>
            </w:tcBorders>
          </w:tcPr>
          <w:p>
            <w:pPr>
              <w:spacing w:after="0"/>
              <w:rPr>
                <w:sz w:val="3"/>
                <w:szCs w:val="3"/>
                <w:color w:val="auto"/>
              </w:rPr>
            </w:pPr>
          </w:p>
        </w:tc>
        <w:tc>
          <w:tcPr>
            <w:tcW w:w="300" w:type="dxa"/>
            <w:vAlign w:val="bottom"/>
            <w:tcBorders>
              <w:bottom w:val="single" w:sz="8" w:color="4B5088"/>
            </w:tcBorders>
          </w:tcPr>
          <w:p>
            <w:pPr>
              <w:spacing w:after="0"/>
              <w:rPr>
                <w:sz w:val="3"/>
                <w:szCs w:val="3"/>
                <w:color w:val="auto"/>
              </w:rPr>
            </w:pPr>
          </w:p>
        </w:tc>
        <w:tc>
          <w:tcPr>
            <w:tcW w:w="760" w:type="dxa"/>
            <w:vAlign w:val="bottom"/>
            <w:tcBorders>
              <w:bottom w:val="single" w:sz="8" w:color="4B5088"/>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1200" w:type="dxa"/>
            <w:vAlign w:val="bottom"/>
            <w:tcBorders>
              <w:right w:val="single" w:sz="8" w:color="E9F9D8"/>
            </w:tcBorders>
            <w:gridSpan w:val="2"/>
          </w:tcPr>
          <w:p>
            <w:pPr>
              <w:spacing w:after="0"/>
              <w:rPr>
                <w:sz w:val="20"/>
                <w:szCs w:val="20"/>
                <w:color w:val="auto"/>
              </w:rPr>
            </w:pPr>
            <w:r>
              <w:rPr>
                <w:rFonts w:ascii="Arial" w:cs="Arial" w:eastAsia="Arial" w:hAnsi="Arial"/>
                <w:sz w:val="16"/>
                <w:szCs w:val="16"/>
                <w:b w:val="1"/>
                <w:bCs w:val="1"/>
                <w:color w:val="1F2668"/>
              </w:rPr>
              <w:t>Matthew J.</w:t>
            </w:r>
          </w:p>
        </w:tc>
        <w:tc>
          <w:tcPr>
            <w:tcW w:w="980" w:type="dxa"/>
            <w:vAlign w:val="bottom"/>
            <w:gridSpan w:val="3"/>
            <w:vMerge w:val="restart"/>
            <w:shd w:val="clear" w:color="auto" w:fill="E9F9D8"/>
          </w:tcPr>
          <w:p>
            <w:pPr>
              <w:ind w:left="320"/>
              <w:spacing w:after="0"/>
              <w:rPr>
                <w:sz w:val="20"/>
                <w:szCs w:val="20"/>
                <w:color w:val="auto"/>
              </w:rPr>
            </w:pPr>
            <w:r>
              <w:rPr>
                <w:rFonts w:ascii="Arial" w:cs="Arial" w:eastAsia="Arial" w:hAnsi="Arial"/>
                <w:sz w:val="16"/>
                <w:szCs w:val="16"/>
                <w:color w:val="auto"/>
                <w:w w:val="99"/>
              </w:rPr>
              <w:t>​15,000</w:t>
            </w:r>
            <w:r>
              <w:rPr>
                <w:rFonts w:ascii="Arial" w:cs="Arial" w:eastAsia="Arial" w:hAnsi="Arial"/>
                <w:sz w:val="19"/>
                <w:szCs w:val="19"/>
                <w:color w:val="auto"/>
                <w:w w:val="99"/>
                <w:vertAlign w:val="superscript"/>
              </w:rPr>
              <w:t>(4)</w:t>
            </w:r>
          </w:p>
        </w:tc>
        <w:tc>
          <w:tcPr>
            <w:tcW w:w="580" w:type="dxa"/>
            <w:vAlign w:val="bottom"/>
            <w:shd w:val="clear" w:color="auto" w:fill="E9F9D8"/>
          </w:tcPr>
          <w:p>
            <w:pPr>
              <w:spacing w:after="0"/>
              <w:rPr>
                <w:sz w:val="18"/>
                <w:szCs w:val="18"/>
                <w:color w:val="auto"/>
              </w:rPr>
            </w:pPr>
          </w:p>
        </w:tc>
        <w:tc>
          <w:tcPr>
            <w:tcW w:w="360" w:type="dxa"/>
            <w:vAlign w:val="bottom"/>
            <w:shd w:val="clear" w:color="auto" w:fill="E9F9D8"/>
          </w:tcPr>
          <w:p>
            <w:pPr>
              <w:spacing w:after="0"/>
              <w:rPr>
                <w:sz w:val="18"/>
                <w:szCs w:val="18"/>
                <w:color w:val="auto"/>
              </w:rPr>
            </w:pPr>
          </w:p>
        </w:tc>
        <w:tc>
          <w:tcPr>
            <w:tcW w:w="160" w:type="dxa"/>
            <w:vAlign w:val="bottom"/>
            <w:shd w:val="clear" w:color="auto" w:fill="E9F9D8"/>
          </w:tcPr>
          <w:p>
            <w:pPr>
              <w:spacing w:after="0"/>
              <w:rPr>
                <w:sz w:val="18"/>
                <w:szCs w:val="18"/>
                <w:color w:val="auto"/>
              </w:rPr>
            </w:pPr>
          </w:p>
        </w:tc>
        <w:tc>
          <w:tcPr>
            <w:tcW w:w="100" w:type="dxa"/>
            <w:vAlign w:val="bottom"/>
            <w:shd w:val="clear" w:color="auto" w:fill="E9F9D8"/>
          </w:tcPr>
          <w:p>
            <w:pPr>
              <w:spacing w:after="0"/>
              <w:rPr>
                <w:sz w:val="18"/>
                <w:szCs w:val="18"/>
                <w:color w:val="auto"/>
              </w:rPr>
            </w:pPr>
          </w:p>
        </w:tc>
        <w:tc>
          <w:tcPr>
            <w:tcW w:w="500" w:type="dxa"/>
            <w:vAlign w:val="bottom"/>
            <w:shd w:val="clear" w:color="auto" w:fill="E9F9D8"/>
          </w:tcPr>
          <w:p>
            <w:pPr>
              <w:spacing w:after="0"/>
              <w:rPr>
                <w:sz w:val="18"/>
                <w:szCs w:val="18"/>
                <w:color w:val="auto"/>
              </w:rPr>
            </w:pPr>
          </w:p>
        </w:tc>
        <w:tc>
          <w:tcPr>
            <w:tcW w:w="120" w:type="dxa"/>
            <w:vAlign w:val="bottom"/>
            <w:shd w:val="clear" w:color="auto" w:fill="E9F9D8"/>
          </w:tcPr>
          <w:p>
            <w:pPr>
              <w:spacing w:after="0"/>
              <w:rPr>
                <w:sz w:val="18"/>
                <w:szCs w:val="18"/>
                <w:color w:val="auto"/>
              </w:rPr>
            </w:pPr>
          </w:p>
        </w:tc>
        <w:tc>
          <w:tcPr>
            <w:tcW w:w="820" w:type="dxa"/>
            <w:vAlign w:val="bottom"/>
            <w:shd w:val="clear" w:color="auto" w:fill="E9F9D8"/>
          </w:tcPr>
          <w:p>
            <w:pPr>
              <w:spacing w:after="0"/>
              <w:rPr>
                <w:sz w:val="18"/>
                <w:szCs w:val="18"/>
                <w:color w:val="auto"/>
              </w:rPr>
            </w:pPr>
          </w:p>
        </w:tc>
        <w:tc>
          <w:tcPr>
            <w:tcW w:w="120" w:type="dxa"/>
            <w:vAlign w:val="bottom"/>
            <w:shd w:val="clear" w:color="auto" w:fill="E9F9D8"/>
          </w:tcPr>
          <w:p>
            <w:pPr>
              <w:spacing w:after="0"/>
              <w:rPr>
                <w:sz w:val="18"/>
                <w:szCs w:val="18"/>
                <w:color w:val="auto"/>
              </w:rPr>
            </w:pPr>
          </w:p>
        </w:tc>
        <w:tc>
          <w:tcPr>
            <w:tcW w:w="400" w:type="dxa"/>
            <w:vAlign w:val="bottom"/>
            <w:shd w:val="clear" w:color="auto" w:fill="E9F9D8"/>
          </w:tcPr>
          <w:p>
            <w:pPr>
              <w:spacing w:after="0"/>
              <w:rPr>
                <w:sz w:val="18"/>
                <w:szCs w:val="18"/>
                <w:color w:val="auto"/>
              </w:rPr>
            </w:pPr>
          </w:p>
        </w:tc>
        <w:tc>
          <w:tcPr>
            <w:tcW w:w="340" w:type="dxa"/>
            <w:vAlign w:val="bottom"/>
            <w:shd w:val="clear" w:color="auto" w:fill="E9F9D8"/>
          </w:tcPr>
          <w:p>
            <w:pPr>
              <w:spacing w:after="0"/>
              <w:rPr>
                <w:sz w:val="18"/>
                <w:szCs w:val="18"/>
                <w:color w:val="auto"/>
              </w:rPr>
            </w:pPr>
          </w:p>
        </w:tc>
        <w:tc>
          <w:tcPr>
            <w:tcW w:w="100" w:type="dxa"/>
            <w:vAlign w:val="bottom"/>
            <w:shd w:val="clear" w:color="auto" w:fill="E9F9D8"/>
          </w:tcPr>
          <w:p>
            <w:pPr>
              <w:spacing w:after="0"/>
              <w:rPr>
                <w:sz w:val="18"/>
                <w:szCs w:val="18"/>
                <w:color w:val="auto"/>
              </w:rPr>
            </w:pPr>
          </w:p>
        </w:tc>
        <w:tc>
          <w:tcPr>
            <w:tcW w:w="220" w:type="dxa"/>
            <w:vAlign w:val="bottom"/>
            <w:shd w:val="clear" w:color="auto" w:fill="E9F9D8"/>
          </w:tcPr>
          <w:p>
            <w:pPr>
              <w:spacing w:after="0"/>
              <w:rPr>
                <w:sz w:val="18"/>
                <w:szCs w:val="18"/>
                <w:color w:val="auto"/>
              </w:rPr>
            </w:pPr>
          </w:p>
        </w:tc>
        <w:tc>
          <w:tcPr>
            <w:tcW w:w="760" w:type="dxa"/>
            <w:vAlign w:val="bottom"/>
            <w:shd w:val="clear" w:color="auto" w:fill="E9F9D8"/>
          </w:tcPr>
          <w:p>
            <w:pPr>
              <w:spacing w:after="0"/>
              <w:rPr>
                <w:sz w:val="18"/>
                <w:szCs w:val="18"/>
                <w:color w:val="auto"/>
              </w:rPr>
            </w:pPr>
          </w:p>
        </w:tc>
        <w:tc>
          <w:tcPr>
            <w:tcW w:w="100" w:type="dxa"/>
            <w:vAlign w:val="bottom"/>
            <w:shd w:val="clear" w:color="auto" w:fill="E9F9D8"/>
          </w:tcPr>
          <w:p>
            <w:pPr>
              <w:spacing w:after="0"/>
              <w:rPr>
                <w:sz w:val="18"/>
                <w:szCs w:val="18"/>
                <w:color w:val="auto"/>
              </w:rPr>
            </w:pPr>
          </w:p>
        </w:tc>
        <w:tc>
          <w:tcPr>
            <w:tcW w:w="580" w:type="dxa"/>
            <w:vAlign w:val="bottom"/>
            <w:shd w:val="clear" w:color="auto" w:fill="E9F9D8"/>
          </w:tcPr>
          <w:p>
            <w:pPr>
              <w:spacing w:after="0"/>
              <w:rPr>
                <w:sz w:val="18"/>
                <w:szCs w:val="18"/>
                <w:color w:val="auto"/>
              </w:rPr>
            </w:pPr>
          </w:p>
        </w:tc>
        <w:tc>
          <w:tcPr>
            <w:tcW w:w="460" w:type="dxa"/>
            <w:vAlign w:val="bottom"/>
            <w:shd w:val="clear" w:color="auto" w:fill="E9F9D8"/>
          </w:tcPr>
          <w:p>
            <w:pPr>
              <w:spacing w:after="0"/>
              <w:rPr>
                <w:sz w:val="18"/>
                <w:szCs w:val="18"/>
                <w:color w:val="auto"/>
              </w:rPr>
            </w:pPr>
          </w:p>
        </w:tc>
        <w:tc>
          <w:tcPr>
            <w:tcW w:w="100" w:type="dxa"/>
            <w:vAlign w:val="bottom"/>
            <w:shd w:val="clear" w:color="auto" w:fill="E9F9D8"/>
          </w:tcPr>
          <w:p>
            <w:pPr>
              <w:spacing w:after="0"/>
              <w:rPr>
                <w:sz w:val="18"/>
                <w:szCs w:val="18"/>
                <w:color w:val="auto"/>
              </w:rPr>
            </w:pPr>
          </w:p>
        </w:tc>
        <w:tc>
          <w:tcPr>
            <w:tcW w:w="300" w:type="dxa"/>
            <w:vAlign w:val="bottom"/>
            <w:shd w:val="clear" w:color="auto" w:fill="E9F9D8"/>
          </w:tcPr>
          <w:p>
            <w:pPr>
              <w:spacing w:after="0"/>
              <w:rPr>
                <w:sz w:val="18"/>
                <w:szCs w:val="18"/>
                <w:color w:val="auto"/>
              </w:rPr>
            </w:pPr>
          </w:p>
        </w:tc>
        <w:tc>
          <w:tcPr>
            <w:tcW w:w="760" w:type="dxa"/>
            <w:vAlign w:val="bottom"/>
            <w:shd w:val="clear" w:color="auto" w:fill="E9F9D8"/>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r>
              <w:rPr>
                <w:rFonts w:ascii="Arial" w:cs="Arial" w:eastAsia="Arial" w:hAnsi="Arial"/>
                <w:sz w:val="16"/>
                <w:szCs w:val="16"/>
                <w:b w:val="1"/>
                <w:bCs w:val="1"/>
                <w:color w:val="1F2668"/>
              </w:rPr>
              <w:t>DiLiberto</w:t>
            </w:r>
          </w:p>
        </w:tc>
        <w:tc>
          <w:tcPr>
            <w:tcW w:w="100" w:type="dxa"/>
            <w:vAlign w:val="bottom"/>
            <w:tcBorders>
              <w:right w:val="single" w:sz="8" w:color="E9F9D8"/>
            </w:tcBorders>
          </w:tcPr>
          <w:p>
            <w:pPr>
              <w:spacing w:after="0"/>
              <w:rPr>
                <w:sz w:val="20"/>
                <w:szCs w:val="20"/>
                <w:color w:val="auto"/>
              </w:rPr>
            </w:pPr>
          </w:p>
        </w:tc>
        <w:tc>
          <w:tcPr>
            <w:tcW w:w="980" w:type="dxa"/>
            <w:vAlign w:val="bottom"/>
            <w:tcBorders>
              <w:bottom w:val="single" w:sz="8" w:color="E9F9D8"/>
            </w:tcBorders>
            <w:gridSpan w:val="3"/>
            <w:vMerge w:val="continue"/>
            <w:shd w:val="clear" w:color="auto" w:fill="E9F9D8"/>
          </w:tcPr>
          <w:p>
            <w:pPr>
              <w:spacing w:after="0"/>
              <w:rPr>
                <w:sz w:val="20"/>
                <w:szCs w:val="20"/>
                <w:color w:val="auto"/>
              </w:rPr>
            </w:pPr>
          </w:p>
        </w:tc>
        <w:tc>
          <w:tcPr>
            <w:tcW w:w="580" w:type="dxa"/>
            <w:vAlign w:val="bottom"/>
            <w:tcBorders>
              <w:bottom w:val="single" w:sz="8" w:color="E9F9D8"/>
            </w:tcBorders>
            <w:shd w:val="clear" w:color="auto" w:fill="E9F9D8"/>
          </w:tcPr>
          <w:p>
            <w:pPr>
              <w:ind w:left="3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E9F9D8"/>
            </w:tcBorders>
            <w:gridSpan w:val="2"/>
            <w:shd w:val="clear" w:color="auto" w:fill="E9F9D8"/>
          </w:tcPr>
          <w:p>
            <w:pPr>
              <w:jc w:val="right"/>
              <w:ind w:right="11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9F9D8"/>
            </w:tcBorders>
            <w:shd w:val="clear" w:color="auto" w:fill="E9F9D8"/>
          </w:tcPr>
          <w:p>
            <w:pPr>
              <w:ind w:left="20"/>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E9F9D8"/>
            </w:tcBorders>
            <w:gridSpan w:val="2"/>
            <w:shd w:val="clear" w:color="auto" w:fill="E9F9D8"/>
          </w:tcPr>
          <w:p>
            <w:pPr>
              <w:jc w:val="right"/>
              <w:ind w:right="120"/>
              <w:spacing w:after="0"/>
              <w:rPr>
                <w:sz w:val="20"/>
                <w:szCs w:val="20"/>
                <w:color w:val="auto"/>
              </w:rPr>
            </w:pPr>
            <w:r>
              <w:rPr>
                <w:rFonts w:ascii="Arial" w:cs="Arial" w:eastAsia="Arial" w:hAnsi="Arial"/>
                <w:sz w:val="16"/>
                <w:szCs w:val="16"/>
                <w:color w:val="auto"/>
                <w:w w:val="98"/>
              </w:rPr>
              <w:t>106.05</w:t>
            </w:r>
          </w:p>
        </w:tc>
        <w:tc>
          <w:tcPr>
            <w:tcW w:w="940" w:type="dxa"/>
            <w:vAlign w:val="bottom"/>
            <w:tcBorders>
              <w:bottom w:val="single" w:sz="8" w:color="E9F9D8"/>
            </w:tcBorders>
            <w:gridSpan w:val="2"/>
            <w:shd w:val="clear" w:color="auto" w:fill="E9F9D8"/>
          </w:tcPr>
          <w:p>
            <w:pPr>
              <w:spacing w:after="0"/>
              <w:rPr>
                <w:sz w:val="20"/>
                <w:szCs w:val="20"/>
                <w:color w:val="auto"/>
              </w:rPr>
            </w:pPr>
            <w:r>
              <w:rPr>
                <w:rFonts w:ascii="Arial" w:cs="Arial" w:eastAsia="Arial" w:hAnsi="Arial"/>
                <w:sz w:val="16"/>
                <w:szCs w:val="16"/>
                <w:color w:val="auto"/>
              </w:rPr>
              <w:t>​01/11/2027</w:t>
            </w:r>
          </w:p>
        </w:tc>
        <w:tc>
          <w:tcPr>
            <w:tcW w:w="840" w:type="dxa"/>
            <w:vAlign w:val="bottom"/>
            <w:tcBorders>
              <w:bottom w:val="single" w:sz="8" w:color="E9F9D8"/>
            </w:tcBorders>
            <w:gridSpan w:val="3"/>
            <w:shd w:val="clear" w:color="auto" w:fill="E9F9D8"/>
          </w:tcPr>
          <w:p>
            <w:pPr>
              <w:jc w:val="right"/>
              <w:ind w:right="100"/>
              <w:spacing w:after="0"/>
              <w:rPr>
                <w:sz w:val="20"/>
                <w:szCs w:val="20"/>
                <w:color w:val="auto"/>
              </w:rPr>
            </w:pPr>
            <w:r>
              <w:rPr>
                <w:rFonts w:ascii="Arial" w:cs="Arial" w:eastAsia="Arial" w:hAnsi="Arial"/>
                <w:sz w:val="16"/>
                <w:szCs w:val="16"/>
                <w:color w:val="auto"/>
              </w:rPr>
              <w:t>​ 80,268</w:t>
            </w:r>
          </w:p>
        </w:tc>
        <w:tc>
          <w:tcPr>
            <w:tcW w:w="220" w:type="dxa"/>
            <w:vAlign w:val="bottom"/>
            <w:tcBorders>
              <w:bottom w:val="single" w:sz="8" w:color="E9F9D8"/>
            </w:tcBorders>
            <w:shd w:val="clear" w:color="auto" w:fill="E9F9D8"/>
          </w:tcPr>
          <w:p>
            <w:pPr>
              <w:jc w:val="right"/>
              <w:ind w:right="23"/>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E9F9D8"/>
            </w:tcBorders>
            <w:gridSpan w:val="2"/>
            <w:shd w:val="clear" w:color="auto" w:fill="E9F9D8"/>
          </w:tcPr>
          <w:p>
            <w:pPr>
              <w:jc w:val="right"/>
              <w:ind w:right="100"/>
              <w:spacing w:after="0"/>
              <w:rPr>
                <w:sz w:val="20"/>
                <w:szCs w:val="20"/>
                <w:color w:val="auto"/>
              </w:rPr>
            </w:pPr>
            <w:r>
              <w:rPr>
                <w:rFonts w:ascii="Arial" w:cs="Arial" w:eastAsia="Arial" w:hAnsi="Arial"/>
                <w:sz w:val="16"/>
                <w:szCs w:val="16"/>
                <w:color w:val="auto"/>
              </w:rPr>
              <w:t>5,451,803</w:t>
            </w:r>
          </w:p>
        </w:tc>
        <w:tc>
          <w:tcPr>
            <w:tcW w:w="1140" w:type="dxa"/>
            <w:vAlign w:val="bottom"/>
            <w:tcBorders>
              <w:bottom w:val="single" w:sz="8" w:color="E9F9D8"/>
            </w:tcBorders>
            <w:gridSpan w:val="3"/>
            <w:shd w:val="clear" w:color="auto" w:fill="E9F9D8"/>
          </w:tcPr>
          <w:p>
            <w:pPr>
              <w:jc w:val="right"/>
              <w:ind w:right="100"/>
              <w:spacing w:after="0"/>
              <w:rPr>
                <w:sz w:val="20"/>
                <w:szCs w:val="20"/>
                <w:color w:val="auto"/>
              </w:rPr>
            </w:pPr>
            <w:r>
              <w:rPr>
                <w:rFonts w:ascii="Arial" w:cs="Arial" w:eastAsia="Arial" w:hAnsi="Arial"/>
                <w:sz w:val="16"/>
                <w:szCs w:val="16"/>
                <w:color w:val="auto"/>
              </w:rPr>
              <w:t>​ 36,338</w:t>
            </w:r>
          </w:p>
        </w:tc>
        <w:tc>
          <w:tcPr>
            <w:tcW w:w="300" w:type="dxa"/>
            <w:vAlign w:val="bottom"/>
            <w:tcBorders>
              <w:bottom w:val="single" w:sz="8" w:color="E9F9D8"/>
            </w:tcBorders>
            <w:shd w:val="clear" w:color="auto" w:fill="E9F9D8"/>
          </w:tcPr>
          <w:p>
            <w:pPr>
              <w:jc w:val="right"/>
              <w:ind w:right="4"/>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E9F9D8"/>
            </w:tcBorders>
            <w:shd w:val="clear" w:color="auto" w:fill="E9F9D8"/>
          </w:tcPr>
          <w:p>
            <w:pPr>
              <w:jc w:val="right"/>
              <w:spacing w:after="0"/>
              <w:rPr>
                <w:sz w:val="20"/>
                <w:szCs w:val="20"/>
                <w:color w:val="auto"/>
              </w:rPr>
            </w:pPr>
            <w:r>
              <w:rPr>
                <w:rFonts w:ascii="Arial" w:cs="Arial" w:eastAsia="Arial" w:hAnsi="Arial"/>
                <w:sz w:val="16"/>
                <w:szCs w:val="16"/>
                <w:color w:val="auto"/>
              </w:rPr>
              <w:t>2,468,077</w:t>
            </w:r>
          </w:p>
        </w:tc>
        <w:tc>
          <w:tcPr>
            <w:tcW w:w="0" w:type="dxa"/>
            <w:vAlign w:val="bottom"/>
          </w:tcPr>
          <w:p>
            <w:pPr>
              <w:spacing w:after="0"/>
              <w:rPr>
                <w:sz w:val="1"/>
                <w:szCs w:val="1"/>
                <w:color w:val="auto"/>
              </w:rPr>
            </w:pPr>
          </w:p>
        </w:tc>
      </w:tr>
      <w:tr>
        <w:trPr>
          <w:trHeight w:val="20"/>
        </w:trPr>
        <w:tc>
          <w:tcPr>
            <w:tcW w:w="1100" w:type="dxa"/>
            <w:vAlign w:val="bottom"/>
            <w:shd w:val="clear" w:color="auto" w:fill="4B5088"/>
          </w:tcPr>
          <w:p>
            <w:pPr>
              <w:spacing w:after="0" w:line="20" w:lineRule="exact"/>
              <w:rPr>
                <w:sz w:val="1"/>
                <w:szCs w:val="1"/>
                <w:color w:val="auto"/>
              </w:rPr>
            </w:pPr>
          </w:p>
        </w:tc>
        <w:tc>
          <w:tcPr>
            <w:tcW w:w="100" w:type="dxa"/>
            <w:vAlign w:val="bottom"/>
            <w:tcBorders>
              <w:right w:val="single" w:sz="8" w:color="E9F9D8"/>
            </w:tcBorders>
          </w:tcPr>
          <w:p>
            <w:pPr>
              <w:spacing w:after="0" w:line="20" w:lineRule="exact"/>
              <w:rPr>
                <w:sz w:val="1"/>
                <w:szCs w:val="1"/>
                <w:color w:val="auto"/>
              </w:rPr>
            </w:pPr>
          </w:p>
        </w:tc>
        <w:tc>
          <w:tcPr>
            <w:tcW w:w="520" w:type="dxa"/>
            <w:vAlign w:val="bottom"/>
            <w:shd w:val="clear" w:color="auto" w:fill="4B5088"/>
          </w:tcPr>
          <w:p>
            <w:pPr>
              <w:spacing w:after="0" w:line="20" w:lineRule="exact"/>
              <w:rPr>
                <w:sz w:val="1"/>
                <w:szCs w:val="1"/>
                <w:color w:val="auto"/>
              </w:rPr>
            </w:pPr>
          </w:p>
        </w:tc>
        <w:tc>
          <w:tcPr>
            <w:tcW w:w="320" w:type="dxa"/>
            <w:vAlign w:val="bottom"/>
            <w:shd w:val="clear" w:color="auto" w:fill="4B5088"/>
          </w:tcPr>
          <w:p>
            <w:pPr>
              <w:spacing w:after="0" w:line="20" w:lineRule="exact"/>
              <w:rPr>
                <w:sz w:val="1"/>
                <w:szCs w:val="1"/>
                <w:color w:val="auto"/>
              </w:rPr>
            </w:pPr>
          </w:p>
        </w:tc>
        <w:tc>
          <w:tcPr>
            <w:tcW w:w="140" w:type="dxa"/>
            <w:vAlign w:val="bottom"/>
            <w:shd w:val="clear" w:color="auto" w:fill="E9F9D8"/>
          </w:tcPr>
          <w:p>
            <w:pPr>
              <w:spacing w:after="0" w:line="20" w:lineRule="exact"/>
              <w:rPr>
                <w:sz w:val="1"/>
                <w:szCs w:val="1"/>
                <w:color w:val="auto"/>
              </w:rPr>
            </w:pPr>
          </w:p>
        </w:tc>
        <w:tc>
          <w:tcPr>
            <w:tcW w:w="580" w:type="dxa"/>
            <w:vAlign w:val="bottom"/>
            <w:shd w:val="clear" w:color="auto" w:fill="4B5088"/>
          </w:tcPr>
          <w:p>
            <w:pPr>
              <w:spacing w:after="0" w:line="20" w:lineRule="exact"/>
              <w:rPr>
                <w:sz w:val="1"/>
                <w:szCs w:val="1"/>
                <w:color w:val="auto"/>
              </w:rPr>
            </w:pPr>
          </w:p>
        </w:tc>
        <w:tc>
          <w:tcPr>
            <w:tcW w:w="360" w:type="dxa"/>
            <w:vAlign w:val="bottom"/>
            <w:shd w:val="clear" w:color="auto" w:fill="4B5088"/>
          </w:tcPr>
          <w:p>
            <w:pPr>
              <w:spacing w:after="0" w:line="20" w:lineRule="exact"/>
              <w:rPr>
                <w:sz w:val="1"/>
                <w:szCs w:val="1"/>
                <w:color w:val="auto"/>
              </w:rPr>
            </w:pPr>
          </w:p>
        </w:tc>
        <w:tc>
          <w:tcPr>
            <w:tcW w:w="160" w:type="dxa"/>
            <w:vAlign w:val="bottom"/>
            <w:shd w:val="clear" w:color="auto" w:fill="E9F9D8"/>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500" w:type="dxa"/>
            <w:vAlign w:val="bottom"/>
            <w:shd w:val="clear" w:color="auto" w:fill="4B5088"/>
          </w:tcPr>
          <w:p>
            <w:pPr>
              <w:spacing w:after="0" w:line="20" w:lineRule="exact"/>
              <w:rPr>
                <w:sz w:val="1"/>
                <w:szCs w:val="1"/>
                <w:color w:val="auto"/>
              </w:rPr>
            </w:pPr>
          </w:p>
        </w:tc>
        <w:tc>
          <w:tcPr>
            <w:tcW w:w="120" w:type="dxa"/>
            <w:vAlign w:val="bottom"/>
            <w:shd w:val="clear" w:color="auto" w:fill="E9F9D8"/>
          </w:tcPr>
          <w:p>
            <w:pPr>
              <w:spacing w:after="0" w:line="20" w:lineRule="exact"/>
              <w:rPr>
                <w:sz w:val="1"/>
                <w:szCs w:val="1"/>
                <w:color w:val="auto"/>
              </w:rPr>
            </w:pPr>
          </w:p>
        </w:tc>
        <w:tc>
          <w:tcPr>
            <w:tcW w:w="820" w:type="dxa"/>
            <w:vAlign w:val="bottom"/>
            <w:shd w:val="clear" w:color="auto" w:fill="4B5088"/>
          </w:tcPr>
          <w:p>
            <w:pPr>
              <w:spacing w:after="0" w:line="20" w:lineRule="exact"/>
              <w:rPr>
                <w:sz w:val="1"/>
                <w:szCs w:val="1"/>
                <w:color w:val="auto"/>
              </w:rPr>
            </w:pPr>
          </w:p>
        </w:tc>
        <w:tc>
          <w:tcPr>
            <w:tcW w:w="120" w:type="dxa"/>
            <w:vAlign w:val="bottom"/>
            <w:shd w:val="clear" w:color="auto" w:fill="E9F9D8"/>
          </w:tcPr>
          <w:p>
            <w:pPr>
              <w:spacing w:after="0" w:line="20" w:lineRule="exact"/>
              <w:rPr>
                <w:sz w:val="1"/>
                <w:szCs w:val="1"/>
                <w:color w:val="auto"/>
              </w:rPr>
            </w:pPr>
          </w:p>
        </w:tc>
        <w:tc>
          <w:tcPr>
            <w:tcW w:w="400" w:type="dxa"/>
            <w:vAlign w:val="bottom"/>
            <w:shd w:val="clear" w:color="auto" w:fill="4B5088"/>
          </w:tcPr>
          <w:p>
            <w:pPr>
              <w:spacing w:after="0" w:line="20" w:lineRule="exact"/>
              <w:rPr>
                <w:sz w:val="1"/>
                <w:szCs w:val="1"/>
                <w:color w:val="auto"/>
              </w:rPr>
            </w:pPr>
          </w:p>
        </w:tc>
        <w:tc>
          <w:tcPr>
            <w:tcW w:w="340" w:type="dxa"/>
            <w:vAlign w:val="bottom"/>
            <w:shd w:val="clear" w:color="auto" w:fill="4B5088"/>
          </w:tcPr>
          <w:p>
            <w:pPr>
              <w:spacing w:after="0" w:line="20" w:lineRule="exact"/>
              <w:rPr>
                <w:sz w:val="1"/>
                <w:szCs w:val="1"/>
                <w:color w:val="auto"/>
              </w:rPr>
            </w:pPr>
          </w:p>
        </w:tc>
        <w:tc>
          <w:tcPr>
            <w:tcW w:w="100" w:type="dxa"/>
            <w:vAlign w:val="bottom"/>
            <w:shd w:val="clear" w:color="auto" w:fill="E9F9D8"/>
          </w:tcPr>
          <w:p>
            <w:pPr>
              <w:spacing w:after="0" w:line="20" w:lineRule="exact"/>
              <w:rPr>
                <w:sz w:val="1"/>
                <w:szCs w:val="1"/>
                <w:color w:val="auto"/>
              </w:rPr>
            </w:pPr>
          </w:p>
        </w:tc>
        <w:tc>
          <w:tcPr>
            <w:tcW w:w="220" w:type="dxa"/>
            <w:vAlign w:val="bottom"/>
            <w:shd w:val="clear" w:color="auto" w:fill="4B5088"/>
          </w:tcPr>
          <w:p>
            <w:pPr>
              <w:spacing w:after="0" w:line="20" w:lineRule="exact"/>
              <w:rPr>
                <w:sz w:val="1"/>
                <w:szCs w:val="1"/>
                <w:color w:val="auto"/>
              </w:rPr>
            </w:pPr>
          </w:p>
        </w:tc>
        <w:tc>
          <w:tcPr>
            <w:tcW w:w="760" w:type="dxa"/>
            <w:vAlign w:val="bottom"/>
            <w:shd w:val="clear" w:color="auto" w:fill="4B5088"/>
          </w:tcPr>
          <w:p>
            <w:pPr>
              <w:spacing w:after="0" w:line="20" w:lineRule="exact"/>
              <w:rPr>
                <w:sz w:val="1"/>
                <w:szCs w:val="1"/>
                <w:color w:val="auto"/>
              </w:rPr>
            </w:pPr>
          </w:p>
        </w:tc>
        <w:tc>
          <w:tcPr>
            <w:tcW w:w="100" w:type="dxa"/>
            <w:vAlign w:val="bottom"/>
            <w:shd w:val="clear" w:color="auto" w:fill="E9F9D8"/>
          </w:tcPr>
          <w:p>
            <w:pPr>
              <w:spacing w:after="0" w:line="20" w:lineRule="exact"/>
              <w:rPr>
                <w:sz w:val="1"/>
                <w:szCs w:val="1"/>
                <w:color w:val="auto"/>
              </w:rPr>
            </w:pPr>
          </w:p>
        </w:tc>
        <w:tc>
          <w:tcPr>
            <w:tcW w:w="580" w:type="dxa"/>
            <w:vAlign w:val="bottom"/>
            <w:shd w:val="clear" w:color="auto" w:fill="4B5088"/>
          </w:tcPr>
          <w:p>
            <w:pPr>
              <w:spacing w:after="0" w:line="20" w:lineRule="exact"/>
              <w:rPr>
                <w:sz w:val="1"/>
                <w:szCs w:val="1"/>
                <w:color w:val="auto"/>
              </w:rPr>
            </w:pPr>
          </w:p>
        </w:tc>
        <w:tc>
          <w:tcPr>
            <w:tcW w:w="460" w:type="dxa"/>
            <w:vAlign w:val="bottom"/>
            <w:shd w:val="clear" w:color="auto" w:fill="4B5088"/>
          </w:tcPr>
          <w:p>
            <w:pPr>
              <w:spacing w:after="0" w:line="20" w:lineRule="exact"/>
              <w:rPr>
                <w:sz w:val="1"/>
                <w:szCs w:val="1"/>
                <w:color w:val="auto"/>
              </w:rPr>
            </w:pPr>
          </w:p>
        </w:tc>
        <w:tc>
          <w:tcPr>
            <w:tcW w:w="100" w:type="dxa"/>
            <w:vAlign w:val="bottom"/>
            <w:shd w:val="clear" w:color="auto" w:fill="E9F9D8"/>
          </w:tcPr>
          <w:p>
            <w:pPr>
              <w:spacing w:after="0" w:line="20" w:lineRule="exact"/>
              <w:rPr>
                <w:sz w:val="1"/>
                <w:szCs w:val="1"/>
                <w:color w:val="auto"/>
              </w:rPr>
            </w:pPr>
          </w:p>
        </w:tc>
        <w:tc>
          <w:tcPr>
            <w:tcW w:w="300" w:type="dxa"/>
            <w:vAlign w:val="bottom"/>
            <w:shd w:val="clear" w:color="auto" w:fill="4B5088"/>
          </w:tcPr>
          <w:p>
            <w:pPr>
              <w:spacing w:after="0" w:line="20" w:lineRule="exact"/>
              <w:rPr>
                <w:sz w:val="1"/>
                <w:szCs w:val="1"/>
                <w:color w:val="auto"/>
              </w:rPr>
            </w:pPr>
          </w:p>
        </w:tc>
        <w:tc>
          <w:tcPr>
            <w:tcW w:w="760" w:type="dxa"/>
            <w:vAlign w:val="bottom"/>
            <w:shd w:val="clear" w:color="auto" w:fill="4B508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20"/>
                <w:szCs w:val="20"/>
                <w:color w:val="auto"/>
              </w:rPr>
            </w:pPr>
            <w:r>
              <w:rPr>
                <w:rFonts w:ascii="Arial" w:cs="Arial" w:eastAsia="Arial" w:hAnsi="Arial"/>
                <w:sz w:val="16"/>
                <w:szCs w:val="16"/>
                <w:b w:val="1"/>
                <w:bCs w:val="1"/>
                <w:color w:val="1F2668"/>
              </w:rPr>
              <w:t>Andrew S.</w:t>
            </w:r>
          </w:p>
        </w:tc>
        <w:tc>
          <w:tcPr>
            <w:tcW w:w="100" w:type="dxa"/>
            <w:vAlign w:val="bottom"/>
            <w:tcBorders>
              <w:right w:val="single" w:sz="8" w:color="E9F9D8"/>
            </w:tcBorders>
          </w:tcPr>
          <w:p>
            <w:pPr>
              <w:spacing w:after="0"/>
              <w:rPr>
                <w:sz w:val="18"/>
                <w:szCs w:val="18"/>
                <w:color w:val="auto"/>
              </w:rPr>
            </w:pPr>
          </w:p>
        </w:tc>
        <w:tc>
          <w:tcPr>
            <w:tcW w:w="980" w:type="dxa"/>
            <w:vAlign w:val="bottom"/>
            <w:gridSpan w:val="3"/>
            <w:vMerge w:val="restart"/>
            <w:shd w:val="clear" w:color="auto" w:fill="E9F9D8"/>
          </w:tcPr>
          <w:p>
            <w:pPr>
              <w:ind w:left="320"/>
              <w:spacing w:after="0"/>
              <w:rPr>
                <w:sz w:val="20"/>
                <w:szCs w:val="20"/>
                <w:color w:val="auto"/>
              </w:rPr>
            </w:pPr>
            <w:r>
              <w:rPr>
                <w:rFonts w:ascii="Arial" w:cs="Arial" w:eastAsia="Arial" w:hAnsi="Arial"/>
                <w:sz w:val="16"/>
                <w:szCs w:val="16"/>
                <w:color w:val="auto"/>
                <w:w w:val="99"/>
              </w:rPr>
              <w:t>​15,000</w:t>
            </w:r>
            <w:r>
              <w:rPr>
                <w:rFonts w:ascii="Arial" w:cs="Arial" w:eastAsia="Arial" w:hAnsi="Arial"/>
                <w:sz w:val="19"/>
                <w:szCs w:val="19"/>
                <w:color w:val="auto"/>
                <w:w w:val="99"/>
                <w:vertAlign w:val="superscript"/>
              </w:rPr>
              <w:t>(4)</w:t>
            </w:r>
          </w:p>
        </w:tc>
        <w:tc>
          <w:tcPr>
            <w:tcW w:w="580" w:type="dxa"/>
            <w:vAlign w:val="bottom"/>
            <w:shd w:val="clear" w:color="auto" w:fill="E9F9D8"/>
          </w:tcPr>
          <w:p>
            <w:pPr>
              <w:spacing w:after="0"/>
              <w:rPr>
                <w:sz w:val="18"/>
                <w:szCs w:val="18"/>
                <w:color w:val="auto"/>
              </w:rPr>
            </w:pPr>
          </w:p>
        </w:tc>
        <w:tc>
          <w:tcPr>
            <w:tcW w:w="360" w:type="dxa"/>
            <w:vAlign w:val="bottom"/>
            <w:shd w:val="clear" w:color="auto" w:fill="E9F9D8"/>
          </w:tcPr>
          <w:p>
            <w:pPr>
              <w:spacing w:after="0"/>
              <w:rPr>
                <w:sz w:val="18"/>
                <w:szCs w:val="18"/>
                <w:color w:val="auto"/>
              </w:rPr>
            </w:pPr>
          </w:p>
        </w:tc>
        <w:tc>
          <w:tcPr>
            <w:tcW w:w="160" w:type="dxa"/>
            <w:vAlign w:val="bottom"/>
            <w:shd w:val="clear" w:color="auto" w:fill="E9F9D8"/>
          </w:tcPr>
          <w:p>
            <w:pPr>
              <w:spacing w:after="0"/>
              <w:rPr>
                <w:sz w:val="18"/>
                <w:szCs w:val="18"/>
                <w:color w:val="auto"/>
              </w:rPr>
            </w:pPr>
          </w:p>
        </w:tc>
        <w:tc>
          <w:tcPr>
            <w:tcW w:w="100" w:type="dxa"/>
            <w:vAlign w:val="bottom"/>
            <w:shd w:val="clear" w:color="auto" w:fill="E9F9D8"/>
          </w:tcPr>
          <w:p>
            <w:pPr>
              <w:spacing w:after="0"/>
              <w:rPr>
                <w:sz w:val="18"/>
                <w:szCs w:val="18"/>
                <w:color w:val="auto"/>
              </w:rPr>
            </w:pPr>
          </w:p>
        </w:tc>
        <w:tc>
          <w:tcPr>
            <w:tcW w:w="500" w:type="dxa"/>
            <w:vAlign w:val="bottom"/>
            <w:shd w:val="clear" w:color="auto" w:fill="E9F9D8"/>
          </w:tcPr>
          <w:p>
            <w:pPr>
              <w:spacing w:after="0"/>
              <w:rPr>
                <w:sz w:val="18"/>
                <w:szCs w:val="18"/>
                <w:color w:val="auto"/>
              </w:rPr>
            </w:pPr>
          </w:p>
        </w:tc>
        <w:tc>
          <w:tcPr>
            <w:tcW w:w="120" w:type="dxa"/>
            <w:vAlign w:val="bottom"/>
            <w:shd w:val="clear" w:color="auto" w:fill="E9F9D8"/>
          </w:tcPr>
          <w:p>
            <w:pPr>
              <w:spacing w:after="0"/>
              <w:rPr>
                <w:sz w:val="18"/>
                <w:szCs w:val="18"/>
                <w:color w:val="auto"/>
              </w:rPr>
            </w:pPr>
          </w:p>
        </w:tc>
        <w:tc>
          <w:tcPr>
            <w:tcW w:w="820" w:type="dxa"/>
            <w:vAlign w:val="bottom"/>
            <w:shd w:val="clear" w:color="auto" w:fill="E9F9D8"/>
          </w:tcPr>
          <w:p>
            <w:pPr>
              <w:spacing w:after="0"/>
              <w:rPr>
                <w:sz w:val="18"/>
                <w:szCs w:val="18"/>
                <w:color w:val="auto"/>
              </w:rPr>
            </w:pPr>
          </w:p>
        </w:tc>
        <w:tc>
          <w:tcPr>
            <w:tcW w:w="120" w:type="dxa"/>
            <w:vAlign w:val="bottom"/>
            <w:shd w:val="clear" w:color="auto" w:fill="E9F9D8"/>
          </w:tcPr>
          <w:p>
            <w:pPr>
              <w:spacing w:after="0"/>
              <w:rPr>
                <w:sz w:val="18"/>
                <w:szCs w:val="18"/>
                <w:color w:val="auto"/>
              </w:rPr>
            </w:pPr>
          </w:p>
        </w:tc>
        <w:tc>
          <w:tcPr>
            <w:tcW w:w="400" w:type="dxa"/>
            <w:vAlign w:val="bottom"/>
            <w:shd w:val="clear" w:color="auto" w:fill="E9F9D8"/>
          </w:tcPr>
          <w:p>
            <w:pPr>
              <w:spacing w:after="0"/>
              <w:rPr>
                <w:sz w:val="18"/>
                <w:szCs w:val="18"/>
                <w:color w:val="auto"/>
              </w:rPr>
            </w:pPr>
          </w:p>
        </w:tc>
        <w:tc>
          <w:tcPr>
            <w:tcW w:w="340" w:type="dxa"/>
            <w:vAlign w:val="bottom"/>
            <w:shd w:val="clear" w:color="auto" w:fill="E9F9D8"/>
          </w:tcPr>
          <w:p>
            <w:pPr>
              <w:spacing w:after="0"/>
              <w:rPr>
                <w:sz w:val="18"/>
                <w:szCs w:val="18"/>
                <w:color w:val="auto"/>
              </w:rPr>
            </w:pPr>
          </w:p>
        </w:tc>
        <w:tc>
          <w:tcPr>
            <w:tcW w:w="100" w:type="dxa"/>
            <w:vAlign w:val="bottom"/>
            <w:shd w:val="clear" w:color="auto" w:fill="E9F9D8"/>
          </w:tcPr>
          <w:p>
            <w:pPr>
              <w:spacing w:after="0"/>
              <w:rPr>
                <w:sz w:val="18"/>
                <w:szCs w:val="18"/>
                <w:color w:val="auto"/>
              </w:rPr>
            </w:pPr>
          </w:p>
        </w:tc>
        <w:tc>
          <w:tcPr>
            <w:tcW w:w="220" w:type="dxa"/>
            <w:vAlign w:val="bottom"/>
            <w:shd w:val="clear" w:color="auto" w:fill="E9F9D8"/>
          </w:tcPr>
          <w:p>
            <w:pPr>
              <w:spacing w:after="0"/>
              <w:rPr>
                <w:sz w:val="18"/>
                <w:szCs w:val="18"/>
                <w:color w:val="auto"/>
              </w:rPr>
            </w:pPr>
          </w:p>
        </w:tc>
        <w:tc>
          <w:tcPr>
            <w:tcW w:w="760" w:type="dxa"/>
            <w:vAlign w:val="bottom"/>
            <w:shd w:val="clear" w:color="auto" w:fill="E9F9D8"/>
          </w:tcPr>
          <w:p>
            <w:pPr>
              <w:spacing w:after="0"/>
              <w:rPr>
                <w:sz w:val="18"/>
                <w:szCs w:val="18"/>
                <w:color w:val="auto"/>
              </w:rPr>
            </w:pPr>
          </w:p>
        </w:tc>
        <w:tc>
          <w:tcPr>
            <w:tcW w:w="100" w:type="dxa"/>
            <w:vAlign w:val="bottom"/>
            <w:shd w:val="clear" w:color="auto" w:fill="E9F9D8"/>
          </w:tcPr>
          <w:p>
            <w:pPr>
              <w:spacing w:after="0"/>
              <w:rPr>
                <w:sz w:val="18"/>
                <w:szCs w:val="18"/>
                <w:color w:val="auto"/>
              </w:rPr>
            </w:pPr>
          </w:p>
        </w:tc>
        <w:tc>
          <w:tcPr>
            <w:tcW w:w="580" w:type="dxa"/>
            <w:vAlign w:val="bottom"/>
            <w:shd w:val="clear" w:color="auto" w:fill="E9F9D8"/>
          </w:tcPr>
          <w:p>
            <w:pPr>
              <w:spacing w:after="0"/>
              <w:rPr>
                <w:sz w:val="18"/>
                <w:szCs w:val="18"/>
                <w:color w:val="auto"/>
              </w:rPr>
            </w:pPr>
          </w:p>
        </w:tc>
        <w:tc>
          <w:tcPr>
            <w:tcW w:w="460" w:type="dxa"/>
            <w:vAlign w:val="bottom"/>
            <w:shd w:val="clear" w:color="auto" w:fill="E9F9D8"/>
          </w:tcPr>
          <w:p>
            <w:pPr>
              <w:spacing w:after="0"/>
              <w:rPr>
                <w:sz w:val="18"/>
                <w:szCs w:val="18"/>
                <w:color w:val="auto"/>
              </w:rPr>
            </w:pPr>
          </w:p>
        </w:tc>
        <w:tc>
          <w:tcPr>
            <w:tcW w:w="100" w:type="dxa"/>
            <w:vAlign w:val="bottom"/>
            <w:shd w:val="clear" w:color="auto" w:fill="E9F9D8"/>
          </w:tcPr>
          <w:p>
            <w:pPr>
              <w:spacing w:after="0"/>
              <w:rPr>
                <w:sz w:val="18"/>
                <w:szCs w:val="18"/>
                <w:color w:val="auto"/>
              </w:rPr>
            </w:pPr>
          </w:p>
        </w:tc>
        <w:tc>
          <w:tcPr>
            <w:tcW w:w="300" w:type="dxa"/>
            <w:vAlign w:val="bottom"/>
            <w:shd w:val="clear" w:color="auto" w:fill="E9F9D8"/>
          </w:tcPr>
          <w:p>
            <w:pPr>
              <w:spacing w:after="0"/>
              <w:rPr>
                <w:sz w:val="18"/>
                <w:szCs w:val="18"/>
                <w:color w:val="auto"/>
              </w:rPr>
            </w:pPr>
          </w:p>
        </w:tc>
        <w:tc>
          <w:tcPr>
            <w:tcW w:w="760" w:type="dxa"/>
            <w:vAlign w:val="bottom"/>
            <w:shd w:val="clear" w:color="auto" w:fill="E9F9D8"/>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r>
              <w:rPr>
                <w:rFonts w:ascii="Arial" w:cs="Arial" w:eastAsia="Arial" w:hAnsi="Arial"/>
                <w:sz w:val="16"/>
                <w:szCs w:val="16"/>
                <w:b w:val="1"/>
                <w:bCs w:val="1"/>
                <w:color w:val="1F2668"/>
              </w:rPr>
              <w:t>Levine</w:t>
            </w:r>
          </w:p>
        </w:tc>
        <w:tc>
          <w:tcPr>
            <w:tcW w:w="100" w:type="dxa"/>
            <w:vAlign w:val="bottom"/>
            <w:tcBorders>
              <w:right w:val="single" w:sz="8" w:color="E9F9D8"/>
            </w:tcBorders>
          </w:tcPr>
          <w:p>
            <w:pPr>
              <w:spacing w:after="0"/>
              <w:rPr>
                <w:sz w:val="20"/>
                <w:szCs w:val="20"/>
                <w:color w:val="auto"/>
              </w:rPr>
            </w:pPr>
          </w:p>
        </w:tc>
        <w:tc>
          <w:tcPr>
            <w:tcW w:w="980" w:type="dxa"/>
            <w:vAlign w:val="bottom"/>
            <w:tcBorders>
              <w:bottom w:val="single" w:sz="8" w:color="E9F9D8"/>
            </w:tcBorders>
            <w:gridSpan w:val="3"/>
            <w:vMerge w:val="continue"/>
            <w:shd w:val="clear" w:color="auto" w:fill="E9F9D8"/>
          </w:tcPr>
          <w:p>
            <w:pPr>
              <w:spacing w:after="0"/>
              <w:rPr>
                <w:sz w:val="20"/>
                <w:szCs w:val="20"/>
                <w:color w:val="auto"/>
              </w:rPr>
            </w:pPr>
          </w:p>
        </w:tc>
        <w:tc>
          <w:tcPr>
            <w:tcW w:w="580" w:type="dxa"/>
            <w:vAlign w:val="bottom"/>
            <w:tcBorders>
              <w:bottom w:val="single" w:sz="8" w:color="E9F9D8"/>
            </w:tcBorders>
            <w:shd w:val="clear" w:color="auto" w:fill="E9F9D8"/>
          </w:tcPr>
          <w:p>
            <w:pPr>
              <w:ind w:left="3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E9F9D8"/>
            </w:tcBorders>
            <w:gridSpan w:val="2"/>
            <w:shd w:val="clear" w:color="auto" w:fill="E9F9D8"/>
          </w:tcPr>
          <w:p>
            <w:pPr>
              <w:jc w:val="right"/>
              <w:ind w:right="11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9F9D8"/>
            </w:tcBorders>
            <w:shd w:val="clear" w:color="auto" w:fill="E9F9D8"/>
          </w:tcPr>
          <w:p>
            <w:pPr>
              <w:ind w:left="20"/>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E9F9D8"/>
            </w:tcBorders>
            <w:gridSpan w:val="2"/>
            <w:shd w:val="clear" w:color="auto" w:fill="E9F9D8"/>
          </w:tcPr>
          <w:p>
            <w:pPr>
              <w:jc w:val="right"/>
              <w:ind w:right="120"/>
              <w:spacing w:after="0"/>
              <w:rPr>
                <w:sz w:val="20"/>
                <w:szCs w:val="20"/>
                <w:color w:val="auto"/>
              </w:rPr>
            </w:pPr>
            <w:r>
              <w:rPr>
                <w:rFonts w:ascii="Arial" w:cs="Arial" w:eastAsia="Arial" w:hAnsi="Arial"/>
                <w:sz w:val="16"/>
                <w:szCs w:val="16"/>
                <w:color w:val="auto"/>
                <w:w w:val="98"/>
              </w:rPr>
              <w:t>106.05</w:t>
            </w:r>
          </w:p>
        </w:tc>
        <w:tc>
          <w:tcPr>
            <w:tcW w:w="940" w:type="dxa"/>
            <w:vAlign w:val="bottom"/>
            <w:tcBorders>
              <w:bottom w:val="single" w:sz="8" w:color="E9F9D8"/>
            </w:tcBorders>
            <w:gridSpan w:val="2"/>
            <w:shd w:val="clear" w:color="auto" w:fill="E9F9D8"/>
          </w:tcPr>
          <w:p>
            <w:pPr>
              <w:spacing w:after="0"/>
              <w:rPr>
                <w:sz w:val="20"/>
                <w:szCs w:val="20"/>
                <w:color w:val="auto"/>
              </w:rPr>
            </w:pPr>
            <w:r>
              <w:rPr>
                <w:rFonts w:ascii="Arial" w:cs="Arial" w:eastAsia="Arial" w:hAnsi="Arial"/>
                <w:sz w:val="16"/>
                <w:szCs w:val="16"/>
                <w:color w:val="auto"/>
              </w:rPr>
              <w:t>​01/11/2027</w:t>
            </w:r>
          </w:p>
        </w:tc>
        <w:tc>
          <w:tcPr>
            <w:tcW w:w="840" w:type="dxa"/>
            <w:vAlign w:val="bottom"/>
            <w:tcBorders>
              <w:bottom w:val="single" w:sz="8" w:color="E9F9D8"/>
            </w:tcBorders>
            <w:gridSpan w:val="3"/>
            <w:shd w:val="clear" w:color="auto" w:fill="E9F9D8"/>
          </w:tcPr>
          <w:p>
            <w:pPr>
              <w:jc w:val="right"/>
              <w:ind w:right="100"/>
              <w:spacing w:after="0"/>
              <w:rPr>
                <w:sz w:val="20"/>
                <w:szCs w:val="20"/>
                <w:color w:val="auto"/>
              </w:rPr>
            </w:pPr>
            <w:r>
              <w:rPr>
                <w:rFonts w:ascii="Arial" w:cs="Arial" w:eastAsia="Arial" w:hAnsi="Arial"/>
                <w:sz w:val="16"/>
                <w:szCs w:val="16"/>
                <w:color w:val="auto"/>
              </w:rPr>
              <w:t>​ 75,104</w:t>
            </w:r>
          </w:p>
        </w:tc>
        <w:tc>
          <w:tcPr>
            <w:tcW w:w="220" w:type="dxa"/>
            <w:vAlign w:val="bottom"/>
            <w:tcBorders>
              <w:bottom w:val="single" w:sz="8" w:color="E9F9D8"/>
            </w:tcBorders>
            <w:shd w:val="clear" w:color="auto" w:fill="E9F9D8"/>
          </w:tcPr>
          <w:p>
            <w:pPr>
              <w:jc w:val="right"/>
              <w:ind w:right="23"/>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E9F9D8"/>
            </w:tcBorders>
            <w:gridSpan w:val="2"/>
            <w:shd w:val="clear" w:color="auto" w:fill="E9F9D8"/>
          </w:tcPr>
          <w:p>
            <w:pPr>
              <w:jc w:val="right"/>
              <w:ind w:right="100"/>
              <w:spacing w:after="0"/>
              <w:rPr>
                <w:sz w:val="20"/>
                <w:szCs w:val="20"/>
                <w:color w:val="auto"/>
              </w:rPr>
            </w:pPr>
            <w:r>
              <w:rPr>
                <w:rFonts w:ascii="Arial" w:cs="Arial" w:eastAsia="Arial" w:hAnsi="Arial"/>
                <w:sz w:val="16"/>
                <w:szCs w:val="16"/>
                <w:color w:val="auto"/>
              </w:rPr>
              <w:t>5,101,064</w:t>
            </w:r>
          </w:p>
        </w:tc>
        <w:tc>
          <w:tcPr>
            <w:tcW w:w="1140" w:type="dxa"/>
            <w:vAlign w:val="bottom"/>
            <w:tcBorders>
              <w:bottom w:val="single" w:sz="8" w:color="E9F9D8"/>
            </w:tcBorders>
            <w:gridSpan w:val="3"/>
            <w:shd w:val="clear" w:color="auto" w:fill="E9F9D8"/>
          </w:tcPr>
          <w:p>
            <w:pPr>
              <w:jc w:val="right"/>
              <w:ind w:right="100"/>
              <w:spacing w:after="0"/>
              <w:rPr>
                <w:sz w:val="20"/>
                <w:szCs w:val="20"/>
                <w:color w:val="auto"/>
              </w:rPr>
            </w:pPr>
            <w:r>
              <w:rPr>
                <w:rFonts w:ascii="Arial" w:cs="Arial" w:eastAsia="Arial" w:hAnsi="Arial"/>
                <w:sz w:val="16"/>
                <w:szCs w:val="16"/>
                <w:color w:val="auto"/>
              </w:rPr>
              <w:t>​ 36,338</w:t>
            </w:r>
          </w:p>
        </w:tc>
        <w:tc>
          <w:tcPr>
            <w:tcW w:w="300" w:type="dxa"/>
            <w:vAlign w:val="bottom"/>
            <w:tcBorders>
              <w:bottom w:val="single" w:sz="8" w:color="E9F9D8"/>
            </w:tcBorders>
            <w:shd w:val="clear" w:color="auto" w:fill="E9F9D8"/>
          </w:tcPr>
          <w:p>
            <w:pPr>
              <w:jc w:val="right"/>
              <w:ind w:right="4"/>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E9F9D8"/>
            </w:tcBorders>
            <w:shd w:val="clear" w:color="auto" w:fill="E9F9D8"/>
          </w:tcPr>
          <w:p>
            <w:pPr>
              <w:jc w:val="right"/>
              <w:spacing w:after="0"/>
              <w:rPr>
                <w:sz w:val="20"/>
                <w:szCs w:val="20"/>
                <w:color w:val="auto"/>
              </w:rPr>
            </w:pPr>
            <w:r>
              <w:rPr>
                <w:rFonts w:ascii="Arial" w:cs="Arial" w:eastAsia="Arial" w:hAnsi="Arial"/>
                <w:sz w:val="16"/>
                <w:szCs w:val="16"/>
                <w:color w:val="auto"/>
              </w:rPr>
              <w:t>2,468,077</w:t>
            </w:r>
          </w:p>
        </w:tc>
        <w:tc>
          <w:tcPr>
            <w:tcW w:w="0" w:type="dxa"/>
            <w:vAlign w:val="bottom"/>
          </w:tcPr>
          <w:p>
            <w:pPr>
              <w:spacing w:after="0"/>
              <w:rPr>
                <w:sz w:val="1"/>
                <w:szCs w:val="1"/>
                <w:color w:val="auto"/>
              </w:rPr>
            </w:pPr>
          </w:p>
        </w:tc>
      </w:tr>
      <w:tr>
        <w:trPr>
          <w:trHeight w:val="20"/>
        </w:trPr>
        <w:tc>
          <w:tcPr>
            <w:tcW w:w="1100" w:type="dxa"/>
            <w:vAlign w:val="bottom"/>
            <w:shd w:val="clear" w:color="auto" w:fill="4B5088"/>
          </w:tcPr>
          <w:p>
            <w:pPr>
              <w:spacing w:after="0" w:line="20" w:lineRule="exact"/>
              <w:rPr>
                <w:sz w:val="1"/>
                <w:szCs w:val="1"/>
                <w:color w:val="auto"/>
              </w:rPr>
            </w:pPr>
          </w:p>
        </w:tc>
        <w:tc>
          <w:tcPr>
            <w:tcW w:w="100" w:type="dxa"/>
            <w:vAlign w:val="bottom"/>
            <w:tcBorders>
              <w:right w:val="single" w:sz="8" w:color="E9F9D8"/>
            </w:tcBorders>
          </w:tcPr>
          <w:p>
            <w:pPr>
              <w:spacing w:after="0" w:line="20" w:lineRule="exact"/>
              <w:rPr>
                <w:sz w:val="1"/>
                <w:szCs w:val="1"/>
                <w:color w:val="auto"/>
              </w:rPr>
            </w:pPr>
          </w:p>
        </w:tc>
        <w:tc>
          <w:tcPr>
            <w:tcW w:w="520" w:type="dxa"/>
            <w:vAlign w:val="bottom"/>
            <w:shd w:val="clear" w:color="auto" w:fill="4B5088"/>
          </w:tcPr>
          <w:p>
            <w:pPr>
              <w:spacing w:after="0" w:line="20" w:lineRule="exact"/>
              <w:rPr>
                <w:sz w:val="1"/>
                <w:szCs w:val="1"/>
                <w:color w:val="auto"/>
              </w:rPr>
            </w:pPr>
          </w:p>
        </w:tc>
        <w:tc>
          <w:tcPr>
            <w:tcW w:w="320" w:type="dxa"/>
            <w:vAlign w:val="bottom"/>
            <w:shd w:val="clear" w:color="auto" w:fill="4B5088"/>
          </w:tcPr>
          <w:p>
            <w:pPr>
              <w:spacing w:after="0" w:line="20" w:lineRule="exact"/>
              <w:rPr>
                <w:sz w:val="1"/>
                <w:szCs w:val="1"/>
                <w:color w:val="auto"/>
              </w:rPr>
            </w:pPr>
          </w:p>
        </w:tc>
        <w:tc>
          <w:tcPr>
            <w:tcW w:w="140" w:type="dxa"/>
            <w:vAlign w:val="bottom"/>
            <w:shd w:val="clear" w:color="auto" w:fill="E9F9D8"/>
          </w:tcPr>
          <w:p>
            <w:pPr>
              <w:spacing w:after="0" w:line="20" w:lineRule="exact"/>
              <w:rPr>
                <w:sz w:val="1"/>
                <w:szCs w:val="1"/>
                <w:color w:val="auto"/>
              </w:rPr>
            </w:pPr>
          </w:p>
        </w:tc>
        <w:tc>
          <w:tcPr>
            <w:tcW w:w="580" w:type="dxa"/>
            <w:vAlign w:val="bottom"/>
            <w:shd w:val="clear" w:color="auto" w:fill="4B5088"/>
          </w:tcPr>
          <w:p>
            <w:pPr>
              <w:spacing w:after="0" w:line="20" w:lineRule="exact"/>
              <w:rPr>
                <w:sz w:val="1"/>
                <w:szCs w:val="1"/>
                <w:color w:val="auto"/>
              </w:rPr>
            </w:pPr>
          </w:p>
        </w:tc>
        <w:tc>
          <w:tcPr>
            <w:tcW w:w="360" w:type="dxa"/>
            <w:vAlign w:val="bottom"/>
            <w:shd w:val="clear" w:color="auto" w:fill="4B5088"/>
          </w:tcPr>
          <w:p>
            <w:pPr>
              <w:spacing w:after="0" w:line="20" w:lineRule="exact"/>
              <w:rPr>
                <w:sz w:val="1"/>
                <w:szCs w:val="1"/>
                <w:color w:val="auto"/>
              </w:rPr>
            </w:pPr>
          </w:p>
        </w:tc>
        <w:tc>
          <w:tcPr>
            <w:tcW w:w="160" w:type="dxa"/>
            <w:vAlign w:val="bottom"/>
            <w:shd w:val="clear" w:color="auto" w:fill="E9F9D8"/>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500" w:type="dxa"/>
            <w:vAlign w:val="bottom"/>
            <w:shd w:val="clear" w:color="auto" w:fill="4B5088"/>
          </w:tcPr>
          <w:p>
            <w:pPr>
              <w:spacing w:after="0" w:line="20" w:lineRule="exact"/>
              <w:rPr>
                <w:sz w:val="1"/>
                <w:szCs w:val="1"/>
                <w:color w:val="auto"/>
              </w:rPr>
            </w:pPr>
          </w:p>
        </w:tc>
        <w:tc>
          <w:tcPr>
            <w:tcW w:w="120" w:type="dxa"/>
            <w:vAlign w:val="bottom"/>
            <w:shd w:val="clear" w:color="auto" w:fill="E9F9D8"/>
          </w:tcPr>
          <w:p>
            <w:pPr>
              <w:spacing w:after="0" w:line="20" w:lineRule="exact"/>
              <w:rPr>
                <w:sz w:val="1"/>
                <w:szCs w:val="1"/>
                <w:color w:val="auto"/>
              </w:rPr>
            </w:pPr>
          </w:p>
        </w:tc>
        <w:tc>
          <w:tcPr>
            <w:tcW w:w="820" w:type="dxa"/>
            <w:vAlign w:val="bottom"/>
            <w:shd w:val="clear" w:color="auto" w:fill="4B5088"/>
          </w:tcPr>
          <w:p>
            <w:pPr>
              <w:spacing w:after="0" w:line="20" w:lineRule="exact"/>
              <w:rPr>
                <w:sz w:val="1"/>
                <w:szCs w:val="1"/>
                <w:color w:val="auto"/>
              </w:rPr>
            </w:pPr>
          </w:p>
        </w:tc>
        <w:tc>
          <w:tcPr>
            <w:tcW w:w="120" w:type="dxa"/>
            <w:vAlign w:val="bottom"/>
            <w:shd w:val="clear" w:color="auto" w:fill="E9F9D8"/>
          </w:tcPr>
          <w:p>
            <w:pPr>
              <w:spacing w:after="0" w:line="20" w:lineRule="exact"/>
              <w:rPr>
                <w:sz w:val="1"/>
                <w:szCs w:val="1"/>
                <w:color w:val="auto"/>
              </w:rPr>
            </w:pPr>
          </w:p>
        </w:tc>
        <w:tc>
          <w:tcPr>
            <w:tcW w:w="400" w:type="dxa"/>
            <w:vAlign w:val="bottom"/>
            <w:shd w:val="clear" w:color="auto" w:fill="4B5088"/>
          </w:tcPr>
          <w:p>
            <w:pPr>
              <w:spacing w:after="0" w:line="20" w:lineRule="exact"/>
              <w:rPr>
                <w:sz w:val="1"/>
                <w:szCs w:val="1"/>
                <w:color w:val="auto"/>
              </w:rPr>
            </w:pPr>
          </w:p>
        </w:tc>
        <w:tc>
          <w:tcPr>
            <w:tcW w:w="340" w:type="dxa"/>
            <w:vAlign w:val="bottom"/>
            <w:shd w:val="clear" w:color="auto" w:fill="4B5088"/>
          </w:tcPr>
          <w:p>
            <w:pPr>
              <w:spacing w:after="0" w:line="20" w:lineRule="exact"/>
              <w:rPr>
                <w:sz w:val="1"/>
                <w:szCs w:val="1"/>
                <w:color w:val="auto"/>
              </w:rPr>
            </w:pPr>
          </w:p>
        </w:tc>
        <w:tc>
          <w:tcPr>
            <w:tcW w:w="100" w:type="dxa"/>
            <w:vAlign w:val="bottom"/>
            <w:shd w:val="clear" w:color="auto" w:fill="E9F9D8"/>
          </w:tcPr>
          <w:p>
            <w:pPr>
              <w:spacing w:after="0" w:line="20" w:lineRule="exact"/>
              <w:rPr>
                <w:sz w:val="1"/>
                <w:szCs w:val="1"/>
                <w:color w:val="auto"/>
              </w:rPr>
            </w:pPr>
          </w:p>
        </w:tc>
        <w:tc>
          <w:tcPr>
            <w:tcW w:w="220" w:type="dxa"/>
            <w:vAlign w:val="bottom"/>
            <w:shd w:val="clear" w:color="auto" w:fill="4B5088"/>
          </w:tcPr>
          <w:p>
            <w:pPr>
              <w:spacing w:after="0" w:line="20" w:lineRule="exact"/>
              <w:rPr>
                <w:sz w:val="1"/>
                <w:szCs w:val="1"/>
                <w:color w:val="auto"/>
              </w:rPr>
            </w:pPr>
          </w:p>
        </w:tc>
        <w:tc>
          <w:tcPr>
            <w:tcW w:w="760" w:type="dxa"/>
            <w:vAlign w:val="bottom"/>
            <w:shd w:val="clear" w:color="auto" w:fill="4B5088"/>
          </w:tcPr>
          <w:p>
            <w:pPr>
              <w:spacing w:after="0" w:line="20" w:lineRule="exact"/>
              <w:rPr>
                <w:sz w:val="1"/>
                <w:szCs w:val="1"/>
                <w:color w:val="auto"/>
              </w:rPr>
            </w:pPr>
          </w:p>
        </w:tc>
        <w:tc>
          <w:tcPr>
            <w:tcW w:w="100" w:type="dxa"/>
            <w:vAlign w:val="bottom"/>
            <w:shd w:val="clear" w:color="auto" w:fill="E9F9D8"/>
          </w:tcPr>
          <w:p>
            <w:pPr>
              <w:spacing w:after="0" w:line="20" w:lineRule="exact"/>
              <w:rPr>
                <w:sz w:val="1"/>
                <w:szCs w:val="1"/>
                <w:color w:val="auto"/>
              </w:rPr>
            </w:pPr>
          </w:p>
        </w:tc>
        <w:tc>
          <w:tcPr>
            <w:tcW w:w="580" w:type="dxa"/>
            <w:vAlign w:val="bottom"/>
            <w:shd w:val="clear" w:color="auto" w:fill="4B5088"/>
          </w:tcPr>
          <w:p>
            <w:pPr>
              <w:spacing w:after="0" w:line="20" w:lineRule="exact"/>
              <w:rPr>
                <w:sz w:val="1"/>
                <w:szCs w:val="1"/>
                <w:color w:val="auto"/>
              </w:rPr>
            </w:pPr>
          </w:p>
        </w:tc>
        <w:tc>
          <w:tcPr>
            <w:tcW w:w="460" w:type="dxa"/>
            <w:vAlign w:val="bottom"/>
            <w:shd w:val="clear" w:color="auto" w:fill="4B5088"/>
          </w:tcPr>
          <w:p>
            <w:pPr>
              <w:spacing w:after="0" w:line="20" w:lineRule="exact"/>
              <w:rPr>
                <w:sz w:val="1"/>
                <w:szCs w:val="1"/>
                <w:color w:val="auto"/>
              </w:rPr>
            </w:pPr>
          </w:p>
        </w:tc>
        <w:tc>
          <w:tcPr>
            <w:tcW w:w="100" w:type="dxa"/>
            <w:vAlign w:val="bottom"/>
            <w:shd w:val="clear" w:color="auto" w:fill="E9F9D8"/>
          </w:tcPr>
          <w:p>
            <w:pPr>
              <w:spacing w:after="0" w:line="20" w:lineRule="exact"/>
              <w:rPr>
                <w:sz w:val="1"/>
                <w:szCs w:val="1"/>
                <w:color w:val="auto"/>
              </w:rPr>
            </w:pPr>
          </w:p>
        </w:tc>
        <w:tc>
          <w:tcPr>
            <w:tcW w:w="300" w:type="dxa"/>
            <w:vAlign w:val="bottom"/>
            <w:shd w:val="clear" w:color="auto" w:fill="4B5088"/>
          </w:tcPr>
          <w:p>
            <w:pPr>
              <w:spacing w:after="0" w:line="20" w:lineRule="exact"/>
              <w:rPr>
                <w:sz w:val="1"/>
                <w:szCs w:val="1"/>
                <w:color w:val="auto"/>
              </w:rPr>
            </w:pPr>
          </w:p>
        </w:tc>
        <w:tc>
          <w:tcPr>
            <w:tcW w:w="760" w:type="dxa"/>
            <w:vAlign w:val="bottom"/>
            <w:shd w:val="clear" w:color="auto" w:fill="4B508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5532120</wp:posOffset>
            </wp:positionH>
            <wp:positionV relativeFrom="paragraph">
              <wp:posOffset>-624840</wp:posOffset>
            </wp:positionV>
            <wp:extent cx="6858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4812030</wp:posOffset>
            </wp:positionH>
            <wp:positionV relativeFrom="paragraph">
              <wp:posOffset>-624840</wp:posOffset>
            </wp:positionV>
            <wp:extent cx="6858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-624840</wp:posOffset>
            </wp:positionV>
            <wp:extent cx="6858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-624840</wp:posOffset>
            </wp:positionV>
            <wp:extent cx="6858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2985770</wp:posOffset>
            </wp:positionH>
            <wp:positionV relativeFrom="paragraph">
              <wp:posOffset>-624840</wp:posOffset>
            </wp:positionV>
            <wp:extent cx="6858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-624840</wp:posOffset>
            </wp:positionV>
            <wp:extent cx="10287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1819910</wp:posOffset>
            </wp:positionH>
            <wp:positionV relativeFrom="paragraph">
              <wp:posOffset>-624840</wp:posOffset>
            </wp:positionV>
            <wp:extent cx="8572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1219835</wp:posOffset>
            </wp:positionH>
            <wp:positionV relativeFrom="paragraph">
              <wp:posOffset>-624840</wp:posOffset>
            </wp:positionV>
            <wp:extent cx="6858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5532120</wp:posOffset>
            </wp:positionH>
            <wp:positionV relativeFrom="paragraph">
              <wp:posOffset>-1190625</wp:posOffset>
            </wp:positionV>
            <wp:extent cx="6858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4812030</wp:posOffset>
            </wp:positionH>
            <wp:positionV relativeFrom="paragraph">
              <wp:posOffset>-1190625</wp:posOffset>
            </wp:positionV>
            <wp:extent cx="6858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-1190625</wp:posOffset>
            </wp:positionV>
            <wp:extent cx="6858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-1190625</wp:posOffset>
            </wp:positionV>
            <wp:extent cx="6858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2985770</wp:posOffset>
            </wp:positionH>
            <wp:positionV relativeFrom="paragraph">
              <wp:posOffset>-1190625</wp:posOffset>
            </wp:positionV>
            <wp:extent cx="6858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-1190625</wp:posOffset>
            </wp:positionV>
            <wp:extent cx="10287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1819910</wp:posOffset>
            </wp:positionH>
            <wp:positionV relativeFrom="paragraph">
              <wp:posOffset>-1190625</wp:posOffset>
            </wp:positionV>
            <wp:extent cx="8572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1219835</wp:posOffset>
            </wp:positionH>
            <wp:positionV relativeFrom="paragraph">
              <wp:posOffset>-1190625</wp:posOffset>
            </wp:positionV>
            <wp:extent cx="6858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7" w:lineRule="exact"/>
        <w:rPr>
          <w:sz w:val="20"/>
          <w:szCs w:val="20"/>
          <w:color w:val="auto"/>
        </w:rPr>
      </w:pPr>
    </w:p>
    <w:p>
      <w:pPr>
        <w:ind w:left="1180" w:hanging="364"/>
        <w:spacing w:after="0"/>
        <w:tabs>
          <w:tab w:leader="none" w:pos="11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For each of our named executive officers, includes the following:</w:t>
      </w:r>
    </w:p>
    <w:p>
      <w:pPr>
        <w:spacing w:after="0" w:line="180" w:lineRule="exact"/>
        <w:rPr>
          <w:sz w:val="20"/>
          <w:szCs w:val="20"/>
          <w:color w:val="auto"/>
        </w:rPr>
      </w:pPr>
    </w:p>
    <w:tbl>
      <w:tblPr>
        <w:tblLayout w:type="fixed"/>
        <w:tblInd w:w="1180" w:type="dxa"/>
        <w:tblCellMar>
          <w:top w:w="0" w:type="dxa"/>
          <w:left w:w="0" w:type="dxa"/>
          <w:bottom w:w="0" w:type="dxa"/>
          <w:right w:w="0" w:type="dxa"/>
        </w:tblCellMar>
      </w:tblPr>
      <w:tr>
        <w:trPr>
          <w:trHeight w:val="149"/>
        </w:trPr>
        <w:tc>
          <w:tcPr>
            <w:tcW w:w="3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b w:val="1"/>
                <w:bCs w:val="1"/>
                <w:color w:val="1F2668"/>
              </w:rPr>
              <w:t>2024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1F2668"/>
              </w:rPr>
              <w:t>2023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1F2668"/>
              </w:rPr>
              <w:t>2022</w:t>
            </w: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1F2668"/>
              </w:rPr>
              <w:t>2024</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1F2668"/>
              </w:rPr>
              <w:t>2023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3"/>
                <w:szCs w:val="13"/>
                <w:b w:val="1"/>
                <w:bCs w:val="1"/>
                <w:color w:val="1F2668"/>
              </w:rPr>
              <w:t>2022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1F2668"/>
                <w:w w:val="99"/>
              </w:rPr>
              <w:t>Operational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1F2668"/>
                <w:w w:val="99"/>
              </w:rPr>
              <w:t>Operational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b w:val="1"/>
                <w:bCs w:val="1"/>
                <w:color w:val="1F2668"/>
                <w:w w:val="94"/>
              </w:rPr>
              <w:t>Time-Based</w:t>
            </w: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b w:val="1"/>
                <w:bCs w:val="1"/>
                <w:color w:val="1F2668"/>
                <w:w w:val="94"/>
              </w:rPr>
              <w:t>Time-Based</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1F2668"/>
                <w:w w:val="92"/>
              </w:rPr>
              <w:t>Time-Based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b w:val="1"/>
                <w:bCs w:val="1"/>
                <w:color w:val="1F2668"/>
                <w:w w:val="85"/>
              </w:rPr>
              <w:t>Performance-</w:t>
            </w:r>
          </w:p>
        </w:tc>
        <w:tc>
          <w:tcPr>
            <w:tcW w:w="100" w:type="dxa"/>
            <w:vAlign w:val="bottom"/>
          </w:tcPr>
          <w:p>
            <w:pPr>
              <w:spacing w:after="0"/>
              <w:rPr>
                <w:sz w:val="12"/>
                <w:szCs w:val="12"/>
                <w:color w:val="auto"/>
              </w:rPr>
            </w:pPr>
          </w:p>
        </w:tc>
        <w:tc>
          <w:tcPr>
            <w:tcW w:w="860" w:type="dxa"/>
            <w:vAlign w:val="bottom"/>
            <w:gridSpan w:val="3"/>
          </w:tcPr>
          <w:p>
            <w:pPr>
              <w:jc w:val="right"/>
              <w:spacing w:after="0"/>
              <w:rPr>
                <w:sz w:val="20"/>
                <w:szCs w:val="20"/>
                <w:color w:val="auto"/>
              </w:rPr>
            </w:pPr>
            <w:r>
              <w:rPr>
                <w:rFonts w:ascii="Arial" w:cs="Arial" w:eastAsia="Arial" w:hAnsi="Arial"/>
                <w:sz w:val="13"/>
                <w:szCs w:val="13"/>
                <w:b w:val="1"/>
                <w:bCs w:val="1"/>
                <w:color w:val="1F2668"/>
                <w:w w:val="95"/>
              </w:rPr>
              <w:t>Performance-</w:t>
            </w:r>
          </w:p>
        </w:tc>
        <w:tc>
          <w:tcPr>
            <w:tcW w:w="100" w:type="dxa"/>
            <w:vAlign w:val="bottom"/>
          </w:tcPr>
          <w:p>
            <w:pPr>
              <w:spacing w:after="0"/>
              <w:rPr>
                <w:sz w:val="12"/>
                <w:szCs w:val="12"/>
                <w:color w:val="auto"/>
              </w:rPr>
            </w:pPr>
          </w:p>
        </w:tc>
        <w:tc>
          <w:tcPr>
            <w:tcW w:w="3620" w:type="dxa"/>
            <w:vAlign w:val="bottom"/>
            <w:gridSpan w:val="10"/>
          </w:tcPr>
          <w:p>
            <w:pPr>
              <w:jc w:val="right"/>
              <w:spacing w:after="0"/>
              <w:rPr>
                <w:sz w:val="20"/>
                <w:szCs w:val="20"/>
                <w:color w:val="auto"/>
              </w:rPr>
            </w:pPr>
            <w:r>
              <w:rPr>
                <w:rFonts w:ascii="Arial" w:cs="Arial" w:eastAsia="Arial" w:hAnsi="Arial"/>
                <w:sz w:val="13"/>
                <w:szCs w:val="13"/>
                <w:b w:val="1"/>
                <w:bCs w:val="1"/>
                <w:color w:val="1F2668"/>
              </w:rPr>
              <w:t>Performance-  Employment   Employment   Employment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spacing w:after="0" w:line="126" w:lineRule="exact"/>
              <w:rPr>
                <w:sz w:val="20"/>
                <w:szCs w:val="20"/>
                <w:color w:val="auto"/>
              </w:rPr>
            </w:pPr>
            <w:r>
              <w:rPr>
                <w:rFonts w:ascii="Arial" w:cs="Arial" w:eastAsia="Arial" w:hAnsi="Arial"/>
                <w:sz w:val="13"/>
                <w:szCs w:val="13"/>
                <w:b w:val="1"/>
                <w:bCs w:val="1"/>
                <w:color w:val="1F2668"/>
              </w:rPr>
              <w:t>Based LTIP</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right"/>
              <w:spacing w:after="0" w:line="126" w:lineRule="exact"/>
              <w:rPr>
                <w:sz w:val="20"/>
                <w:szCs w:val="20"/>
                <w:color w:val="auto"/>
              </w:rPr>
            </w:pPr>
            <w:r>
              <w:rPr>
                <w:rFonts w:ascii="Arial" w:cs="Arial" w:eastAsia="Arial" w:hAnsi="Arial"/>
                <w:sz w:val="13"/>
                <w:szCs w:val="13"/>
                <w:b w:val="1"/>
                <w:bCs w:val="1"/>
                <w:color w:val="1F2668"/>
              </w:rPr>
              <w:t>Based LTIP</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spacing w:after="0" w:line="126" w:lineRule="exact"/>
              <w:rPr>
                <w:sz w:val="20"/>
                <w:szCs w:val="20"/>
                <w:color w:val="auto"/>
              </w:rPr>
            </w:pPr>
            <w:r>
              <w:rPr>
                <w:rFonts w:ascii="Arial" w:cs="Arial" w:eastAsia="Arial" w:hAnsi="Arial"/>
                <w:sz w:val="13"/>
                <w:szCs w:val="13"/>
                <w:b w:val="1"/>
                <w:bCs w:val="1"/>
                <w:color w:val="1F2668"/>
                <w:w w:val="98"/>
              </w:rPr>
              <w:t>Based LTIP</w:t>
            </w:r>
          </w:p>
        </w:tc>
        <w:tc>
          <w:tcPr>
            <w:tcW w:w="140" w:type="dxa"/>
            <w:vAlign w:val="bottom"/>
          </w:tcPr>
          <w:p>
            <w:pPr>
              <w:spacing w:after="0"/>
              <w:rPr>
                <w:sz w:val="10"/>
                <w:szCs w:val="10"/>
                <w:color w:val="auto"/>
              </w:rPr>
            </w:pPr>
          </w:p>
        </w:tc>
        <w:tc>
          <w:tcPr>
            <w:tcW w:w="760" w:type="dxa"/>
            <w:vAlign w:val="bottom"/>
          </w:tcPr>
          <w:p>
            <w:pPr>
              <w:jc w:val="right"/>
              <w:spacing w:after="0" w:line="126" w:lineRule="exact"/>
              <w:rPr>
                <w:sz w:val="20"/>
                <w:szCs w:val="20"/>
                <w:color w:val="auto"/>
              </w:rPr>
            </w:pPr>
            <w:r>
              <w:rPr>
                <w:rFonts w:ascii="Arial" w:cs="Arial" w:eastAsia="Arial" w:hAnsi="Arial"/>
                <w:sz w:val="13"/>
                <w:szCs w:val="13"/>
                <w:b w:val="1"/>
                <w:bCs w:val="1"/>
                <w:color w:val="1F2668"/>
              </w:rPr>
              <w:t>Agreement</w:t>
            </w:r>
          </w:p>
        </w:tc>
        <w:tc>
          <w:tcPr>
            <w:tcW w:w="180" w:type="dxa"/>
            <w:vAlign w:val="bottom"/>
          </w:tcPr>
          <w:p>
            <w:pPr>
              <w:spacing w:after="0"/>
              <w:rPr>
                <w:sz w:val="10"/>
                <w:szCs w:val="10"/>
                <w:color w:val="auto"/>
              </w:rPr>
            </w:pPr>
          </w:p>
        </w:tc>
        <w:tc>
          <w:tcPr>
            <w:tcW w:w="760" w:type="dxa"/>
            <w:vAlign w:val="bottom"/>
          </w:tcPr>
          <w:p>
            <w:pPr>
              <w:jc w:val="right"/>
              <w:spacing w:after="0" w:line="126" w:lineRule="exact"/>
              <w:rPr>
                <w:sz w:val="20"/>
                <w:szCs w:val="20"/>
                <w:color w:val="auto"/>
              </w:rPr>
            </w:pPr>
            <w:r>
              <w:rPr>
                <w:rFonts w:ascii="Arial" w:cs="Arial" w:eastAsia="Arial" w:hAnsi="Arial"/>
                <w:sz w:val="13"/>
                <w:szCs w:val="13"/>
                <w:b w:val="1"/>
                <w:bCs w:val="1"/>
                <w:color w:val="1F2668"/>
              </w:rPr>
              <w:t>Agreement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spacing w:after="0" w:line="126" w:lineRule="exact"/>
              <w:rPr>
                <w:sz w:val="20"/>
                <w:szCs w:val="20"/>
                <w:color w:val="auto"/>
              </w:rPr>
            </w:pPr>
            <w:r>
              <w:rPr>
                <w:rFonts w:ascii="Arial" w:cs="Arial" w:eastAsia="Arial" w:hAnsi="Arial"/>
                <w:sz w:val="13"/>
                <w:szCs w:val="13"/>
                <w:b w:val="1"/>
                <w:bCs w:val="1"/>
                <w:color w:val="1F2668"/>
              </w:rPr>
              <w:t>Agreement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r>
              <w:rPr>
                <w:rFonts w:ascii="Arial" w:cs="Arial" w:eastAsia="Arial" w:hAnsi="Arial"/>
                <w:sz w:val="13"/>
                <w:szCs w:val="13"/>
                <w:b w:val="1"/>
                <w:bCs w:val="1"/>
                <w:color w:val="1F2668"/>
              </w:rPr>
              <w:t>Executive</w:t>
            </w:r>
          </w:p>
        </w:tc>
        <w:tc>
          <w:tcPr>
            <w:tcW w:w="180" w:type="dxa"/>
            <w:vAlign w:val="bottom"/>
          </w:tcPr>
          <w:p>
            <w:pPr>
              <w:ind w:left="60"/>
              <w:spacing w:after="0"/>
              <w:rPr>
                <w:sz w:val="20"/>
                <w:szCs w:val="20"/>
                <w:color w:val="auto"/>
              </w:rPr>
            </w:pPr>
            <w:r>
              <w:rPr>
                <w:rFonts w:ascii="Arial" w:cs="Arial" w:eastAsia="Arial" w:hAnsi="Arial"/>
                <w:sz w:val="13"/>
                <w:szCs w:val="13"/>
                <w:b w:val="1"/>
                <w:bCs w:val="1"/>
                <w:color w:val="1F2668"/>
              </w:rPr>
              <w:t>​ ​</w:t>
            </w: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3"/>
                <w:szCs w:val="13"/>
                <w:b w:val="1"/>
                <w:bCs w:val="1"/>
                <w:color w:val="1F2668"/>
              </w:rPr>
              <w:t>Units</w:t>
            </w:r>
            <w:r>
              <w:rPr>
                <w:rFonts w:ascii="Arial" w:cs="Arial" w:eastAsia="Arial" w:hAnsi="Arial"/>
                <w:sz w:val="16"/>
                <w:szCs w:val="16"/>
                <w:b w:val="1"/>
                <w:bCs w:val="1"/>
                <w:color w:val="1F2668"/>
                <w:vertAlign w:val="superscript"/>
              </w:rPr>
              <w:t>(a)</w:t>
            </w:r>
          </w:p>
        </w:tc>
        <w:tc>
          <w:tcPr>
            <w:tcW w:w="180" w:type="dxa"/>
            <w:vAlign w:val="bottom"/>
            <w:gridSpan w:val="2"/>
          </w:tcPr>
          <w:p>
            <w:pPr>
              <w:ind w:left="60"/>
              <w:spacing w:after="0"/>
              <w:rPr>
                <w:sz w:val="20"/>
                <w:szCs w:val="20"/>
                <w:color w:val="auto"/>
              </w:rPr>
            </w:pPr>
            <w:r>
              <w:rPr>
                <w:rFonts w:ascii="Arial" w:cs="Arial" w:eastAsia="Arial" w:hAnsi="Arial"/>
                <w:sz w:val="13"/>
                <w:szCs w:val="13"/>
                <w:b w:val="1"/>
                <w:bCs w:val="1"/>
                <w:color w:val="1F2668"/>
              </w:rPr>
              <w:t>​ ​</w:t>
            </w:r>
          </w:p>
        </w:tc>
        <w:tc>
          <w:tcPr>
            <w:tcW w:w="3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1F2668"/>
                <w:w w:val="86"/>
              </w:rPr>
              <w:t>Units</w:t>
            </w:r>
            <w:r>
              <w:rPr>
                <w:rFonts w:ascii="Arial" w:cs="Arial" w:eastAsia="Arial" w:hAnsi="Arial"/>
                <w:sz w:val="16"/>
                <w:szCs w:val="16"/>
                <w:b w:val="1"/>
                <w:bCs w:val="1"/>
                <w:color w:val="1F2668"/>
                <w:w w:val="86"/>
                <w:vertAlign w:val="superscript"/>
              </w:rPr>
              <w:t>(b)</w:t>
            </w:r>
          </w:p>
        </w:tc>
        <w:tc>
          <w:tcPr>
            <w:tcW w:w="200" w:type="dxa"/>
            <w:vAlign w:val="bottom"/>
            <w:gridSpan w:val="2"/>
          </w:tcPr>
          <w:p>
            <w:pPr>
              <w:ind w:left="60"/>
              <w:spacing w:after="0"/>
              <w:rPr>
                <w:sz w:val="20"/>
                <w:szCs w:val="20"/>
                <w:color w:val="auto"/>
              </w:rPr>
            </w:pPr>
            <w:r>
              <w:rPr>
                <w:rFonts w:ascii="Arial" w:cs="Arial" w:eastAsia="Arial" w:hAnsi="Arial"/>
                <w:sz w:val="13"/>
                <w:szCs w:val="13"/>
                <w:b w:val="1"/>
                <w:bCs w:val="1"/>
                <w:color w:val="1F2668"/>
              </w:rPr>
              <w:t>​ ​</w:t>
            </w:r>
          </w:p>
        </w:tc>
        <w:tc>
          <w:tcPr>
            <w:tcW w:w="760" w:type="dxa"/>
            <w:vAlign w:val="bottom"/>
          </w:tcPr>
          <w:p>
            <w:pPr>
              <w:ind w:left="340"/>
              <w:spacing w:after="0"/>
              <w:rPr>
                <w:sz w:val="20"/>
                <w:szCs w:val="20"/>
                <w:color w:val="auto"/>
              </w:rPr>
            </w:pPr>
            <w:r>
              <w:rPr>
                <w:rFonts w:ascii="Arial" w:cs="Arial" w:eastAsia="Arial" w:hAnsi="Arial"/>
                <w:sz w:val="13"/>
                <w:szCs w:val="13"/>
                <w:b w:val="1"/>
                <w:bCs w:val="1"/>
                <w:color w:val="1F2668"/>
                <w:w w:val="87"/>
              </w:rPr>
              <w:t>Units</w:t>
            </w:r>
            <w:r>
              <w:rPr>
                <w:rFonts w:ascii="Arial" w:cs="Arial" w:eastAsia="Arial" w:hAnsi="Arial"/>
                <w:sz w:val="16"/>
                <w:szCs w:val="16"/>
                <w:b w:val="1"/>
                <w:bCs w:val="1"/>
                <w:color w:val="1F2668"/>
                <w:w w:val="87"/>
                <w:vertAlign w:val="superscript"/>
              </w:rPr>
              <w:t>(c)</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1F2668"/>
              </w:rPr>
              <w:t>​ ​</w:t>
            </w:r>
          </w:p>
        </w:tc>
        <w:tc>
          <w:tcPr>
            <w:tcW w:w="760" w:type="dxa"/>
            <w:vAlign w:val="bottom"/>
          </w:tcPr>
          <w:p>
            <w:pPr>
              <w:ind w:left="160"/>
              <w:spacing w:after="0"/>
              <w:rPr>
                <w:sz w:val="20"/>
                <w:szCs w:val="20"/>
                <w:color w:val="auto"/>
              </w:rPr>
            </w:pPr>
            <w:r>
              <w:rPr>
                <w:rFonts w:ascii="Arial" w:cs="Arial" w:eastAsia="Arial" w:hAnsi="Arial"/>
                <w:sz w:val="13"/>
                <w:szCs w:val="13"/>
                <w:b w:val="1"/>
                <w:bCs w:val="1"/>
                <w:color w:val="1F2668"/>
                <w:w w:val="90"/>
              </w:rPr>
              <w:t>LTIP Units</w:t>
            </w:r>
          </w:p>
        </w:tc>
        <w:tc>
          <w:tcPr>
            <w:tcW w:w="180" w:type="dxa"/>
            <w:vAlign w:val="bottom"/>
          </w:tcPr>
          <w:p>
            <w:pPr>
              <w:ind w:left="60"/>
              <w:spacing w:after="0"/>
              <w:rPr>
                <w:sz w:val="20"/>
                <w:szCs w:val="20"/>
                <w:color w:val="auto"/>
              </w:rPr>
            </w:pPr>
            <w:r>
              <w:rPr>
                <w:rFonts w:ascii="Arial" w:cs="Arial" w:eastAsia="Arial" w:hAnsi="Arial"/>
                <w:sz w:val="13"/>
                <w:szCs w:val="13"/>
                <w:b w:val="1"/>
                <w:bCs w:val="1"/>
                <w:color w:val="1F2668"/>
              </w:rPr>
              <w:t>​ ​</w:t>
            </w:r>
          </w:p>
        </w:tc>
        <w:tc>
          <w:tcPr>
            <w:tcW w:w="760" w:type="dxa"/>
            <w:vAlign w:val="bottom"/>
          </w:tcPr>
          <w:p>
            <w:pPr>
              <w:ind w:left="140"/>
              <w:spacing w:after="0"/>
              <w:rPr>
                <w:sz w:val="20"/>
                <w:szCs w:val="20"/>
                <w:color w:val="auto"/>
              </w:rPr>
            </w:pPr>
            <w:r>
              <w:rPr>
                <w:rFonts w:ascii="Arial" w:cs="Arial" w:eastAsia="Arial" w:hAnsi="Arial"/>
                <w:sz w:val="13"/>
                <w:szCs w:val="13"/>
                <w:b w:val="1"/>
                <w:bCs w:val="1"/>
                <w:color w:val="1F2668"/>
                <w:w w:val="90"/>
              </w:rPr>
              <w:t>LTIP Units</w:t>
            </w:r>
          </w:p>
        </w:tc>
        <w:tc>
          <w:tcPr>
            <w:tcW w:w="180" w:type="dxa"/>
            <w:vAlign w:val="bottom"/>
            <w:gridSpan w:val="2"/>
          </w:tcPr>
          <w:p>
            <w:pPr>
              <w:ind w:left="60"/>
              <w:spacing w:after="0"/>
              <w:rPr>
                <w:sz w:val="20"/>
                <w:szCs w:val="20"/>
                <w:color w:val="auto"/>
              </w:rPr>
            </w:pPr>
            <w:r>
              <w:rPr>
                <w:rFonts w:ascii="Arial" w:cs="Arial" w:eastAsia="Arial" w:hAnsi="Arial"/>
                <w:sz w:val="13"/>
                <w:szCs w:val="13"/>
                <w:b w:val="1"/>
                <w:bCs w:val="1"/>
                <w:color w:val="1F2668"/>
              </w:rPr>
              <w:t>​ ​</w:t>
            </w:r>
          </w:p>
        </w:tc>
        <w:tc>
          <w:tcPr>
            <w:tcW w:w="820" w:type="dxa"/>
            <w:vAlign w:val="bottom"/>
            <w:gridSpan w:val="3"/>
          </w:tcPr>
          <w:p>
            <w:pPr>
              <w:jc w:val="right"/>
              <w:spacing w:after="0" w:line="229" w:lineRule="exact"/>
              <w:rPr>
                <w:sz w:val="20"/>
                <w:szCs w:val="20"/>
                <w:color w:val="auto"/>
              </w:rPr>
            </w:pPr>
            <w:r>
              <w:rPr>
                <w:rFonts w:ascii="Arial" w:cs="Arial" w:eastAsia="Arial" w:hAnsi="Arial"/>
                <w:sz w:val="13"/>
                <w:szCs w:val="13"/>
                <w:b w:val="1"/>
                <w:bCs w:val="1"/>
                <w:color w:val="1F2668"/>
              </w:rPr>
              <w:t>LTIP Units</w:t>
            </w:r>
            <w:r>
              <w:rPr>
                <w:rFonts w:ascii="Arial" w:cs="Arial" w:eastAsia="Arial" w:hAnsi="Arial"/>
                <w:sz w:val="25"/>
                <w:szCs w:val="25"/>
                <w:b w:val="1"/>
                <w:bCs w:val="1"/>
                <w:color w:val="1F2668"/>
                <w:vertAlign w:val="subscript"/>
              </w:rPr>
              <w:t>​</w:t>
            </w:r>
          </w:p>
        </w:tc>
        <w:tc>
          <w:tcPr>
            <w:tcW w:w="0" w:type="dxa"/>
            <w:vAlign w:val="bottom"/>
          </w:tcPr>
          <w:p>
            <w:pPr>
              <w:spacing w:after="0"/>
              <w:rPr>
                <w:sz w:val="1"/>
                <w:szCs w:val="1"/>
                <w:color w:val="auto"/>
              </w:rPr>
            </w:pPr>
          </w:p>
        </w:tc>
      </w:tr>
      <w:tr>
        <w:trPr>
          <w:trHeight w:val="20"/>
        </w:trPr>
        <w:tc>
          <w:tcPr>
            <w:tcW w:w="3060" w:type="dxa"/>
            <w:vAlign w:val="bottom"/>
            <w:shd w:val="clear" w:color="auto" w:fill="1F2668"/>
          </w:tcPr>
          <w:p>
            <w:pPr>
              <w:spacing w:after="0" w:line="20" w:lineRule="exact"/>
              <w:rPr>
                <w:sz w:val="1"/>
                <w:szCs w:val="1"/>
                <w:color w:val="auto"/>
              </w:rPr>
            </w:pPr>
          </w:p>
        </w:tc>
        <w:tc>
          <w:tcPr>
            <w:tcW w:w="180" w:type="dxa"/>
            <w:vAlign w:val="bottom"/>
            <w:tcBorders>
              <w:right w:val="single" w:sz="8" w:color="1F2668"/>
            </w:tcBorders>
          </w:tcPr>
          <w:p>
            <w:pPr>
              <w:spacing w:after="0" w:line="20" w:lineRule="exact"/>
              <w:rPr>
                <w:sz w:val="1"/>
                <w:szCs w:val="1"/>
                <w:color w:val="auto"/>
              </w:rPr>
            </w:pPr>
          </w:p>
        </w:tc>
        <w:tc>
          <w:tcPr>
            <w:tcW w:w="780" w:type="dxa"/>
            <w:vAlign w:val="bottom"/>
            <w:gridSpan w:val="2"/>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1F2668"/>
          </w:tcPr>
          <w:p>
            <w:pPr>
              <w:spacing w:after="0" w:line="20" w:lineRule="exact"/>
              <w:rPr>
                <w:sz w:val="1"/>
                <w:szCs w:val="1"/>
                <w:color w:val="auto"/>
              </w:rPr>
            </w:pPr>
          </w:p>
        </w:tc>
        <w:tc>
          <w:tcPr>
            <w:tcW w:w="780" w:type="dxa"/>
            <w:vAlign w:val="bottom"/>
            <w:gridSpan w:val="2"/>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1F2668"/>
          </w:tcPr>
          <w:p>
            <w:pPr>
              <w:spacing w:after="0" w:line="20" w:lineRule="exact"/>
              <w:rPr>
                <w:sz w:val="1"/>
                <w:szCs w:val="1"/>
                <w:color w:val="auto"/>
              </w:rPr>
            </w:pPr>
          </w:p>
        </w:tc>
        <w:tc>
          <w:tcPr>
            <w:tcW w:w="760" w:type="dxa"/>
            <w:vAlign w:val="bottom"/>
            <w:shd w:val="clear" w:color="auto" w:fill="1F2668"/>
          </w:tcPr>
          <w:p>
            <w:pPr>
              <w:spacing w:after="0" w:line="20" w:lineRule="exact"/>
              <w:rPr>
                <w:sz w:val="1"/>
                <w:szCs w:val="1"/>
                <w:color w:val="auto"/>
              </w:rPr>
            </w:pPr>
          </w:p>
        </w:tc>
        <w:tc>
          <w:tcPr>
            <w:tcW w:w="140" w:type="dxa"/>
            <w:vAlign w:val="bottom"/>
            <w:tcBorders>
              <w:right w:val="single" w:sz="8" w:color="1F2668"/>
            </w:tcBorders>
          </w:tcPr>
          <w:p>
            <w:pPr>
              <w:spacing w:after="0" w:line="20" w:lineRule="exact"/>
              <w:rPr>
                <w:sz w:val="1"/>
                <w:szCs w:val="1"/>
                <w:color w:val="auto"/>
              </w:rPr>
            </w:pPr>
          </w:p>
        </w:tc>
        <w:tc>
          <w:tcPr>
            <w:tcW w:w="760" w:type="dxa"/>
            <w:vAlign w:val="bottom"/>
            <w:shd w:val="clear" w:color="auto" w:fill="1F2668"/>
          </w:tcPr>
          <w:p>
            <w:pPr>
              <w:spacing w:after="0" w:line="20" w:lineRule="exact"/>
              <w:rPr>
                <w:sz w:val="1"/>
                <w:szCs w:val="1"/>
                <w:color w:val="auto"/>
              </w:rPr>
            </w:pPr>
          </w:p>
        </w:tc>
        <w:tc>
          <w:tcPr>
            <w:tcW w:w="180" w:type="dxa"/>
            <w:vAlign w:val="bottom"/>
            <w:tcBorders>
              <w:right w:val="single" w:sz="8" w:color="1F2668"/>
            </w:tcBorders>
          </w:tcPr>
          <w:p>
            <w:pPr>
              <w:spacing w:after="0" w:line="20" w:lineRule="exact"/>
              <w:rPr>
                <w:sz w:val="1"/>
                <w:szCs w:val="1"/>
                <w:color w:val="auto"/>
              </w:rPr>
            </w:pPr>
          </w:p>
        </w:tc>
        <w:tc>
          <w:tcPr>
            <w:tcW w:w="760" w:type="dxa"/>
            <w:vAlign w:val="bottom"/>
            <w:tcBorders>
              <w:right w:val="single" w:sz="8" w:color="1F2668"/>
            </w:tcBorders>
            <w:shd w:val="clear" w:color="auto" w:fill="1F266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1F2668"/>
            </w:tcBorders>
            <w:shd w:val="clear" w:color="auto" w:fill="1F2668"/>
          </w:tcPr>
          <w:p>
            <w:pPr>
              <w:spacing w:after="0" w:line="20" w:lineRule="exact"/>
              <w:rPr>
                <w:sz w:val="1"/>
                <w:szCs w:val="1"/>
                <w:color w:val="auto"/>
              </w:rPr>
            </w:pPr>
          </w:p>
        </w:tc>
        <w:tc>
          <w:tcPr>
            <w:tcW w:w="740" w:type="dxa"/>
            <w:vAlign w:val="bottom"/>
            <w:gridSpan w:val="2"/>
            <w:shd w:val="clear" w:color="auto" w:fill="1F266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60" w:type="dxa"/>
            <w:vAlign w:val="bottom"/>
          </w:tcPr>
          <w:p>
            <w:pPr>
              <w:spacing w:after="0"/>
              <w:rPr>
                <w:sz w:val="20"/>
                <w:szCs w:val="20"/>
                <w:color w:val="auto"/>
              </w:rPr>
            </w:pPr>
            <w:r>
              <w:rPr>
                <w:rFonts w:ascii="Arial" w:cs="Arial" w:eastAsia="Arial" w:hAnsi="Arial"/>
                <w:sz w:val="14"/>
                <w:szCs w:val="14"/>
                <w:b w:val="1"/>
                <w:bCs w:val="1"/>
                <w:color w:val="1F2668"/>
              </w:rPr>
              <w:t>Marc Holliday</w:t>
            </w:r>
          </w:p>
        </w:tc>
        <w:tc>
          <w:tcPr>
            <w:tcW w:w="1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 113,278</w:t>
            </w:r>
          </w:p>
        </w:tc>
        <w:tc>
          <w:tcPr>
            <w:tcW w:w="18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 86,083</w:t>
            </w:r>
          </w:p>
        </w:tc>
        <w:tc>
          <w:tcPr>
            <w:tcW w:w="20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760" w:type="dxa"/>
            <w:vAlign w:val="bottom"/>
          </w:tcPr>
          <w:p>
            <w:pPr>
              <w:ind w:left="360"/>
              <w:spacing w:after="0"/>
              <w:rPr>
                <w:sz w:val="20"/>
                <w:szCs w:val="20"/>
                <w:color w:val="auto"/>
              </w:rPr>
            </w:pPr>
            <w:r>
              <w:rPr>
                <w:rFonts w:ascii="Arial" w:cs="Arial" w:eastAsia="Arial" w:hAnsi="Arial"/>
                <w:sz w:val="14"/>
                <w:szCs w:val="14"/>
                <w:color w:val="auto"/>
              </w:rPr>
              <w:t>​   —</w:t>
            </w:r>
          </w:p>
        </w:tc>
        <w:tc>
          <w:tcPr>
            <w:tcW w:w="140" w:type="dxa"/>
            <w:vAlign w:val="bottom"/>
            <w:vMerge w:val="restart"/>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280"/>
              <w:spacing w:after="0"/>
              <w:rPr>
                <w:sz w:val="20"/>
                <w:szCs w:val="20"/>
                <w:color w:val="auto"/>
              </w:rPr>
            </w:pPr>
            <w:r>
              <w:rPr>
                <w:rFonts w:ascii="Arial" w:cs="Arial" w:eastAsia="Arial" w:hAnsi="Arial"/>
                <w:sz w:val="14"/>
                <w:szCs w:val="14"/>
                <w:color w:val="auto"/>
              </w:rPr>
              <w:t>​97,096</w:t>
            </w:r>
            <w:r>
              <w:rPr>
                <w:rFonts w:ascii="Arial" w:cs="Arial" w:eastAsia="Arial" w:hAnsi="Arial"/>
                <w:sz w:val="17"/>
                <w:szCs w:val="17"/>
                <w:color w:val="auto"/>
                <w:vertAlign w:val="superscript"/>
              </w:rPr>
              <w:t>(d)</w:t>
            </w:r>
          </w:p>
        </w:tc>
        <w:tc>
          <w:tcPr>
            <w:tcW w:w="940" w:type="dxa"/>
            <w:vAlign w:val="bottom"/>
            <w:gridSpan w:val="3"/>
          </w:tcPr>
          <w:p>
            <w:pPr>
              <w:ind w:left="260"/>
              <w:spacing w:after="0"/>
              <w:rPr>
                <w:sz w:val="20"/>
                <w:szCs w:val="20"/>
                <w:color w:val="auto"/>
              </w:rPr>
            </w:pPr>
            <w:r>
              <w:rPr>
                <w:rFonts w:ascii="Arial" w:cs="Arial" w:eastAsia="Arial" w:hAnsi="Arial"/>
                <w:sz w:val="14"/>
                <w:szCs w:val="14"/>
                <w:color w:val="auto"/>
              </w:rPr>
              <w:t>​89,438</w:t>
            </w:r>
            <w:r>
              <w:rPr>
                <w:rFonts w:ascii="Arial" w:cs="Arial" w:eastAsia="Arial" w:hAnsi="Arial"/>
                <w:sz w:val="17"/>
                <w:szCs w:val="17"/>
                <w:color w:val="auto"/>
                <w:vertAlign w:val="superscript"/>
              </w:rPr>
              <w:t>(e)</w:t>
            </w:r>
          </w:p>
        </w:tc>
        <w:tc>
          <w:tcPr>
            <w:tcW w:w="820" w:type="dxa"/>
            <w:vAlign w:val="bottom"/>
            <w:gridSpan w:val="3"/>
          </w:tcPr>
          <w:p>
            <w:pPr>
              <w:ind w:left="260"/>
              <w:spacing w:after="0"/>
              <w:rPr>
                <w:sz w:val="20"/>
                <w:szCs w:val="20"/>
                <w:color w:val="auto"/>
              </w:rPr>
            </w:pPr>
            <w:r>
              <w:rPr>
                <w:rFonts w:ascii="Arial" w:cs="Arial" w:eastAsia="Arial" w:hAnsi="Arial"/>
                <w:sz w:val="14"/>
                <w:szCs w:val="14"/>
                <w:color w:val="auto"/>
              </w:rPr>
              <w:t>​20,416</w:t>
            </w:r>
            <w:r>
              <w:rPr>
                <w:rFonts w:ascii="Arial" w:cs="Arial" w:eastAsia="Arial" w:hAnsi="Arial"/>
                <w:sz w:val="17"/>
                <w:szCs w:val="17"/>
                <w:color w:val="auto"/>
                <w:vertAlign w:val="superscript"/>
              </w:rPr>
              <w:t>(f)</w:t>
            </w:r>
          </w:p>
        </w:tc>
        <w:tc>
          <w:tcPr>
            <w:tcW w:w="0" w:type="dxa"/>
            <w:vAlign w:val="bottom"/>
          </w:tcPr>
          <w:p>
            <w:pPr>
              <w:spacing w:after="0"/>
              <w:rPr>
                <w:sz w:val="1"/>
                <w:szCs w:val="1"/>
                <w:color w:val="auto"/>
              </w:rPr>
            </w:pPr>
          </w:p>
        </w:tc>
      </w:tr>
      <w:tr>
        <w:trPr>
          <w:trHeight w:val="95"/>
        </w:trPr>
        <w:tc>
          <w:tcPr>
            <w:tcW w:w="306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300" w:type="dxa"/>
            <w:vAlign w:val="bottom"/>
          </w:tcPr>
          <w:p>
            <w:pPr>
              <w:ind w:left="180"/>
              <w:spacing w:after="0" w:line="95" w:lineRule="exact"/>
              <w:rPr>
                <w:sz w:val="20"/>
                <w:szCs w:val="20"/>
                <w:color w:val="auto"/>
              </w:rPr>
            </w:pPr>
            <w:r>
              <w:rPr>
                <w:rFonts w:ascii="Arial" w:cs="Arial" w:eastAsia="Arial" w:hAnsi="Arial"/>
                <w:sz w:val="10"/>
                <w:szCs w:val="10"/>
                <w:color w:val="auto"/>
              </w:rPr>
              <w:t>​</w:t>
            </w:r>
          </w:p>
        </w:tc>
        <w:tc>
          <w:tcPr>
            <w:tcW w:w="480" w:type="dxa"/>
            <w:vAlign w:val="bottom"/>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340" w:type="dxa"/>
            <w:vAlign w:val="bottom"/>
          </w:tcPr>
          <w:p>
            <w:pPr>
              <w:ind w:left="260"/>
              <w:spacing w:after="0" w:line="95" w:lineRule="exact"/>
              <w:rPr>
                <w:sz w:val="20"/>
                <w:szCs w:val="20"/>
                <w:color w:val="auto"/>
              </w:rPr>
            </w:pPr>
            <w:r>
              <w:rPr>
                <w:rFonts w:ascii="Arial" w:cs="Arial" w:eastAsia="Arial" w:hAnsi="Arial"/>
                <w:sz w:val="10"/>
                <w:szCs w:val="10"/>
                <w:color w:val="auto"/>
              </w:rPr>
              <w:t>​</w:t>
            </w:r>
          </w:p>
        </w:tc>
        <w:tc>
          <w:tcPr>
            <w:tcW w:w="440" w:type="dxa"/>
            <w:vAlign w:val="bottom"/>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760" w:type="dxa"/>
            <w:vAlign w:val="bottom"/>
          </w:tcPr>
          <w:p>
            <w:pPr>
              <w:ind w:left="320"/>
              <w:spacing w:after="0" w:line="95" w:lineRule="exact"/>
              <w:rPr>
                <w:sz w:val="20"/>
                <w:szCs w:val="20"/>
                <w:color w:val="auto"/>
              </w:rPr>
            </w:pPr>
            <w:r>
              <w:rPr>
                <w:rFonts w:ascii="Arial" w:cs="Arial" w:eastAsia="Arial" w:hAnsi="Arial"/>
                <w:sz w:val="10"/>
                <w:szCs w:val="10"/>
                <w:color w:val="auto"/>
              </w:rPr>
              <w:t>​</w:t>
            </w:r>
          </w:p>
        </w:tc>
        <w:tc>
          <w:tcPr>
            <w:tcW w:w="140" w:type="dxa"/>
            <w:vAlign w:val="bottom"/>
            <w:vMerge w:val="continue"/>
          </w:tcPr>
          <w:p>
            <w:pPr>
              <w:spacing w:after="0"/>
              <w:rPr>
                <w:sz w:val="8"/>
                <w:szCs w:val="8"/>
                <w:color w:val="auto"/>
              </w:rPr>
            </w:pPr>
          </w:p>
        </w:tc>
        <w:tc>
          <w:tcPr>
            <w:tcW w:w="760" w:type="dxa"/>
            <w:vAlign w:val="bottom"/>
          </w:tcPr>
          <w:p>
            <w:pPr>
              <w:ind w:left="260"/>
              <w:spacing w:after="0" w:line="95" w:lineRule="exact"/>
              <w:rPr>
                <w:sz w:val="20"/>
                <w:szCs w:val="20"/>
                <w:color w:val="auto"/>
              </w:rPr>
            </w:pPr>
            <w:r>
              <w:rPr>
                <w:rFonts w:ascii="Arial" w:cs="Arial" w:eastAsia="Arial" w:hAnsi="Arial"/>
                <w:sz w:val="10"/>
                <w:szCs w:val="10"/>
                <w:color w:val="auto"/>
              </w:rPr>
              <w:t>​</w:t>
            </w:r>
          </w:p>
        </w:tc>
        <w:tc>
          <w:tcPr>
            <w:tcW w:w="180" w:type="dxa"/>
            <w:vAlign w:val="bottom"/>
          </w:tcPr>
          <w:p>
            <w:pPr>
              <w:spacing w:after="0" w:line="95" w:lineRule="exact"/>
              <w:rPr>
                <w:sz w:val="20"/>
                <w:szCs w:val="20"/>
                <w:color w:val="auto"/>
              </w:rPr>
            </w:pPr>
            <w:r>
              <w:rPr>
                <w:rFonts w:ascii="Arial" w:cs="Arial" w:eastAsia="Arial" w:hAnsi="Arial"/>
                <w:sz w:val="10"/>
                <w:szCs w:val="10"/>
                <w:color w:val="auto"/>
              </w:rPr>
              <w:t>​​ ​</w:t>
            </w:r>
          </w:p>
        </w:tc>
        <w:tc>
          <w:tcPr>
            <w:tcW w:w="760" w:type="dxa"/>
            <w:vAlign w:val="bottom"/>
          </w:tcPr>
          <w:p>
            <w:pPr>
              <w:ind w:left="260"/>
              <w:spacing w:after="0" w:line="95" w:lineRule="exact"/>
              <w:rPr>
                <w:sz w:val="20"/>
                <w:szCs w:val="20"/>
                <w:color w:val="auto"/>
              </w:rPr>
            </w:pPr>
            <w:r>
              <w:rPr>
                <w:rFonts w:ascii="Arial" w:cs="Arial" w:eastAsia="Arial" w:hAnsi="Arial"/>
                <w:sz w:val="10"/>
                <w:szCs w:val="10"/>
                <w:color w:val="auto"/>
              </w:rPr>
              <w:t>​</w:t>
            </w:r>
          </w:p>
        </w:tc>
        <w:tc>
          <w:tcPr>
            <w:tcW w:w="180" w:type="dxa"/>
            <w:vAlign w:val="bottom"/>
            <w:gridSpan w:val="2"/>
          </w:tcPr>
          <w:p>
            <w:pPr>
              <w:spacing w:after="0" w:line="95" w:lineRule="exact"/>
              <w:rPr>
                <w:sz w:val="20"/>
                <w:szCs w:val="20"/>
                <w:color w:val="auto"/>
              </w:rPr>
            </w:pPr>
            <w:r>
              <w:rPr>
                <w:rFonts w:ascii="Arial" w:cs="Arial" w:eastAsia="Arial" w:hAnsi="Arial"/>
                <w:sz w:val="10"/>
                <w:szCs w:val="10"/>
                <w:color w:val="auto"/>
              </w:rPr>
              <w:t>​​ ​</w:t>
            </w:r>
          </w:p>
        </w:tc>
        <w:tc>
          <w:tcPr>
            <w:tcW w:w="340" w:type="dxa"/>
            <w:vAlign w:val="bottom"/>
          </w:tcPr>
          <w:p>
            <w:pPr>
              <w:ind w:left="240"/>
              <w:spacing w:after="0" w:line="95" w:lineRule="exact"/>
              <w:rPr>
                <w:sz w:val="20"/>
                <w:szCs w:val="20"/>
                <w:color w:val="auto"/>
              </w:rPr>
            </w:pPr>
            <w:r>
              <w:rPr>
                <w:rFonts w:ascii="Arial" w:cs="Arial" w:eastAsia="Arial" w:hAnsi="Arial"/>
                <w:sz w:val="10"/>
                <w:szCs w:val="10"/>
                <w:color w:val="auto"/>
              </w:rPr>
              <w:t>​</w:t>
            </w:r>
          </w:p>
        </w:tc>
        <w:tc>
          <w:tcPr>
            <w:tcW w:w="400" w:type="dxa"/>
            <w:vAlign w:val="bottom"/>
          </w:tcPr>
          <w:p>
            <w:pPr>
              <w:spacing w:after="0"/>
              <w:rPr>
                <w:sz w:val="8"/>
                <w:szCs w:val="8"/>
                <w:color w:val="auto"/>
              </w:rPr>
            </w:pPr>
          </w:p>
        </w:tc>
        <w:tc>
          <w:tcPr>
            <w:tcW w:w="8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3060" w:type="dxa"/>
            <w:vAlign w:val="bottom"/>
            <w:shd w:val="clear" w:color="auto" w:fill="4B5088"/>
          </w:tcPr>
          <w:p>
            <w:pPr>
              <w:spacing w:after="0" w:line="20" w:lineRule="exact"/>
              <w:rPr>
                <w:sz w:val="1"/>
                <w:szCs w:val="1"/>
                <w:color w:val="auto"/>
              </w:rPr>
            </w:pPr>
          </w:p>
        </w:tc>
        <w:tc>
          <w:tcPr>
            <w:tcW w:w="180" w:type="dxa"/>
            <w:vAlign w:val="bottom"/>
            <w:tcBorders>
              <w:right w:val="single" w:sz="8" w:color="4B5088"/>
            </w:tcBorders>
          </w:tcPr>
          <w:p>
            <w:pPr>
              <w:spacing w:after="0" w:line="20" w:lineRule="exact"/>
              <w:rPr>
                <w:sz w:val="1"/>
                <w:szCs w:val="1"/>
                <w:color w:val="auto"/>
              </w:rPr>
            </w:pPr>
          </w:p>
        </w:tc>
        <w:tc>
          <w:tcPr>
            <w:tcW w:w="300" w:type="dxa"/>
            <w:vAlign w:val="bottom"/>
            <w:shd w:val="clear" w:color="auto" w:fill="4B5088"/>
          </w:tcPr>
          <w:p>
            <w:pPr>
              <w:spacing w:after="0" w:line="20" w:lineRule="exact"/>
              <w:rPr>
                <w:sz w:val="1"/>
                <w:szCs w:val="1"/>
                <w:color w:val="auto"/>
              </w:rPr>
            </w:pPr>
          </w:p>
        </w:tc>
        <w:tc>
          <w:tcPr>
            <w:tcW w:w="48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340" w:type="dxa"/>
            <w:vAlign w:val="bottom"/>
            <w:shd w:val="clear" w:color="auto" w:fill="4B5088"/>
          </w:tcPr>
          <w:p>
            <w:pPr>
              <w:spacing w:after="0" w:line="20" w:lineRule="exact"/>
              <w:rPr>
                <w:sz w:val="1"/>
                <w:szCs w:val="1"/>
                <w:color w:val="auto"/>
              </w:rPr>
            </w:pPr>
          </w:p>
        </w:tc>
        <w:tc>
          <w:tcPr>
            <w:tcW w:w="4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760" w:type="dxa"/>
            <w:vAlign w:val="bottom"/>
            <w:shd w:val="clear" w:color="auto" w:fill="4B5088"/>
          </w:tcPr>
          <w:p>
            <w:pPr>
              <w:spacing w:after="0" w:line="20" w:lineRule="exact"/>
              <w:rPr>
                <w:sz w:val="1"/>
                <w:szCs w:val="1"/>
                <w:color w:val="auto"/>
              </w:rPr>
            </w:pPr>
          </w:p>
        </w:tc>
        <w:tc>
          <w:tcPr>
            <w:tcW w:w="140" w:type="dxa"/>
            <w:vAlign w:val="bottom"/>
            <w:tcBorders>
              <w:right w:val="single" w:sz="8" w:color="4B5088"/>
            </w:tcBorders>
          </w:tcPr>
          <w:p>
            <w:pPr>
              <w:spacing w:after="0" w:line="20" w:lineRule="exact"/>
              <w:rPr>
                <w:sz w:val="1"/>
                <w:szCs w:val="1"/>
                <w:color w:val="auto"/>
              </w:rPr>
            </w:pPr>
          </w:p>
        </w:tc>
        <w:tc>
          <w:tcPr>
            <w:tcW w:w="760" w:type="dxa"/>
            <w:vAlign w:val="bottom"/>
            <w:shd w:val="clear" w:color="auto" w:fill="4B5088"/>
          </w:tcPr>
          <w:p>
            <w:pPr>
              <w:spacing w:after="0" w:line="20" w:lineRule="exact"/>
              <w:rPr>
                <w:sz w:val="1"/>
                <w:szCs w:val="1"/>
                <w:color w:val="auto"/>
              </w:rPr>
            </w:pPr>
          </w:p>
        </w:tc>
        <w:tc>
          <w:tcPr>
            <w:tcW w:w="180" w:type="dxa"/>
            <w:vAlign w:val="bottom"/>
            <w:tcBorders>
              <w:right w:val="single" w:sz="8" w:color="4B5088"/>
            </w:tcBorders>
          </w:tcPr>
          <w:p>
            <w:pPr>
              <w:spacing w:after="0" w:line="20" w:lineRule="exact"/>
              <w:rPr>
                <w:sz w:val="1"/>
                <w:szCs w:val="1"/>
                <w:color w:val="auto"/>
              </w:rPr>
            </w:pPr>
          </w:p>
        </w:tc>
        <w:tc>
          <w:tcPr>
            <w:tcW w:w="760" w:type="dxa"/>
            <w:vAlign w:val="bottom"/>
            <w:tcBorders>
              <w:right w:val="single" w:sz="8" w:color="4B5088"/>
            </w:tcBorders>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4B5088"/>
            </w:tcBorders>
            <w:shd w:val="clear" w:color="auto" w:fill="4B5088"/>
          </w:tcPr>
          <w:p>
            <w:pPr>
              <w:spacing w:after="0" w:line="20" w:lineRule="exact"/>
              <w:rPr>
                <w:sz w:val="1"/>
                <w:szCs w:val="1"/>
                <w:color w:val="auto"/>
              </w:rPr>
            </w:pPr>
          </w:p>
        </w:tc>
        <w:tc>
          <w:tcPr>
            <w:tcW w:w="340" w:type="dxa"/>
            <w:vAlign w:val="bottom"/>
            <w:shd w:val="clear" w:color="auto" w:fill="4B5088"/>
          </w:tcPr>
          <w:p>
            <w:pPr>
              <w:spacing w:after="0" w:line="20" w:lineRule="exact"/>
              <w:rPr>
                <w:sz w:val="1"/>
                <w:szCs w:val="1"/>
                <w:color w:val="auto"/>
              </w:rPr>
            </w:pPr>
          </w:p>
        </w:tc>
        <w:tc>
          <w:tcPr>
            <w:tcW w:w="400" w:type="dxa"/>
            <w:vAlign w:val="bottom"/>
            <w:shd w:val="clear" w:color="auto" w:fill="4B5088"/>
          </w:tcPr>
          <w:p>
            <w:pPr>
              <w:spacing w:after="0" w:line="20" w:lineRule="exact"/>
              <w:rPr>
                <w:sz w:val="1"/>
                <w:szCs w:val="1"/>
                <w:color w:val="auto"/>
              </w:rPr>
            </w:pPr>
          </w:p>
        </w:tc>
        <w:tc>
          <w:tcPr>
            <w:tcW w:w="80" w:type="dxa"/>
            <w:vAlign w:val="bottom"/>
            <w:tcBorders>
              <w:left w:val="single" w:sz="8" w:color="4B50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60" w:type="dxa"/>
            <w:vAlign w:val="bottom"/>
          </w:tcPr>
          <w:p>
            <w:pPr>
              <w:spacing w:after="0"/>
              <w:rPr>
                <w:sz w:val="20"/>
                <w:szCs w:val="20"/>
                <w:color w:val="auto"/>
              </w:rPr>
            </w:pPr>
            <w:r>
              <w:rPr>
                <w:rFonts w:ascii="Arial" w:cs="Arial" w:eastAsia="Arial" w:hAnsi="Arial"/>
                <w:sz w:val="14"/>
                <w:szCs w:val="14"/>
                <w:b w:val="1"/>
                <w:bCs w:val="1"/>
                <w:color w:val="1F2668"/>
              </w:rPr>
              <w:t>Matthew J. DiLiberto</w:t>
            </w:r>
          </w:p>
        </w:tc>
        <w:tc>
          <w:tcPr>
            <w:tcW w:w="1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8,391</w:t>
            </w:r>
          </w:p>
        </w:tc>
        <w:tc>
          <w:tcPr>
            <w:tcW w:w="18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340" w:type="dxa"/>
            <w:vAlign w:val="bottom"/>
          </w:tcPr>
          <w:p>
            <w:pPr>
              <w:ind w:left="28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6,377</w:t>
            </w:r>
          </w:p>
        </w:tc>
        <w:tc>
          <w:tcPr>
            <w:tcW w:w="20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760" w:type="dxa"/>
            <w:vAlign w:val="bottom"/>
          </w:tcPr>
          <w:p>
            <w:pPr>
              <w:ind w:left="360"/>
              <w:spacing w:after="0"/>
              <w:rPr>
                <w:sz w:val="20"/>
                <w:szCs w:val="20"/>
                <w:color w:val="auto"/>
              </w:rPr>
            </w:pPr>
            <w:r>
              <w:rPr>
                <w:rFonts w:ascii="Arial" w:cs="Arial" w:eastAsia="Arial" w:hAnsi="Arial"/>
                <w:sz w:val="14"/>
                <w:szCs w:val="14"/>
                <w:color w:val="auto"/>
              </w:rPr>
              <w:t>​7,010</w:t>
            </w:r>
          </w:p>
        </w:tc>
        <w:tc>
          <w:tcPr>
            <w:tcW w:w="140" w:type="dxa"/>
            <w:vAlign w:val="bottom"/>
            <w:vMerge w:val="restart"/>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280"/>
              <w:spacing w:after="0" w:line="183" w:lineRule="exact"/>
              <w:rPr>
                <w:sz w:val="20"/>
                <w:szCs w:val="20"/>
                <w:color w:val="auto"/>
              </w:rPr>
            </w:pPr>
            <w:r>
              <w:rPr>
                <w:rFonts w:ascii="Arial" w:cs="Arial" w:eastAsia="Arial" w:hAnsi="Arial"/>
                <w:sz w:val="14"/>
                <w:szCs w:val="14"/>
                <w:color w:val="auto"/>
              </w:rPr>
              <w:t>​30,208</w:t>
            </w:r>
            <w:r>
              <w:rPr>
                <w:rFonts w:ascii="Arial" w:cs="Arial" w:eastAsia="Arial" w:hAnsi="Arial"/>
                <w:sz w:val="17"/>
                <w:szCs w:val="17"/>
                <w:color w:val="auto"/>
                <w:vertAlign w:val="superscript"/>
              </w:rPr>
              <w:t>(g)</w:t>
            </w:r>
          </w:p>
        </w:tc>
        <w:tc>
          <w:tcPr>
            <w:tcW w:w="940" w:type="dxa"/>
            <w:vAlign w:val="bottom"/>
            <w:gridSpan w:val="3"/>
          </w:tcPr>
          <w:p>
            <w:pPr>
              <w:ind w:left="260"/>
              <w:spacing w:after="0" w:line="183" w:lineRule="exact"/>
              <w:rPr>
                <w:sz w:val="20"/>
                <w:szCs w:val="20"/>
                <w:color w:val="auto"/>
              </w:rPr>
            </w:pPr>
            <w:r>
              <w:rPr>
                <w:rFonts w:ascii="Arial" w:cs="Arial" w:eastAsia="Arial" w:hAnsi="Arial"/>
                <w:sz w:val="14"/>
                <w:szCs w:val="14"/>
                <w:color w:val="auto"/>
              </w:rPr>
              <w:t>​28,282</w:t>
            </w:r>
            <w:r>
              <w:rPr>
                <w:rFonts w:ascii="Arial" w:cs="Arial" w:eastAsia="Arial" w:hAnsi="Arial"/>
                <w:sz w:val="17"/>
                <w:szCs w:val="17"/>
                <w:color w:val="auto"/>
                <w:vertAlign w:val="superscript"/>
              </w:rPr>
              <w:t>(e)</w:t>
            </w:r>
          </w:p>
        </w:tc>
        <w:tc>
          <w:tcPr>
            <w:tcW w:w="340" w:type="dxa"/>
            <w:vAlign w:val="bottom"/>
          </w:tcPr>
          <w:p>
            <w:pPr>
              <w:ind w:left="260"/>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306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300" w:type="dxa"/>
            <w:vAlign w:val="bottom"/>
          </w:tcPr>
          <w:p>
            <w:pPr>
              <w:ind w:left="180"/>
              <w:spacing w:after="0" w:line="95" w:lineRule="exact"/>
              <w:rPr>
                <w:sz w:val="20"/>
                <w:szCs w:val="20"/>
                <w:color w:val="auto"/>
              </w:rPr>
            </w:pPr>
            <w:r>
              <w:rPr>
                <w:rFonts w:ascii="Arial" w:cs="Arial" w:eastAsia="Arial" w:hAnsi="Arial"/>
                <w:sz w:val="10"/>
                <w:szCs w:val="10"/>
                <w:color w:val="auto"/>
              </w:rPr>
              <w:t>​</w:t>
            </w:r>
          </w:p>
        </w:tc>
        <w:tc>
          <w:tcPr>
            <w:tcW w:w="480" w:type="dxa"/>
            <w:vAlign w:val="bottom"/>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340" w:type="dxa"/>
            <w:vAlign w:val="bottom"/>
          </w:tcPr>
          <w:p>
            <w:pPr>
              <w:ind w:left="260"/>
              <w:spacing w:after="0" w:line="95" w:lineRule="exact"/>
              <w:rPr>
                <w:sz w:val="20"/>
                <w:szCs w:val="20"/>
                <w:color w:val="auto"/>
              </w:rPr>
            </w:pPr>
            <w:r>
              <w:rPr>
                <w:rFonts w:ascii="Arial" w:cs="Arial" w:eastAsia="Arial" w:hAnsi="Arial"/>
                <w:sz w:val="10"/>
                <w:szCs w:val="10"/>
                <w:color w:val="auto"/>
              </w:rPr>
              <w:t>​</w:t>
            </w:r>
          </w:p>
        </w:tc>
        <w:tc>
          <w:tcPr>
            <w:tcW w:w="440" w:type="dxa"/>
            <w:vAlign w:val="bottom"/>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760" w:type="dxa"/>
            <w:vAlign w:val="bottom"/>
          </w:tcPr>
          <w:p>
            <w:pPr>
              <w:ind w:left="320"/>
              <w:spacing w:after="0" w:line="95" w:lineRule="exact"/>
              <w:rPr>
                <w:sz w:val="20"/>
                <w:szCs w:val="20"/>
                <w:color w:val="auto"/>
              </w:rPr>
            </w:pPr>
            <w:r>
              <w:rPr>
                <w:rFonts w:ascii="Arial" w:cs="Arial" w:eastAsia="Arial" w:hAnsi="Arial"/>
                <w:sz w:val="10"/>
                <w:szCs w:val="10"/>
                <w:color w:val="auto"/>
              </w:rPr>
              <w:t>​</w:t>
            </w:r>
          </w:p>
        </w:tc>
        <w:tc>
          <w:tcPr>
            <w:tcW w:w="140" w:type="dxa"/>
            <w:vAlign w:val="bottom"/>
            <w:vMerge w:val="continue"/>
          </w:tcPr>
          <w:p>
            <w:pPr>
              <w:spacing w:after="0"/>
              <w:rPr>
                <w:sz w:val="8"/>
                <w:szCs w:val="8"/>
                <w:color w:val="auto"/>
              </w:rPr>
            </w:pPr>
          </w:p>
        </w:tc>
        <w:tc>
          <w:tcPr>
            <w:tcW w:w="760" w:type="dxa"/>
            <w:vAlign w:val="bottom"/>
          </w:tcPr>
          <w:p>
            <w:pPr>
              <w:ind w:left="260"/>
              <w:spacing w:after="0" w:line="95" w:lineRule="exact"/>
              <w:rPr>
                <w:sz w:val="20"/>
                <w:szCs w:val="20"/>
                <w:color w:val="auto"/>
              </w:rPr>
            </w:pPr>
            <w:r>
              <w:rPr>
                <w:rFonts w:ascii="Arial" w:cs="Arial" w:eastAsia="Arial" w:hAnsi="Arial"/>
                <w:sz w:val="10"/>
                <w:szCs w:val="10"/>
                <w:color w:val="auto"/>
              </w:rPr>
              <w:t>​</w:t>
            </w:r>
          </w:p>
        </w:tc>
        <w:tc>
          <w:tcPr>
            <w:tcW w:w="180" w:type="dxa"/>
            <w:vAlign w:val="bottom"/>
          </w:tcPr>
          <w:p>
            <w:pPr>
              <w:spacing w:after="0" w:line="95" w:lineRule="exact"/>
              <w:rPr>
                <w:sz w:val="20"/>
                <w:szCs w:val="20"/>
                <w:color w:val="auto"/>
              </w:rPr>
            </w:pPr>
            <w:r>
              <w:rPr>
                <w:rFonts w:ascii="Arial" w:cs="Arial" w:eastAsia="Arial" w:hAnsi="Arial"/>
                <w:sz w:val="10"/>
                <w:szCs w:val="10"/>
                <w:color w:val="auto"/>
              </w:rPr>
              <w:t>​​ ​</w:t>
            </w:r>
          </w:p>
        </w:tc>
        <w:tc>
          <w:tcPr>
            <w:tcW w:w="760" w:type="dxa"/>
            <w:vAlign w:val="bottom"/>
          </w:tcPr>
          <w:p>
            <w:pPr>
              <w:ind w:left="260"/>
              <w:spacing w:after="0" w:line="95" w:lineRule="exact"/>
              <w:rPr>
                <w:sz w:val="20"/>
                <w:szCs w:val="20"/>
                <w:color w:val="auto"/>
              </w:rPr>
            </w:pPr>
            <w:r>
              <w:rPr>
                <w:rFonts w:ascii="Arial" w:cs="Arial" w:eastAsia="Arial" w:hAnsi="Arial"/>
                <w:sz w:val="10"/>
                <w:szCs w:val="10"/>
                <w:color w:val="auto"/>
              </w:rPr>
              <w:t>​</w:t>
            </w:r>
          </w:p>
        </w:tc>
        <w:tc>
          <w:tcPr>
            <w:tcW w:w="180" w:type="dxa"/>
            <w:vAlign w:val="bottom"/>
            <w:gridSpan w:val="2"/>
          </w:tcPr>
          <w:p>
            <w:pPr>
              <w:spacing w:after="0" w:line="95" w:lineRule="exact"/>
              <w:rPr>
                <w:sz w:val="20"/>
                <w:szCs w:val="20"/>
                <w:color w:val="auto"/>
              </w:rPr>
            </w:pPr>
            <w:r>
              <w:rPr>
                <w:rFonts w:ascii="Arial" w:cs="Arial" w:eastAsia="Arial" w:hAnsi="Arial"/>
                <w:sz w:val="10"/>
                <w:szCs w:val="10"/>
                <w:color w:val="auto"/>
              </w:rPr>
              <w:t>​​ ​</w:t>
            </w:r>
          </w:p>
        </w:tc>
        <w:tc>
          <w:tcPr>
            <w:tcW w:w="340" w:type="dxa"/>
            <w:vAlign w:val="bottom"/>
          </w:tcPr>
          <w:p>
            <w:pPr>
              <w:ind w:left="240"/>
              <w:spacing w:after="0" w:line="95" w:lineRule="exact"/>
              <w:rPr>
                <w:sz w:val="20"/>
                <w:szCs w:val="20"/>
                <w:color w:val="auto"/>
              </w:rPr>
            </w:pPr>
            <w:r>
              <w:rPr>
                <w:rFonts w:ascii="Arial" w:cs="Arial" w:eastAsia="Arial" w:hAnsi="Arial"/>
                <w:sz w:val="10"/>
                <w:szCs w:val="10"/>
                <w:color w:val="auto"/>
              </w:rPr>
              <w:t>​</w:t>
            </w:r>
          </w:p>
        </w:tc>
        <w:tc>
          <w:tcPr>
            <w:tcW w:w="40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060" w:type="dxa"/>
            <w:vAlign w:val="bottom"/>
            <w:shd w:val="clear" w:color="auto" w:fill="4B5088"/>
          </w:tcPr>
          <w:p>
            <w:pPr>
              <w:spacing w:after="0" w:line="20" w:lineRule="exact"/>
              <w:rPr>
                <w:sz w:val="1"/>
                <w:szCs w:val="1"/>
                <w:color w:val="auto"/>
              </w:rPr>
            </w:pPr>
          </w:p>
        </w:tc>
        <w:tc>
          <w:tcPr>
            <w:tcW w:w="180" w:type="dxa"/>
            <w:vAlign w:val="bottom"/>
            <w:tcBorders>
              <w:right w:val="single" w:sz="8" w:color="4B5088"/>
            </w:tcBorders>
          </w:tcPr>
          <w:p>
            <w:pPr>
              <w:spacing w:after="0" w:line="20" w:lineRule="exact"/>
              <w:rPr>
                <w:sz w:val="1"/>
                <w:szCs w:val="1"/>
                <w:color w:val="auto"/>
              </w:rPr>
            </w:pPr>
          </w:p>
        </w:tc>
        <w:tc>
          <w:tcPr>
            <w:tcW w:w="300" w:type="dxa"/>
            <w:vAlign w:val="bottom"/>
            <w:shd w:val="clear" w:color="auto" w:fill="4B5088"/>
          </w:tcPr>
          <w:p>
            <w:pPr>
              <w:spacing w:after="0" w:line="20" w:lineRule="exact"/>
              <w:rPr>
                <w:sz w:val="1"/>
                <w:szCs w:val="1"/>
                <w:color w:val="auto"/>
              </w:rPr>
            </w:pPr>
          </w:p>
        </w:tc>
        <w:tc>
          <w:tcPr>
            <w:tcW w:w="48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340" w:type="dxa"/>
            <w:vAlign w:val="bottom"/>
            <w:shd w:val="clear" w:color="auto" w:fill="4B5088"/>
          </w:tcPr>
          <w:p>
            <w:pPr>
              <w:spacing w:after="0" w:line="20" w:lineRule="exact"/>
              <w:rPr>
                <w:sz w:val="1"/>
                <w:szCs w:val="1"/>
                <w:color w:val="auto"/>
              </w:rPr>
            </w:pPr>
          </w:p>
        </w:tc>
        <w:tc>
          <w:tcPr>
            <w:tcW w:w="4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760" w:type="dxa"/>
            <w:vAlign w:val="bottom"/>
            <w:shd w:val="clear" w:color="auto" w:fill="4B5088"/>
          </w:tcPr>
          <w:p>
            <w:pPr>
              <w:spacing w:after="0" w:line="20" w:lineRule="exact"/>
              <w:rPr>
                <w:sz w:val="1"/>
                <w:szCs w:val="1"/>
                <w:color w:val="auto"/>
              </w:rPr>
            </w:pPr>
          </w:p>
        </w:tc>
        <w:tc>
          <w:tcPr>
            <w:tcW w:w="140" w:type="dxa"/>
            <w:vAlign w:val="bottom"/>
            <w:tcBorders>
              <w:right w:val="single" w:sz="8" w:color="4B5088"/>
            </w:tcBorders>
          </w:tcPr>
          <w:p>
            <w:pPr>
              <w:spacing w:after="0" w:line="20" w:lineRule="exact"/>
              <w:rPr>
                <w:sz w:val="1"/>
                <w:szCs w:val="1"/>
                <w:color w:val="auto"/>
              </w:rPr>
            </w:pPr>
          </w:p>
        </w:tc>
        <w:tc>
          <w:tcPr>
            <w:tcW w:w="760" w:type="dxa"/>
            <w:vAlign w:val="bottom"/>
            <w:shd w:val="clear" w:color="auto" w:fill="4B5088"/>
          </w:tcPr>
          <w:p>
            <w:pPr>
              <w:spacing w:after="0" w:line="20" w:lineRule="exact"/>
              <w:rPr>
                <w:sz w:val="1"/>
                <w:szCs w:val="1"/>
                <w:color w:val="auto"/>
              </w:rPr>
            </w:pPr>
          </w:p>
        </w:tc>
        <w:tc>
          <w:tcPr>
            <w:tcW w:w="180" w:type="dxa"/>
            <w:vAlign w:val="bottom"/>
            <w:tcBorders>
              <w:right w:val="single" w:sz="8" w:color="4B5088"/>
            </w:tcBorders>
          </w:tcPr>
          <w:p>
            <w:pPr>
              <w:spacing w:after="0" w:line="20" w:lineRule="exact"/>
              <w:rPr>
                <w:sz w:val="1"/>
                <w:szCs w:val="1"/>
                <w:color w:val="auto"/>
              </w:rPr>
            </w:pPr>
          </w:p>
        </w:tc>
        <w:tc>
          <w:tcPr>
            <w:tcW w:w="760" w:type="dxa"/>
            <w:vAlign w:val="bottom"/>
            <w:tcBorders>
              <w:right w:val="single" w:sz="8" w:color="4B5088"/>
            </w:tcBorders>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4B5088"/>
            </w:tcBorders>
            <w:shd w:val="clear" w:color="auto" w:fill="4B5088"/>
          </w:tcPr>
          <w:p>
            <w:pPr>
              <w:spacing w:after="0" w:line="20" w:lineRule="exact"/>
              <w:rPr>
                <w:sz w:val="1"/>
                <w:szCs w:val="1"/>
                <w:color w:val="auto"/>
              </w:rPr>
            </w:pPr>
          </w:p>
        </w:tc>
        <w:tc>
          <w:tcPr>
            <w:tcW w:w="340" w:type="dxa"/>
            <w:vAlign w:val="bottom"/>
            <w:shd w:val="clear" w:color="auto" w:fill="4B5088"/>
          </w:tcPr>
          <w:p>
            <w:pPr>
              <w:spacing w:after="0" w:line="20" w:lineRule="exact"/>
              <w:rPr>
                <w:sz w:val="1"/>
                <w:szCs w:val="1"/>
                <w:color w:val="auto"/>
              </w:rPr>
            </w:pPr>
          </w:p>
        </w:tc>
        <w:tc>
          <w:tcPr>
            <w:tcW w:w="400" w:type="dxa"/>
            <w:vAlign w:val="bottom"/>
            <w:shd w:val="clear" w:color="auto" w:fill="4B50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60" w:type="dxa"/>
            <w:vAlign w:val="bottom"/>
          </w:tcPr>
          <w:p>
            <w:pPr>
              <w:spacing w:after="0"/>
              <w:rPr>
                <w:sz w:val="20"/>
                <w:szCs w:val="20"/>
                <w:color w:val="auto"/>
              </w:rPr>
            </w:pPr>
            <w:r>
              <w:rPr>
                <w:rFonts w:ascii="Arial" w:cs="Arial" w:eastAsia="Arial" w:hAnsi="Arial"/>
                <w:sz w:val="14"/>
                <w:szCs w:val="14"/>
                <w:b w:val="1"/>
                <w:bCs w:val="1"/>
                <w:color w:val="1F2668"/>
              </w:rPr>
              <w:t>Andrew S. Levine</w:t>
            </w:r>
          </w:p>
        </w:tc>
        <w:tc>
          <w:tcPr>
            <w:tcW w:w="1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8,391</w:t>
            </w:r>
          </w:p>
        </w:tc>
        <w:tc>
          <w:tcPr>
            <w:tcW w:w="18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340" w:type="dxa"/>
            <w:vAlign w:val="bottom"/>
          </w:tcPr>
          <w:p>
            <w:pPr>
              <w:ind w:left="28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6,377</w:t>
            </w:r>
          </w:p>
        </w:tc>
        <w:tc>
          <w:tcPr>
            <w:tcW w:w="20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760" w:type="dxa"/>
            <w:vAlign w:val="bottom"/>
          </w:tcPr>
          <w:p>
            <w:pPr>
              <w:ind w:left="360"/>
              <w:spacing w:after="0"/>
              <w:rPr>
                <w:sz w:val="20"/>
                <w:szCs w:val="20"/>
                <w:color w:val="auto"/>
              </w:rPr>
            </w:pPr>
            <w:r>
              <w:rPr>
                <w:rFonts w:ascii="Arial" w:cs="Arial" w:eastAsia="Arial" w:hAnsi="Arial"/>
                <w:sz w:val="14"/>
                <w:szCs w:val="14"/>
                <w:color w:val="auto"/>
              </w:rPr>
              <w:t>​7,010</w:t>
            </w:r>
          </w:p>
        </w:tc>
        <w:tc>
          <w:tcPr>
            <w:tcW w:w="140" w:type="dxa"/>
            <w:vAlign w:val="bottom"/>
            <w:vMerge w:val="restart"/>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280"/>
              <w:spacing w:after="0" w:line="183" w:lineRule="exact"/>
              <w:rPr>
                <w:sz w:val="20"/>
                <w:szCs w:val="20"/>
                <w:color w:val="auto"/>
              </w:rPr>
            </w:pPr>
            <w:r>
              <w:rPr>
                <w:rFonts w:ascii="Arial" w:cs="Arial" w:eastAsia="Arial" w:hAnsi="Arial"/>
                <w:sz w:val="14"/>
                <w:szCs w:val="14"/>
                <w:color w:val="auto"/>
              </w:rPr>
              <w:t>​28,050</w:t>
            </w:r>
            <w:r>
              <w:rPr>
                <w:rFonts w:ascii="Arial" w:cs="Arial" w:eastAsia="Arial" w:hAnsi="Arial"/>
                <w:sz w:val="17"/>
                <w:szCs w:val="17"/>
                <w:color w:val="auto"/>
                <w:vertAlign w:val="superscript"/>
              </w:rPr>
              <w:t>(f)</w:t>
            </w:r>
          </w:p>
        </w:tc>
        <w:tc>
          <w:tcPr>
            <w:tcW w:w="940" w:type="dxa"/>
            <w:vAlign w:val="bottom"/>
            <w:gridSpan w:val="3"/>
          </w:tcPr>
          <w:p>
            <w:pPr>
              <w:ind w:left="260"/>
              <w:spacing w:after="0" w:line="183" w:lineRule="exact"/>
              <w:rPr>
                <w:sz w:val="20"/>
                <w:szCs w:val="20"/>
                <w:color w:val="auto"/>
              </w:rPr>
            </w:pPr>
            <w:r>
              <w:rPr>
                <w:rFonts w:ascii="Arial" w:cs="Arial" w:eastAsia="Arial" w:hAnsi="Arial"/>
                <w:sz w:val="14"/>
                <w:szCs w:val="14"/>
                <w:color w:val="auto"/>
              </w:rPr>
              <w:t>​19,378</w:t>
            </w:r>
            <w:r>
              <w:rPr>
                <w:rFonts w:ascii="Arial" w:cs="Arial" w:eastAsia="Arial" w:hAnsi="Arial"/>
                <w:sz w:val="17"/>
                <w:szCs w:val="17"/>
                <w:color w:val="auto"/>
                <w:vertAlign w:val="superscript"/>
              </w:rPr>
              <w:t>(g)</w:t>
            </w:r>
          </w:p>
        </w:tc>
        <w:tc>
          <w:tcPr>
            <w:tcW w:w="340" w:type="dxa"/>
            <w:vAlign w:val="bottom"/>
          </w:tcPr>
          <w:p>
            <w:pPr>
              <w:ind w:left="260"/>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spacing w:after="0" w:line="183" w:lineRule="exact"/>
              <w:rPr>
                <w:sz w:val="20"/>
                <w:szCs w:val="20"/>
                <w:color w:val="auto"/>
              </w:rPr>
            </w:pPr>
            <w:r>
              <w:rPr>
                <w:rFonts w:ascii="Arial" w:cs="Arial" w:eastAsia="Arial" w:hAnsi="Arial"/>
                <w:sz w:val="14"/>
                <w:szCs w:val="14"/>
                <w:color w:val="auto"/>
              </w:rPr>
              <w:t>5,898</w:t>
            </w:r>
            <w:r>
              <w:rPr>
                <w:rFonts w:ascii="Arial" w:cs="Arial" w:eastAsia="Arial" w:hAnsi="Arial"/>
                <w:sz w:val="17"/>
                <w:szCs w:val="17"/>
                <w:color w:val="auto"/>
                <w:vertAlign w:val="superscript"/>
              </w:rPr>
              <w:t>(f)</w:t>
            </w:r>
          </w:p>
        </w:tc>
        <w:tc>
          <w:tcPr>
            <w:tcW w:w="0" w:type="dxa"/>
            <w:vAlign w:val="bottom"/>
          </w:tcPr>
          <w:p>
            <w:pPr>
              <w:spacing w:after="0"/>
              <w:rPr>
                <w:sz w:val="1"/>
                <w:szCs w:val="1"/>
                <w:color w:val="auto"/>
              </w:rPr>
            </w:pPr>
          </w:p>
        </w:tc>
      </w:tr>
      <w:tr>
        <w:trPr>
          <w:trHeight w:val="95"/>
        </w:trPr>
        <w:tc>
          <w:tcPr>
            <w:tcW w:w="306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300" w:type="dxa"/>
            <w:vAlign w:val="bottom"/>
          </w:tcPr>
          <w:p>
            <w:pPr>
              <w:ind w:left="180"/>
              <w:spacing w:after="0" w:line="95" w:lineRule="exact"/>
              <w:rPr>
                <w:sz w:val="20"/>
                <w:szCs w:val="20"/>
                <w:color w:val="auto"/>
              </w:rPr>
            </w:pPr>
            <w:r>
              <w:rPr>
                <w:rFonts w:ascii="Arial" w:cs="Arial" w:eastAsia="Arial" w:hAnsi="Arial"/>
                <w:sz w:val="10"/>
                <w:szCs w:val="10"/>
                <w:color w:val="auto"/>
              </w:rPr>
              <w:t>​</w:t>
            </w:r>
          </w:p>
        </w:tc>
        <w:tc>
          <w:tcPr>
            <w:tcW w:w="480" w:type="dxa"/>
            <w:vAlign w:val="bottom"/>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340" w:type="dxa"/>
            <w:vAlign w:val="bottom"/>
          </w:tcPr>
          <w:p>
            <w:pPr>
              <w:ind w:left="260"/>
              <w:spacing w:after="0" w:line="95" w:lineRule="exact"/>
              <w:rPr>
                <w:sz w:val="20"/>
                <w:szCs w:val="20"/>
                <w:color w:val="auto"/>
              </w:rPr>
            </w:pPr>
            <w:r>
              <w:rPr>
                <w:rFonts w:ascii="Arial" w:cs="Arial" w:eastAsia="Arial" w:hAnsi="Arial"/>
                <w:sz w:val="10"/>
                <w:szCs w:val="10"/>
                <w:color w:val="auto"/>
              </w:rPr>
              <w:t>​</w:t>
            </w:r>
          </w:p>
        </w:tc>
        <w:tc>
          <w:tcPr>
            <w:tcW w:w="440" w:type="dxa"/>
            <w:vAlign w:val="bottom"/>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760" w:type="dxa"/>
            <w:vAlign w:val="bottom"/>
          </w:tcPr>
          <w:p>
            <w:pPr>
              <w:ind w:left="320"/>
              <w:spacing w:after="0" w:line="95" w:lineRule="exact"/>
              <w:rPr>
                <w:sz w:val="20"/>
                <w:szCs w:val="20"/>
                <w:color w:val="auto"/>
              </w:rPr>
            </w:pPr>
            <w:r>
              <w:rPr>
                <w:rFonts w:ascii="Arial" w:cs="Arial" w:eastAsia="Arial" w:hAnsi="Arial"/>
                <w:sz w:val="10"/>
                <w:szCs w:val="10"/>
                <w:color w:val="auto"/>
              </w:rPr>
              <w:t>​</w:t>
            </w:r>
          </w:p>
        </w:tc>
        <w:tc>
          <w:tcPr>
            <w:tcW w:w="140" w:type="dxa"/>
            <w:vAlign w:val="bottom"/>
            <w:vMerge w:val="continue"/>
          </w:tcPr>
          <w:p>
            <w:pPr>
              <w:spacing w:after="0"/>
              <w:rPr>
                <w:sz w:val="8"/>
                <w:szCs w:val="8"/>
                <w:color w:val="auto"/>
              </w:rPr>
            </w:pPr>
          </w:p>
        </w:tc>
        <w:tc>
          <w:tcPr>
            <w:tcW w:w="760" w:type="dxa"/>
            <w:vAlign w:val="bottom"/>
          </w:tcPr>
          <w:p>
            <w:pPr>
              <w:ind w:left="260"/>
              <w:spacing w:after="0" w:line="95" w:lineRule="exact"/>
              <w:rPr>
                <w:sz w:val="20"/>
                <w:szCs w:val="20"/>
                <w:color w:val="auto"/>
              </w:rPr>
            </w:pPr>
            <w:r>
              <w:rPr>
                <w:rFonts w:ascii="Arial" w:cs="Arial" w:eastAsia="Arial" w:hAnsi="Arial"/>
                <w:sz w:val="10"/>
                <w:szCs w:val="10"/>
                <w:color w:val="auto"/>
              </w:rPr>
              <w:t>​</w:t>
            </w:r>
          </w:p>
        </w:tc>
        <w:tc>
          <w:tcPr>
            <w:tcW w:w="180" w:type="dxa"/>
            <w:vAlign w:val="bottom"/>
          </w:tcPr>
          <w:p>
            <w:pPr>
              <w:spacing w:after="0" w:line="95" w:lineRule="exact"/>
              <w:rPr>
                <w:sz w:val="20"/>
                <w:szCs w:val="20"/>
                <w:color w:val="auto"/>
              </w:rPr>
            </w:pPr>
            <w:r>
              <w:rPr>
                <w:rFonts w:ascii="Arial" w:cs="Arial" w:eastAsia="Arial" w:hAnsi="Arial"/>
                <w:sz w:val="10"/>
                <w:szCs w:val="10"/>
                <w:color w:val="auto"/>
              </w:rPr>
              <w:t>​​ ​</w:t>
            </w:r>
          </w:p>
        </w:tc>
        <w:tc>
          <w:tcPr>
            <w:tcW w:w="760" w:type="dxa"/>
            <w:vAlign w:val="bottom"/>
          </w:tcPr>
          <w:p>
            <w:pPr>
              <w:ind w:left="260"/>
              <w:spacing w:after="0" w:line="95" w:lineRule="exact"/>
              <w:rPr>
                <w:sz w:val="20"/>
                <w:szCs w:val="20"/>
                <w:color w:val="auto"/>
              </w:rPr>
            </w:pPr>
            <w:r>
              <w:rPr>
                <w:rFonts w:ascii="Arial" w:cs="Arial" w:eastAsia="Arial" w:hAnsi="Arial"/>
                <w:sz w:val="10"/>
                <w:szCs w:val="10"/>
                <w:color w:val="auto"/>
              </w:rPr>
              <w:t>​</w:t>
            </w:r>
          </w:p>
        </w:tc>
        <w:tc>
          <w:tcPr>
            <w:tcW w:w="180" w:type="dxa"/>
            <w:vAlign w:val="bottom"/>
            <w:gridSpan w:val="2"/>
          </w:tcPr>
          <w:p>
            <w:pPr>
              <w:spacing w:after="0" w:line="95" w:lineRule="exact"/>
              <w:rPr>
                <w:sz w:val="20"/>
                <w:szCs w:val="20"/>
                <w:color w:val="auto"/>
              </w:rPr>
            </w:pPr>
            <w:r>
              <w:rPr>
                <w:rFonts w:ascii="Arial" w:cs="Arial" w:eastAsia="Arial" w:hAnsi="Arial"/>
                <w:sz w:val="10"/>
                <w:szCs w:val="10"/>
                <w:color w:val="auto"/>
              </w:rPr>
              <w:t>​​ ​</w:t>
            </w:r>
          </w:p>
        </w:tc>
        <w:tc>
          <w:tcPr>
            <w:tcW w:w="340" w:type="dxa"/>
            <w:vAlign w:val="bottom"/>
          </w:tcPr>
          <w:p>
            <w:pPr>
              <w:ind w:left="240"/>
              <w:spacing w:after="0" w:line="95" w:lineRule="exact"/>
              <w:rPr>
                <w:sz w:val="20"/>
                <w:szCs w:val="20"/>
                <w:color w:val="auto"/>
              </w:rPr>
            </w:pPr>
            <w:r>
              <w:rPr>
                <w:rFonts w:ascii="Arial" w:cs="Arial" w:eastAsia="Arial" w:hAnsi="Arial"/>
                <w:sz w:val="10"/>
                <w:szCs w:val="10"/>
                <w:color w:val="auto"/>
              </w:rPr>
              <w:t>​</w:t>
            </w:r>
          </w:p>
        </w:tc>
        <w:tc>
          <w:tcPr>
            <w:tcW w:w="400" w:type="dxa"/>
            <w:vAlign w:val="bottom"/>
          </w:tcPr>
          <w:p>
            <w:pPr>
              <w:spacing w:after="0"/>
              <w:rPr>
                <w:sz w:val="8"/>
                <w:szCs w:val="8"/>
                <w:color w:val="auto"/>
              </w:rPr>
            </w:pPr>
          </w:p>
        </w:tc>
        <w:tc>
          <w:tcPr>
            <w:tcW w:w="8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3060" w:type="dxa"/>
            <w:vAlign w:val="bottom"/>
            <w:shd w:val="clear" w:color="auto" w:fill="4B5088"/>
          </w:tcPr>
          <w:p>
            <w:pPr>
              <w:spacing w:after="0" w:line="20" w:lineRule="exact"/>
              <w:rPr>
                <w:sz w:val="1"/>
                <w:szCs w:val="1"/>
                <w:color w:val="auto"/>
              </w:rPr>
            </w:pPr>
          </w:p>
        </w:tc>
        <w:tc>
          <w:tcPr>
            <w:tcW w:w="180" w:type="dxa"/>
            <w:vAlign w:val="bottom"/>
            <w:tcBorders>
              <w:right w:val="single" w:sz="8" w:color="4B5088"/>
            </w:tcBorders>
          </w:tcPr>
          <w:p>
            <w:pPr>
              <w:spacing w:after="0" w:line="20" w:lineRule="exact"/>
              <w:rPr>
                <w:sz w:val="1"/>
                <w:szCs w:val="1"/>
                <w:color w:val="auto"/>
              </w:rPr>
            </w:pPr>
          </w:p>
        </w:tc>
        <w:tc>
          <w:tcPr>
            <w:tcW w:w="300" w:type="dxa"/>
            <w:vAlign w:val="bottom"/>
            <w:shd w:val="clear" w:color="auto" w:fill="4B5088"/>
          </w:tcPr>
          <w:p>
            <w:pPr>
              <w:spacing w:after="0" w:line="20" w:lineRule="exact"/>
              <w:rPr>
                <w:sz w:val="1"/>
                <w:szCs w:val="1"/>
                <w:color w:val="auto"/>
              </w:rPr>
            </w:pPr>
          </w:p>
        </w:tc>
        <w:tc>
          <w:tcPr>
            <w:tcW w:w="48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340" w:type="dxa"/>
            <w:vAlign w:val="bottom"/>
            <w:shd w:val="clear" w:color="auto" w:fill="4B5088"/>
          </w:tcPr>
          <w:p>
            <w:pPr>
              <w:spacing w:after="0" w:line="20" w:lineRule="exact"/>
              <w:rPr>
                <w:sz w:val="1"/>
                <w:szCs w:val="1"/>
                <w:color w:val="auto"/>
              </w:rPr>
            </w:pPr>
          </w:p>
        </w:tc>
        <w:tc>
          <w:tcPr>
            <w:tcW w:w="4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760" w:type="dxa"/>
            <w:vAlign w:val="bottom"/>
            <w:shd w:val="clear" w:color="auto" w:fill="4B5088"/>
          </w:tcPr>
          <w:p>
            <w:pPr>
              <w:spacing w:after="0" w:line="20" w:lineRule="exact"/>
              <w:rPr>
                <w:sz w:val="1"/>
                <w:szCs w:val="1"/>
                <w:color w:val="auto"/>
              </w:rPr>
            </w:pPr>
          </w:p>
        </w:tc>
        <w:tc>
          <w:tcPr>
            <w:tcW w:w="140" w:type="dxa"/>
            <w:vAlign w:val="bottom"/>
            <w:tcBorders>
              <w:right w:val="single" w:sz="8" w:color="4B5088"/>
            </w:tcBorders>
          </w:tcPr>
          <w:p>
            <w:pPr>
              <w:spacing w:after="0" w:line="20" w:lineRule="exact"/>
              <w:rPr>
                <w:sz w:val="1"/>
                <w:szCs w:val="1"/>
                <w:color w:val="auto"/>
              </w:rPr>
            </w:pPr>
          </w:p>
        </w:tc>
        <w:tc>
          <w:tcPr>
            <w:tcW w:w="760" w:type="dxa"/>
            <w:vAlign w:val="bottom"/>
            <w:shd w:val="clear" w:color="auto" w:fill="4B5088"/>
          </w:tcPr>
          <w:p>
            <w:pPr>
              <w:spacing w:after="0" w:line="20" w:lineRule="exact"/>
              <w:rPr>
                <w:sz w:val="1"/>
                <w:szCs w:val="1"/>
                <w:color w:val="auto"/>
              </w:rPr>
            </w:pPr>
          </w:p>
        </w:tc>
        <w:tc>
          <w:tcPr>
            <w:tcW w:w="180" w:type="dxa"/>
            <w:vAlign w:val="bottom"/>
            <w:tcBorders>
              <w:right w:val="single" w:sz="8" w:color="4B5088"/>
            </w:tcBorders>
          </w:tcPr>
          <w:p>
            <w:pPr>
              <w:spacing w:after="0" w:line="20" w:lineRule="exact"/>
              <w:rPr>
                <w:sz w:val="1"/>
                <w:szCs w:val="1"/>
                <w:color w:val="auto"/>
              </w:rPr>
            </w:pPr>
          </w:p>
        </w:tc>
        <w:tc>
          <w:tcPr>
            <w:tcW w:w="760" w:type="dxa"/>
            <w:vAlign w:val="bottom"/>
            <w:tcBorders>
              <w:right w:val="single" w:sz="8" w:color="4B5088"/>
            </w:tcBorders>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4B5088"/>
            </w:tcBorders>
          </w:tcPr>
          <w:p>
            <w:pPr>
              <w:spacing w:after="0" w:line="20" w:lineRule="exact"/>
              <w:rPr>
                <w:sz w:val="1"/>
                <w:szCs w:val="1"/>
                <w:color w:val="auto"/>
              </w:rPr>
            </w:pPr>
          </w:p>
        </w:tc>
        <w:tc>
          <w:tcPr>
            <w:tcW w:w="340" w:type="dxa"/>
            <w:vAlign w:val="bottom"/>
            <w:shd w:val="clear" w:color="auto" w:fill="4B5088"/>
          </w:tcPr>
          <w:p>
            <w:pPr>
              <w:spacing w:after="0" w:line="20" w:lineRule="exact"/>
              <w:rPr>
                <w:sz w:val="1"/>
                <w:szCs w:val="1"/>
                <w:color w:val="auto"/>
              </w:rPr>
            </w:pPr>
          </w:p>
        </w:tc>
        <w:tc>
          <w:tcPr>
            <w:tcW w:w="400" w:type="dxa"/>
            <w:vAlign w:val="bottom"/>
            <w:shd w:val="clear" w:color="auto" w:fill="4B50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540" w:right="80" w:hanging="364"/>
        <w:spacing w:after="0" w:line="282" w:lineRule="auto"/>
        <w:tabs>
          <w:tab w:leader="none" w:pos="1540" w:val="left"/>
        </w:tabs>
        <w:numPr>
          <w:ilvl w:val="1"/>
          <w:numId w:val="86"/>
        </w:numPr>
        <w:rPr>
          <w:rFonts w:ascii="Arial" w:cs="Arial" w:eastAsia="Arial" w:hAnsi="Arial"/>
          <w:sz w:val="14"/>
          <w:szCs w:val="14"/>
          <w:color w:val="auto"/>
        </w:rPr>
      </w:pPr>
      <w:r>
        <w:rPr>
          <w:rFonts w:ascii="Arial" w:cs="Arial" w:eastAsia="Arial" w:hAnsi="Arial"/>
          <w:sz w:val="14"/>
          <w:szCs w:val="14"/>
          <w:color w:val="auto"/>
        </w:rPr>
        <w:t>Represents the number of LTIP units that were earned for 2024 operational performance that are not subject to forfeiture regardless of our absolute TSR performance over the three-year period ending December 31, 2026. The LTIP units will vest 100% for Mr. Holliday on December 31, 2026, and 50% on each of December 31, 2026 and December 31, 2027 for Messrs. DiLiberto and Levine, subject, in each case, to continued employment.</w:t>
      </w:r>
    </w:p>
    <w:p>
      <w:pPr>
        <w:spacing w:after="0" w:line="53" w:lineRule="exact"/>
        <w:rPr>
          <w:rFonts w:ascii="Arial" w:cs="Arial" w:eastAsia="Arial" w:hAnsi="Arial"/>
          <w:sz w:val="14"/>
          <w:szCs w:val="14"/>
          <w:color w:val="auto"/>
        </w:rPr>
      </w:pPr>
    </w:p>
    <w:p>
      <w:pPr>
        <w:ind w:left="1540" w:right="80" w:hanging="364"/>
        <w:spacing w:after="0" w:line="282" w:lineRule="auto"/>
        <w:tabs>
          <w:tab w:leader="none" w:pos="1540" w:val="left"/>
        </w:tabs>
        <w:numPr>
          <w:ilvl w:val="1"/>
          <w:numId w:val="86"/>
        </w:numPr>
        <w:rPr>
          <w:rFonts w:ascii="Arial" w:cs="Arial" w:eastAsia="Arial" w:hAnsi="Arial"/>
          <w:sz w:val="14"/>
          <w:szCs w:val="14"/>
          <w:color w:val="auto"/>
        </w:rPr>
      </w:pPr>
      <w:r>
        <w:rPr>
          <w:rFonts w:ascii="Arial" w:cs="Arial" w:eastAsia="Arial" w:hAnsi="Arial"/>
          <w:sz w:val="14"/>
          <w:szCs w:val="14"/>
          <w:color w:val="auto"/>
        </w:rPr>
        <w:t>Represents the number of LTIP units that were earned for 2023 operational performance that are not subject to forfeiture regardless of our absolute TSR performance over the three-year period ending December 31, 2025. The LTIP units will vest 100% for Mr. Holliday on December 31, 2025, and 50% on each of December 31, 2025 and December 31, 2026 for Messrs. DiLiberto and Levine, subject, in each case, to continued employment.</w:t>
      </w:r>
    </w:p>
    <w:p>
      <w:pPr>
        <w:spacing w:after="0" w:line="39" w:lineRule="exact"/>
        <w:rPr>
          <w:rFonts w:ascii="Arial" w:cs="Arial" w:eastAsia="Arial" w:hAnsi="Arial"/>
          <w:sz w:val="14"/>
          <w:szCs w:val="14"/>
          <w:color w:val="auto"/>
        </w:rPr>
      </w:pPr>
    </w:p>
    <w:p>
      <w:pPr>
        <w:ind w:left="1540" w:right="120" w:hanging="364"/>
        <w:spacing w:after="0" w:line="274" w:lineRule="auto"/>
        <w:tabs>
          <w:tab w:leader="none" w:pos="1540" w:val="left"/>
        </w:tabs>
        <w:numPr>
          <w:ilvl w:val="1"/>
          <w:numId w:val="86"/>
        </w:numPr>
        <w:rPr>
          <w:rFonts w:ascii="Arial" w:cs="Arial" w:eastAsia="Arial" w:hAnsi="Arial"/>
          <w:sz w:val="14"/>
          <w:szCs w:val="14"/>
          <w:color w:val="auto"/>
        </w:rPr>
      </w:pPr>
      <w:r>
        <w:rPr>
          <w:rFonts w:ascii="Arial" w:cs="Arial" w:eastAsia="Arial" w:hAnsi="Arial"/>
          <w:sz w:val="14"/>
          <w:szCs w:val="14"/>
          <w:color w:val="auto"/>
        </w:rPr>
        <w:t>Represents the sum of (i) the number of LTIP units that were earned for 2022 operational performance, as modified by our absolute TSR performance over the three-year period ending December 31, 2024 and (ii) the number of LTIP units that were earned based on our TSR performance relative to our NYC Peer Group over the three-year period ending December 31, 2024. The LTIP units vested 100% for Mr. Holliday on December 31, 2024, and 50% for Messrs. DiLiberto and Levine, with the remaining 50% scheduled to vest on December 31, 2025 subject, in each case, to continued employment. LTIP units that vested on December 31, 2024 are reflected in the “2024 Options Exercised and Stock Vested” table, below. See “—Compensation Discussion and Analysis—Our 2024 Executive Compensation Program” and “—Compensation Discussion and Analysis—Other Compensation Policies and Information— Outstanding Annual Equity Award Performance Summary (2022-2024)” for a description of the terms of these performance-based awards and the Company’s performance as of December 31, 2024.</w:t>
      </w:r>
    </w:p>
    <w:p>
      <w:pPr>
        <w:spacing w:after="0" w:line="60" w:lineRule="exact"/>
        <w:rPr>
          <w:rFonts w:ascii="Arial" w:cs="Arial" w:eastAsia="Arial" w:hAnsi="Arial"/>
          <w:sz w:val="14"/>
          <w:szCs w:val="14"/>
          <w:color w:val="auto"/>
        </w:rPr>
      </w:pPr>
    </w:p>
    <w:p>
      <w:pPr>
        <w:ind w:left="1540" w:right="400" w:hanging="364"/>
        <w:spacing w:after="0" w:line="305" w:lineRule="auto"/>
        <w:tabs>
          <w:tab w:leader="none" w:pos="1540" w:val="left"/>
        </w:tabs>
        <w:numPr>
          <w:ilvl w:val="1"/>
          <w:numId w:val="86"/>
        </w:numPr>
        <w:rPr>
          <w:rFonts w:ascii="Arial" w:cs="Arial" w:eastAsia="Arial" w:hAnsi="Arial"/>
          <w:sz w:val="14"/>
          <w:szCs w:val="14"/>
          <w:color w:val="auto"/>
        </w:rPr>
      </w:pPr>
      <w:r>
        <w:rPr>
          <w:rFonts w:ascii="Arial" w:cs="Arial" w:eastAsia="Arial" w:hAnsi="Arial"/>
          <w:sz w:val="14"/>
          <w:szCs w:val="14"/>
          <w:color w:val="auto"/>
        </w:rPr>
        <w:t>Represents LTIP units that vested one-third on January 1, 2025 and LTIP units that are scheduled to vest one-third on January 1, 2026 and one-third on January 1, 2027, subject to continued employment.</w:t>
      </w:r>
    </w:p>
    <w:p>
      <w:pPr>
        <w:spacing w:after="0" w:line="36" w:lineRule="exact"/>
        <w:rPr>
          <w:rFonts w:ascii="Arial" w:cs="Arial" w:eastAsia="Arial" w:hAnsi="Arial"/>
          <w:sz w:val="14"/>
          <w:szCs w:val="14"/>
          <w:color w:val="auto"/>
        </w:rPr>
      </w:pPr>
    </w:p>
    <w:p>
      <w:pPr>
        <w:ind w:left="1540" w:right="80" w:hanging="364"/>
        <w:spacing w:after="0" w:line="325" w:lineRule="auto"/>
        <w:tabs>
          <w:tab w:leader="none" w:pos="1540" w:val="left"/>
        </w:tabs>
        <w:numPr>
          <w:ilvl w:val="1"/>
          <w:numId w:val="86"/>
        </w:numPr>
        <w:rPr>
          <w:rFonts w:ascii="Arial" w:cs="Arial" w:eastAsia="Arial" w:hAnsi="Arial"/>
          <w:sz w:val="14"/>
          <w:szCs w:val="14"/>
          <w:color w:val="auto"/>
        </w:rPr>
      </w:pPr>
      <w:r>
        <w:rPr>
          <w:rFonts w:ascii="Arial" w:cs="Arial" w:eastAsia="Arial" w:hAnsi="Arial"/>
          <w:sz w:val="14"/>
          <w:szCs w:val="14"/>
          <w:color w:val="auto"/>
        </w:rPr>
        <w:t>Represents LTIP units that vested one-third on January 1, 2024 and one-third on January 1, 2025 and LTIP units that are scheduled to vest one-third on January 1, 2026, subject to continued employment.</w:t>
      </w:r>
    </w:p>
    <w:p>
      <w:pPr>
        <w:spacing w:after="0" w:line="22" w:lineRule="exact"/>
        <w:rPr>
          <w:rFonts w:ascii="Arial" w:cs="Arial" w:eastAsia="Arial" w:hAnsi="Arial"/>
          <w:sz w:val="14"/>
          <w:szCs w:val="14"/>
          <w:color w:val="auto"/>
        </w:rPr>
      </w:pPr>
    </w:p>
    <w:p>
      <w:pPr>
        <w:ind w:left="1540" w:hanging="364"/>
        <w:spacing w:after="0"/>
        <w:tabs>
          <w:tab w:leader="none" w:pos="1540" w:val="left"/>
        </w:tabs>
        <w:numPr>
          <w:ilvl w:val="1"/>
          <w:numId w:val="86"/>
        </w:numPr>
        <w:rPr>
          <w:rFonts w:ascii="Arial" w:cs="Arial" w:eastAsia="Arial" w:hAnsi="Arial"/>
          <w:sz w:val="14"/>
          <w:szCs w:val="14"/>
          <w:color w:val="auto"/>
        </w:rPr>
      </w:pPr>
      <w:r>
        <w:rPr>
          <w:rFonts w:ascii="Arial" w:cs="Arial" w:eastAsia="Arial" w:hAnsi="Arial"/>
          <w:sz w:val="14"/>
          <w:szCs w:val="14"/>
          <w:color w:val="auto"/>
        </w:rPr>
        <w:t>Represents LTIP units that vested on January 1, 2025.</w:t>
      </w:r>
    </w:p>
    <w:p>
      <w:pPr>
        <w:spacing w:after="0" w:line="109" w:lineRule="exact"/>
        <w:rPr>
          <w:rFonts w:ascii="Arial" w:cs="Arial" w:eastAsia="Arial" w:hAnsi="Arial"/>
          <w:sz w:val="14"/>
          <w:szCs w:val="14"/>
          <w:color w:val="auto"/>
        </w:rPr>
      </w:pPr>
    </w:p>
    <w:p>
      <w:pPr>
        <w:ind w:left="1540" w:right="100" w:hanging="364"/>
        <w:spacing w:after="0" w:line="305" w:lineRule="auto"/>
        <w:tabs>
          <w:tab w:leader="none" w:pos="1540" w:val="left"/>
        </w:tabs>
        <w:numPr>
          <w:ilvl w:val="1"/>
          <w:numId w:val="86"/>
        </w:numPr>
        <w:rPr>
          <w:rFonts w:ascii="Arial" w:cs="Arial" w:eastAsia="Arial" w:hAnsi="Arial"/>
          <w:sz w:val="14"/>
          <w:szCs w:val="14"/>
          <w:color w:val="auto"/>
        </w:rPr>
      </w:pPr>
      <w:r>
        <w:rPr>
          <w:rFonts w:ascii="Arial" w:cs="Arial" w:eastAsia="Arial" w:hAnsi="Arial"/>
          <w:sz w:val="14"/>
          <w:szCs w:val="14"/>
          <w:color w:val="auto"/>
        </w:rPr>
        <w:t>Represents LTIP units that vested one-half on January 1, 2025 and LTIP units that are scheduled to vest one-half on January 1, 2026, subject to continued employment.</w:t>
      </w:r>
    </w:p>
    <w:p>
      <w:pPr>
        <w:spacing w:after="0" w:line="36" w:lineRule="exact"/>
        <w:rPr>
          <w:rFonts w:ascii="Arial" w:cs="Arial" w:eastAsia="Arial" w:hAnsi="Arial"/>
          <w:sz w:val="14"/>
          <w:szCs w:val="14"/>
          <w:color w:val="auto"/>
        </w:rPr>
      </w:pPr>
    </w:p>
    <w:p>
      <w:pPr>
        <w:ind w:left="1180" w:right="280" w:hanging="364"/>
        <w:spacing w:after="0" w:line="305" w:lineRule="auto"/>
        <w:tabs>
          <w:tab w:leader="none" w:pos="11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Based on a price of $67.92 per share/unit, which was the closing price on the NYSE of one share of our common stock on December 31, 2024. Assumes that the value of LTIP units on a per unit basis is equal to the per share value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50800</wp:posOffset>
            </wp:positionV>
            <wp:extent cx="6831965"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p>
      <w:pPr>
        <w:jc w:val="right"/>
        <w:ind w:right="2040"/>
        <w:spacing w:after="0"/>
        <w:tabs>
          <w:tab w:leader="none" w:pos="5800" w:val="left"/>
        </w:tabs>
        <w:rPr>
          <w:sz w:val="20"/>
          <w:szCs w:val="20"/>
          <w:color w:val="auto"/>
        </w:rPr>
      </w:pPr>
      <w:r>
        <w:rPr>
          <w:rFonts w:ascii="Arial" w:cs="Arial" w:eastAsia="Arial" w:hAnsi="Arial"/>
          <w:sz w:val="22"/>
          <w:szCs w:val="22"/>
          <w:b w:val="1"/>
          <w:bCs w:val="1"/>
          <w:color w:val="1F2668"/>
        </w:rPr>
        <w:t>70​</w:t>
      </w:r>
      <w:r>
        <w:rPr>
          <w:sz w:val="20"/>
          <w:szCs w:val="20"/>
          <w:color w:val="auto"/>
        </w:rPr>
        <w:tab/>
      </w:r>
      <w:r>
        <w:rPr>
          <w:rFonts w:ascii="Arial" w:cs="Arial" w:eastAsia="Arial" w:hAnsi="Arial"/>
          <w:sz w:val="22"/>
          <w:szCs w:val="22"/>
          <w:b w:val="1"/>
          <w:bCs w:val="1"/>
          <w:color w:val="1F2668"/>
        </w:rPr>
        <w:t xml:space="preserve">​ ​ </w:t>
      </w:r>
      <w:r>
        <w:rPr>
          <w:rFonts w:ascii="Arial" w:cs="Arial" w:eastAsia="Arial" w:hAnsi="Arial"/>
          <w:sz w:val="14"/>
          <w:szCs w:val="14"/>
          <w:b w:val="1"/>
          <w:bCs w:val="1"/>
          <w:color w:val="1F2668"/>
        </w:rPr>
        <w:t>SL GREEN REALTY CORP. 2025 PROXY STATEMENT</w:t>
      </w:r>
    </w:p>
    <w:p>
      <w:pPr>
        <w:spacing w:after="0" w:line="200" w:lineRule="exact"/>
        <w:rPr>
          <w:sz w:val="20"/>
          <w:szCs w:val="20"/>
          <w:color w:val="auto"/>
        </w:rPr>
      </w:pPr>
    </w:p>
    <w:p>
      <w:pPr>
        <w:spacing w:after="0" w:line="295" w:lineRule="exact"/>
        <w:rPr>
          <w:sz w:val="20"/>
          <w:szCs w:val="20"/>
          <w:color w:val="auto"/>
        </w:rPr>
      </w:pPr>
    </w:p>
    <w:p>
      <w:pPr>
        <w:ind w:left="1180" w:hanging="364"/>
        <w:spacing w:after="0"/>
        <w:tabs>
          <w:tab w:leader="none" w:pos="11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For each of our named executive officers includes the following:</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26" w:lineRule="exact"/>
        <w:rPr>
          <w:rFonts w:ascii="Arial" w:cs="Arial" w:eastAsia="Arial" w:hAnsi="Arial"/>
          <w:sz w:val="14"/>
          <w:szCs w:val="14"/>
          <w:color w:val="auto"/>
        </w:rPr>
      </w:pPr>
    </w:p>
    <w:p>
      <w:pPr>
        <w:ind w:left="1180"/>
        <w:spacing w:after="0"/>
        <w:rPr>
          <w:rFonts w:ascii="Arial" w:cs="Arial" w:eastAsia="Arial" w:hAnsi="Arial"/>
          <w:sz w:val="14"/>
          <w:szCs w:val="14"/>
          <w:color w:val="auto"/>
        </w:rPr>
      </w:pPr>
      <w:r>
        <w:rPr>
          <w:rFonts w:ascii="Arial" w:cs="Arial" w:eastAsia="Arial" w:hAnsi="Arial"/>
          <w:sz w:val="13"/>
          <w:szCs w:val="13"/>
          <w:b w:val="1"/>
          <w:bCs w:val="1"/>
          <w:color w:val="1F2668"/>
        </w:rPr>
        <w:t>Executive</w:t>
      </w:r>
    </w:p>
    <w:p>
      <w:pPr>
        <w:spacing w:after="0" w:line="115" w:lineRule="exact"/>
        <w:rPr>
          <w:rFonts w:ascii="Arial" w:cs="Arial" w:eastAsia="Arial" w:hAnsi="Arial"/>
          <w:sz w:val="14"/>
          <w:szCs w:val="14"/>
          <w:color w:val="auto"/>
        </w:rPr>
      </w:pPr>
    </w:p>
    <w:p>
      <w:pPr>
        <w:ind w:left="1180" w:right="4720"/>
        <w:spacing w:after="0" w:line="448" w:lineRule="auto"/>
        <w:rPr>
          <w:rFonts w:ascii="Arial" w:cs="Arial" w:eastAsia="Arial" w:hAnsi="Arial"/>
          <w:sz w:val="14"/>
          <w:szCs w:val="14"/>
          <w:color w:val="auto"/>
        </w:rPr>
      </w:pPr>
      <w:r>
        <w:rPr>
          <w:rFonts w:ascii="Arial" w:cs="Arial" w:eastAsia="Arial" w:hAnsi="Arial"/>
          <w:sz w:val="14"/>
          <w:szCs w:val="14"/>
          <w:b w:val="1"/>
          <w:bCs w:val="1"/>
          <w:color w:val="1F2668"/>
        </w:rPr>
        <w:t>Marc Holliday Matthew J. DiLiberto Andrew S.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748665</wp:posOffset>
            </wp:positionH>
            <wp:positionV relativeFrom="paragraph">
              <wp:posOffset>-68580</wp:posOffset>
            </wp:positionV>
            <wp:extent cx="431165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4311650" cy="8890"/>
                    </a:xfrm>
                    <a:prstGeom prst="rect">
                      <a:avLst/>
                    </a:prstGeom>
                    <a:noFill/>
                  </pic:spPr>
                </pic:pic>
              </a:graphicData>
            </a:graphic>
          </wp:anchor>
        </w:drawing>
        <w:drawing>
          <wp:anchor simplePos="0" relativeHeight="251657728" behindDoc="1" locked="0" layoutInCell="0" allowOverlap="1">
            <wp:simplePos x="0" y="0"/>
            <wp:positionH relativeFrom="column">
              <wp:posOffset>748665</wp:posOffset>
            </wp:positionH>
            <wp:positionV relativeFrom="paragraph">
              <wp:posOffset>-248920</wp:posOffset>
            </wp:positionV>
            <wp:extent cx="431165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4311650" cy="8255"/>
                    </a:xfrm>
                    <a:prstGeom prst="rect">
                      <a:avLst/>
                    </a:prstGeom>
                    <a:noFill/>
                  </pic:spPr>
                </pic:pic>
              </a:graphicData>
            </a:graphic>
          </wp:anchor>
        </w:drawing>
        <w:drawing>
          <wp:anchor simplePos="0" relativeHeight="251657728" behindDoc="1" locked="0" layoutInCell="0" allowOverlap="1">
            <wp:simplePos x="0" y="0"/>
            <wp:positionH relativeFrom="column">
              <wp:posOffset>748665</wp:posOffset>
            </wp:positionH>
            <wp:positionV relativeFrom="paragraph">
              <wp:posOffset>-428625</wp:posOffset>
            </wp:positionV>
            <wp:extent cx="431165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4311650" cy="8255"/>
                    </a:xfrm>
                    <a:prstGeom prst="rect">
                      <a:avLst/>
                    </a:prstGeom>
                    <a:noFill/>
                  </pic:spPr>
                </pic:pic>
              </a:graphicData>
            </a:graphic>
          </wp:anchor>
        </w:drawing>
        <w:drawing>
          <wp:anchor simplePos="0" relativeHeight="251657728" behindDoc="1" locked="0" layoutInCell="0" allowOverlap="1">
            <wp:simplePos x="0" y="0"/>
            <wp:positionH relativeFrom="column">
              <wp:posOffset>748665</wp:posOffset>
            </wp:positionH>
            <wp:positionV relativeFrom="paragraph">
              <wp:posOffset>-608965</wp:posOffset>
            </wp:positionV>
            <wp:extent cx="431165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43116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1F2668"/>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b w:val="1"/>
                <w:bCs w:val="1"/>
                <w:color w:val="1F2668"/>
              </w:rPr>
              <w:t>2024</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b w:val="1"/>
                <w:bCs w:val="1"/>
                <w:color w:val="1F2668"/>
              </w:rPr>
              <w:t>2023</w:t>
            </w:r>
          </w:p>
        </w:tc>
        <w:tc>
          <w:tcPr>
            <w:tcW w:w="40" w:type="dxa"/>
            <w:vAlign w:val="bottom"/>
          </w:tcPr>
          <w:p>
            <w:pPr>
              <w:spacing w:after="0"/>
              <w:rPr>
                <w:sz w:val="13"/>
                <w:szCs w:val="13"/>
                <w:color w:val="auto"/>
              </w:rPr>
            </w:pPr>
          </w:p>
        </w:tc>
      </w:tr>
      <w:tr>
        <w:trPr>
          <w:trHeight w:val="148"/>
        </w:trPr>
        <w:tc>
          <w:tcPr>
            <w:tcW w:w="80" w:type="dxa"/>
            <w:vAlign w:val="bottom"/>
          </w:tcPr>
          <w:p>
            <w:pPr>
              <w:spacing w:after="0"/>
              <w:rPr>
                <w:sz w:val="12"/>
                <w:szCs w:val="12"/>
                <w:color w:val="auto"/>
              </w:rPr>
            </w:pPr>
          </w:p>
        </w:tc>
        <w:tc>
          <w:tcPr>
            <w:tcW w:w="960" w:type="dxa"/>
            <w:vAlign w:val="bottom"/>
            <w:gridSpan w:val="4"/>
          </w:tcPr>
          <w:p>
            <w:pPr>
              <w:jc w:val="right"/>
              <w:ind w:right="160"/>
              <w:spacing w:after="0"/>
              <w:rPr>
                <w:sz w:val="20"/>
                <w:szCs w:val="20"/>
                <w:color w:val="auto"/>
              </w:rPr>
            </w:pPr>
            <w:r>
              <w:rPr>
                <w:rFonts w:ascii="Arial" w:cs="Arial" w:eastAsia="Arial" w:hAnsi="Arial"/>
                <w:sz w:val="13"/>
                <w:szCs w:val="13"/>
                <w:b w:val="1"/>
                <w:bCs w:val="1"/>
                <w:color w:val="1F2668"/>
                <w:w w:val="93"/>
              </w:rPr>
              <w:t>Performance-</w:t>
            </w:r>
          </w:p>
        </w:tc>
        <w:tc>
          <w:tcPr>
            <w:tcW w:w="880" w:type="dxa"/>
            <w:vAlign w:val="bottom"/>
            <w:gridSpan w:val="3"/>
          </w:tcPr>
          <w:p>
            <w:pPr>
              <w:jc w:val="right"/>
              <w:ind w:right="80"/>
              <w:spacing w:after="0"/>
              <w:rPr>
                <w:sz w:val="20"/>
                <w:szCs w:val="20"/>
                <w:color w:val="auto"/>
              </w:rPr>
            </w:pPr>
            <w:r>
              <w:rPr>
                <w:rFonts w:ascii="Arial" w:cs="Arial" w:eastAsia="Arial" w:hAnsi="Arial"/>
                <w:sz w:val="13"/>
                <w:szCs w:val="13"/>
                <w:b w:val="1"/>
                <w:bCs w:val="1"/>
                <w:color w:val="1F2668"/>
                <w:w w:val="93"/>
              </w:rPr>
              <w:t>Performance-</w:t>
            </w:r>
          </w:p>
        </w:tc>
      </w:tr>
      <w:tr>
        <w:trPr>
          <w:trHeight w:val="135"/>
        </w:trPr>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b w:val="1"/>
                <w:bCs w:val="1"/>
                <w:color w:val="1F2668"/>
              </w:rPr>
              <w:t>Based</w:t>
            </w:r>
          </w:p>
        </w:tc>
        <w:tc>
          <w:tcPr>
            <w:tcW w:w="340" w:type="dxa"/>
            <w:vAlign w:val="bottom"/>
          </w:tcPr>
          <w:p>
            <w:pPr>
              <w:spacing w:after="0"/>
              <w:rPr>
                <w:sz w:val="11"/>
                <w:szCs w:val="11"/>
                <w:color w:val="auto"/>
              </w:rPr>
            </w:pPr>
          </w:p>
        </w:tc>
        <w:tc>
          <w:tcPr>
            <w:tcW w:w="540" w:type="dxa"/>
            <w:vAlign w:val="bottom"/>
            <w:gridSpan w:val="2"/>
          </w:tcPr>
          <w:p>
            <w:pPr>
              <w:jc w:val="right"/>
              <w:ind w:right="80"/>
              <w:spacing w:after="0" w:line="135" w:lineRule="exact"/>
              <w:rPr>
                <w:sz w:val="20"/>
                <w:szCs w:val="20"/>
                <w:color w:val="auto"/>
              </w:rPr>
            </w:pPr>
            <w:r>
              <w:rPr>
                <w:rFonts w:ascii="Arial" w:cs="Arial" w:eastAsia="Arial" w:hAnsi="Arial"/>
                <w:sz w:val="13"/>
                <w:szCs w:val="13"/>
                <w:b w:val="1"/>
                <w:bCs w:val="1"/>
                <w:color w:val="1F2668"/>
              </w:rPr>
              <w:t>Based</w:t>
            </w:r>
          </w:p>
        </w:tc>
      </w:tr>
      <w:tr>
        <w:trPr>
          <w:trHeight w:val="220"/>
        </w:trPr>
        <w:tc>
          <w:tcPr>
            <w:tcW w:w="160" w:type="dxa"/>
            <w:vAlign w:val="bottom"/>
            <w:gridSpan w:val="2"/>
          </w:tcPr>
          <w:p>
            <w:pPr>
              <w:ind w:left="20"/>
              <w:spacing w:after="0"/>
              <w:rPr>
                <w:sz w:val="20"/>
                <w:szCs w:val="20"/>
                <w:color w:val="auto"/>
              </w:rPr>
            </w:pPr>
            <w:r>
              <w:rPr>
                <w:rFonts w:ascii="Arial" w:cs="Arial" w:eastAsia="Arial" w:hAnsi="Arial"/>
                <w:sz w:val="13"/>
                <w:szCs w:val="13"/>
                <w:b w:val="1"/>
                <w:bCs w:val="1"/>
                <w:color w:val="1F2668"/>
              </w:rPr>
              <w:t>​ ​</w:t>
            </w:r>
          </w:p>
        </w:tc>
        <w:tc>
          <w:tcPr>
            <w:tcW w:w="1760" w:type="dxa"/>
            <w:vAlign w:val="bottom"/>
            <w:gridSpan w:val="6"/>
          </w:tcPr>
          <w:p>
            <w:pPr>
              <w:jc w:val="right"/>
              <w:spacing w:after="0" w:line="221" w:lineRule="exact"/>
              <w:rPr>
                <w:sz w:val="20"/>
                <w:szCs w:val="20"/>
                <w:color w:val="auto"/>
              </w:rPr>
            </w:pPr>
            <w:r>
              <w:rPr>
                <w:rFonts w:ascii="Arial" w:cs="Arial" w:eastAsia="Arial" w:hAnsi="Arial"/>
                <w:sz w:val="13"/>
                <w:szCs w:val="13"/>
                <w:b w:val="1"/>
                <w:bCs w:val="1"/>
                <w:color w:val="1F2668"/>
                <w:w w:val="99"/>
              </w:rPr>
              <w:t>LTIP Units</w:t>
            </w:r>
            <w:r>
              <w:rPr>
                <w:rFonts w:ascii="Arial" w:cs="Arial" w:eastAsia="Arial" w:hAnsi="Arial"/>
                <w:sz w:val="16"/>
                <w:szCs w:val="16"/>
                <w:b w:val="1"/>
                <w:bCs w:val="1"/>
                <w:color w:val="1F2668"/>
                <w:w w:val="99"/>
                <w:vertAlign w:val="superscript"/>
              </w:rPr>
              <w:t>(a)</w:t>
            </w:r>
            <w:r>
              <w:rPr>
                <w:rFonts w:ascii="Arial" w:cs="Arial" w:eastAsia="Arial" w:hAnsi="Arial"/>
                <w:sz w:val="13"/>
                <w:szCs w:val="13"/>
                <w:b w:val="1"/>
                <w:bCs w:val="1"/>
                <w:color w:val="1F2668"/>
                <w:w w:val="99"/>
              </w:rPr>
              <w:t xml:space="preserve">  </w:t>
            </w:r>
            <w:r>
              <w:rPr>
                <w:rFonts w:ascii="Arial" w:cs="Arial" w:eastAsia="Arial" w:hAnsi="Arial"/>
                <w:sz w:val="25"/>
                <w:szCs w:val="25"/>
                <w:b w:val="1"/>
                <w:bCs w:val="1"/>
                <w:color w:val="1F2668"/>
                <w:w w:val="99"/>
                <w:vertAlign w:val="subscript"/>
              </w:rPr>
              <w:t>​ ​</w:t>
            </w:r>
            <w:r>
              <w:rPr>
                <w:rFonts w:ascii="Arial" w:cs="Arial" w:eastAsia="Arial" w:hAnsi="Arial"/>
                <w:sz w:val="13"/>
                <w:szCs w:val="13"/>
                <w:b w:val="1"/>
                <w:bCs w:val="1"/>
                <w:color w:val="1F2668"/>
                <w:w w:val="99"/>
              </w:rPr>
              <w:t xml:space="preserve">  LTIP Units</w:t>
            </w:r>
            <w:r>
              <w:rPr>
                <w:rFonts w:ascii="Arial" w:cs="Arial" w:eastAsia="Arial" w:hAnsi="Arial"/>
                <w:sz w:val="16"/>
                <w:szCs w:val="16"/>
                <w:b w:val="1"/>
                <w:bCs w:val="1"/>
                <w:color w:val="1F2668"/>
                <w:w w:val="99"/>
                <w:vertAlign w:val="superscript"/>
              </w:rPr>
              <w:t>(b)</w:t>
            </w:r>
            <w:r>
              <w:rPr>
                <w:rFonts w:ascii="Arial" w:cs="Arial" w:eastAsia="Arial" w:hAnsi="Arial"/>
                <w:sz w:val="25"/>
                <w:szCs w:val="25"/>
                <w:b w:val="1"/>
                <w:bCs w:val="1"/>
                <w:color w:val="1F2668"/>
                <w:w w:val="99"/>
                <w:vertAlign w:val="subscript"/>
              </w:rPr>
              <w:t>​</w:t>
            </w:r>
          </w:p>
        </w:tc>
      </w:tr>
      <w:tr>
        <w:trPr>
          <w:trHeight w:val="20"/>
        </w:trPr>
        <w:tc>
          <w:tcPr>
            <w:tcW w:w="80" w:type="dxa"/>
            <w:vAlign w:val="bottom"/>
          </w:tcPr>
          <w:p>
            <w:pPr>
              <w:spacing w:after="0" w:line="20" w:lineRule="exact"/>
              <w:rPr>
                <w:sz w:val="1"/>
                <w:szCs w:val="1"/>
                <w:color w:val="auto"/>
              </w:rPr>
            </w:pPr>
          </w:p>
        </w:tc>
        <w:tc>
          <w:tcPr>
            <w:tcW w:w="80" w:type="dxa"/>
            <w:vAlign w:val="bottom"/>
            <w:shd w:val="clear" w:color="auto" w:fill="1F2668"/>
          </w:tcPr>
          <w:p>
            <w:pPr>
              <w:spacing w:after="0" w:line="20" w:lineRule="exact"/>
              <w:rPr>
                <w:sz w:val="1"/>
                <w:szCs w:val="1"/>
                <w:color w:val="auto"/>
              </w:rPr>
            </w:pPr>
          </w:p>
        </w:tc>
        <w:tc>
          <w:tcPr>
            <w:tcW w:w="760" w:type="dxa"/>
            <w:vAlign w:val="bottom"/>
            <w:gridSpan w:val="2"/>
            <w:shd w:val="clear" w:color="auto" w:fill="1F266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shd w:val="clear" w:color="auto" w:fill="1F266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160" w:type="dxa"/>
            <w:vAlign w:val="bottom"/>
            <w:gridSpan w:val="2"/>
          </w:tcPr>
          <w:p>
            <w:pPr>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spacing w:after="0" w:line="263" w:lineRule="exact"/>
              <w:rPr>
                <w:sz w:val="20"/>
                <w:szCs w:val="20"/>
                <w:color w:val="auto"/>
              </w:rPr>
            </w:pPr>
            <w:r>
              <w:rPr>
                <w:rFonts w:ascii="Arial" w:cs="Arial" w:eastAsia="Arial" w:hAnsi="Arial"/>
                <w:sz w:val="14"/>
                <w:szCs w:val="14"/>
                <w:color w:val="auto"/>
              </w:rPr>
              <w:t>​ 214,417</w:t>
            </w:r>
            <w:r>
              <w:rPr>
                <w:rFonts w:ascii="Arial" w:cs="Arial" w:eastAsia="Arial" w:hAnsi="Arial"/>
                <w:sz w:val="28"/>
                <w:szCs w:val="28"/>
                <w:color w:val="auto"/>
                <w:vertAlign w:val="subscript"/>
              </w:rPr>
              <w:t>​​​</w:t>
            </w:r>
          </w:p>
        </w:tc>
        <w:tc>
          <w:tcPr>
            <w:tcW w:w="880" w:type="dxa"/>
            <w:vAlign w:val="bottom"/>
            <w:gridSpan w:val="3"/>
          </w:tcPr>
          <w:p>
            <w:pPr>
              <w:jc w:val="right"/>
              <w:spacing w:after="0" w:line="263" w:lineRule="exact"/>
              <w:rPr>
                <w:sz w:val="20"/>
                <w:szCs w:val="20"/>
                <w:color w:val="auto"/>
              </w:rPr>
            </w:pPr>
            <w:r>
              <w:rPr>
                <w:rFonts w:ascii="Arial" w:cs="Arial" w:eastAsia="Arial" w:hAnsi="Arial"/>
                <w:sz w:val="14"/>
                <w:szCs w:val="14"/>
                <w:color w:val="auto"/>
              </w:rPr>
              <w:t>​ 276,137</w:t>
            </w:r>
            <w:r>
              <w:rPr>
                <w:rFonts w:ascii="Arial" w:cs="Arial" w:eastAsia="Arial" w:hAnsi="Arial"/>
                <w:sz w:val="28"/>
                <w:szCs w:val="28"/>
                <w:color w:val="auto"/>
                <w:vertAlign w:val="subscript"/>
              </w:rPr>
              <w:t>​</w:t>
            </w:r>
          </w:p>
        </w:tc>
      </w:tr>
      <w:tr>
        <w:trPr>
          <w:trHeight w:val="20"/>
        </w:trPr>
        <w:tc>
          <w:tcPr>
            <w:tcW w:w="8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260" w:type="dxa"/>
            <w:vAlign w:val="bottom"/>
            <w:shd w:val="clear" w:color="auto" w:fill="4B5088"/>
          </w:tcPr>
          <w:p>
            <w:pPr>
              <w:spacing w:after="0" w:line="20" w:lineRule="exact"/>
              <w:rPr>
                <w:sz w:val="1"/>
                <w:szCs w:val="1"/>
                <w:color w:val="auto"/>
              </w:rPr>
            </w:pPr>
          </w:p>
        </w:tc>
        <w:tc>
          <w:tcPr>
            <w:tcW w:w="5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4B5088"/>
          </w:tcPr>
          <w:p>
            <w:pPr>
              <w:spacing w:after="0" w:line="20" w:lineRule="exact"/>
              <w:rPr>
                <w:sz w:val="1"/>
                <w:szCs w:val="1"/>
                <w:color w:val="auto"/>
              </w:rPr>
            </w:pPr>
          </w:p>
        </w:tc>
        <w:tc>
          <w:tcPr>
            <w:tcW w:w="500" w:type="dxa"/>
            <w:vAlign w:val="bottom"/>
            <w:shd w:val="clear" w:color="auto" w:fill="4B508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160" w:type="dxa"/>
            <w:vAlign w:val="bottom"/>
            <w:gridSpan w:val="2"/>
          </w:tcPr>
          <w:p>
            <w:pPr>
              <w:spacing w:after="0"/>
              <w:rPr>
                <w:sz w:val="20"/>
                <w:szCs w:val="20"/>
                <w:color w:val="auto"/>
              </w:rPr>
            </w:pPr>
            <w:r>
              <w:rPr>
                <w:rFonts w:ascii="Arial" w:cs="Arial" w:eastAsia="Arial" w:hAnsi="Arial"/>
                <w:sz w:val="14"/>
                <w:szCs w:val="14"/>
                <w:color w:val="auto"/>
              </w:rPr>
              <w:t>​​</w:t>
            </w:r>
          </w:p>
        </w:tc>
        <w:tc>
          <w:tcPr>
            <w:tcW w:w="260" w:type="dxa"/>
            <w:vAlign w:val="bottom"/>
          </w:tcPr>
          <w:p>
            <w:pPr>
              <w:ind w:left="18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line="263" w:lineRule="exact"/>
              <w:rPr>
                <w:sz w:val="20"/>
                <w:szCs w:val="20"/>
                <w:color w:val="auto"/>
              </w:rPr>
            </w:pPr>
            <w:r>
              <w:rPr>
                <w:rFonts w:ascii="Arial" w:cs="Arial" w:eastAsia="Arial" w:hAnsi="Arial"/>
                <w:sz w:val="14"/>
                <w:szCs w:val="14"/>
                <w:color w:val="auto"/>
              </w:rPr>
              <w:t>15,884</w:t>
            </w:r>
            <w:r>
              <w:rPr>
                <w:rFonts w:ascii="Arial" w:cs="Arial" w:eastAsia="Arial" w:hAnsi="Arial"/>
                <w:sz w:val="28"/>
                <w:szCs w:val="28"/>
                <w:color w:val="auto"/>
                <w:vertAlign w:val="subscript"/>
              </w:rPr>
              <w:t>​​​</w:t>
            </w:r>
          </w:p>
        </w:tc>
        <w:tc>
          <w:tcPr>
            <w:tcW w:w="340" w:type="dxa"/>
            <w:vAlign w:val="bottom"/>
          </w:tcPr>
          <w:p>
            <w:pPr>
              <w:ind w:left="24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spacing w:after="0" w:line="263" w:lineRule="exact"/>
              <w:rPr>
                <w:sz w:val="20"/>
                <w:szCs w:val="20"/>
                <w:color w:val="auto"/>
              </w:rPr>
            </w:pPr>
            <w:r>
              <w:rPr>
                <w:rFonts w:ascii="Arial" w:cs="Arial" w:eastAsia="Arial" w:hAnsi="Arial"/>
                <w:sz w:val="14"/>
                <w:szCs w:val="14"/>
                <w:color w:val="auto"/>
              </w:rPr>
              <w:t>20,454</w:t>
            </w:r>
            <w:r>
              <w:rPr>
                <w:rFonts w:ascii="Arial" w:cs="Arial" w:eastAsia="Arial" w:hAnsi="Arial"/>
                <w:sz w:val="28"/>
                <w:szCs w:val="28"/>
                <w:color w:val="auto"/>
                <w:vertAlign w:val="subscript"/>
              </w:rPr>
              <w:t>​</w:t>
            </w:r>
          </w:p>
        </w:tc>
      </w:tr>
      <w:tr>
        <w:trPr>
          <w:trHeight w:val="20"/>
        </w:trPr>
        <w:tc>
          <w:tcPr>
            <w:tcW w:w="8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260" w:type="dxa"/>
            <w:vAlign w:val="bottom"/>
            <w:shd w:val="clear" w:color="auto" w:fill="4B5088"/>
          </w:tcPr>
          <w:p>
            <w:pPr>
              <w:spacing w:after="0" w:line="20" w:lineRule="exact"/>
              <w:rPr>
                <w:sz w:val="1"/>
                <w:szCs w:val="1"/>
                <w:color w:val="auto"/>
              </w:rPr>
            </w:pPr>
          </w:p>
        </w:tc>
        <w:tc>
          <w:tcPr>
            <w:tcW w:w="5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4B5088"/>
          </w:tcPr>
          <w:p>
            <w:pPr>
              <w:spacing w:after="0" w:line="20" w:lineRule="exact"/>
              <w:rPr>
                <w:sz w:val="1"/>
                <w:szCs w:val="1"/>
                <w:color w:val="auto"/>
              </w:rPr>
            </w:pPr>
          </w:p>
        </w:tc>
        <w:tc>
          <w:tcPr>
            <w:tcW w:w="500" w:type="dxa"/>
            <w:vAlign w:val="bottom"/>
            <w:shd w:val="clear" w:color="auto" w:fill="4B508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160" w:type="dxa"/>
            <w:vAlign w:val="bottom"/>
            <w:gridSpan w:val="2"/>
          </w:tcPr>
          <w:p>
            <w:pPr>
              <w:spacing w:after="0"/>
              <w:rPr>
                <w:sz w:val="20"/>
                <w:szCs w:val="20"/>
                <w:color w:val="auto"/>
              </w:rPr>
            </w:pPr>
            <w:r>
              <w:rPr>
                <w:rFonts w:ascii="Arial" w:cs="Arial" w:eastAsia="Arial" w:hAnsi="Arial"/>
                <w:sz w:val="14"/>
                <w:szCs w:val="14"/>
                <w:color w:val="auto"/>
              </w:rPr>
              <w:t>​​</w:t>
            </w:r>
          </w:p>
        </w:tc>
        <w:tc>
          <w:tcPr>
            <w:tcW w:w="260" w:type="dxa"/>
            <w:vAlign w:val="bottom"/>
          </w:tcPr>
          <w:p>
            <w:pPr>
              <w:ind w:left="18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line="263" w:lineRule="exact"/>
              <w:rPr>
                <w:sz w:val="20"/>
                <w:szCs w:val="20"/>
                <w:color w:val="auto"/>
              </w:rPr>
            </w:pPr>
            <w:r>
              <w:rPr>
                <w:rFonts w:ascii="Arial" w:cs="Arial" w:eastAsia="Arial" w:hAnsi="Arial"/>
                <w:sz w:val="14"/>
                <w:szCs w:val="14"/>
                <w:color w:val="auto"/>
              </w:rPr>
              <w:t>15,884</w:t>
            </w:r>
            <w:r>
              <w:rPr>
                <w:rFonts w:ascii="Arial" w:cs="Arial" w:eastAsia="Arial" w:hAnsi="Arial"/>
                <w:sz w:val="28"/>
                <w:szCs w:val="28"/>
                <w:color w:val="auto"/>
                <w:vertAlign w:val="subscript"/>
              </w:rPr>
              <w:t>​​​</w:t>
            </w:r>
          </w:p>
        </w:tc>
        <w:tc>
          <w:tcPr>
            <w:tcW w:w="340" w:type="dxa"/>
            <w:vAlign w:val="bottom"/>
          </w:tcPr>
          <w:p>
            <w:pPr>
              <w:ind w:left="24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spacing w:after="0" w:line="263" w:lineRule="exact"/>
              <w:rPr>
                <w:sz w:val="20"/>
                <w:szCs w:val="20"/>
                <w:color w:val="auto"/>
              </w:rPr>
            </w:pPr>
            <w:r>
              <w:rPr>
                <w:rFonts w:ascii="Arial" w:cs="Arial" w:eastAsia="Arial" w:hAnsi="Arial"/>
                <w:sz w:val="14"/>
                <w:szCs w:val="14"/>
                <w:color w:val="auto"/>
              </w:rPr>
              <w:t>20,454</w:t>
            </w:r>
            <w:r>
              <w:rPr>
                <w:rFonts w:ascii="Arial" w:cs="Arial" w:eastAsia="Arial" w:hAnsi="Arial"/>
                <w:sz w:val="28"/>
                <w:szCs w:val="28"/>
                <w:color w:val="auto"/>
                <w:vertAlign w:val="subscript"/>
              </w:rPr>
              <w:t>​</w:t>
            </w:r>
          </w:p>
        </w:tc>
      </w:tr>
      <w:tr>
        <w:trPr>
          <w:trHeight w:val="20"/>
        </w:trPr>
        <w:tc>
          <w:tcPr>
            <w:tcW w:w="80" w:type="dxa"/>
            <w:vAlign w:val="bottom"/>
          </w:tcPr>
          <w:p>
            <w:pPr>
              <w:spacing w:after="0" w:line="20" w:lineRule="exact"/>
              <w:rPr>
                <w:sz w:val="1"/>
                <w:szCs w:val="1"/>
                <w:color w:val="auto"/>
              </w:rPr>
            </w:pPr>
          </w:p>
        </w:tc>
        <w:tc>
          <w:tcPr>
            <w:tcW w:w="80" w:type="dxa"/>
            <w:vAlign w:val="bottom"/>
            <w:shd w:val="clear" w:color="auto" w:fill="1F2668"/>
          </w:tcPr>
          <w:p>
            <w:pPr>
              <w:spacing w:after="0" w:line="20" w:lineRule="exact"/>
              <w:rPr>
                <w:sz w:val="1"/>
                <w:szCs w:val="1"/>
                <w:color w:val="auto"/>
              </w:rPr>
            </w:pPr>
          </w:p>
        </w:tc>
        <w:tc>
          <w:tcPr>
            <w:tcW w:w="260" w:type="dxa"/>
            <w:vAlign w:val="bottom"/>
            <w:shd w:val="clear" w:color="auto" w:fill="1F2668"/>
          </w:tcPr>
          <w:p>
            <w:pPr>
              <w:spacing w:after="0" w:line="20" w:lineRule="exact"/>
              <w:rPr>
                <w:sz w:val="1"/>
                <w:szCs w:val="1"/>
                <w:color w:val="auto"/>
              </w:rPr>
            </w:pPr>
          </w:p>
        </w:tc>
        <w:tc>
          <w:tcPr>
            <w:tcW w:w="500" w:type="dxa"/>
            <w:vAlign w:val="bottom"/>
            <w:shd w:val="clear" w:color="auto" w:fill="1F266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1F2668"/>
          </w:tcPr>
          <w:p>
            <w:pPr>
              <w:spacing w:after="0" w:line="20" w:lineRule="exact"/>
              <w:rPr>
                <w:sz w:val="1"/>
                <w:szCs w:val="1"/>
                <w:color w:val="auto"/>
              </w:rPr>
            </w:pPr>
          </w:p>
        </w:tc>
        <w:tc>
          <w:tcPr>
            <w:tcW w:w="500" w:type="dxa"/>
            <w:vAlign w:val="bottom"/>
            <w:shd w:val="clear" w:color="auto" w:fill="1F266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6" w:lineRule="exact"/>
        <w:rPr>
          <w:sz w:val="20"/>
          <w:szCs w:val="20"/>
          <w:color w:val="auto"/>
        </w:rPr>
      </w:pPr>
    </w:p>
    <w:p>
      <w:pPr>
        <w:sectPr>
          <w:pgSz w:w="11900" w:h="16838" w:orient="portrait"/>
          <w:cols w:equalWidth="0" w:num="2">
            <w:col w:w="7280" w:space="720"/>
            <w:col w:w="1940"/>
          </w:cols>
          <w:pgMar w:left="580" w:top="97" w:right="1379" w:bottom="1440" w:gutter="0" w:footer="0" w:header="0"/>
        </w:sectPr>
      </w:pPr>
    </w:p>
    <w:p>
      <w:pPr>
        <w:ind w:left="1540" w:right="100" w:hanging="364"/>
        <w:spacing w:after="0" w:line="273" w:lineRule="auto"/>
        <w:tabs>
          <w:tab w:leader="none" w:pos="1540" w:val="left"/>
        </w:tabs>
        <w:numPr>
          <w:ilvl w:val="1"/>
          <w:numId w:val="89"/>
        </w:numPr>
        <w:rPr>
          <w:rFonts w:ascii="Arial" w:cs="Arial" w:eastAsia="Arial" w:hAnsi="Arial"/>
          <w:sz w:val="14"/>
          <w:szCs w:val="14"/>
          <w:color w:val="auto"/>
        </w:rPr>
      </w:pPr>
      <w:r>
        <w:rPr>
          <w:rFonts w:ascii="Arial" w:cs="Arial" w:eastAsia="Arial" w:hAnsi="Arial"/>
          <w:sz w:val="14"/>
          <w:szCs w:val="14"/>
          <w:color w:val="auto"/>
        </w:rPr>
        <w:t>Represents the sum of the LTIP units that would be earned if (i) the “maximum” performance goal were achieved with respect to the portion of the LTIP units eligible to be earned based on absolute TSR, (ii) the “maximum” performance goal were achieved with respect to the portion of the LTIP units eligible to be earned based on TSR relative to the constituents of the Bloomberg North American Office REIT Valuation Peers Index and (iii) the “maximum” performance goal was achieved with respect to the portion of the LTIP units eligible to be earned based on TSR relative to NYC peers. Earned LTIP units will vest 100% for Mr. Holliday on December 31, 2026, and 50% on each of December 31, 2026 and December 31, 2027 for Messrs. DiLiberto and Levine, subject, in each case, to continued employment. See “—Compensation Discussion and Analysis—Our 2024 Executive Compensation Program” and “—Compensation Discussion and Analysis—Other Compensation Policies and Information—Outstanding Annual Equity Award Performance Summary (2022-2024)” for a description of the terms of these performance-based awards and the Company’s projected performance as of December 31, 2024.</w:t>
      </w:r>
    </w:p>
    <w:p>
      <w:pPr>
        <w:spacing w:after="0" w:line="45" w:lineRule="exact"/>
        <w:rPr>
          <w:rFonts w:ascii="Arial" w:cs="Arial" w:eastAsia="Arial" w:hAnsi="Arial"/>
          <w:sz w:val="14"/>
          <w:szCs w:val="14"/>
          <w:color w:val="auto"/>
        </w:rPr>
      </w:pPr>
    </w:p>
    <w:p>
      <w:pPr>
        <w:ind w:left="1540" w:right="160" w:hanging="364"/>
        <w:spacing w:after="0" w:line="273" w:lineRule="auto"/>
        <w:tabs>
          <w:tab w:leader="none" w:pos="1540" w:val="left"/>
        </w:tabs>
        <w:numPr>
          <w:ilvl w:val="1"/>
          <w:numId w:val="89"/>
        </w:numPr>
        <w:rPr>
          <w:rFonts w:ascii="Arial" w:cs="Arial" w:eastAsia="Arial" w:hAnsi="Arial"/>
          <w:sz w:val="14"/>
          <w:szCs w:val="14"/>
          <w:color w:val="auto"/>
        </w:rPr>
      </w:pPr>
      <w:r>
        <w:rPr>
          <w:rFonts w:ascii="Arial" w:cs="Arial" w:eastAsia="Arial" w:hAnsi="Arial"/>
          <w:sz w:val="14"/>
          <w:szCs w:val="14"/>
          <w:color w:val="auto"/>
        </w:rPr>
        <w:t>Represents the sum of the LTIP units that would be earned if (i) the “maximum” performance goal were achieved with respect to the portion of the LTIP units eligible to be earned based on absolute TSR, (ii) the “maximum” performance goal were achieved with respect to the portion of the LTIP units eligible to be earned based on TSR relative to the constituents of the Dow Jones U.S. Real Estate Office Index and (iii) the “maximum” performance goal was achieved with respect to the portion of the LTIP units eligible to be earned based on TSR relative to NYC peers. Earned LTIP units will vest 100% for Mr. Holliday on December 31, 2025, and 50% on each of December 31, 2025 and December 31, 2026 for Messrs. DiLiberto and Levine, subject, in each case, to continued employment. See “—Compensation Discussion and Analysis—Our 2024 Executive Compensation Program” and “— Compensation Discussion and Analysis—Other Compensation Policies and Information—Outstanding Annual Equity Award Performance Summary (2022-2024)” for a description of the terms of these performance-based awards and the Company’s projected performance as of December 31, 2024.</w:t>
      </w:r>
    </w:p>
    <w:p>
      <w:pPr>
        <w:spacing w:after="0" w:line="31" w:lineRule="exact"/>
        <w:rPr>
          <w:rFonts w:ascii="Arial" w:cs="Arial" w:eastAsia="Arial" w:hAnsi="Arial"/>
          <w:sz w:val="14"/>
          <w:szCs w:val="14"/>
          <w:color w:val="auto"/>
        </w:rPr>
      </w:pPr>
    </w:p>
    <w:p>
      <w:pPr>
        <w:ind w:left="1180" w:right="100" w:hanging="364"/>
        <w:spacing w:after="0" w:line="282" w:lineRule="auto"/>
        <w:tabs>
          <w:tab w:leader="none" w:pos="11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Reflects awards of Class O LTIP units. The conversion threshold for the Class O LTIP units, which is equivalent to the exercise price for a stock option, was determined by reference to the fair market value under our Fifth Amended and Restated 2005 Stock Option and Incentive Plan of one share of our common stock on each applicable grant date. See “—Other Compensation Policies and Information—Other​ Matters—LTIP units and Class O LTIP units” for a description of Class O LTIP units.</w:t>
      </w:r>
    </w:p>
    <w:p>
      <w:pPr>
        <w:spacing w:after="0" w:line="39" w:lineRule="exact"/>
        <w:rPr>
          <w:rFonts w:ascii="Arial" w:cs="Arial" w:eastAsia="Arial" w:hAnsi="Arial"/>
          <w:sz w:val="14"/>
          <w:szCs w:val="14"/>
          <w:color w:val="auto"/>
        </w:rPr>
      </w:pPr>
    </w:p>
    <w:p>
      <w:pPr>
        <w:ind w:left="1180" w:right="60" w:hanging="364"/>
        <w:spacing w:after="0" w:line="273" w:lineRule="auto"/>
        <w:tabs>
          <w:tab w:leader="none" w:pos="11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Reflects an award of Class O LTIP units with a mandatory conversion date that is 10 years after the date of grant, which vests in three equal installments on each of December 31, 2025, December 31, 2026 and December 31, 2027, subject to continued employment. In addition, the Class O LTIP units are subject to performance-based vesting conditions and will only be eligible for conversion if the average per share price of our common stock equals or exceeds $100.00 as of any trailing twenty trading day period between the grant date and the fifth anniversary thereafter. The conversion threshold for the Class O LTIP units, which is equivalent to the exercise price for a stock option, was determined by reference to the fair market value under our Fifth Amended and Restated 2005 Stock Option and Incentive Plan of one share of our common stock on each applicable grant date. See “—Other Compensation Policies and Information—Other​ Matters—LTIP units and Class O LTIP units” for a description of Class O LTIP units.</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2024 Option Exercises and Stock Vested</w:t>
      </w:r>
    </w:p>
    <w:p>
      <w:pPr>
        <w:spacing w:after="0" w:line="133" w:lineRule="exact"/>
        <w:rPr>
          <w:sz w:val="20"/>
          <w:szCs w:val="20"/>
          <w:color w:val="auto"/>
        </w:rPr>
      </w:pPr>
    </w:p>
    <w:p>
      <w:pPr>
        <w:jc w:val="both"/>
        <w:ind w:left="820" w:right="240"/>
        <w:spacing w:after="0" w:line="301" w:lineRule="auto"/>
        <w:rPr>
          <w:sz w:val="20"/>
          <w:szCs w:val="20"/>
          <w:color w:val="auto"/>
        </w:rPr>
      </w:pPr>
      <w:r>
        <w:rPr>
          <w:rFonts w:ascii="Arial" w:cs="Arial" w:eastAsia="Arial" w:hAnsi="Arial"/>
          <w:sz w:val="16"/>
          <w:szCs w:val="16"/>
          <w:color w:val="auto"/>
        </w:rPr>
        <w:t>The following table sets forth certain information with respect to the exercise of stock options and the vesting of stock, including restricted stock, restricted stock units, LTIP units and similar instruments for each named executive officer during the fiscal year ended December 31, 2024.</w:t>
      </w:r>
    </w:p>
    <w:p>
      <w:pPr>
        <w:spacing w:after="0" w:line="136" w:lineRule="exact"/>
        <w:rPr>
          <w:sz w:val="20"/>
          <w:szCs w:val="20"/>
          <w:color w:val="auto"/>
        </w:rPr>
      </w:pPr>
    </w:p>
    <w:tbl>
      <w:tblPr>
        <w:tblLayout w:type="fixed"/>
        <w:tblInd w:w="820" w:type="dxa"/>
        <w:tblCellMar>
          <w:top w:w="0" w:type="dxa"/>
          <w:left w:w="0" w:type="dxa"/>
          <w:bottom w:w="0" w:type="dxa"/>
          <w:right w:w="0" w:type="dxa"/>
        </w:tblCellMar>
      </w:tblPr>
      <w:tr>
        <w:trPr>
          <w:trHeight w:val="225"/>
        </w:trPr>
        <w:tc>
          <w:tcPr>
            <w:tcW w:w="5320" w:type="dxa"/>
            <w:vAlign w:val="bottom"/>
          </w:tcPr>
          <w:p>
            <w:pPr>
              <w:spacing w:after="0"/>
              <w:rPr>
                <w:sz w:val="20"/>
                <w:szCs w:val="20"/>
                <w:color w:val="auto"/>
              </w:rPr>
            </w:pPr>
            <w:r>
              <w:rPr>
                <w:rFonts w:ascii="Arial" w:cs="Arial" w:eastAsia="Arial" w:hAnsi="Arial"/>
                <w:sz w:val="14"/>
                <w:szCs w:val="14"/>
                <w:color w:val="1F2668"/>
              </w:rPr>
              <w:t>​</w:t>
            </w:r>
          </w:p>
        </w:tc>
        <w:tc>
          <w:tcPr>
            <w:tcW w:w="160" w:type="dxa"/>
            <w:vAlign w:val="bottom"/>
          </w:tcPr>
          <w:p>
            <w:pPr>
              <w:ind w:left="40"/>
              <w:spacing w:after="0"/>
              <w:rPr>
                <w:sz w:val="20"/>
                <w:szCs w:val="20"/>
                <w:color w:val="auto"/>
              </w:rPr>
            </w:pPr>
            <w:r>
              <w:rPr>
                <w:rFonts w:ascii="Arial" w:cs="Arial" w:eastAsia="Arial" w:hAnsi="Arial"/>
                <w:sz w:val="14"/>
                <w:szCs w:val="14"/>
                <w:color w:val="1F2668"/>
              </w:rPr>
              <w:t>​​</w:t>
            </w:r>
          </w:p>
        </w:tc>
        <w:tc>
          <w:tcPr>
            <w:tcW w:w="1720" w:type="dxa"/>
            <w:vAlign w:val="bottom"/>
            <w:gridSpan w:val="3"/>
          </w:tcPr>
          <w:p>
            <w:pPr>
              <w:jc w:val="center"/>
              <w:spacing w:after="0"/>
              <w:rPr>
                <w:sz w:val="20"/>
                <w:szCs w:val="20"/>
                <w:color w:val="auto"/>
              </w:rPr>
            </w:pPr>
            <w:r>
              <w:rPr>
                <w:rFonts w:ascii="Arial" w:cs="Arial" w:eastAsia="Arial" w:hAnsi="Arial"/>
                <w:sz w:val="14"/>
                <w:szCs w:val="14"/>
                <w:color w:val="1F2668"/>
              </w:rPr>
              <w:t>Option Awards</w:t>
            </w:r>
          </w:p>
        </w:tc>
        <w:tc>
          <w:tcPr>
            <w:tcW w:w="180" w:type="dxa"/>
            <w:vAlign w:val="bottom"/>
          </w:tcPr>
          <w:p>
            <w:pPr>
              <w:jc w:val="right"/>
              <w:spacing w:after="0"/>
              <w:rPr>
                <w:sz w:val="20"/>
                <w:szCs w:val="20"/>
                <w:color w:val="auto"/>
              </w:rPr>
            </w:pPr>
            <w:r>
              <w:rPr>
                <w:rFonts w:ascii="Arial" w:cs="Arial" w:eastAsia="Arial" w:hAnsi="Arial"/>
                <w:sz w:val="14"/>
                <w:szCs w:val="14"/>
                <w:color w:val="1F2668"/>
              </w:rPr>
              <w:t>​​</w:t>
            </w:r>
          </w:p>
        </w:tc>
        <w:tc>
          <w:tcPr>
            <w:tcW w:w="1680" w:type="dxa"/>
            <w:vAlign w:val="bottom"/>
            <w:gridSpan w:val="4"/>
          </w:tcPr>
          <w:p>
            <w:pPr>
              <w:jc w:val="right"/>
              <w:ind w:right="366"/>
              <w:spacing w:after="0"/>
              <w:rPr>
                <w:sz w:val="20"/>
                <w:szCs w:val="20"/>
                <w:color w:val="auto"/>
              </w:rPr>
            </w:pPr>
            <w:r>
              <w:rPr>
                <w:rFonts w:ascii="Arial" w:cs="Arial" w:eastAsia="Arial" w:hAnsi="Arial"/>
                <w:sz w:val="14"/>
                <w:szCs w:val="14"/>
                <w:color w:val="1F2668"/>
              </w:rPr>
              <w:t>Stock Awards</w:t>
            </w:r>
          </w:p>
        </w:tc>
        <w:tc>
          <w:tcPr>
            <w:tcW w:w="60" w:type="dxa"/>
            <w:vAlign w:val="bottom"/>
          </w:tcPr>
          <w:p>
            <w:pPr>
              <w:jc w:val="right"/>
              <w:spacing w:after="0"/>
              <w:rPr>
                <w:sz w:val="20"/>
                <w:szCs w:val="20"/>
                <w:color w:val="auto"/>
              </w:rPr>
            </w:pPr>
            <w:r>
              <w:rPr>
                <w:rFonts w:ascii="Arial" w:cs="Arial" w:eastAsia="Arial" w:hAnsi="Arial"/>
                <w:sz w:val="14"/>
                <w:szCs w:val="14"/>
                <w:color w:val="1F2668"/>
              </w:rPr>
              <w:t>​</w:t>
            </w:r>
          </w:p>
        </w:tc>
      </w:tr>
      <w:tr>
        <w:trPr>
          <w:trHeight w:val="200"/>
        </w:trPr>
        <w:tc>
          <w:tcPr>
            <w:tcW w:w="5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top w:val="single" w:sz="8" w:color="1F2668"/>
            </w:tcBorders>
          </w:tcPr>
          <w:p>
            <w:pPr>
              <w:jc w:val="right"/>
              <w:spacing w:after="0"/>
              <w:rPr>
                <w:sz w:val="20"/>
                <w:szCs w:val="20"/>
                <w:color w:val="auto"/>
              </w:rPr>
            </w:pPr>
            <w:r>
              <w:rPr>
                <w:rFonts w:ascii="Arial" w:cs="Arial" w:eastAsia="Arial" w:hAnsi="Arial"/>
                <w:sz w:val="14"/>
                <w:szCs w:val="14"/>
                <w:color w:val="1F2668"/>
              </w:rPr>
              <w:t>Number of</w:t>
            </w:r>
          </w:p>
        </w:tc>
        <w:tc>
          <w:tcPr>
            <w:tcW w:w="160" w:type="dxa"/>
            <w:vAlign w:val="bottom"/>
            <w:tcBorders>
              <w:top w:val="single" w:sz="8" w:color="1F2668"/>
            </w:tcBorders>
          </w:tcPr>
          <w:p>
            <w:pPr>
              <w:spacing w:after="0"/>
              <w:rPr>
                <w:sz w:val="17"/>
                <w:szCs w:val="17"/>
                <w:color w:val="auto"/>
              </w:rPr>
            </w:pPr>
          </w:p>
        </w:tc>
        <w:tc>
          <w:tcPr>
            <w:tcW w:w="780" w:type="dxa"/>
            <w:vAlign w:val="bottom"/>
            <w:tcBorders>
              <w:top w:val="single" w:sz="8" w:color="1F2668"/>
            </w:tcBorders>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Borders>
              <w:top w:val="single" w:sz="8" w:color="1F2668"/>
            </w:tcBorders>
            <w:gridSpan w:val="3"/>
          </w:tcPr>
          <w:p>
            <w:pPr>
              <w:jc w:val="right"/>
              <w:ind w:right="280"/>
              <w:spacing w:after="0"/>
              <w:rPr>
                <w:sz w:val="20"/>
                <w:szCs w:val="20"/>
                <w:color w:val="auto"/>
              </w:rPr>
            </w:pPr>
            <w:r>
              <w:rPr>
                <w:rFonts w:ascii="Arial" w:cs="Arial" w:eastAsia="Arial" w:hAnsi="Arial"/>
                <w:sz w:val="14"/>
                <w:szCs w:val="14"/>
                <w:color w:val="1F2668"/>
                <w:w w:val="88"/>
              </w:rPr>
              <w:t>Number of</w:t>
            </w:r>
          </w:p>
        </w:tc>
        <w:tc>
          <w:tcPr>
            <w:tcW w:w="800" w:type="dxa"/>
            <w:vAlign w:val="bottom"/>
            <w:tcBorders>
              <w:top w:val="single" w:sz="8" w:color="1F2668"/>
            </w:tcBorders>
          </w:tcPr>
          <w:p>
            <w:pPr>
              <w:spacing w:after="0"/>
              <w:rPr>
                <w:sz w:val="17"/>
                <w:szCs w:val="17"/>
                <w:color w:val="auto"/>
              </w:rPr>
            </w:pPr>
          </w:p>
        </w:tc>
        <w:tc>
          <w:tcPr>
            <w:tcW w:w="60" w:type="dxa"/>
            <w:vAlign w:val="bottom"/>
          </w:tcPr>
          <w:p>
            <w:pPr>
              <w:spacing w:after="0"/>
              <w:rPr>
                <w:sz w:val="17"/>
                <w:szCs w:val="17"/>
                <w:color w:val="auto"/>
              </w:rPr>
            </w:pPr>
          </w:p>
        </w:tc>
      </w:tr>
      <w:tr>
        <w:trPr>
          <w:trHeight w:val="162"/>
        </w:trPr>
        <w:tc>
          <w:tcPr>
            <w:tcW w:w="5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1F2668"/>
              </w:rPr>
              <w:t>Shares</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1F2668"/>
              </w:rPr>
              <w:t>Value</w:t>
            </w:r>
          </w:p>
        </w:tc>
        <w:tc>
          <w:tcPr>
            <w:tcW w:w="180" w:type="dxa"/>
            <w:vAlign w:val="bottom"/>
          </w:tcPr>
          <w:p>
            <w:pPr>
              <w:spacing w:after="0"/>
              <w:rPr>
                <w:sz w:val="14"/>
                <w:szCs w:val="14"/>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4"/>
                <w:szCs w:val="14"/>
                <w:color w:val="1F2668"/>
              </w:rPr>
              <w:t>Shares</w:t>
            </w:r>
          </w:p>
        </w:tc>
        <w:tc>
          <w:tcPr>
            <w:tcW w:w="800" w:type="dxa"/>
            <w:vAlign w:val="bottom"/>
          </w:tcPr>
          <w:p>
            <w:pPr>
              <w:jc w:val="right"/>
              <w:spacing w:after="0"/>
              <w:rPr>
                <w:sz w:val="20"/>
                <w:szCs w:val="20"/>
                <w:color w:val="auto"/>
              </w:rPr>
            </w:pPr>
            <w:r>
              <w:rPr>
                <w:rFonts w:ascii="Arial" w:cs="Arial" w:eastAsia="Arial" w:hAnsi="Arial"/>
                <w:sz w:val="14"/>
                <w:szCs w:val="14"/>
                <w:color w:val="1F2668"/>
              </w:rPr>
              <w:t>Value</w:t>
            </w:r>
          </w:p>
        </w:tc>
        <w:tc>
          <w:tcPr>
            <w:tcW w:w="60" w:type="dxa"/>
            <w:vAlign w:val="bottom"/>
          </w:tcPr>
          <w:p>
            <w:pPr>
              <w:spacing w:after="0"/>
              <w:rPr>
                <w:sz w:val="14"/>
                <w:szCs w:val="14"/>
                <w:color w:val="auto"/>
              </w:rPr>
            </w:pPr>
          </w:p>
        </w:tc>
      </w:tr>
      <w:tr>
        <w:trPr>
          <w:trHeight w:val="162"/>
        </w:trPr>
        <w:tc>
          <w:tcPr>
            <w:tcW w:w="5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1F2668"/>
              </w:rPr>
              <w:t>Acquired</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1F2668"/>
                <w:w w:val="97"/>
              </w:rPr>
              <w:t>Realized on</w:t>
            </w:r>
          </w:p>
        </w:tc>
        <w:tc>
          <w:tcPr>
            <w:tcW w:w="180" w:type="dxa"/>
            <w:vAlign w:val="bottom"/>
          </w:tcPr>
          <w:p>
            <w:pPr>
              <w:spacing w:after="0"/>
              <w:rPr>
                <w:sz w:val="14"/>
                <w:szCs w:val="14"/>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4"/>
                <w:szCs w:val="14"/>
                <w:color w:val="1F2668"/>
              </w:rPr>
              <w:t>Acquired</w:t>
            </w:r>
          </w:p>
        </w:tc>
        <w:tc>
          <w:tcPr>
            <w:tcW w:w="800" w:type="dxa"/>
            <w:vAlign w:val="bottom"/>
          </w:tcPr>
          <w:p>
            <w:pPr>
              <w:jc w:val="right"/>
              <w:spacing w:after="0"/>
              <w:rPr>
                <w:sz w:val="20"/>
                <w:szCs w:val="20"/>
                <w:color w:val="auto"/>
              </w:rPr>
            </w:pPr>
            <w:r>
              <w:rPr>
                <w:rFonts w:ascii="Arial" w:cs="Arial" w:eastAsia="Arial" w:hAnsi="Arial"/>
                <w:sz w:val="14"/>
                <w:szCs w:val="14"/>
                <w:color w:val="1F2668"/>
              </w:rPr>
              <w:t>Realized on</w:t>
            </w:r>
          </w:p>
        </w:tc>
        <w:tc>
          <w:tcPr>
            <w:tcW w:w="60" w:type="dxa"/>
            <w:vAlign w:val="bottom"/>
          </w:tcPr>
          <w:p>
            <w:pPr>
              <w:spacing w:after="0"/>
              <w:rPr>
                <w:sz w:val="14"/>
                <w:szCs w:val="14"/>
                <w:color w:val="auto"/>
              </w:rPr>
            </w:pPr>
          </w:p>
        </w:tc>
      </w:tr>
      <w:tr>
        <w:trPr>
          <w:trHeight w:val="162"/>
        </w:trPr>
        <w:tc>
          <w:tcPr>
            <w:tcW w:w="5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1F2668"/>
                <w:w w:val="98"/>
              </w:rPr>
              <w:t>on Exercise</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1F2668"/>
              </w:rPr>
              <w:t>Vesting</w:t>
            </w:r>
          </w:p>
        </w:tc>
        <w:tc>
          <w:tcPr>
            <w:tcW w:w="180" w:type="dxa"/>
            <w:vAlign w:val="bottom"/>
          </w:tcPr>
          <w:p>
            <w:pPr>
              <w:spacing w:after="0"/>
              <w:rPr>
                <w:sz w:val="14"/>
                <w:szCs w:val="14"/>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4"/>
                <w:szCs w:val="14"/>
                <w:color w:val="1F2668"/>
                <w:w w:val="87"/>
              </w:rPr>
              <w:t>on Vesting</w:t>
            </w:r>
          </w:p>
        </w:tc>
        <w:tc>
          <w:tcPr>
            <w:tcW w:w="800" w:type="dxa"/>
            <w:vAlign w:val="bottom"/>
          </w:tcPr>
          <w:p>
            <w:pPr>
              <w:jc w:val="right"/>
              <w:spacing w:after="0" w:line="162" w:lineRule="exact"/>
              <w:rPr>
                <w:sz w:val="20"/>
                <w:szCs w:val="20"/>
                <w:color w:val="auto"/>
              </w:rPr>
            </w:pPr>
            <w:r>
              <w:rPr>
                <w:rFonts w:ascii="Arial" w:cs="Arial" w:eastAsia="Arial" w:hAnsi="Arial"/>
                <w:sz w:val="14"/>
                <w:szCs w:val="14"/>
                <w:color w:val="1F2668"/>
              </w:rPr>
              <w:t>Vesting</w:t>
            </w:r>
            <w:r>
              <w:rPr>
                <w:rFonts w:ascii="Arial" w:cs="Arial" w:eastAsia="Arial" w:hAnsi="Arial"/>
                <w:sz w:val="17"/>
                <w:szCs w:val="17"/>
                <w:b w:val="1"/>
                <w:bCs w:val="1"/>
                <w:color w:val="1F2668"/>
                <w:vertAlign w:val="superscript"/>
              </w:rPr>
              <w:t>(1)</w:t>
            </w:r>
          </w:p>
        </w:tc>
        <w:tc>
          <w:tcPr>
            <w:tcW w:w="60" w:type="dxa"/>
            <w:vAlign w:val="bottom"/>
          </w:tcPr>
          <w:p>
            <w:pPr>
              <w:spacing w:after="0"/>
              <w:rPr>
                <w:sz w:val="14"/>
                <w:szCs w:val="14"/>
                <w:color w:val="auto"/>
              </w:rPr>
            </w:pPr>
          </w:p>
        </w:tc>
      </w:tr>
      <w:tr>
        <w:trPr>
          <w:trHeight w:val="212"/>
        </w:trPr>
        <w:tc>
          <w:tcPr>
            <w:tcW w:w="5320" w:type="dxa"/>
            <w:vAlign w:val="bottom"/>
          </w:tcPr>
          <w:p>
            <w:pPr>
              <w:spacing w:after="0"/>
              <w:rPr>
                <w:sz w:val="20"/>
                <w:szCs w:val="20"/>
                <w:color w:val="auto"/>
              </w:rPr>
            </w:pPr>
            <w:r>
              <w:rPr>
                <w:rFonts w:ascii="Arial" w:cs="Arial" w:eastAsia="Arial" w:hAnsi="Arial"/>
                <w:sz w:val="14"/>
                <w:szCs w:val="14"/>
                <w:color w:val="1F2668"/>
              </w:rPr>
              <w:t>Name</w:t>
            </w:r>
          </w:p>
        </w:tc>
        <w:tc>
          <w:tcPr>
            <w:tcW w:w="160" w:type="dxa"/>
            <w:vAlign w:val="bottom"/>
          </w:tcPr>
          <w:p>
            <w:pPr>
              <w:ind w:left="60"/>
              <w:spacing w:after="0"/>
              <w:rPr>
                <w:sz w:val="20"/>
                <w:szCs w:val="20"/>
                <w:color w:val="auto"/>
              </w:rPr>
            </w:pPr>
            <w:r>
              <w:rPr>
                <w:rFonts w:ascii="Arial" w:cs="Arial" w:eastAsia="Arial" w:hAnsi="Arial"/>
                <w:sz w:val="14"/>
                <w:szCs w:val="14"/>
                <w:color w:val="1F2668"/>
              </w:rPr>
              <w:t>​​</w:t>
            </w:r>
          </w:p>
        </w:tc>
        <w:tc>
          <w:tcPr>
            <w:tcW w:w="940" w:type="dxa"/>
            <w:vAlign w:val="bottom"/>
            <w:gridSpan w:val="2"/>
          </w:tcPr>
          <w:p>
            <w:pPr>
              <w:ind w:left="600"/>
              <w:spacing w:after="0" w:line="212" w:lineRule="exact"/>
              <w:rPr>
                <w:sz w:val="20"/>
                <w:szCs w:val="20"/>
                <w:color w:val="auto"/>
              </w:rPr>
            </w:pPr>
            <w:r>
              <w:rPr>
                <w:rFonts w:ascii="Arial" w:cs="Arial" w:eastAsia="Arial" w:hAnsi="Arial"/>
                <w:sz w:val="13"/>
                <w:szCs w:val="13"/>
                <w:color w:val="1F2668"/>
              </w:rPr>
              <w:t xml:space="preserve">(#) </w:t>
            </w:r>
            <w:r>
              <w:rPr>
                <w:rFonts w:ascii="Arial" w:cs="Arial" w:eastAsia="Arial" w:hAnsi="Arial"/>
                <w:sz w:val="24"/>
                <w:szCs w:val="24"/>
                <w:color w:val="1F2668"/>
                <w:vertAlign w:val="subscript"/>
              </w:rPr>
              <w:t>​​</w:t>
            </w:r>
          </w:p>
        </w:tc>
        <w:tc>
          <w:tcPr>
            <w:tcW w:w="960" w:type="dxa"/>
            <w:vAlign w:val="bottom"/>
            <w:gridSpan w:val="2"/>
          </w:tcPr>
          <w:p>
            <w:pPr>
              <w:jc w:val="right"/>
              <w:spacing w:after="0" w:line="212" w:lineRule="exact"/>
              <w:rPr>
                <w:sz w:val="20"/>
                <w:szCs w:val="20"/>
                <w:color w:val="auto"/>
              </w:rPr>
            </w:pPr>
            <w:r>
              <w:rPr>
                <w:rFonts w:ascii="Arial" w:cs="Arial" w:eastAsia="Arial" w:hAnsi="Arial"/>
                <w:sz w:val="13"/>
                <w:szCs w:val="13"/>
                <w:color w:val="1F2668"/>
              </w:rPr>
              <w:t xml:space="preserve">($) </w:t>
            </w:r>
            <w:r>
              <w:rPr>
                <w:rFonts w:ascii="Arial" w:cs="Arial" w:eastAsia="Arial" w:hAnsi="Arial"/>
                <w:sz w:val="24"/>
                <w:szCs w:val="24"/>
                <w:color w:val="1F2668"/>
                <w:vertAlign w:val="subscript"/>
              </w:rPr>
              <w:t>​​</w:t>
            </w:r>
          </w:p>
        </w:tc>
        <w:tc>
          <w:tcPr>
            <w:tcW w:w="880" w:type="dxa"/>
            <w:vAlign w:val="bottom"/>
            <w:gridSpan w:val="3"/>
          </w:tcPr>
          <w:p>
            <w:pPr>
              <w:ind w:left="460"/>
              <w:spacing w:after="0" w:line="212" w:lineRule="exact"/>
              <w:rPr>
                <w:sz w:val="20"/>
                <w:szCs w:val="20"/>
                <w:color w:val="auto"/>
              </w:rPr>
            </w:pPr>
            <w:r>
              <w:rPr>
                <w:rFonts w:ascii="Arial" w:cs="Arial" w:eastAsia="Arial" w:hAnsi="Arial"/>
                <w:sz w:val="13"/>
                <w:szCs w:val="13"/>
                <w:color w:val="1F2668"/>
              </w:rPr>
              <w:t xml:space="preserve">(#) </w:t>
            </w:r>
            <w:r>
              <w:rPr>
                <w:rFonts w:ascii="Arial" w:cs="Arial" w:eastAsia="Arial" w:hAnsi="Arial"/>
                <w:sz w:val="24"/>
                <w:szCs w:val="24"/>
                <w:color w:val="1F2668"/>
                <w:vertAlign w:val="subscript"/>
              </w:rPr>
              <w:t>​​</w:t>
            </w:r>
          </w:p>
        </w:tc>
        <w:tc>
          <w:tcPr>
            <w:tcW w:w="860" w:type="dxa"/>
            <w:vAlign w:val="bottom"/>
            <w:gridSpan w:val="2"/>
          </w:tcPr>
          <w:p>
            <w:pPr>
              <w:jc w:val="right"/>
              <w:spacing w:after="0" w:line="212" w:lineRule="exact"/>
              <w:rPr>
                <w:sz w:val="20"/>
                <w:szCs w:val="20"/>
                <w:color w:val="auto"/>
              </w:rPr>
            </w:pPr>
            <w:r>
              <w:rPr>
                <w:rFonts w:ascii="Arial" w:cs="Arial" w:eastAsia="Arial" w:hAnsi="Arial"/>
                <w:sz w:val="13"/>
                <w:szCs w:val="13"/>
                <w:color w:val="1F2668"/>
              </w:rPr>
              <w:t>($)</w:t>
            </w:r>
            <w:r>
              <w:rPr>
                <w:rFonts w:ascii="Arial" w:cs="Arial" w:eastAsia="Arial" w:hAnsi="Arial"/>
                <w:sz w:val="24"/>
                <w:szCs w:val="24"/>
                <w:color w:val="1F2668"/>
                <w:vertAlign w:val="subscript"/>
              </w:rPr>
              <w:t>​</w:t>
            </w:r>
          </w:p>
        </w:tc>
      </w:tr>
      <w:tr>
        <w:trPr>
          <w:trHeight w:val="20"/>
        </w:trPr>
        <w:tc>
          <w:tcPr>
            <w:tcW w:w="5320" w:type="dxa"/>
            <w:vAlign w:val="bottom"/>
            <w:shd w:val="clear" w:color="auto" w:fill="1F2668"/>
          </w:tcPr>
          <w:p>
            <w:pPr>
              <w:spacing w:after="0" w:line="20" w:lineRule="exact"/>
              <w:rPr>
                <w:sz w:val="1"/>
                <w:szCs w:val="1"/>
                <w:color w:val="auto"/>
              </w:rPr>
            </w:pPr>
          </w:p>
        </w:tc>
        <w:tc>
          <w:tcPr>
            <w:tcW w:w="160" w:type="dxa"/>
            <w:vAlign w:val="bottom"/>
            <w:tcBorders>
              <w:right w:val="single" w:sz="8" w:color="1F2668"/>
            </w:tcBorders>
          </w:tcPr>
          <w:p>
            <w:pPr>
              <w:spacing w:after="0" w:line="20" w:lineRule="exact"/>
              <w:rPr>
                <w:sz w:val="1"/>
                <w:szCs w:val="1"/>
                <w:color w:val="auto"/>
              </w:rPr>
            </w:pPr>
          </w:p>
        </w:tc>
        <w:tc>
          <w:tcPr>
            <w:tcW w:w="780" w:type="dxa"/>
            <w:vAlign w:val="bottom"/>
            <w:shd w:val="clear" w:color="auto" w:fill="1F2668"/>
          </w:tcPr>
          <w:p>
            <w:pPr>
              <w:spacing w:after="0" w:line="20" w:lineRule="exact"/>
              <w:rPr>
                <w:sz w:val="1"/>
                <w:szCs w:val="1"/>
                <w:color w:val="auto"/>
              </w:rPr>
            </w:pPr>
          </w:p>
        </w:tc>
        <w:tc>
          <w:tcPr>
            <w:tcW w:w="160" w:type="dxa"/>
            <w:vAlign w:val="bottom"/>
            <w:tcBorders>
              <w:right w:val="single" w:sz="8" w:color="1F2668"/>
            </w:tcBorders>
          </w:tcPr>
          <w:p>
            <w:pPr>
              <w:spacing w:after="0" w:line="20" w:lineRule="exact"/>
              <w:rPr>
                <w:sz w:val="1"/>
                <w:szCs w:val="1"/>
                <w:color w:val="auto"/>
              </w:rPr>
            </w:pPr>
          </w:p>
        </w:tc>
        <w:tc>
          <w:tcPr>
            <w:tcW w:w="780" w:type="dxa"/>
            <w:vAlign w:val="bottom"/>
            <w:shd w:val="clear" w:color="auto" w:fill="1F2668"/>
          </w:tcPr>
          <w:p>
            <w:pPr>
              <w:spacing w:after="0" w:line="20" w:lineRule="exact"/>
              <w:rPr>
                <w:sz w:val="1"/>
                <w:szCs w:val="1"/>
                <w:color w:val="auto"/>
              </w:rPr>
            </w:pPr>
          </w:p>
        </w:tc>
        <w:tc>
          <w:tcPr>
            <w:tcW w:w="180" w:type="dxa"/>
            <w:vAlign w:val="bottom"/>
            <w:tcBorders>
              <w:right w:val="single" w:sz="8" w:color="1F2668"/>
            </w:tcBorders>
          </w:tcPr>
          <w:p>
            <w:pPr>
              <w:spacing w:after="0" w:line="20" w:lineRule="exact"/>
              <w:rPr>
                <w:sz w:val="1"/>
                <w:szCs w:val="1"/>
                <w:color w:val="auto"/>
              </w:rPr>
            </w:pPr>
          </w:p>
        </w:tc>
        <w:tc>
          <w:tcPr>
            <w:tcW w:w="640" w:type="dxa"/>
            <w:vAlign w:val="bottom"/>
            <w:shd w:val="clear" w:color="auto" w:fill="1F266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shd w:val="clear" w:color="auto" w:fill="1F266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5320" w:type="dxa"/>
            <w:vAlign w:val="bottom"/>
          </w:tcPr>
          <w:p>
            <w:pPr>
              <w:spacing w:after="0"/>
              <w:rPr>
                <w:sz w:val="20"/>
                <w:szCs w:val="20"/>
                <w:color w:val="auto"/>
              </w:rPr>
            </w:pPr>
            <w:r>
              <w:rPr>
                <w:rFonts w:ascii="Arial" w:cs="Arial" w:eastAsia="Arial" w:hAnsi="Arial"/>
                <w:sz w:val="16"/>
                <w:szCs w:val="16"/>
                <w:b w:val="1"/>
                <w:bCs w:val="1"/>
                <w:color w:val="1F2668"/>
              </w:rPr>
              <w:t>Marc Holliday</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w:t>
            </w:r>
          </w:p>
        </w:tc>
        <w:tc>
          <w:tcPr>
            <w:tcW w:w="160" w:type="dxa"/>
            <w:vAlign w:val="bottom"/>
          </w:tcPr>
          <w:p>
            <w:pPr>
              <w:jc w:val="center"/>
              <w:spacing w:after="0"/>
              <w:rPr>
                <w:sz w:val="20"/>
                <w:szCs w:val="20"/>
                <w:color w:val="auto"/>
              </w:rPr>
            </w:pPr>
            <w:r>
              <w:rPr>
                <w:rFonts w:ascii="Arial" w:cs="Arial" w:eastAsia="Arial" w:hAnsi="Arial"/>
                <w:sz w:val="16"/>
                <w:szCs w:val="16"/>
                <w:color w:val="auto"/>
              </w:rPr>
              <w:t>​​​</w:t>
            </w:r>
          </w:p>
        </w:tc>
        <w:tc>
          <w:tcPr>
            <w:tcW w:w="2700" w:type="dxa"/>
            <w:vAlign w:val="bottom"/>
            <w:gridSpan w:val="7"/>
          </w:tcPr>
          <w:p>
            <w:pPr>
              <w:jc w:val="right"/>
              <w:spacing w:after="0" w:line="276"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 ​</w:t>
            </w:r>
            <w:r>
              <w:rPr>
                <w:rFonts w:ascii="Arial" w:cs="Arial" w:eastAsia="Arial" w:hAnsi="Arial"/>
                <w:sz w:val="16"/>
                <w:szCs w:val="16"/>
                <w:color w:val="auto"/>
              </w:rPr>
              <w:t>​347,601</w:t>
            </w:r>
            <w:r>
              <w:rPr>
                <w:rFonts w:ascii="Arial" w:cs="Arial" w:eastAsia="Arial" w:hAnsi="Arial"/>
                <w:sz w:val="32"/>
                <w:szCs w:val="32"/>
                <w:color w:val="auto"/>
                <w:vertAlign w:val="subscript"/>
              </w:rPr>
              <w:t>​​​​</w:t>
            </w:r>
            <w:r>
              <w:rPr>
                <w:rFonts w:ascii="Arial" w:cs="Arial" w:eastAsia="Arial" w:hAnsi="Arial"/>
                <w:sz w:val="16"/>
                <w:szCs w:val="16"/>
                <w:color w:val="auto"/>
              </w:rPr>
              <w:t>$21,102,421</w:t>
            </w:r>
            <w:r>
              <w:rPr>
                <w:rFonts w:ascii="Arial" w:cs="Arial" w:eastAsia="Arial" w:hAnsi="Arial"/>
                <w:sz w:val="32"/>
                <w:szCs w:val="32"/>
                <w:color w:val="auto"/>
                <w:vertAlign w:val="subscript"/>
              </w:rPr>
              <w:t>​</w:t>
            </w:r>
          </w:p>
        </w:tc>
      </w:tr>
      <w:tr>
        <w:trPr>
          <w:trHeight w:val="20"/>
        </w:trPr>
        <w:tc>
          <w:tcPr>
            <w:tcW w:w="5320" w:type="dxa"/>
            <w:vAlign w:val="bottom"/>
            <w:shd w:val="clear" w:color="auto" w:fill="4B5088"/>
          </w:tcPr>
          <w:p>
            <w:pPr>
              <w:spacing w:after="0" w:line="20" w:lineRule="exact"/>
              <w:rPr>
                <w:sz w:val="1"/>
                <w:szCs w:val="1"/>
                <w:color w:val="auto"/>
              </w:rPr>
            </w:pPr>
          </w:p>
        </w:tc>
        <w:tc>
          <w:tcPr>
            <w:tcW w:w="160" w:type="dxa"/>
            <w:vAlign w:val="bottom"/>
            <w:tcBorders>
              <w:right w:val="single" w:sz="8" w:color="4B5088"/>
            </w:tcBorders>
          </w:tcPr>
          <w:p>
            <w:pPr>
              <w:spacing w:after="0" w:line="20" w:lineRule="exact"/>
              <w:rPr>
                <w:sz w:val="1"/>
                <w:szCs w:val="1"/>
                <w:color w:val="auto"/>
              </w:rPr>
            </w:pPr>
          </w:p>
        </w:tc>
        <w:tc>
          <w:tcPr>
            <w:tcW w:w="780" w:type="dxa"/>
            <w:vAlign w:val="bottom"/>
            <w:shd w:val="clear" w:color="auto" w:fill="4B5088"/>
          </w:tcPr>
          <w:p>
            <w:pPr>
              <w:spacing w:after="0" w:line="20" w:lineRule="exact"/>
              <w:rPr>
                <w:sz w:val="1"/>
                <w:szCs w:val="1"/>
                <w:color w:val="auto"/>
              </w:rPr>
            </w:pPr>
          </w:p>
        </w:tc>
        <w:tc>
          <w:tcPr>
            <w:tcW w:w="160" w:type="dxa"/>
            <w:vAlign w:val="bottom"/>
            <w:tcBorders>
              <w:right w:val="single" w:sz="8" w:color="4B5088"/>
            </w:tcBorders>
          </w:tcPr>
          <w:p>
            <w:pPr>
              <w:spacing w:after="0" w:line="20" w:lineRule="exact"/>
              <w:rPr>
                <w:sz w:val="1"/>
                <w:szCs w:val="1"/>
                <w:color w:val="auto"/>
              </w:rPr>
            </w:pPr>
          </w:p>
        </w:tc>
        <w:tc>
          <w:tcPr>
            <w:tcW w:w="780" w:type="dxa"/>
            <w:vAlign w:val="bottom"/>
            <w:shd w:val="clear" w:color="auto" w:fill="4B5088"/>
          </w:tcPr>
          <w:p>
            <w:pPr>
              <w:spacing w:after="0" w:line="20" w:lineRule="exact"/>
              <w:rPr>
                <w:sz w:val="1"/>
                <w:szCs w:val="1"/>
                <w:color w:val="auto"/>
              </w:rPr>
            </w:pPr>
          </w:p>
        </w:tc>
        <w:tc>
          <w:tcPr>
            <w:tcW w:w="180" w:type="dxa"/>
            <w:vAlign w:val="bottom"/>
            <w:tcBorders>
              <w:right w:val="single" w:sz="8" w:color="4B5088"/>
            </w:tcBorders>
          </w:tcPr>
          <w:p>
            <w:pPr>
              <w:spacing w:after="0" w:line="20" w:lineRule="exact"/>
              <w:rPr>
                <w:sz w:val="1"/>
                <w:szCs w:val="1"/>
                <w:color w:val="auto"/>
              </w:rPr>
            </w:pPr>
          </w:p>
        </w:tc>
        <w:tc>
          <w:tcPr>
            <w:tcW w:w="64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4B5088"/>
          </w:tcPr>
          <w:p>
            <w:pPr>
              <w:spacing w:after="0" w:line="20" w:lineRule="exact"/>
              <w:rPr>
                <w:sz w:val="1"/>
                <w:szCs w:val="1"/>
                <w:color w:val="auto"/>
              </w:rPr>
            </w:pPr>
          </w:p>
        </w:tc>
        <w:tc>
          <w:tcPr>
            <w:tcW w:w="800" w:type="dxa"/>
            <w:vAlign w:val="bottom"/>
            <w:shd w:val="clear" w:color="auto" w:fill="4B5088"/>
          </w:tcPr>
          <w:p>
            <w:pPr>
              <w:spacing w:after="0" w:line="20" w:lineRule="exact"/>
              <w:rPr>
                <w:sz w:val="1"/>
                <w:szCs w:val="1"/>
                <w:color w:val="auto"/>
              </w:rPr>
            </w:pPr>
          </w:p>
        </w:tc>
        <w:tc>
          <w:tcPr>
            <w:tcW w:w="60" w:type="dxa"/>
            <w:vAlign w:val="bottom"/>
            <w:tcBorders>
              <w:left w:val="single" w:sz="8" w:color="4B5088"/>
            </w:tcBorders>
          </w:tcPr>
          <w:p>
            <w:pPr>
              <w:spacing w:after="0" w:line="20" w:lineRule="exact"/>
              <w:rPr>
                <w:sz w:val="1"/>
                <w:szCs w:val="1"/>
                <w:color w:val="auto"/>
              </w:rPr>
            </w:pPr>
          </w:p>
        </w:tc>
      </w:tr>
      <w:tr>
        <w:trPr>
          <w:trHeight w:val="277"/>
        </w:trPr>
        <w:tc>
          <w:tcPr>
            <w:tcW w:w="5320" w:type="dxa"/>
            <w:vAlign w:val="bottom"/>
          </w:tcPr>
          <w:p>
            <w:pPr>
              <w:spacing w:after="0"/>
              <w:rPr>
                <w:sz w:val="20"/>
                <w:szCs w:val="20"/>
                <w:color w:val="auto"/>
              </w:rPr>
            </w:pPr>
            <w:r>
              <w:rPr>
                <w:rFonts w:ascii="Arial" w:cs="Arial" w:eastAsia="Arial" w:hAnsi="Arial"/>
                <w:sz w:val="16"/>
                <w:szCs w:val="16"/>
                <w:b w:val="1"/>
                <w:bCs w:val="1"/>
                <w:color w:val="1F2668"/>
              </w:rPr>
              <w:t>Matthew J. DiLiberto</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w:t>
            </w:r>
          </w:p>
        </w:tc>
        <w:tc>
          <w:tcPr>
            <w:tcW w:w="160" w:type="dxa"/>
            <w:vAlign w:val="bottom"/>
          </w:tcPr>
          <w:p>
            <w:pPr>
              <w:jc w:val="center"/>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3"/>
          </w:tcPr>
          <w:p>
            <w:pPr>
              <w:ind w:left="4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 73,870</w:t>
            </w:r>
            <w:r>
              <w:rPr>
                <w:rFonts w:ascii="Arial" w:cs="Arial" w:eastAsia="Arial" w:hAnsi="Arial"/>
                <w:sz w:val="32"/>
                <w:szCs w:val="32"/>
                <w:color w:val="auto"/>
                <w:vertAlign w:val="subscript"/>
              </w:rPr>
              <w:t>​​​​</w:t>
            </w:r>
            <w:r>
              <w:rPr>
                <w:rFonts w:ascii="Arial" w:cs="Arial" w:eastAsia="Arial" w:hAnsi="Arial"/>
                <w:sz w:val="16"/>
                <w:szCs w:val="16"/>
                <w:color w:val="auto"/>
              </w:rPr>
              <w:t>$</w:t>
            </w:r>
          </w:p>
        </w:tc>
        <w:tc>
          <w:tcPr>
            <w:tcW w:w="860" w:type="dxa"/>
            <w:vAlign w:val="bottom"/>
            <w:gridSpan w:val="2"/>
          </w:tcPr>
          <w:p>
            <w:pPr>
              <w:jc w:val="right"/>
              <w:spacing w:after="0" w:line="276" w:lineRule="exact"/>
              <w:rPr>
                <w:sz w:val="20"/>
                <w:szCs w:val="20"/>
                <w:color w:val="auto"/>
              </w:rPr>
            </w:pPr>
            <w:r>
              <w:rPr>
                <w:rFonts w:ascii="Arial" w:cs="Arial" w:eastAsia="Arial" w:hAnsi="Arial"/>
                <w:sz w:val="16"/>
                <w:szCs w:val="16"/>
                <w:color w:val="auto"/>
              </w:rPr>
              <w:t>3,885,291</w:t>
            </w:r>
            <w:r>
              <w:rPr>
                <w:rFonts w:ascii="Arial" w:cs="Arial" w:eastAsia="Arial" w:hAnsi="Arial"/>
                <w:sz w:val="32"/>
                <w:szCs w:val="32"/>
                <w:color w:val="auto"/>
                <w:vertAlign w:val="subscript"/>
              </w:rPr>
              <w:t>​</w:t>
            </w:r>
          </w:p>
        </w:tc>
      </w:tr>
      <w:tr>
        <w:trPr>
          <w:trHeight w:val="20"/>
        </w:trPr>
        <w:tc>
          <w:tcPr>
            <w:tcW w:w="5320" w:type="dxa"/>
            <w:vAlign w:val="bottom"/>
            <w:shd w:val="clear" w:color="auto" w:fill="4B5088"/>
          </w:tcPr>
          <w:p>
            <w:pPr>
              <w:spacing w:after="0" w:line="20" w:lineRule="exact"/>
              <w:rPr>
                <w:sz w:val="1"/>
                <w:szCs w:val="1"/>
                <w:color w:val="auto"/>
              </w:rPr>
            </w:pPr>
          </w:p>
        </w:tc>
        <w:tc>
          <w:tcPr>
            <w:tcW w:w="160" w:type="dxa"/>
            <w:vAlign w:val="bottom"/>
            <w:tcBorders>
              <w:right w:val="single" w:sz="8" w:color="4B5088"/>
            </w:tcBorders>
          </w:tcPr>
          <w:p>
            <w:pPr>
              <w:spacing w:after="0" w:line="20" w:lineRule="exact"/>
              <w:rPr>
                <w:sz w:val="1"/>
                <w:szCs w:val="1"/>
                <w:color w:val="auto"/>
              </w:rPr>
            </w:pPr>
          </w:p>
        </w:tc>
        <w:tc>
          <w:tcPr>
            <w:tcW w:w="780" w:type="dxa"/>
            <w:vAlign w:val="bottom"/>
            <w:shd w:val="clear" w:color="auto" w:fill="4B5088"/>
          </w:tcPr>
          <w:p>
            <w:pPr>
              <w:spacing w:after="0" w:line="20" w:lineRule="exact"/>
              <w:rPr>
                <w:sz w:val="1"/>
                <w:szCs w:val="1"/>
                <w:color w:val="auto"/>
              </w:rPr>
            </w:pPr>
          </w:p>
        </w:tc>
        <w:tc>
          <w:tcPr>
            <w:tcW w:w="160" w:type="dxa"/>
            <w:vAlign w:val="bottom"/>
            <w:tcBorders>
              <w:right w:val="single" w:sz="8" w:color="4B5088"/>
            </w:tcBorders>
          </w:tcPr>
          <w:p>
            <w:pPr>
              <w:spacing w:after="0" w:line="20" w:lineRule="exact"/>
              <w:rPr>
                <w:sz w:val="1"/>
                <w:szCs w:val="1"/>
                <w:color w:val="auto"/>
              </w:rPr>
            </w:pPr>
          </w:p>
        </w:tc>
        <w:tc>
          <w:tcPr>
            <w:tcW w:w="780" w:type="dxa"/>
            <w:vAlign w:val="bottom"/>
            <w:shd w:val="clear" w:color="auto" w:fill="4B5088"/>
          </w:tcPr>
          <w:p>
            <w:pPr>
              <w:spacing w:after="0" w:line="20" w:lineRule="exact"/>
              <w:rPr>
                <w:sz w:val="1"/>
                <w:szCs w:val="1"/>
                <w:color w:val="auto"/>
              </w:rPr>
            </w:pPr>
          </w:p>
        </w:tc>
        <w:tc>
          <w:tcPr>
            <w:tcW w:w="180" w:type="dxa"/>
            <w:vAlign w:val="bottom"/>
            <w:tcBorders>
              <w:right w:val="single" w:sz="8" w:color="4B5088"/>
            </w:tcBorders>
          </w:tcPr>
          <w:p>
            <w:pPr>
              <w:spacing w:after="0" w:line="20" w:lineRule="exact"/>
              <w:rPr>
                <w:sz w:val="1"/>
                <w:szCs w:val="1"/>
                <w:color w:val="auto"/>
              </w:rPr>
            </w:pPr>
          </w:p>
        </w:tc>
        <w:tc>
          <w:tcPr>
            <w:tcW w:w="64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4B5088"/>
          </w:tcPr>
          <w:p>
            <w:pPr>
              <w:spacing w:after="0" w:line="20" w:lineRule="exact"/>
              <w:rPr>
                <w:sz w:val="1"/>
                <w:szCs w:val="1"/>
                <w:color w:val="auto"/>
              </w:rPr>
            </w:pPr>
          </w:p>
        </w:tc>
        <w:tc>
          <w:tcPr>
            <w:tcW w:w="800" w:type="dxa"/>
            <w:vAlign w:val="bottom"/>
            <w:shd w:val="clear" w:color="auto" w:fill="4B5088"/>
          </w:tcPr>
          <w:p>
            <w:pPr>
              <w:spacing w:after="0" w:line="20" w:lineRule="exact"/>
              <w:rPr>
                <w:sz w:val="1"/>
                <w:szCs w:val="1"/>
                <w:color w:val="auto"/>
              </w:rPr>
            </w:pPr>
          </w:p>
        </w:tc>
        <w:tc>
          <w:tcPr>
            <w:tcW w:w="60" w:type="dxa"/>
            <w:vAlign w:val="bottom"/>
            <w:tcBorders>
              <w:left w:val="single" w:sz="8" w:color="4B5088"/>
            </w:tcBorders>
          </w:tcPr>
          <w:p>
            <w:pPr>
              <w:spacing w:after="0" w:line="20" w:lineRule="exact"/>
              <w:rPr>
                <w:sz w:val="1"/>
                <w:szCs w:val="1"/>
                <w:color w:val="auto"/>
              </w:rPr>
            </w:pPr>
          </w:p>
        </w:tc>
      </w:tr>
      <w:tr>
        <w:trPr>
          <w:trHeight w:val="277"/>
        </w:trPr>
        <w:tc>
          <w:tcPr>
            <w:tcW w:w="5320" w:type="dxa"/>
            <w:vAlign w:val="bottom"/>
          </w:tcPr>
          <w:p>
            <w:pPr>
              <w:spacing w:after="0"/>
              <w:rPr>
                <w:sz w:val="20"/>
                <w:szCs w:val="20"/>
                <w:color w:val="auto"/>
              </w:rPr>
            </w:pPr>
            <w:r>
              <w:rPr>
                <w:rFonts w:ascii="Arial" w:cs="Arial" w:eastAsia="Arial" w:hAnsi="Arial"/>
                <w:sz w:val="16"/>
                <w:szCs w:val="16"/>
                <w:b w:val="1"/>
                <w:bCs w:val="1"/>
                <w:color w:val="1F2668"/>
              </w:rPr>
              <w:t>Andrew S. Levine</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w:t>
            </w:r>
          </w:p>
        </w:tc>
        <w:tc>
          <w:tcPr>
            <w:tcW w:w="160" w:type="dxa"/>
            <w:vAlign w:val="bottom"/>
          </w:tcPr>
          <w:p>
            <w:pPr>
              <w:jc w:val="center"/>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3"/>
          </w:tcPr>
          <w:p>
            <w:pPr>
              <w:ind w:left="4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 65,931</w:t>
            </w:r>
            <w:r>
              <w:rPr>
                <w:rFonts w:ascii="Arial" w:cs="Arial" w:eastAsia="Arial" w:hAnsi="Arial"/>
                <w:sz w:val="32"/>
                <w:szCs w:val="32"/>
                <w:color w:val="auto"/>
                <w:vertAlign w:val="subscript"/>
              </w:rPr>
              <w:t>​​​​</w:t>
            </w:r>
            <w:r>
              <w:rPr>
                <w:rFonts w:ascii="Arial" w:cs="Arial" w:eastAsia="Arial" w:hAnsi="Arial"/>
                <w:sz w:val="16"/>
                <w:szCs w:val="16"/>
                <w:color w:val="auto"/>
              </w:rPr>
              <w:t>$</w:t>
            </w:r>
          </w:p>
        </w:tc>
        <w:tc>
          <w:tcPr>
            <w:tcW w:w="860" w:type="dxa"/>
            <w:vAlign w:val="bottom"/>
            <w:gridSpan w:val="2"/>
          </w:tcPr>
          <w:p>
            <w:pPr>
              <w:jc w:val="right"/>
              <w:spacing w:after="0" w:line="276" w:lineRule="exact"/>
              <w:rPr>
                <w:sz w:val="20"/>
                <w:szCs w:val="20"/>
                <w:color w:val="auto"/>
              </w:rPr>
            </w:pPr>
            <w:r>
              <w:rPr>
                <w:rFonts w:ascii="Arial" w:cs="Arial" w:eastAsia="Arial" w:hAnsi="Arial"/>
                <w:sz w:val="16"/>
                <w:szCs w:val="16"/>
                <w:color w:val="auto"/>
              </w:rPr>
              <w:t>3,474,039</w:t>
            </w:r>
            <w:r>
              <w:rPr>
                <w:rFonts w:ascii="Arial" w:cs="Arial" w:eastAsia="Arial" w:hAnsi="Arial"/>
                <w:sz w:val="32"/>
                <w:szCs w:val="32"/>
                <w:color w:val="auto"/>
                <w:vertAlign w:val="subscript"/>
              </w:rPr>
              <w:t>​</w:t>
            </w:r>
          </w:p>
        </w:tc>
      </w:tr>
      <w:tr>
        <w:trPr>
          <w:trHeight w:val="20"/>
        </w:trPr>
        <w:tc>
          <w:tcPr>
            <w:tcW w:w="5320" w:type="dxa"/>
            <w:vAlign w:val="bottom"/>
            <w:shd w:val="clear" w:color="auto" w:fill="1F2668"/>
          </w:tcPr>
          <w:p>
            <w:pPr>
              <w:spacing w:after="0" w:line="20" w:lineRule="exact"/>
              <w:rPr>
                <w:sz w:val="1"/>
                <w:szCs w:val="1"/>
                <w:color w:val="auto"/>
              </w:rPr>
            </w:pPr>
          </w:p>
        </w:tc>
        <w:tc>
          <w:tcPr>
            <w:tcW w:w="160" w:type="dxa"/>
            <w:vAlign w:val="bottom"/>
            <w:tcBorders>
              <w:right w:val="single" w:sz="8" w:color="1F2668"/>
            </w:tcBorders>
          </w:tcPr>
          <w:p>
            <w:pPr>
              <w:spacing w:after="0" w:line="20" w:lineRule="exact"/>
              <w:rPr>
                <w:sz w:val="1"/>
                <w:szCs w:val="1"/>
                <w:color w:val="auto"/>
              </w:rPr>
            </w:pPr>
          </w:p>
        </w:tc>
        <w:tc>
          <w:tcPr>
            <w:tcW w:w="780" w:type="dxa"/>
            <w:vAlign w:val="bottom"/>
            <w:shd w:val="clear" w:color="auto" w:fill="1F2668"/>
          </w:tcPr>
          <w:p>
            <w:pPr>
              <w:spacing w:after="0" w:line="20" w:lineRule="exact"/>
              <w:rPr>
                <w:sz w:val="1"/>
                <w:szCs w:val="1"/>
                <w:color w:val="auto"/>
              </w:rPr>
            </w:pPr>
          </w:p>
        </w:tc>
        <w:tc>
          <w:tcPr>
            <w:tcW w:w="160" w:type="dxa"/>
            <w:vAlign w:val="bottom"/>
            <w:tcBorders>
              <w:right w:val="single" w:sz="8" w:color="1F2668"/>
            </w:tcBorders>
          </w:tcPr>
          <w:p>
            <w:pPr>
              <w:spacing w:after="0" w:line="20" w:lineRule="exact"/>
              <w:rPr>
                <w:sz w:val="1"/>
                <w:szCs w:val="1"/>
                <w:color w:val="auto"/>
              </w:rPr>
            </w:pPr>
          </w:p>
        </w:tc>
        <w:tc>
          <w:tcPr>
            <w:tcW w:w="780" w:type="dxa"/>
            <w:vAlign w:val="bottom"/>
            <w:shd w:val="clear" w:color="auto" w:fill="1F2668"/>
          </w:tcPr>
          <w:p>
            <w:pPr>
              <w:spacing w:after="0" w:line="20" w:lineRule="exact"/>
              <w:rPr>
                <w:sz w:val="1"/>
                <w:szCs w:val="1"/>
                <w:color w:val="auto"/>
              </w:rPr>
            </w:pPr>
          </w:p>
        </w:tc>
        <w:tc>
          <w:tcPr>
            <w:tcW w:w="180" w:type="dxa"/>
            <w:vAlign w:val="bottom"/>
            <w:tcBorders>
              <w:right w:val="single" w:sz="8" w:color="1F2668"/>
            </w:tcBorders>
          </w:tcPr>
          <w:p>
            <w:pPr>
              <w:spacing w:after="0" w:line="20" w:lineRule="exact"/>
              <w:rPr>
                <w:sz w:val="1"/>
                <w:szCs w:val="1"/>
                <w:color w:val="auto"/>
              </w:rPr>
            </w:pPr>
          </w:p>
        </w:tc>
        <w:tc>
          <w:tcPr>
            <w:tcW w:w="640" w:type="dxa"/>
            <w:vAlign w:val="bottom"/>
            <w:shd w:val="clear" w:color="auto" w:fill="1F266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1F2668"/>
          </w:tcPr>
          <w:p>
            <w:pPr>
              <w:spacing w:after="0" w:line="20" w:lineRule="exact"/>
              <w:rPr>
                <w:sz w:val="1"/>
                <w:szCs w:val="1"/>
                <w:color w:val="auto"/>
              </w:rPr>
            </w:pPr>
          </w:p>
        </w:tc>
        <w:tc>
          <w:tcPr>
            <w:tcW w:w="800" w:type="dxa"/>
            <w:vAlign w:val="bottom"/>
            <w:shd w:val="clear" w:color="auto" w:fill="1F2668"/>
          </w:tcPr>
          <w:p>
            <w:pPr>
              <w:spacing w:after="0" w:line="20" w:lineRule="exact"/>
              <w:rPr>
                <w:sz w:val="1"/>
                <w:szCs w:val="1"/>
                <w:color w:val="auto"/>
              </w:rPr>
            </w:pPr>
          </w:p>
        </w:tc>
        <w:tc>
          <w:tcPr>
            <w:tcW w:w="60" w:type="dxa"/>
            <w:vAlign w:val="bottom"/>
            <w:tcBorders>
              <w:left w:val="single" w:sz="8" w:color="1F2668"/>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40"/>
          </w:cols>
          <w:pgMar w:left="580" w:top="97" w:right="1379" w:bottom="1440" w:gutter="0" w:footer="0" w:header="0"/>
          <w:type w:val="continuous"/>
        </w:sectPr>
      </w:pPr>
    </w:p>
    <w:p>
      <w:pPr>
        <w:spacing w:after="0" w:line="47" w:lineRule="exact"/>
        <w:rPr>
          <w:sz w:val="20"/>
          <w:szCs w:val="20"/>
          <w:color w:val="auto"/>
        </w:rPr>
      </w:pPr>
    </w:p>
    <w:p>
      <w:pPr>
        <w:ind w:left="1180" w:hanging="364"/>
        <w:spacing w:after="0"/>
        <w:tabs>
          <w:tab w:leader="none" w:pos="1180" w:val="left"/>
        </w:tabs>
        <w:numPr>
          <w:ilvl w:val="0"/>
          <w:numId w:val="91"/>
        </w:numPr>
        <w:rPr>
          <w:rFonts w:ascii="Arial" w:cs="Arial" w:eastAsia="Arial" w:hAnsi="Arial"/>
          <w:sz w:val="14"/>
          <w:szCs w:val="14"/>
          <w:color w:val="auto"/>
        </w:rPr>
      </w:pPr>
      <w:r>
        <w:rPr>
          <w:rFonts w:ascii="Arial" w:cs="Arial" w:eastAsia="Arial" w:hAnsi="Arial"/>
          <w:sz w:val="14"/>
          <w:szCs w:val="14"/>
          <w:color w:val="auto"/>
        </w:rPr>
        <w:t>Amounts reflect the market value of the stock on the day the stock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88265</wp:posOffset>
            </wp:positionV>
            <wp:extent cx="6831965"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5100" w:type="dxa"/>
            <w:vAlign w:val="bottom"/>
          </w:tcPr>
          <w:p>
            <w:pPr>
              <w:spacing w:after="0"/>
              <w:rPr>
                <w:sz w:val="20"/>
                <w:szCs w:val="20"/>
                <w:color w:val="auto"/>
              </w:rPr>
            </w:pPr>
            <w:r>
              <w:rPr>
                <w:rFonts w:ascii="Arial" w:cs="Arial" w:eastAsia="Arial" w:hAnsi="Arial"/>
                <w:sz w:val="14"/>
                <w:szCs w:val="14"/>
                <w:b w:val="1"/>
                <w:bCs w:val="1"/>
                <w:color w:val="auto"/>
              </w:rPr>
              <w:t>​</w:t>
            </w:r>
          </w:p>
        </w:tc>
        <w:tc>
          <w:tcPr>
            <w:tcW w:w="3480" w:type="dxa"/>
            <w:vAlign w:val="bottom"/>
          </w:tcPr>
          <w:p>
            <w:pPr>
              <w:ind w:left="3100"/>
              <w:spacing w:after="0"/>
              <w:rPr>
                <w:sz w:val="20"/>
                <w:szCs w:val="20"/>
                <w:color w:val="auto"/>
              </w:rPr>
            </w:pPr>
            <w:r>
              <w:rPr>
                <w:rFonts w:ascii="Arial" w:cs="Arial" w:eastAsia="Arial" w:hAnsi="Arial"/>
                <w:sz w:val="14"/>
                <w:szCs w:val="14"/>
                <w:b w:val="1"/>
                <w:bCs w:val="1"/>
                <w:color w:val="auto"/>
              </w:rPr>
              <w:t>​ ​</w:t>
            </w:r>
          </w:p>
        </w:tc>
        <w:tc>
          <w:tcPr>
            <w:tcW w:w="480" w:type="dxa"/>
            <w:vAlign w:val="bottom"/>
            <w:vMerge w:val="restart"/>
          </w:tcPr>
          <w:p>
            <w:pPr>
              <w:jc w:val="right"/>
              <w:spacing w:after="0"/>
              <w:rPr>
                <w:sz w:val="20"/>
                <w:szCs w:val="20"/>
                <w:color w:val="auto"/>
              </w:rPr>
            </w:pPr>
            <w:r>
              <w:rPr>
                <w:rFonts w:ascii="Arial" w:cs="Arial" w:eastAsia="Arial" w:hAnsi="Arial"/>
                <w:sz w:val="22"/>
                <w:szCs w:val="22"/>
                <w:b w:val="1"/>
                <w:bCs w:val="1"/>
                <w:color w:val="1F2668"/>
              </w:rPr>
              <w:t>71</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5100" w:type="dxa"/>
            <w:vAlign w:val="bottom"/>
          </w:tcPr>
          <w:p>
            <w:pPr>
              <w:spacing w:after="0"/>
              <w:rPr>
                <w:sz w:val="20"/>
                <w:szCs w:val="20"/>
                <w:color w:val="auto"/>
              </w:rPr>
            </w:pPr>
            <w:r>
              <w:rPr>
                <w:rFonts w:ascii="Arial" w:cs="Arial" w:eastAsia="Arial" w:hAnsi="Arial"/>
                <w:sz w:val="14"/>
                <w:szCs w:val="14"/>
                <w:b w:val="1"/>
                <w:bCs w:val="1"/>
                <w:color w:val="auto"/>
              </w:rPr>
              <w:t>EXECUTIVE COMPENSATION</w:t>
            </w:r>
          </w:p>
        </w:tc>
        <w:tc>
          <w:tcPr>
            <w:tcW w:w="348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38"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2024 Nonqualified Deferred Compensation</w:t>
      </w:r>
    </w:p>
    <w:p>
      <w:pPr>
        <w:spacing w:after="0" w:line="133" w:lineRule="exact"/>
        <w:rPr>
          <w:sz w:val="20"/>
          <w:szCs w:val="20"/>
          <w:color w:val="auto"/>
        </w:rPr>
      </w:pPr>
    </w:p>
    <w:p>
      <w:pPr>
        <w:ind w:left="820" w:right="140"/>
        <w:spacing w:after="0" w:line="307" w:lineRule="auto"/>
        <w:rPr>
          <w:sz w:val="20"/>
          <w:szCs w:val="20"/>
          <w:color w:val="auto"/>
        </w:rPr>
      </w:pPr>
      <w:r>
        <w:rPr>
          <w:rFonts w:ascii="Arial" w:cs="Arial" w:eastAsia="Arial" w:hAnsi="Arial"/>
          <w:sz w:val="15"/>
          <w:szCs w:val="15"/>
          <w:color w:val="auto"/>
        </w:rPr>
        <w:t>The following table sets forth certain information regarding non-tax qualified compensation deferred during the year ended December 31, 2024. All of the information below relates to notional stock units that we granted to certain of our named executive officers pursuant to employment agreements we had entered into with them. Pursuant to these employment agreements, we agreed to grant notional stock units with a specified value to certain of our named executive officers each year, which are subject to vesting based on continued employment for the following year. Once vested, these notional stock units represent a contingent right to receive the value of one share of our common stock. Under the terms of the deferred compensation agreements, each participant is also entitled to dividend equivalent rights, to be paid in cash on a current basis, equal to the amount per share of any cash dividend we declare, multiplied by the total number of notional units held by such participant as of the record date for such dividend. Vested notional stock units are settled in cash no later than 30 days following the earliest of (i) the executive’s death, (ii) the date of the executive’s separation from service with us and (iii) the effective date of a change in control.</w:t>
      </w:r>
    </w:p>
    <w:p>
      <w:pPr>
        <w:spacing w:after="0" w:line="102" w:lineRule="exact"/>
        <w:rPr>
          <w:sz w:val="20"/>
          <w:szCs w:val="20"/>
          <w:color w:val="auto"/>
        </w:rPr>
      </w:pPr>
    </w:p>
    <w:p>
      <w:pPr>
        <w:ind w:left="820" w:right="540"/>
        <w:spacing w:after="0" w:line="321" w:lineRule="auto"/>
        <w:rPr>
          <w:sz w:val="20"/>
          <w:szCs w:val="20"/>
          <w:color w:val="auto"/>
        </w:rPr>
      </w:pPr>
      <w:r>
        <w:rPr>
          <w:rFonts w:ascii="Arial" w:cs="Arial" w:eastAsia="Arial" w:hAnsi="Arial"/>
          <w:sz w:val="16"/>
          <w:szCs w:val="16"/>
          <w:color w:val="auto"/>
        </w:rPr>
        <w:t>Under the employment agreements with our Named Executive Officers that were in effect during 2024, we have eliminated nonqualified deferred compensation.</w:t>
      </w:r>
    </w:p>
    <w:p>
      <w:pPr>
        <w:spacing w:after="0" w:line="134" w:lineRule="exact"/>
        <w:rPr>
          <w:sz w:val="20"/>
          <w:szCs w:val="20"/>
          <w:color w:val="auto"/>
        </w:rPr>
      </w:pPr>
    </w:p>
    <w:tbl>
      <w:tblPr>
        <w:tblLayout w:type="fixed"/>
        <w:tblInd w:w="4940" w:type="dxa"/>
        <w:tblCellMar>
          <w:top w:w="0" w:type="dxa"/>
          <w:left w:w="0" w:type="dxa"/>
          <w:bottom w:w="0" w:type="dxa"/>
          <w:right w:w="0" w:type="dxa"/>
        </w:tblCellMar>
      </w:tblPr>
      <w:tr>
        <w:trPr>
          <w:trHeight w:val="162"/>
        </w:trPr>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1F2668"/>
              </w:rPr>
              <w:t>Executive</w:t>
            </w: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1F2668"/>
              </w:rPr>
              <w:t>Registrant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1F2668"/>
              </w:rPr>
              <w:t>Aggregate</w:t>
            </w: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1F2668"/>
              </w:rPr>
              <w:t>Aggregate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1F2668"/>
              </w:rPr>
              <w:t>Aggregate</w:t>
            </w:r>
          </w:p>
        </w:tc>
      </w:tr>
      <w:tr>
        <w:trPr>
          <w:trHeight w:val="162"/>
        </w:trPr>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1F2668"/>
                <w:w w:val="98"/>
              </w:rPr>
              <w:t>Contributions</w:t>
            </w: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1F2668"/>
              </w:rPr>
              <w:t>Contributions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1F2668"/>
              </w:rPr>
              <w:t>Earnings</w:t>
            </w:r>
          </w:p>
        </w:tc>
        <w:tc>
          <w:tcPr>
            <w:tcW w:w="1040" w:type="dxa"/>
            <w:vAlign w:val="bottom"/>
          </w:tcPr>
          <w:p>
            <w:pPr>
              <w:jc w:val="right"/>
              <w:ind w:right="8"/>
              <w:spacing w:after="0"/>
              <w:rPr>
                <w:sz w:val="20"/>
                <w:szCs w:val="20"/>
                <w:color w:val="auto"/>
              </w:rPr>
            </w:pPr>
            <w:r>
              <w:rPr>
                <w:rFonts w:ascii="Arial" w:cs="Arial" w:eastAsia="Arial" w:hAnsi="Arial"/>
                <w:sz w:val="14"/>
                <w:szCs w:val="14"/>
                <w:b w:val="1"/>
                <w:bCs w:val="1"/>
                <w:color w:val="1F2668"/>
              </w:rPr>
              <w:t>Withdrawals/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1F2668"/>
              </w:rPr>
              <w:t>Balance</w:t>
            </w:r>
          </w:p>
        </w:tc>
      </w:tr>
      <w:tr>
        <w:trPr>
          <w:trHeight w:val="157"/>
        </w:trPr>
        <w:tc>
          <w:tcPr>
            <w:tcW w:w="1000" w:type="dxa"/>
            <w:vAlign w:val="bottom"/>
          </w:tcPr>
          <w:p>
            <w:pPr>
              <w:jc w:val="right"/>
              <w:ind w:right="8"/>
              <w:spacing w:after="0" w:line="157" w:lineRule="exact"/>
              <w:rPr>
                <w:sz w:val="20"/>
                <w:szCs w:val="20"/>
                <w:color w:val="auto"/>
              </w:rPr>
            </w:pPr>
            <w:r>
              <w:rPr>
                <w:rFonts w:ascii="Arial" w:cs="Arial" w:eastAsia="Arial" w:hAnsi="Arial"/>
                <w:sz w:val="14"/>
                <w:szCs w:val="14"/>
                <w:b w:val="1"/>
                <w:bCs w:val="1"/>
                <w:color w:val="1F2668"/>
              </w:rPr>
              <w:t>in Last FY</w:t>
            </w:r>
          </w:p>
        </w:tc>
        <w:tc>
          <w:tcPr>
            <w:tcW w:w="1120" w:type="dxa"/>
            <w:vAlign w:val="bottom"/>
          </w:tcPr>
          <w:p>
            <w:pPr>
              <w:jc w:val="right"/>
              <w:ind w:right="48"/>
              <w:spacing w:after="0" w:line="157" w:lineRule="exact"/>
              <w:rPr>
                <w:sz w:val="20"/>
                <w:szCs w:val="20"/>
                <w:color w:val="auto"/>
              </w:rPr>
            </w:pPr>
            <w:r>
              <w:rPr>
                <w:rFonts w:ascii="Arial" w:cs="Arial" w:eastAsia="Arial" w:hAnsi="Arial"/>
                <w:sz w:val="14"/>
                <w:szCs w:val="14"/>
                <w:b w:val="1"/>
                <w:bCs w:val="1"/>
                <w:color w:val="1F2668"/>
              </w:rPr>
              <w:t>in Last FY</w:t>
            </w:r>
          </w:p>
        </w:tc>
        <w:tc>
          <w:tcPr>
            <w:tcW w:w="880" w:type="dxa"/>
            <w:vAlign w:val="bottom"/>
          </w:tcPr>
          <w:p>
            <w:pPr>
              <w:jc w:val="right"/>
              <w:spacing w:after="0" w:line="157" w:lineRule="exact"/>
              <w:rPr>
                <w:sz w:val="20"/>
                <w:szCs w:val="20"/>
                <w:color w:val="auto"/>
              </w:rPr>
            </w:pPr>
            <w:r>
              <w:rPr>
                <w:rFonts w:ascii="Arial" w:cs="Arial" w:eastAsia="Arial" w:hAnsi="Arial"/>
                <w:sz w:val="14"/>
                <w:szCs w:val="14"/>
                <w:b w:val="1"/>
                <w:bCs w:val="1"/>
                <w:color w:val="1F2668"/>
              </w:rPr>
              <w:t>in Last FY</w:t>
            </w:r>
          </w:p>
        </w:tc>
        <w:tc>
          <w:tcPr>
            <w:tcW w:w="1040" w:type="dxa"/>
            <w:vAlign w:val="bottom"/>
          </w:tcPr>
          <w:p>
            <w:pPr>
              <w:jc w:val="right"/>
              <w:ind w:right="8"/>
              <w:spacing w:after="0" w:line="157" w:lineRule="exact"/>
              <w:rPr>
                <w:sz w:val="20"/>
                <w:szCs w:val="20"/>
                <w:color w:val="auto"/>
              </w:rPr>
            </w:pPr>
            <w:r>
              <w:rPr>
                <w:rFonts w:ascii="Arial" w:cs="Arial" w:eastAsia="Arial" w:hAnsi="Arial"/>
                <w:sz w:val="14"/>
                <w:szCs w:val="14"/>
                <w:b w:val="1"/>
                <w:bCs w:val="1"/>
                <w:color w:val="1F2668"/>
              </w:rPr>
              <w:t>Distributions</w:t>
            </w:r>
          </w:p>
        </w:tc>
        <w:tc>
          <w:tcPr>
            <w:tcW w:w="860" w:type="dxa"/>
            <w:vAlign w:val="bottom"/>
          </w:tcPr>
          <w:p>
            <w:pPr>
              <w:jc w:val="right"/>
              <w:spacing w:after="0" w:line="157" w:lineRule="exact"/>
              <w:rPr>
                <w:sz w:val="20"/>
                <w:szCs w:val="20"/>
                <w:color w:val="auto"/>
              </w:rPr>
            </w:pPr>
            <w:r>
              <w:rPr>
                <w:rFonts w:ascii="Arial" w:cs="Arial" w:eastAsia="Arial" w:hAnsi="Arial"/>
                <w:sz w:val="14"/>
                <w:szCs w:val="14"/>
                <w:b w:val="1"/>
                <w:bCs w:val="1"/>
                <w:color w:val="1F2668"/>
              </w:rPr>
              <w:t>at Last FYE</w:t>
            </w:r>
          </w:p>
        </w:tc>
      </w:tr>
    </w:tbl>
    <w:p>
      <w:pPr>
        <w:spacing w:after="0" w:line="1"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r>
              <w:rPr>
                <w:rFonts w:ascii="Arial" w:cs="Arial" w:eastAsia="Arial" w:hAnsi="Arial"/>
                <w:sz w:val="14"/>
                <w:szCs w:val="14"/>
                <w:b w:val="1"/>
                <w:bCs w:val="1"/>
                <w:color w:val="1F2668"/>
              </w:rPr>
              <w:t>Executive</w:t>
            </w:r>
          </w:p>
        </w:tc>
        <w:tc>
          <w:tcPr>
            <w:tcW w:w="5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1F2668"/>
              </w:rPr>
              <w:t>​​</w:t>
            </w:r>
          </w:p>
        </w:tc>
        <w:tc>
          <w:tcPr>
            <w:tcW w:w="1080" w:type="dxa"/>
            <w:vAlign w:val="bottom"/>
            <w:gridSpan w:val="3"/>
          </w:tcPr>
          <w:p>
            <w:pPr>
              <w:ind w:left="380"/>
              <w:spacing w:after="0" w:line="230" w:lineRule="exact"/>
              <w:rPr>
                <w:sz w:val="20"/>
                <w:szCs w:val="20"/>
                <w:color w:val="auto"/>
              </w:rPr>
            </w:pPr>
            <w:r>
              <w:rPr>
                <w:rFonts w:ascii="Arial" w:cs="Arial" w:eastAsia="Arial" w:hAnsi="Arial"/>
                <w:sz w:val="14"/>
                <w:szCs w:val="14"/>
                <w:b w:val="1"/>
                <w:bCs w:val="1"/>
                <w:color w:val="1F2668"/>
              </w:rPr>
              <w:t xml:space="preserve">($) </w:t>
            </w:r>
            <w:r>
              <w:rPr>
                <w:rFonts w:ascii="Arial" w:cs="Arial" w:eastAsia="Arial" w:hAnsi="Arial"/>
                <w:sz w:val="26"/>
                <w:szCs w:val="26"/>
                <w:b w:val="1"/>
                <w:bCs w:val="1"/>
                <w:color w:val="1F2668"/>
                <w:vertAlign w:val="subscript"/>
              </w:rPr>
              <w:t>​​</w:t>
            </w:r>
          </w:p>
        </w:tc>
        <w:tc>
          <w:tcPr>
            <w:tcW w:w="960" w:type="dxa"/>
            <w:vAlign w:val="bottom"/>
            <w:gridSpan w:val="3"/>
          </w:tcPr>
          <w:p>
            <w:pPr>
              <w:ind w:left="380"/>
              <w:spacing w:after="0" w:line="230" w:lineRule="exact"/>
              <w:rPr>
                <w:sz w:val="20"/>
                <w:szCs w:val="20"/>
                <w:color w:val="auto"/>
              </w:rPr>
            </w:pPr>
            <w:r>
              <w:rPr>
                <w:rFonts w:ascii="Arial" w:cs="Arial" w:eastAsia="Arial" w:hAnsi="Arial"/>
                <w:sz w:val="14"/>
                <w:szCs w:val="14"/>
                <w:b w:val="1"/>
                <w:bCs w:val="1"/>
                <w:color w:val="1F2668"/>
              </w:rPr>
              <w:t xml:space="preserve">($) </w:t>
            </w:r>
            <w:r>
              <w:rPr>
                <w:rFonts w:ascii="Arial" w:cs="Arial" w:eastAsia="Arial" w:hAnsi="Arial"/>
                <w:sz w:val="26"/>
                <w:szCs w:val="26"/>
                <w:b w:val="1"/>
                <w:bCs w:val="1"/>
                <w:color w:val="1F2668"/>
                <w:vertAlign w:val="subscript"/>
              </w:rPr>
              <w:t>​​</w:t>
            </w:r>
          </w:p>
        </w:tc>
        <w:tc>
          <w:tcPr>
            <w:tcW w:w="760" w:type="dxa"/>
            <w:vAlign w:val="bottom"/>
            <w:gridSpan w:val="3"/>
          </w:tcPr>
          <w:p>
            <w:pPr>
              <w:jc w:val="right"/>
              <w:ind w:right="80"/>
              <w:spacing w:after="0" w:line="230" w:lineRule="exact"/>
              <w:rPr>
                <w:sz w:val="20"/>
                <w:szCs w:val="20"/>
                <w:color w:val="auto"/>
              </w:rPr>
            </w:pPr>
            <w:r>
              <w:rPr>
                <w:rFonts w:ascii="Arial" w:cs="Arial" w:eastAsia="Arial" w:hAnsi="Arial"/>
                <w:sz w:val="14"/>
                <w:szCs w:val="14"/>
                <w:b w:val="1"/>
                <w:bCs w:val="1"/>
                <w:color w:val="1F2668"/>
              </w:rPr>
              <w:t>($)</w:t>
            </w:r>
            <w:r>
              <w:rPr>
                <w:rFonts w:ascii="Arial" w:cs="Arial" w:eastAsia="Arial" w:hAnsi="Arial"/>
                <w:sz w:val="16"/>
                <w:szCs w:val="16"/>
                <w:b w:val="1"/>
                <w:bCs w:val="1"/>
                <w:color w:val="1F2668"/>
                <w:vertAlign w:val="superscript"/>
              </w:rPr>
              <w:t>(1)(2)</w:t>
            </w:r>
            <w:r>
              <w:rPr>
                <w:rFonts w:ascii="Arial" w:cs="Arial" w:eastAsia="Arial" w:hAnsi="Arial"/>
                <w:sz w:val="14"/>
                <w:szCs w:val="14"/>
                <w:b w:val="1"/>
                <w:bCs w:val="1"/>
                <w:color w:val="1F2668"/>
              </w:rPr>
              <w:t xml:space="preserve"> </w:t>
            </w:r>
            <w:r>
              <w:rPr>
                <w:rFonts w:ascii="Arial" w:cs="Arial" w:eastAsia="Arial" w:hAnsi="Arial"/>
                <w:sz w:val="26"/>
                <w:szCs w:val="26"/>
                <w:b w:val="1"/>
                <w:bCs w:val="1"/>
                <w:color w:val="1F2668"/>
                <w:vertAlign w:val="subscript"/>
              </w:rPr>
              <w:t>​​</w:t>
            </w:r>
          </w:p>
        </w:tc>
        <w:tc>
          <w:tcPr>
            <w:tcW w:w="360" w:type="dxa"/>
            <w:vAlign w:val="bottom"/>
          </w:tcPr>
          <w:p>
            <w:pPr>
              <w:spacing w:after="0"/>
              <w:rPr>
                <w:sz w:val="19"/>
                <w:szCs w:val="19"/>
                <w:color w:val="auto"/>
              </w:rPr>
            </w:pPr>
          </w:p>
        </w:tc>
        <w:tc>
          <w:tcPr>
            <w:tcW w:w="840" w:type="dxa"/>
            <w:vAlign w:val="bottom"/>
            <w:gridSpan w:val="3"/>
          </w:tcPr>
          <w:p>
            <w:pPr>
              <w:ind w:left="160"/>
              <w:spacing w:after="0" w:line="230" w:lineRule="exact"/>
              <w:rPr>
                <w:sz w:val="20"/>
                <w:szCs w:val="20"/>
                <w:color w:val="auto"/>
              </w:rPr>
            </w:pPr>
            <w:r>
              <w:rPr>
                <w:rFonts w:ascii="Arial" w:cs="Arial" w:eastAsia="Arial" w:hAnsi="Arial"/>
                <w:sz w:val="14"/>
                <w:szCs w:val="14"/>
                <w:b w:val="1"/>
                <w:bCs w:val="1"/>
                <w:color w:val="1F2668"/>
              </w:rPr>
              <w:t>($)</w:t>
            </w:r>
            <w:r>
              <w:rPr>
                <w:rFonts w:ascii="Arial" w:cs="Arial" w:eastAsia="Arial" w:hAnsi="Arial"/>
                <w:sz w:val="16"/>
                <w:szCs w:val="16"/>
                <w:b w:val="1"/>
                <w:bCs w:val="1"/>
                <w:color w:val="1F2668"/>
                <w:vertAlign w:val="superscript"/>
              </w:rPr>
              <w:t>(3)</w:t>
            </w:r>
            <w:r>
              <w:rPr>
                <w:rFonts w:ascii="Arial" w:cs="Arial" w:eastAsia="Arial" w:hAnsi="Arial"/>
                <w:sz w:val="14"/>
                <w:szCs w:val="14"/>
                <w:b w:val="1"/>
                <w:bCs w:val="1"/>
                <w:color w:val="1F2668"/>
              </w:rPr>
              <w:t xml:space="preserve"> </w:t>
            </w:r>
            <w:r>
              <w:rPr>
                <w:rFonts w:ascii="Arial" w:cs="Arial" w:eastAsia="Arial" w:hAnsi="Arial"/>
                <w:sz w:val="26"/>
                <w:szCs w:val="26"/>
                <w:b w:val="1"/>
                <w:bCs w:val="1"/>
                <w:color w:val="1F2668"/>
                <w:vertAlign w:val="subscript"/>
              </w:rPr>
              <w:t>​​</w:t>
            </w:r>
          </w:p>
        </w:tc>
        <w:tc>
          <w:tcPr>
            <w:tcW w:w="600" w:type="dxa"/>
            <w:vAlign w:val="bottom"/>
            <w:gridSpan w:val="2"/>
          </w:tcPr>
          <w:p>
            <w:pPr>
              <w:jc w:val="right"/>
              <w:ind w:right="20"/>
              <w:spacing w:after="0" w:line="230" w:lineRule="exact"/>
              <w:rPr>
                <w:sz w:val="20"/>
                <w:szCs w:val="20"/>
                <w:color w:val="auto"/>
              </w:rPr>
            </w:pPr>
            <w:r>
              <w:rPr>
                <w:rFonts w:ascii="Arial" w:cs="Arial" w:eastAsia="Arial" w:hAnsi="Arial"/>
                <w:sz w:val="26"/>
                <w:szCs w:val="26"/>
                <w:b w:val="1"/>
                <w:bCs w:val="1"/>
                <w:color w:val="1F2668"/>
                <w:vertAlign w:val="subscript"/>
              </w:rPr>
              <w:t>($)</w:t>
            </w:r>
            <w:r>
              <w:rPr>
                <w:rFonts w:ascii="Arial" w:cs="Arial" w:eastAsia="Arial" w:hAnsi="Arial"/>
                <w:sz w:val="9"/>
                <w:szCs w:val="9"/>
                <w:b w:val="1"/>
                <w:bCs w:val="1"/>
                <w:color w:val="1F2668"/>
              </w:rPr>
              <w:t>(1)(4)</w:t>
            </w:r>
            <w:r>
              <w:rPr>
                <w:rFonts w:ascii="Arial" w:cs="Arial" w:eastAsia="Arial" w:hAnsi="Arial"/>
                <w:sz w:val="26"/>
                <w:szCs w:val="26"/>
                <w:b w:val="1"/>
                <w:bCs w:val="1"/>
                <w:color w:val="1F2668"/>
                <w:vertAlign w:val="subscript"/>
              </w:rPr>
              <w:t>​</w:t>
            </w:r>
          </w:p>
        </w:tc>
      </w:tr>
      <w:tr>
        <w:trPr>
          <w:trHeight w:val="20"/>
        </w:trPr>
        <w:tc>
          <w:tcPr>
            <w:tcW w:w="4000" w:type="dxa"/>
            <w:vAlign w:val="bottom"/>
            <w:shd w:val="clear" w:color="auto" w:fill="1F266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1F2668"/>
          </w:tcPr>
          <w:p>
            <w:pPr>
              <w:spacing w:after="0" w:line="20" w:lineRule="exact"/>
              <w:rPr>
                <w:sz w:val="1"/>
                <w:szCs w:val="1"/>
                <w:color w:val="auto"/>
              </w:rPr>
            </w:pPr>
          </w:p>
        </w:tc>
        <w:tc>
          <w:tcPr>
            <w:tcW w:w="560" w:type="dxa"/>
            <w:vAlign w:val="bottom"/>
            <w:shd w:val="clear" w:color="auto" w:fill="1F266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1F2668"/>
          </w:tcPr>
          <w:p>
            <w:pPr>
              <w:spacing w:after="0" w:line="20" w:lineRule="exact"/>
              <w:rPr>
                <w:sz w:val="1"/>
                <w:szCs w:val="1"/>
                <w:color w:val="auto"/>
              </w:rPr>
            </w:pPr>
          </w:p>
        </w:tc>
        <w:tc>
          <w:tcPr>
            <w:tcW w:w="560" w:type="dxa"/>
            <w:vAlign w:val="bottom"/>
            <w:shd w:val="clear" w:color="auto" w:fill="1F266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1F2668"/>
          </w:tcPr>
          <w:p>
            <w:pPr>
              <w:spacing w:after="0" w:line="20" w:lineRule="exact"/>
              <w:rPr>
                <w:sz w:val="1"/>
                <w:szCs w:val="1"/>
                <w:color w:val="auto"/>
              </w:rPr>
            </w:pPr>
          </w:p>
        </w:tc>
        <w:tc>
          <w:tcPr>
            <w:tcW w:w="800" w:type="dxa"/>
            <w:vAlign w:val="bottom"/>
            <w:gridSpan w:val="2"/>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shd w:val="clear" w:color="auto" w:fill="1F266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4000" w:type="dxa"/>
            <w:vAlign w:val="bottom"/>
          </w:tcPr>
          <w:p>
            <w:pPr>
              <w:spacing w:after="0"/>
              <w:rPr>
                <w:sz w:val="20"/>
                <w:szCs w:val="20"/>
                <w:color w:val="auto"/>
              </w:rPr>
            </w:pPr>
            <w:r>
              <w:rPr>
                <w:rFonts w:ascii="Arial" w:cs="Arial" w:eastAsia="Arial" w:hAnsi="Arial"/>
                <w:sz w:val="16"/>
                <w:szCs w:val="16"/>
                <w:b w:val="1"/>
                <w:bCs w:val="1"/>
                <w:color w:val="1F2668"/>
              </w:rPr>
              <w:t>Marc Holliday</w:t>
            </w:r>
          </w:p>
        </w:tc>
        <w:tc>
          <w:tcPr>
            <w:tcW w:w="5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560" w:type="dxa"/>
            <w:vAlign w:val="bottom"/>
          </w:tcPr>
          <w:p>
            <w:pPr>
              <w:ind w:left="400"/>
              <w:spacing w:after="0"/>
              <w:rPr>
                <w:sz w:val="20"/>
                <w:szCs w:val="20"/>
                <w:color w:val="auto"/>
              </w:rPr>
            </w:pPr>
            <w:r>
              <w:rPr>
                <w:rFonts w:ascii="Arial" w:cs="Arial" w:eastAsia="Arial" w:hAnsi="Arial"/>
                <w:sz w:val="16"/>
                <w:szCs w:val="16"/>
                <w:color w:val="auto"/>
                <w:w w:val="87"/>
              </w:rPr>
              <w:t>—​</w:t>
            </w:r>
          </w:p>
        </w:tc>
        <w:tc>
          <w:tcPr>
            <w:tcW w:w="520" w:type="dxa"/>
            <w:vAlign w:val="bottom"/>
            <w:gridSpan w:val="2"/>
          </w:tcPr>
          <w:p>
            <w:pPr>
              <w:spacing w:after="0"/>
              <w:rPr>
                <w:sz w:val="20"/>
                <w:szCs w:val="20"/>
                <w:color w:val="auto"/>
              </w:rPr>
            </w:pPr>
            <w:r>
              <w:rPr>
                <w:rFonts w:ascii="Arial" w:cs="Arial" w:eastAsia="Arial" w:hAnsi="Arial"/>
                <w:sz w:val="16"/>
                <w:szCs w:val="16"/>
                <w:color w:val="auto"/>
              </w:rPr>
              <w:t>​​​</w:t>
            </w:r>
          </w:p>
        </w:tc>
        <w:tc>
          <w:tcPr>
            <w:tcW w:w="1720" w:type="dxa"/>
            <w:vAlign w:val="bottom"/>
            <w:gridSpan w:val="6"/>
          </w:tcPr>
          <w:p>
            <w:pPr>
              <w:jc w:val="right"/>
              <w:ind w:right="100"/>
              <w:spacing w:after="0" w:line="276"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w:t>
            </w:r>
            <w:r>
              <w:rPr>
                <w:rFonts w:ascii="Arial" w:cs="Arial" w:eastAsia="Arial" w:hAnsi="Arial"/>
                <w:sz w:val="16"/>
                <w:szCs w:val="16"/>
                <w:color w:val="auto"/>
              </w:rPr>
              <w:t>$1,581,411</w:t>
            </w:r>
            <w:r>
              <w:rPr>
                <w:rFonts w:ascii="Arial" w:cs="Arial" w:eastAsia="Arial" w:hAnsi="Arial"/>
                <w:sz w:val="32"/>
                <w:szCs w:val="32"/>
                <w:color w:val="auto"/>
                <w:vertAlign w:val="subscript"/>
              </w:rPr>
              <w:t>​​​</w:t>
            </w:r>
          </w:p>
        </w:tc>
        <w:tc>
          <w:tcPr>
            <w:tcW w:w="1800" w:type="dxa"/>
            <w:vAlign w:val="bottom"/>
            <w:gridSpan w:val="6"/>
          </w:tcPr>
          <w:p>
            <w:pPr>
              <w:jc w:val="right"/>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$ 184,242</w:t>
            </w:r>
            <w:r>
              <w:rPr>
                <w:rFonts w:ascii="Arial" w:cs="Arial" w:eastAsia="Arial" w:hAnsi="Arial"/>
                <w:sz w:val="32"/>
                <w:szCs w:val="32"/>
                <w:color w:val="auto"/>
                <w:vertAlign w:val="subscript"/>
              </w:rPr>
              <w:t>​​​​</w:t>
            </w:r>
            <w:r>
              <w:rPr>
                <w:rFonts w:ascii="Arial" w:cs="Arial" w:eastAsia="Arial" w:hAnsi="Arial"/>
                <w:sz w:val="16"/>
                <w:szCs w:val="16"/>
                <w:color w:val="auto"/>
              </w:rPr>
              <w:t>$4,171,239</w:t>
            </w:r>
            <w:r>
              <w:rPr>
                <w:rFonts w:ascii="Arial" w:cs="Arial" w:eastAsia="Arial" w:hAnsi="Arial"/>
                <w:sz w:val="32"/>
                <w:szCs w:val="32"/>
                <w:color w:val="auto"/>
                <w:vertAlign w:val="subscript"/>
              </w:rPr>
              <w:t>​</w:t>
            </w:r>
          </w:p>
        </w:tc>
      </w:tr>
      <w:tr>
        <w:trPr>
          <w:trHeight w:val="20"/>
        </w:trPr>
        <w:tc>
          <w:tcPr>
            <w:tcW w:w="40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4B5088"/>
          </w:tcPr>
          <w:p>
            <w:pPr>
              <w:spacing w:after="0" w:line="20" w:lineRule="exact"/>
              <w:rPr>
                <w:sz w:val="1"/>
                <w:szCs w:val="1"/>
                <w:color w:val="auto"/>
              </w:rPr>
            </w:pPr>
          </w:p>
        </w:tc>
        <w:tc>
          <w:tcPr>
            <w:tcW w:w="56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4B5088"/>
          </w:tcPr>
          <w:p>
            <w:pPr>
              <w:spacing w:after="0" w:line="20" w:lineRule="exact"/>
              <w:rPr>
                <w:sz w:val="1"/>
                <w:szCs w:val="1"/>
                <w:color w:val="auto"/>
              </w:rPr>
            </w:pPr>
          </w:p>
        </w:tc>
        <w:tc>
          <w:tcPr>
            <w:tcW w:w="56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4B5088"/>
          </w:tcPr>
          <w:p>
            <w:pPr>
              <w:spacing w:after="0" w:line="20" w:lineRule="exact"/>
              <w:rPr>
                <w:sz w:val="1"/>
                <w:szCs w:val="1"/>
                <w:color w:val="auto"/>
              </w:rPr>
            </w:pPr>
          </w:p>
        </w:tc>
        <w:tc>
          <w:tcPr>
            <w:tcW w:w="5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4B5088"/>
          </w:tcPr>
          <w:p>
            <w:pPr>
              <w:spacing w:after="0" w:line="20" w:lineRule="exact"/>
              <w:rPr>
                <w:sz w:val="1"/>
                <w:szCs w:val="1"/>
                <w:color w:val="auto"/>
              </w:rPr>
            </w:pPr>
          </w:p>
        </w:tc>
        <w:tc>
          <w:tcPr>
            <w:tcW w:w="360" w:type="dxa"/>
            <w:vAlign w:val="bottom"/>
            <w:shd w:val="clear" w:color="auto" w:fill="4B5088"/>
          </w:tcPr>
          <w:p>
            <w:pPr>
              <w:spacing w:after="0" w:line="20" w:lineRule="exact"/>
              <w:rPr>
                <w:sz w:val="1"/>
                <w:szCs w:val="1"/>
                <w:color w:val="auto"/>
              </w:rPr>
            </w:pPr>
          </w:p>
        </w:tc>
        <w:tc>
          <w:tcPr>
            <w:tcW w:w="4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4B5088"/>
          </w:tcPr>
          <w:p>
            <w:pPr>
              <w:spacing w:after="0" w:line="20" w:lineRule="exact"/>
              <w:rPr>
                <w:sz w:val="1"/>
                <w:szCs w:val="1"/>
                <w:color w:val="auto"/>
              </w:rPr>
            </w:pPr>
          </w:p>
        </w:tc>
        <w:tc>
          <w:tcPr>
            <w:tcW w:w="540" w:type="dxa"/>
            <w:vAlign w:val="bottom"/>
            <w:shd w:val="clear" w:color="auto" w:fill="4B5088"/>
          </w:tcPr>
          <w:p>
            <w:pPr>
              <w:spacing w:after="0" w:line="20" w:lineRule="exact"/>
              <w:rPr>
                <w:sz w:val="1"/>
                <w:szCs w:val="1"/>
                <w:color w:val="auto"/>
              </w:rPr>
            </w:pPr>
          </w:p>
        </w:tc>
        <w:tc>
          <w:tcPr>
            <w:tcW w:w="60" w:type="dxa"/>
            <w:vAlign w:val="bottom"/>
            <w:tcBorders>
              <w:left w:val="single" w:sz="8" w:color="4B5088"/>
            </w:tcBorders>
          </w:tcPr>
          <w:p>
            <w:pPr>
              <w:spacing w:after="0" w:line="20" w:lineRule="exact"/>
              <w:rPr>
                <w:sz w:val="1"/>
                <w:szCs w:val="1"/>
                <w:color w:val="auto"/>
              </w:rPr>
            </w:pPr>
          </w:p>
        </w:tc>
      </w:tr>
      <w:tr>
        <w:trPr>
          <w:trHeight w:val="277"/>
        </w:trPr>
        <w:tc>
          <w:tcPr>
            <w:tcW w:w="4000" w:type="dxa"/>
            <w:vAlign w:val="bottom"/>
          </w:tcPr>
          <w:p>
            <w:pPr>
              <w:spacing w:after="0"/>
              <w:rPr>
                <w:sz w:val="20"/>
                <w:szCs w:val="20"/>
                <w:color w:val="auto"/>
              </w:rPr>
            </w:pPr>
            <w:r>
              <w:rPr>
                <w:rFonts w:ascii="Arial" w:cs="Arial" w:eastAsia="Arial" w:hAnsi="Arial"/>
                <w:sz w:val="16"/>
                <w:szCs w:val="16"/>
                <w:b w:val="1"/>
                <w:bCs w:val="1"/>
                <w:color w:val="1F2668"/>
              </w:rPr>
              <w:t>Matthew J. DiLiberto</w:t>
            </w:r>
          </w:p>
        </w:tc>
        <w:tc>
          <w:tcPr>
            <w:tcW w:w="5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560" w:type="dxa"/>
            <w:vAlign w:val="bottom"/>
          </w:tcPr>
          <w:p>
            <w:pPr>
              <w:ind w:left="400"/>
              <w:spacing w:after="0"/>
              <w:rPr>
                <w:sz w:val="20"/>
                <w:szCs w:val="20"/>
                <w:color w:val="auto"/>
              </w:rPr>
            </w:pPr>
            <w:r>
              <w:rPr>
                <w:rFonts w:ascii="Arial" w:cs="Arial" w:eastAsia="Arial" w:hAnsi="Arial"/>
                <w:sz w:val="16"/>
                <w:szCs w:val="16"/>
                <w:color w:val="auto"/>
                <w:w w:val="87"/>
              </w:rPr>
              <w:t>—​</w:t>
            </w:r>
          </w:p>
        </w:tc>
        <w:tc>
          <w:tcPr>
            <w:tcW w:w="520" w:type="dxa"/>
            <w:vAlign w:val="bottom"/>
            <w:gridSpan w:val="2"/>
          </w:tcPr>
          <w:p>
            <w:pPr>
              <w:spacing w:after="0"/>
              <w:rPr>
                <w:sz w:val="20"/>
                <w:szCs w:val="20"/>
                <w:color w:val="auto"/>
              </w:rPr>
            </w:pPr>
            <w:r>
              <w:rPr>
                <w:rFonts w:ascii="Arial" w:cs="Arial" w:eastAsia="Arial" w:hAnsi="Arial"/>
                <w:sz w:val="16"/>
                <w:szCs w:val="16"/>
                <w:color w:val="auto"/>
              </w:rPr>
              <w:t>​​​</w:t>
            </w:r>
          </w:p>
        </w:tc>
        <w:tc>
          <w:tcPr>
            <w:tcW w:w="560" w:type="dxa"/>
            <w:vAlign w:val="bottom"/>
          </w:tcPr>
          <w:p>
            <w:pPr>
              <w:ind w:left="400"/>
              <w:spacing w:after="0"/>
              <w:rPr>
                <w:sz w:val="20"/>
                <w:szCs w:val="20"/>
                <w:color w:val="auto"/>
              </w:rPr>
            </w:pPr>
            <w:r>
              <w:rPr>
                <w:rFonts w:ascii="Arial" w:cs="Arial" w:eastAsia="Arial" w:hAnsi="Arial"/>
                <w:sz w:val="16"/>
                <w:szCs w:val="16"/>
                <w:color w:val="auto"/>
                <w:w w:val="87"/>
              </w:rPr>
              <w:t>—​</w:t>
            </w:r>
          </w:p>
        </w:tc>
        <w:tc>
          <w:tcPr>
            <w:tcW w:w="400" w:type="dxa"/>
            <w:vAlign w:val="bottom"/>
            <w:gridSpan w:val="2"/>
          </w:tcPr>
          <w:p>
            <w:pPr>
              <w:spacing w:after="0" w:line="276" w:lineRule="exact"/>
              <w:rPr>
                <w:sz w:val="20"/>
                <w:szCs w:val="20"/>
                <w:color w:val="auto"/>
              </w:rPr>
            </w:pPr>
            <w:r>
              <w:rPr>
                <w:rFonts w:ascii="Arial" w:cs="Arial" w:eastAsia="Arial" w:hAnsi="Arial"/>
                <w:sz w:val="16"/>
                <w:szCs w:val="16"/>
                <w:color w:val="auto"/>
              </w:rPr>
              <w:t xml:space="preserve">​​​​ </w:t>
            </w:r>
            <w:r>
              <w:rPr>
                <w:rFonts w:ascii="Arial" w:cs="Arial" w:eastAsia="Arial" w:hAnsi="Arial"/>
                <w:sz w:val="32"/>
                <w:szCs w:val="32"/>
                <w:color w:val="auto"/>
                <w:vertAlign w:val="superscript"/>
              </w:rPr>
              <w:t>​</w:t>
            </w:r>
          </w:p>
        </w:tc>
        <w:tc>
          <w:tcPr>
            <w:tcW w:w="760" w:type="dxa"/>
            <w:vAlign w:val="bottom"/>
            <w:gridSpan w:val="3"/>
          </w:tcPr>
          <w:p>
            <w:pPr>
              <w:jc w:val="right"/>
              <w:ind w:right="100"/>
              <w:spacing w:after="0" w:line="276"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w:t>
            </w:r>
          </w:p>
        </w:tc>
        <w:tc>
          <w:tcPr>
            <w:tcW w:w="360" w:type="dxa"/>
            <w:vAlign w:val="bottom"/>
          </w:tcPr>
          <w:p>
            <w:pPr>
              <w:ind w:left="6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 xml:space="preserve"> ​</w:t>
            </w:r>
          </w:p>
        </w:tc>
        <w:tc>
          <w:tcPr>
            <w:tcW w:w="840" w:type="dxa"/>
            <w:vAlign w:val="bottom"/>
            <w:gridSpan w:val="3"/>
          </w:tcPr>
          <w:p>
            <w:pPr>
              <w:ind w:left="280"/>
              <w:spacing w:after="0" w:line="276"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w:t>
            </w:r>
            <w:r>
              <w:rPr>
                <w:rFonts w:ascii="Arial" w:cs="Arial" w:eastAsia="Arial" w:hAnsi="Arial"/>
                <w:sz w:val="32"/>
                <w:szCs w:val="32"/>
                <w:color w:val="auto"/>
                <w:vertAlign w:val="superscript"/>
              </w:rPr>
              <w:t>​</w:t>
            </w:r>
          </w:p>
        </w:tc>
        <w:tc>
          <w:tcPr>
            <w:tcW w:w="600" w:type="dxa"/>
            <w:vAlign w:val="bottom"/>
            <w:gridSpan w:val="2"/>
          </w:tcPr>
          <w:p>
            <w:pPr>
              <w:jc w:val="right"/>
              <w:spacing w:after="0" w:line="276"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w:t>
            </w:r>
          </w:p>
        </w:tc>
      </w:tr>
      <w:tr>
        <w:trPr>
          <w:trHeight w:val="20"/>
        </w:trPr>
        <w:tc>
          <w:tcPr>
            <w:tcW w:w="40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4B5088"/>
          </w:tcPr>
          <w:p>
            <w:pPr>
              <w:spacing w:after="0" w:line="20" w:lineRule="exact"/>
              <w:rPr>
                <w:sz w:val="1"/>
                <w:szCs w:val="1"/>
                <w:color w:val="auto"/>
              </w:rPr>
            </w:pPr>
          </w:p>
        </w:tc>
        <w:tc>
          <w:tcPr>
            <w:tcW w:w="56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4B5088"/>
          </w:tcPr>
          <w:p>
            <w:pPr>
              <w:spacing w:after="0" w:line="20" w:lineRule="exact"/>
              <w:rPr>
                <w:sz w:val="1"/>
                <w:szCs w:val="1"/>
                <w:color w:val="auto"/>
              </w:rPr>
            </w:pPr>
          </w:p>
        </w:tc>
        <w:tc>
          <w:tcPr>
            <w:tcW w:w="56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4B5088"/>
          </w:tcPr>
          <w:p>
            <w:pPr>
              <w:spacing w:after="0" w:line="20" w:lineRule="exact"/>
              <w:rPr>
                <w:sz w:val="1"/>
                <w:szCs w:val="1"/>
                <w:color w:val="auto"/>
              </w:rPr>
            </w:pPr>
          </w:p>
        </w:tc>
        <w:tc>
          <w:tcPr>
            <w:tcW w:w="5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4B5088"/>
          </w:tcPr>
          <w:p>
            <w:pPr>
              <w:spacing w:after="0" w:line="20" w:lineRule="exact"/>
              <w:rPr>
                <w:sz w:val="1"/>
                <w:szCs w:val="1"/>
                <w:color w:val="auto"/>
              </w:rPr>
            </w:pPr>
          </w:p>
        </w:tc>
        <w:tc>
          <w:tcPr>
            <w:tcW w:w="360" w:type="dxa"/>
            <w:vAlign w:val="bottom"/>
            <w:shd w:val="clear" w:color="auto" w:fill="4B5088"/>
          </w:tcPr>
          <w:p>
            <w:pPr>
              <w:spacing w:after="0" w:line="20" w:lineRule="exact"/>
              <w:rPr>
                <w:sz w:val="1"/>
                <w:szCs w:val="1"/>
                <w:color w:val="auto"/>
              </w:rPr>
            </w:pPr>
          </w:p>
        </w:tc>
        <w:tc>
          <w:tcPr>
            <w:tcW w:w="4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4B5088"/>
          </w:tcPr>
          <w:p>
            <w:pPr>
              <w:spacing w:after="0" w:line="20" w:lineRule="exact"/>
              <w:rPr>
                <w:sz w:val="1"/>
                <w:szCs w:val="1"/>
                <w:color w:val="auto"/>
              </w:rPr>
            </w:pPr>
          </w:p>
        </w:tc>
        <w:tc>
          <w:tcPr>
            <w:tcW w:w="540" w:type="dxa"/>
            <w:vAlign w:val="bottom"/>
            <w:shd w:val="clear" w:color="auto" w:fill="4B5088"/>
          </w:tcPr>
          <w:p>
            <w:pPr>
              <w:spacing w:after="0" w:line="20" w:lineRule="exact"/>
              <w:rPr>
                <w:sz w:val="1"/>
                <w:szCs w:val="1"/>
                <w:color w:val="auto"/>
              </w:rPr>
            </w:pPr>
          </w:p>
        </w:tc>
        <w:tc>
          <w:tcPr>
            <w:tcW w:w="60" w:type="dxa"/>
            <w:vAlign w:val="bottom"/>
            <w:tcBorders>
              <w:left w:val="single" w:sz="8" w:color="4B5088"/>
            </w:tcBorders>
          </w:tcPr>
          <w:p>
            <w:pPr>
              <w:spacing w:after="0" w:line="20" w:lineRule="exact"/>
              <w:rPr>
                <w:sz w:val="1"/>
                <w:szCs w:val="1"/>
                <w:color w:val="auto"/>
              </w:rPr>
            </w:pPr>
          </w:p>
        </w:tc>
      </w:tr>
      <w:tr>
        <w:trPr>
          <w:trHeight w:val="277"/>
        </w:trPr>
        <w:tc>
          <w:tcPr>
            <w:tcW w:w="4000" w:type="dxa"/>
            <w:vAlign w:val="bottom"/>
          </w:tcPr>
          <w:p>
            <w:pPr>
              <w:spacing w:after="0"/>
              <w:rPr>
                <w:sz w:val="20"/>
                <w:szCs w:val="20"/>
                <w:color w:val="auto"/>
              </w:rPr>
            </w:pPr>
            <w:r>
              <w:rPr>
                <w:rFonts w:ascii="Arial" w:cs="Arial" w:eastAsia="Arial" w:hAnsi="Arial"/>
                <w:sz w:val="16"/>
                <w:szCs w:val="16"/>
                <w:b w:val="1"/>
                <w:bCs w:val="1"/>
                <w:color w:val="1F2668"/>
              </w:rPr>
              <w:t>Andrew S. Levine</w:t>
            </w:r>
          </w:p>
        </w:tc>
        <w:tc>
          <w:tcPr>
            <w:tcW w:w="5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560" w:type="dxa"/>
            <w:vAlign w:val="bottom"/>
          </w:tcPr>
          <w:p>
            <w:pPr>
              <w:ind w:left="400"/>
              <w:spacing w:after="0"/>
              <w:rPr>
                <w:sz w:val="20"/>
                <w:szCs w:val="20"/>
                <w:color w:val="auto"/>
              </w:rPr>
            </w:pPr>
            <w:r>
              <w:rPr>
                <w:rFonts w:ascii="Arial" w:cs="Arial" w:eastAsia="Arial" w:hAnsi="Arial"/>
                <w:sz w:val="16"/>
                <w:szCs w:val="16"/>
                <w:color w:val="auto"/>
                <w:w w:val="87"/>
              </w:rPr>
              <w:t>—​</w:t>
            </w:r>
          </w:p>
        </w:tc>
        <w:tc>
          <w:tcPr>
            <w:tcW w:w="520" w:type="dxa"/>
            <w:vAlign w:val="bottom"/>
            <w:gridSpan w:val="2"/>
          </w:tcPr>
          <w:p>
            <w:pPr>
              <w:spacing w:after="0"/>
              <w:rPr>
                <w:sz w:val="20"/>
                <w:szCs w:val="20"/>
                <w:color w:val="auto"/>
              </w:rPr>
            </w:pPr>
            <w:r>
              <w:rPr>
                <w:rFonts w:ascii="Arial" w:cs="Arial" w:eastAsia="Arial" w:hAnsi="Arial"/>
                <w:sz w:val="16"/>
                <w:szCs w:val="16"/>
                <w:color w:val="auto"/>
              </w:rPr>
              <w:t>​​​</w:t>
            </w:r>
          </w:p>
        </w:tc>
        <w:tc>
          <w:tcPr>
            <w:tcW w:w="560" w:type="dxa"/>
            <w:vAlign w:val="bottom"/>
          </w:tcPr>
          <w:p>
            <w:pPr>
              <w:ind w:left="400"/>
              <w:spacing w:after="0"/>
              <w:rPr>
                <w:sz w:val="20"/>
                <w:szCs w:val="20"/>
                <w:color w:val="auto"/>
              </w:rPr>
            </w:pPr>
            <w:r>
              <w:rPr>
                <w:rFonts w:ascii="Arial" w:cs="Arial" w:eastAsia="Arial" w:hAnsi="Arial"/>
                <w:sz w:val="16"/>
                <w:szCs w:val="16"/>
                <w:color w:val="auto"/>
                <w:w w:val="87"/>
              </w:rPr>
              <w:t>—​</w:t>
            </w:r>
          </w:p>
        </w:tc>
        <w:tc>
          <w:tcPr>
            <w:tcW w:w="400" w:type="dxa"/>
            <w:vAlign w:val="bottom"/>
            <w:gridSpan w:val="2"/>
          </w:tcPr>
          <w:p>
            <w:pPr>
              <w:spacing w:after="0" w:line="276" w:lineRule="exact"/>
              <w:rPr>
                <w:sz w:val="20"/>
                <w:szCs w:val="20"/>
                <w:color w:val="auto"/>
              </w:rPr>
            </w:pPr>
            <w:r>
              <w:rPr>
                <w:rFonts w:ascii="Arial" w:cs="Arial" w:eastAsia="Arial" w:hAnsi="Arial"/>
                <w:sz w:val="16"/>
                <w:szCs w:val="16"/>
                <w:color w:val="auto"/>
              </w:rPr>
              <w:t xml:space="preserve">​​​​ </w:t>
            </w:r>
            <w:r>
              <w:rPr>
                <w:rFonts w:ascii="Arial" w:cs="Arial" w:eastAsia="Arial" w:hAnsi="Arial"/>
                <w:sz w:val="32"/>
                <w:szCs w:val="32"/>
                <w:color w:val="auto"/>
                <w:vertAlign w:val="superscript"/>
              </w:rPr>
              <w:t>​</w:t>
            </w:r>
          </w:p>
        </w:tc>
        <w:tc>
          <w:tcPr>
            <w:tcW w:w="760" w:type="dxa"/>
            <w:vAlign w:val="bottom"/>
            <w:gridSpan w:val="3"/>
          </w:tcPr>
          <w:p>
            <w:pPr>
              <w:jc w:val="right"/>
              <w:ind w:right="100"/>
              <w:spacing w:after="0" w:line="276"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w:t>
            </w:r>
          </w:p>
        </w:tc>
        <w:tc>
          <w:tcPr>
            <w:tcW w:w="360" w:type="dxa"/>
            <w:vAlign w:val="bottom"/>
          </w:tcPr>
          <w:p>
            <w:pPr>
              <w:ind w:left="60"/>
              <w:spacing w:after="0" w:line="276" w:lineRule="exact"/>
              <w:rPr>
                <w:sz w:val="20"/>
                <w:szCs w:val="20"/>
                <w:color w:val="auto"/>
              </w:rPr>
            </w:pPr>
            <w:r>
              <w:rPr>
                <w:rFonts w:ascii="Arial" w:cs="Arial" w:eastAsia="Arial" w:hAnsi="Arial"/>
                <w:sz w:val="16"/>
                <w:szCs w:val="16"/>
                <w:color w:val="auto"/>
              </w:rPr>
              <w:t xml:space="preserve">​ </w:t>
            </w:r>
            <w:r>
              <w:rPr>
                <w:rFonts w:ascii="Arial" w:cs="Arial" w:eastAsia="Arial" w:hAnsi="Arial"/>
                <w:sz w:val="32"/>
                <w:szCs w:val="32"/>
                <w:color w:val="auto"/>
                <w:vertAlign w:val="superscript"/>
              </w:rPr>
              <w:t>​</w:t>
            </w:r>
          </w:p>
        </w:tc>
        <w:tc>
          <w:tcPr>
            <w:tcW w:w="840" w:type="dxa"/>
            <w:vAlign w:val="bottom"/>
            <w:gridSpan w:val="3"/>
          </w:tcPr>
          <w:p>
            <w:pPr>
              <w:ind w:left="280"/>
              <w:spacing w:after="0" w:line="276"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w:t>
            </w:r>
            <w:r>
              <w:rPr>
                <w:rFonts w:ascii="Arial" w:cs="Arial" w:eastAsia="Arial" w:hAnsi="Arial"/>
                <w:sz w:val="32"/>
                <w:szCs w:val="32"/>
                <w:color w:val="auto"/>
                <w:vertAlign w:val="superscript"/>
              </w:rPr>
              <w:t>​</w:t>
            </w:r>
          </w:p>
        </w:tc>
        <w:tc>
          <w:tcPr>
            <w:tcW w:w="600" w:type="dxa"/>
            <w:vAlign w:val="bottom"/>
            <w:gridSpan w:val="2"/>
          </w:tcPr>
          <w:p>
            <w:pPr>
              <w:jc w:val="right"/>
              <w:spacing w:after="0" w:line="276"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w:t>
            </w:r>
          </w:p>
        </w:tc>
      </w:tr>
      <w:tr>
        <w:trPr>
          <w:trHeight w:val="20"/>
        </w:trPr>
        <w:tc>
          <w:tcPr>
            <w:tcW w:w="4000" w:type="dxa"/>
            <w:vAlign w:val="bottom"/>
            <w:shd w:val="clear" w:color="auto" w:fill="1F266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1F2668"/>
          </w:tcPr>
          <w:p>
            <w:pPr>
              <w:spacing w:after="0" w:line="20" w:lineRule="exact"/>
              <w:rPr>
                <w:sz w:val="1"/>
                <w:szCs w:val="1"/>
                <w:color w:val="auto"/>
              </w:rPr>
            </w:pPr>
          </w:p>
        </w:tc>
        <w:tc>
          <w:tcPr>
            <w:tcW w:w="560" w:type="dxa"/>
            <w:vAlign w:val="bottom"/>
            <w:shd w:val="clear" w:color="auto" w:fill="1F266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1F2668"/>
          </w:tcPr>
          <w:p>
            <w:pPr>
              <w:spacing w:after="0" w:line="20" w:lineRule="exact"/>
              <w:rPr>
                <w:sz w:val="1"/>
                <w:szCs w:val="1"/>
                <w:color w:val="auto"/>
              </w:rPr>
            </w:pPr>
          </w:p>
        </w:tc>
        <w:tc>
          <w:tcPr>
            <w:tcW w:w="560" w:type="dxa"/>
            <w:vAlign w:val="bottom"/>
            <w:shd w:val="clear" w:color="auto" w:fill="1F266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1F2668"/>
          </w:tcPr>
          <w:p>
            <w:pPr>
              <w:spacing w:after="0" w:line="20" w:lineRule="exact"/>
              <w:rPr>
                <w:sz w:val="1"/>
                <w:szCs w:val="1"/>
                <w:color w:val="auto"/>
              </w:rPr>
            </w:pPr>
          </w:p>
        </w:tc>
        <w:tc>
          <w:tcPr>
            <w:tcW w:w="54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1F2668"/>
          </w:tcPr>
          <w:p>
            <w:pPr>
              <w:spacing w:after="0" w:line="20" w:lineRule="exact"/>
              <w:rPr>
                <w:sz w:val="1"/>
                <w:szCs w:val="1"/>
                <w:color w:val="auto"/>
              </w:rPr>
            </w:pPr>
          </w:p>
        </w:tc>
        <w:tc>
          <w:tcPr>
            <w:tcW w:w="360" w:type="dxa"/>
            <w:vAlign w:val="bottom"/>
            <w:shd w:val="clear" w:color="auto" w:fill="1F2668"/>
          </w:tcPr>
          <w:p>
            <w:pPr>
              <w:spacing w:after="0" w:line="20" w:lineRule="exact"/>
              <w:rPr>
                <w:sz w:val="1"/>
                <w:szCs w:val="1"/>
                <w:color w:val="auto"/>
              </w:rPr>
            </w:pPr>
          </w:p>
        </w:tc>
        <w:tc>
          <w:tcPr>
            <w:tcW w:w="44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1F2668"/>
          </w:tcPr>
          <w:p>
            <w:pPr>
              <w:spacing w:after="0" w:line="20" w:lineRule="exact"/>
              <w:rPr>
                <w:sz w:val="1"/>
                <w:szCs w:val="1"/>
                <w:color w:val="auto"/>
              </w:rPr>
            </w:pPr>
          </w:p>
        </w:tc>
        <w:tc>
          <w:tcPr>
            <w:tcW w:w="540" w:type="dxa"/>
            <w:vAlign w:val="bottom"/>
            <w:shd w:val="clear" w:color="auto" w:fill="1F2668"/>
          </w:tcPr>
          <w:p>
            <w:pPr>
              <w:spacing w:after="0" w:line="20" w:lineRule="exact"/>
              <w:rPr>
                <w:sz w:val="1"/>
                <w:szCs w:val="1"/>
                <w:color w:val="auto"/>
              </w:rPr>
            </w:pPr>
          </w:p>
        </w:tc>
        <w:tc>
          <w:tcPr>
            <w:tcW w:w="60" w:type="dxa"/>
            <w:vAlign w:val="bottom"/>
            <w:tcBorders>
              <w:left w:val="single" w:sz="8" w:color="1F2668"/>
            </w:tcBorders>
          </w:tcPr>
          <w:p>
            <w:pPr>
              <w:spacing w:after="0" w:line="20" w:lineRule="exact"/>
              <w:rPr>
                <w:sz w:val="1"/>
                <w:szCs w:val="1"/>
                <w:color w:val="auto"/>
              </w:rPr>
            </w:pPr>
          </w:p>
        </w:tc>
      </w:tr>
    </w:tbl>
    <w:p>
      <w:pPr>
        <w:spacing w:after="0" w:line="207" w:lineRule="exact"/>
        <w:rPr>
          <w:sz w:val="20"/>
          <w:szCs w:val="20"/>
          <w:color w:val="auto"/>
        </w:rPr>
      </w:pPr>
    </w:p>
    <w:p>
      <w:pPr>
        <w:ind w:left="1180" w:right="60" w:hanging="364"/>
        <w:spacing w:after="0" w:line="277" w:lineRule="auto"/>
        <w:tabs>
          <w:tab w:leader="none" w:pos="11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Awards of notional units constitute “Stock Awards” for purposes of the Summary Compensation Table, and, as a result, the full grant date fair value of these awards computed in accordance with ASC 718, as of the grant date of such awards, are included in the “Stock Awards” column of the Summary Compensation Table for the year in which they were granted. The right to receive dividend equivalents was factored into the determination of the grant date fair value, which means that the value of the dividend equivalents included in “Aggregate Earnings in Last FY” was effectively already included in the Summary Compensation Table.</w:t>
      </w:r>
    </w:p>
    <w:p>
      <w:pPr>
        <w:spacing w:after="0" w:line="42" w:lineRule="exact"/>
        <w:rPr>
          <w:rFonts w:ascii="Arial" w:cs="Arial" w:eastAsia="Arial" w:hAnsi="Arial"/>
          <w:sz w:val="14"/>
          <w:szCs w:val="14"/>
          <w:color w:val="auto"/>
        </w:rPr>
      </w:pPr>
    </w:p>
    <w:p>
      <w:pPr>
        <w:ind w:left="1180" w:right="100" w:hanging="364"/>
        <w:spacing w:after="0" w:line="282" w:lineRule="auto"/>
        <w:tabs>
          <w:tab w:leader="none" w:pos="11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amounts in this column represent the increase or decrease in value of vested notional units from December 31, 2023 through December 31, 2024, as calculated based on the closing stock price on the NYSE of one share of our common stock on December 31, 2023 compared to the closing stock price on the NYSE of one share of our common stock on December 31, 2024, plus the aggregate value of dividend equivalent rights paid with respect to all vested and unvested notional units held by each executive during 2024.</w:t>
      </w:r>
    </w:p>
    <w:p>
      <w:pPr>
        <w:spacing w:after="0" w:line="26" w:lineRule="exact"/>
        <w:rPr>
          <w:rFonts w:ascii="Arial" w:cs="Arial" w:eastAsia="Arial" w:hAnsi="Arial"/>
          <w:sz w:val="14"/>
          <w:szCs w:val="14"/>
          <w:color w:val="auto"/>
        </w:rPr>
      </w:pPr>
    </w:p>
    <w:p>
      <w:pPr>
        <w:ind w:left="1180" w:right="500" w:hanging="364"/>
        <w:spacing w:after="0" w:line="322" w:lineRule="auto"/>
        <w:tabs>
          <w:tab w:leader="none" w:pos="11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Represents the aggregate value of dividend equivalent rights paid with respect to all vested and unvested notional units held by each executive during 2024.</w:t>
      </w:r>
    </w:p>
    <w:p>
      <w:pPr>
        <w:ind w:left="1180" w:right="160" w:hanging="364"/>
        <w:spacing w:after="0" w:line="325" w:lineRule="auto"/>
        <w:tabs>
          <w:tab w:leader="none" w:pos="11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Based on a per share price of $67.92, which was the closing stock price on the NYSE of one share of our common stock on December 31, 2024.</w:t>
      </w:r>
    </w:p>
    <w:p>
      <w:pPr>
        <w:spacing w:after="0" w:line="242"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Potential Payments Upon Termination or Change in Control</w:t>
      </w:r>
    </w:p>
    <w:p>
      <w:pPr>
        <w:spacing w:after="0" w:line="133" w:lineRule="exact"/>
        <w:rPr>
          <w:sz w:val="20"/>
          <w:szCs w:val="20"/>
          <w:color w:val="auto"/>
        </w:rPr>
      </w:pPr>
    </w:p>
    <w:p>
      <w:pPr>
        <w:ind w:left="820" w:right="140"/>
        <w:spacing w:after="0" w:line="320" w:lineRule="auto"/>
        <w:rPr>
          <w:sz w:val="20"/>
          <w:szCs w:val="20"/>
          <w:color w:val="auto"/>
        </w:rPr>
      </w:pPr>
      <w:r>
        <w:rPr>
          <w:rFonts w:ascii="Arial" w:cs="Arial" w:eastAsia="Arial" w:hAnsi="Arial"/>
          <w:sz w:val="15"/>
          <w:szCs w:val="15"/>
          <w:color w:val="auto"/>
        </w:rPr>
        <w:t>We have contractual arrangements with our named executive officers that provide for payments, acceleration of vesting or other benefits to our named executive officers upon a termination of employment in certain circumstances or upon a change in control. These include our employment agreements with our named executive officers, our performance-based equity awards and our stock options and Class O LTIP Units. The discussion below describes these contractual arrangements in greater detail.</w:t>
      </w:r>
    </w:p>
    <w:p>
      <w:pPr>
        <w:spacing w:after="0" w:line="137"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83AD40"/>
        </w:rPr>
        <w:t>Employment Agreements</w:t>
      </w:r>
    </w:p>
    <w:p>
      <w:pPr>
        <w:spacing w:after="0" w:line="131" w:lineRule="exact"/>
        <w:rPr>
          <w:sz w:val="20"/>
          <w:szCs w:val="20"/>
          <w:color w:val="auto"/>
        </w:rPr>
      </w:pPr>
    </w:p>
    <w:p>
      <w:pPr>
        <w:ind w:left="820" w:right="120"/>
        <w:spacing w:after="0" w:line="288" w:lineRule="auto"/>
        <w:rPr>
          <w:sz w:val="20"/>
          <w:szCs w:val="20"/>
          <w:color w:val="auto"/>
        </w:rPr>
      </w:pPr>
      <w:r>
        <w:rPr>
          <w:rFonts w:ascii="Arial" w:cs="Arial" w:eastAsia="Arial" w:hAnsi="Arial"/>
          <w:sz w:val="16"/>
          <w:szCs w:val="16"/>
          <w:color w:val="auto"/>
        </w:rPr>
        <w:t>During 2024, we had employment agreements with each of our named executive officers. Each of the employment agreements with our named executive officers provided for, among other things, severance payments and benefits and acceleration of equity awards in connection with the termination of employment in certain circumstances. In return, each of our named executive officers agreed to non-compete, non-solicitation, non-interference and confidentiality provisions. The table below summarizes the material terms of our employment agreements that, in the case of Messrs. DiLiberto and Levine, were in effect during 2024. The below summarizes the terms of our CEO’s new employment agreement but, as relevant, also summarizes the terms of Mr. Holliday’s prior employment agreement that was in effect during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6831965"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71"/>
        </w:trPr>
        <w:tc>
          <w:tcPr>
            <w:tcW w:w="1360" w:type="dxa"/>
            <w:vAlign w:val="bottom"/>
            <w:gridSpan w:val="2"/>
          </w:tcPr>
          <w:p>
            <w:pPr>
              <w:spacing w:after="0"/>
              <w:rPr>
                <w:sz w:val="20"/>
                <w:szCs w:val="20"/>
                <w:color w:val="auto"/>
              </w:rPr>
            </w:pPr>
            <w:r>
              <w:rPr>
                <w:rFonts w:ascii="Calibri" w:cs="Calibri" w:eastAsia="Calibri" w:hAnsi="Calibri"/>
                <w:sz w:val="14"/>
                <w:szCs w:val="14"/>
                <w:color w:val="003366"/>
              </w:rPr>
              <w:t>TABLE OF CONTENTS</w:t>
            </w: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5"/>
        </w:trPr>
        <w:tc>
          <w:tcPr>
            <w:tcW w:w="8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22"/>
                <w:szCs w:val="22"/>
                <w:b w:val="1"/>
                <w:bCs w:val="1"/>
                <w:color w:val="1F2668"/>
              </w:rPr>
              <w:t>72​</w:t>
            </w:r>
          </w:p>
        </w:tc>
        <w:tc>
          <w:tcPr>
            <w:tcW w:w="3880" w:type="dxa"/>
            <w:vAlign w:val="bottom"/>
            <w:gridSpan w:val="3"/>
          </w:tcPr>
          <w:p>
            <w:pPr>
              <w:ind w:left="100"/>
              <w:spacing w:after="0"/>
              <w:rPr>
                <w:sz w:val="20"/>
                <w:szCs w:val="20"/>
                <w:color w:val="auto"/>
              </w:rPr>
            </w:pPr>
            <w:r>
              <w:rPr>
                <w:rFonts w:ascii="Arial" w:cs="Arial" w:eastAsia="Arial" w:hAnsi="Arial"/>
                <w:sz w:val="22"/>
                <w:szCs w:val="22"/>
                <w:b w:val="1"/>
                <w:bCs w:val="1"/>
                <w:color w:val="1F2668"/>
              </w:rPr>
              <w:t xml:space="preserve">​ ​ </w:t>
            </w:r>
            <w:r>
              <w:rPr>
                <w:rFonts w:ascii="Arial" w:cs="Arial" w:eastAsia="Arial" w:hAnsi="Arial"/>
                <w:sz w:val="14"/>
                <w:szCs w:val="14"/>
                <w:b w:val="1"/>
                <w:bCs w:val="1"/>
                <w:color w:val="1F2668"/>
              </w:rPr>
              <w:t>SL GREEN REALTY CORP. 2025 PROXY STATEMENT</w:t>
            </w: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22"/>
                <w:szCs w:val="22"/>
                <w:b w:val="1"/>
                <w:bCs w:val="1"/>
                <w:color w:val="1F2668"/>
              </w:rPr>
              <w:t>​</w:t>
            </w:r>
          </w:p>
        </w:tc>
        <w:tc>
          <w:tcPr>
            <w:tcW w:w="0" w:type="dxa"/>
            <w:vAlign w:val="bottom"/>
          </w:tcPr>
          <w:p>
            <w:pPr>
              <w:spacing w:after="0"/>
              <w:rPr>
                <w:sz w:val="1"/>
                <w:szCs w:val="1"/>
                <w:color w:val="auto"/>
              </w:rPr>
            </w:pPr>
          </w:p>
        </w:tc>
      </w:tr>
      <w:tr>
        <w:trPr>
          <w:trHeight w:val="663"/>
        </w:trPr>
        <w:tc>
          <w:tcPr>
            <w:tcW w:w="8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4"/>
                <w:szCs w:val="14"/>
                <w:color w:val="1F2668"/>
              </w:rPr>
              <w:t>​</w:t>
            </w:r>
          </w:p>
        </w:tc>
        <w:tc>
          <w:tcPr>
            <w:tcW w:w="156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28"/>
                <w:szCs w:val="28"/>
                <w:color w:val="1F2668"/>
                <w:vertAlign w:val="subscript"/>
              </w:rPr>
              <w:t>​​</w:t>
            </w:r>
            <w:r>
              <w:rPr>
                <w:rFonts w:ascii="Arial" w:cs="Arial" w:eastAsia="Arial" w:hAnsi="Arial"/>
                <w:sz w:val="14"/>
                <w:szCs w:val="14"/>
                <w:color w:val="1F2668"/>
              </w:rPr>
              <w:t>Marc Holliday</w:t>
            </w:r>
          </w:p>
        </w:tc>
        <w:tc>
          <w:tcPr>
            <w:tcW w:w="2320" w:type="dxa"/>
            <w:vAlign w:val="bottom"/>
            <w:gridSpan w:val="2"/>
          </w:tcPr>
          <w:p>
            <w:pPr>
              <w:spacing w:after="0"/>
              <w:rPr>
                <w:sz w:val="20"/>
                <w:szCs w:val="20"/>
                <w:color w:val="auto"/>
              </w:rPr>
            </w:pPr>
            <w:r>
              <w:rPr>
                <w:rFonts w:ascii="Arial" w:cs="Arial" w:eastAsia="Arial" w:hAnsi="Arial"/>
                <w:sz w:val="28"/>
                <w:szCs w:val="28"/>
                <w:color w:val="1F2668"/>
                <w:vertAlign w:val="subscript"/>
              </w:rPr>
              <w:t>​​</w:t>
            </w:r>
            <w:r>
              <w:rPr>
                <w:rFonts w:ascii="Arial" w:cs="Arial" w:eastAsia="Arial" w:hAnsi="Arial"/>
                <w:sz w:val="14"/>
                <w:szCs w:val="14"/>
                <w:color w:val="1F2668"/>
              </w:rPr>
              <w:t>Matthew J. DiLiberto</w:t>
            </w:r>
          </w:p>
        </w:tc>
        <w:tc>
          <w:tcPr>
            <w:tcW w:w="2320" w:type="dxa"/>
            <w:vAlign w:val="bottom"/>
            <w:gridSpan w:val="2"/>
          </w:tcPr>
          <w:p>
            <w:pPr>
              <w:spacing w:after="0"/>
              <w:rPr>
                <w:sz w:val="20"/>
                <w:szCs w:val="20"/>
                <w:color w:val="auto"/>
              </w:rPr>
            </w:pPr>
            <w:r>
              <w:rPr>
                <w:rFonts w:ascii="Arial" w:cs="Arial" w:eastAsia="Arial" w:hAnsi="Arial"/>
                <w:sz w:val="28"/>
                <w:szCs w:val="28"/>
                <w:color w:val="1F2668"/>
                <w:vertAlign w:val="subscript"/>
              </w:rPr>
              <w:t>​​</w:t>
            </w:r>
            <w:r>
              <w:rPr>
                <w:rFonts w:ascii="Arial" w:cs="Arial" w:eastAsia="Arial" w:hAnsi="Arial"/>
                <w:sz w:val="14"/>
                <w:szCs w:val="14"/>
                <w:color w:val="1F2668"/>
              </w:rPr>
              <w:t>Andrew S. Levine</w:t>
            </w:r>
          </w:p>
        </w:tc>
        <w:tc>
          <w:tcPr>
            <w:tcW w:w="60" w:type="dxa"/>
            <w:vAlign w:val="bottom"/>
          </w:tcPr>
          <w:p>
            <w:pPr>
              <w:spacing w:after="0"/>
              <w:rPr>
                <w:sz w:val="20"/>
                <w:szCs w:val="20"/>
                <w:color w:val="auto"/>
              </w:rPr>
            </w:pPr>
            <w:r>
              <w:rPr>
                <w:rFonts w:ascii="Arial" w:cs="Arial" w:eastAsia="Arial" w:hAnsi="Arial"/>
                <w:sz w:val="14"/>
                <w:szCs w:val="14"/>
                <w:color w:val="1F2668"/>
              </w:rPr>
              <w:t>​</w:t>
            </w:r>
          </w:p>
        </w:tc>
        <w:tc>
          <w:tcPr>
            <w:tcW w:w="0" w:type="dxa"/>
            <w:vAlign w:val="bottom"/>
          </w:tcPr>
          <w:p>
            <w:pPr>
              <w:spacing w:after="0"/>
              <w:rPr>
                <w:sz w:val="1"/>
                <w:szCs w:val="1"/>
                <w:color w:val="auto"/>
              </w:rPr>
            </w:pPr>
          </w:p>
        </w:tc>
      </w:tr>
      <w:tr>
        <w:trPr>
          <w:trHeight w:val="296"/>
        </w:trPr>
        <w:tc>
          <w:tcPr>
            <w:tcW w:w="820" w:type="dxa"/>
            <w:vAlign w:val="bottom"/>
          </w:tcPr>
          <w:p>
            <w:pPr>
              <w:spacing w:after="0"/>
              <w:rPr>
                <w:sz w:val="24"/>
                <w:szCs w:val="24"/>
                <w:color w:val="auto"/>
              </w:rPr>
            </w:pPr>
          </w:p>
        </w:tc>
        <w:tc>
          <w:tcPr>
            <w:tcW w:w="540" w:type="dxa"/>
            <w:vAlign w:val="bottom"/>
            <w:tcBorders>
              <w:top w:val="single" w:sz="8" w:color="1F2668"/>
            </w:tcBorders>
          </w:tcPr>
          <w:p>
            <w:pPr>
              <w:spacing w:after="0"/>
              <w:rPr>
                <w:sz w:val="20"/>
                <w:szCs w:val="20"/>
                <w:color w:val="auto"/>
              </w:rPr>
            </w:pPr>
            <w:r>
              <w:rPr>
                <w:rFonts w:ascii="Arial" w:cs="Arial" w:eastAsia="Arial" w:hAnsi="Arial"/>
                <w:sz w:val="14"/>
                <w:szCs w:val="14"/>
                <w:b w:val="1"/>
                <w:bCs w:val="1"/>
                <w:color w:val="1F2668"/>
              </w:rPr>
              <w:t>Term</w:t>
            </w:r>
            <w:r>
              <w:rPr>
                <w:rFonts w:ascii="Arial" w:cs="Arial" w:eastAsia="Arial" w:hAnsi="Arial"/>
                <w:sz w:val="17"/>
                <w:szCs w:val="17"/>
                <w:b w:val="1"/>
                <w:bCs w:val="1"/>
                <w:color w:val="1F2668"/>
                <w:vertAlign w:val="superscript"/>
              </w:rPr>
              <w:t>(1)</w:t>
            </w:r>
          </w:p>
        </w:tc>
        <w:tc>
          <w:tcPr>
            <w:tcW w:w="1560" w:type="dxa"/>
            <w:vAlign w:val="bottom"/>
            <w:tcBorders>
              <w:top w:val="single" w:sz="8" w:color="1F2668"/>
            </w:tcBorders>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2220" w:type="dxa"/>
            <w:vAlign w:val="bottom"/>
            <w:tcBorders>
              <w:top w:val="single" w:sz="8" w:color="1F2668"/>
            </w:tcBorders>
          </w:tcPr>
          <w:p>
            <w:pPr>
              <w:ind w:left="20"/>
              <w:spacing w:after="0"/>
              <w:rPr>
                <w:sz w:val="20"/>
                <w:szCs w:val="20"/>
                <w:color w:val="auto"/>
              </w:rPr>
            </w:pPr>
            <w:r>
              <w:rPr>
                <w:rFonts w:ascii="Arial" w:cs="Arial" w:eastAsia="Arial" w:hAnsi="Arial"/>
                <w:sz w:val="14"/>
                <w:szCs w:val="14"/>
                <w:color w:val="auto"/>
              </w:rPr>
              <w:t>1/18/25 – 6/17/28</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2200" w:type="dxa"/>
            <w:vAlign w:val="bottom"/>
            <w:tcBorders>
              <w:top w:val="single" w:sz="8" w:color="1F2668"/>
            </w:tcBorders>
          </w:tcPr>
          <w:p>
            <w:pPr>
              <w:spacing w:after="0"/>
              <w:rPr>
                <w:sz w:val="20"/>
                <w:szCs w:val="20"/>
                <w:color w:val="auto"/>
              </w:rPr>
            </w:pPr>
            <w:r>
              <w:rPr>
                <w:rFonts w:ascii="Arial" w:cs="Arial" w:eastAsia="Arial" w:hAnsi="Arial"/>
                <w:sz w:val="14"/>
                <w:szCs w:val="14"/>
                <w:color w:val="auto"/>
              </w:rPr>
              <w:t>1/1/23 – 1/1/26</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2200" w:type="dxa"/>
            <w:vAlign w:val="bottom"/>
            <w:tcBorders>
              <w:top w:val="single" w:sz="8" w:color="1F2668"/>
            </w:tcBorders>
          </w:tcPr>
          <w:p>
            <w:pPr>
              <w:spacing w:after="0"/>
              <w:rPr>
                <w:sz w:val="20"/>
                <w:szCs w:val="20"/>
                <w:color w:val="auto"/>
              </w:rPr>
            </w:pPr>
            <w:r>
              <w:rPr>
                <w:rFonts w:ascii="Arial" w:cs="Arial" w:eastAsia="Arial" w:hAnsi="Arial"/>
                <w:sz w:val="14"/>
                <w:szCs w:val="14"/>
                <w:color w:val="auto"/>
              </w:rPr>
              <w:t>1/1/22 – 1/1/25</w:t>
            </w:r>
          </w:p>
        </w:tc>
        <w:tc>
          <w:tcPr>
            <w:tcW w:w="6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2100" w:type="dxa"/>
            <w:vAlign w:val="bottom"/>
            <w:tcBorders>
              <w:bottom w:val="single" w:sz="8" w:color="4B5088"/>
            </w:tcBorders>
            <w:gridSpan w:val="2"/>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Arial" w:cs="Arial" w:eastAsia="Arial" w:hAnsi="Arial"/>
                <w:sz w:val="14"/>
                <w:szCs w:val="14"/>
                <w:color w:val="auto"/>
              </w:rPr>
              <w:t>​​</w:t>
            </w:r>
          </w:p>
        </w:tc>
        <w:tc>
          <w:tcPr>
            <w:tcW w:w="2220" w:type="dxa"/>
            <w:vAlign w:val="bottom"/>
            <w:tcBorders>
              <w:bottom w:val="single" w:sz="8" w:color="4B5088"/>
            </w:tcBorders>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4"/>
                <w:szCs w:val="14"/>
                <w:color w:val="auto"/>
              </w:rPr>
              <w:t>​​</w:t>
            </w:r>
          </w:p>
        </w:tc>
        <w:tc>
          <w:tcPr>
            <w:tcW w:w="2200" w:type="dxa"/>
            <w:vAlign w:val="bottom"/>
            <w:tcBorders>
              <w:bottom w:val="single" w:sz="8" w:color="4B5088"/>
            </w:tcBorders>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4"/>
                <w:szCs w:val="14"/>
                <w:color w:val="auto"/>
              </w:rPr>
              <w:t>​​</w:t>
            </w:r>
          </w:p>
        </w:tc>
        <w:tc>
          <w:tcPr>
            <w:tcW w:w="2200" w:type="dxa"/>
            <w:vAlign w:val="bottom"/>
            <w:tcBorders>
              <w:bottom w:val="single" w:sz="8" w:color="4B5088"/>
            </w:tcBorders>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820" w:type="dxa"/>
            <w:vAlign w:val="bottom"/>
          </w:tcPr>
          <w:p>
            <w:pPr>
              <w:spacing w:after="0"/>
              <w:rPr>
                <w:sz w:val="16"/>
                <w:szCs w:val="16"/>
                <w:color w:val="auto"/>
              </w:rPr>
            </w:pPr>
          </w:p>
        </w:tc>
        <w:tc>
          <w:tcPr>
            <w:tcW w:w="2100" w:type="dxa"/>
            <w:vAlign w:val="bottom"/>
            <w:gridSpan w:val="2"/>
          </w:tcPr>
          <w:p>
            <w:pPr>
              <w:spacing w:after="0"/>
              <w:rPr>
                <w:sz w:val="20"/>
                <w:szCs w:val="20"/>
                <w:color w:val="auto"/>
              </w:rPr>
            </w:pPr>
            <w:r>
              <w:rPr>
                <w:rFonts w:ascii="Arial" w:cs="Arial" w:eastAsia="Arial" w:hAnsi="Arial"/>
                <w:sz w:val="14"/>
                <w:szCs w:val="14"/>
                <w:b w:val="1"/>
                <w:bCs w:val="1"/>
                <w:color w:val="1F2668"/>
              </w:rPr>
              <w:t>Annual Salary</w:t>
            </w:r>
          </w:p>
        </w:tc>
        <w:tc>
          <w:tcPr>
            <w:tcW w:w="100" w:type="dxa"/>
            <w:vAlign w:val="bottom"/>
            <w:vMerge w:val="continue"/>
          </w:tcPr>
          <w:p>
            <w:pPr>
              <w:spacing w:after="0"/>
              <w:rPr>
                <w:sz w:val="16"/>
                <w:szCs w:val="16"/>
                <w:color w:val="auto"/>
              </w:rPr>
            </w:pPr>
          </w:p>
        </w:tc>
        <w:tc>
          <w:tcPr>
            <w:tcW w:w="2220" w:type="dxa"/>
            <w:vAlign w:val="bottom"/>
          </w:tcPr>
          <w:p>
            <w:pPr>
              <w:ind w:left="20"/>
              <w:spacing w:after="0"/>
              <w:rPr>
                <w:sz w:val="20"/>
                <w:szCs w:val="20"/>
                <w:color w:val="auto"/>
              </w:rPr>
            </w:pPr>
            <w:r>
              <w:rPr>
                <w:rFonts w:ascii="Arial" w:cs="Arial" w:eastAsia="Arial" w:hAnsi="Arial"/>
                <w:sz w:val="14"/>
                <w:szCs w:val="14"/>
                <w:color w:val="auto"/>
              </w:rPr>
              <w:t>$1.40M ($1.25M under prior</w:t>
            </w:r>
          </w:p>
        </w:tc>
        <w:tc>
          <w:tcPr>
            <w:tcW w:w="120" w:type="dxa"/>
            <w:vAlign w:val="bottom"/>
            <w:vMerge w:val="continue"/>
          </w:tcPr>
          <w:p>
            <w:pPr>
              <w:spacing w:after="0"/>
              <w:rPr>
                <w:sz w:val="16"/>
                <w:szCs w:val="16"/>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$600K</w:t>
            </w:r>
          </w:p>
        </w:tc>
        <w:tc>
          <w:tcPr>
            <w:tcW w:w="120" w:type="dxa"/>
            <w:vAlign w:val="bottom"/>
            <w:vMerge w:val="continue"/>
          </w:tcPr>
          <w:p>
            <w:pPr>
              <w:spacing w:after="0"/>
              <w:rPr>
                <w:sz w:val="16"/>
                <w:szCs w:val="16"/>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$580K</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Pr>
          <w:p>
            <w:pPr>
              <w:ind w:left="20"/>
              <w:spacing w:after="0"/>
              <w:rPr>
                <w:sz w:val="20"/>
                <w:szCs w:val="20"/>
                <w:color w:val="auto"/>
              </w:rPr>
            </w:pPr>
            <w:r>
              <w:rPr>
                <w:rFonts w:ascii="Arial" w:cs="Arial" w:eastAsia="Arial" w:hAnsi="Arial"/>
                <w:sz w:val="14"/>
                <w:szCs w:val="14"/>
                <w:color w:val="auto"/>
              </w:rPr>
              <w:t>contract)</w:t>
            </w:r>
          </w:p>
        </w:tc>
        <w:tc>
          <w:tcPr>
            <w:tcW w:w="1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820" w:type="dxa"/>
            <w:vAlign w:val="bottom"/>
          </w:tcPr>
          <w:p>
            <w:pPr>
              <w:spacing w:after="0"/>
              <w:rPr>
                <w:sz w:val="4"/>
                <w:szCs w:val="4"/>
                <w:color w:val="auto"/>
              </w:rPr>
            </w:pPr>
          </w:p>
        </w:tc>
        <w:tc>
          <w:tcPr>
            <w:tcW w:w="2100" w:type="dxa"/>
            <w:vAlign w:val="bottom"/>
            <w:tcBorders>
              <w:bottom w:val="single" w:sz="8" w:color="4B5088"/>
            </w:tcBorders>
            <w:gridSpan w:val="2"/>
          </w:tcPr>
          <w:p>
            <w:pPr>
              <w:spacing w:after="0"/>
              <w:rPr>
                <w:sz w:val="4"/>
                <w:szCs w:val="4"/>
                <w:color w:val="auto"/>
              </w:rPr>
            </w:pPr>
          </w:p>
        </w:tc>
        <w:tc>
          <w:tcPr>
            <w:tcW w:w="100" w:type="dxa"/>
            <w:vAlign w:val="bottom"/>
            <w:vMerge w:val="restart"/>
          </w:tcPr>
          <w:p>
            <w:pPr>
              <w:spacing w:after="0"/>
              <w:rPr>
                <w:sz w:val="20"/>
                <w:szCs w:val="20"/>
                <w:color w:val="auto"/>
              </w:rPr>
            </w:pPr>
            <w:r>
              <w:rPr>
                <w:rFonts w:ascii="Arial" w:cs="Arial" w:eastAsia="Arial" w:hAnsi="Arial"/>
                <w:sz w:val="14"/>
                <w:szCs w:val="14"/>
                <w:color w:val="auto"/>
              </w:rPr>
              <w:t>​​</w:t>
            </w:r>
          </w:p>
        </w:tc>
        <w:tc>
          <w:tcPr>
            <w:tcW w:w="2220" w:type="dxa"/>
            <w:vAlign w:val="bottom"/>
            <w:tcBorders>
              <w:bottom w:val="single" w:sz="8" w:color="4B5088"/>
            </w:tcBorders>
          </w:tcPr>
          <w:p>
            <w:pPr>
              <w:spacing w:after="0"/>
              <w:rPr>
                <w:sz w:val="4"/>
                <w:szCs w:val="4"/>
                <w:color w:val="auto"/>
              </w:rPr>
            </w:pPr>
          </w:p>
        </w:tc>
        <w:tc>
          <w:tcPr>
            <w:tcW w:w="120" w:type="dxa"/>
            <w:vAlign w:val="bottom"/>
            <w:vMerge w:val="restart"/>
          </w:tcPr>
          <w:p>
            <w:pPr>
              <w:spacing w:after="0"/>
              <w:rPr>
                <w:sz w:val="20"/>
                <w:szCs w:val="20"/>
                <w:color w:val="auto"/>
              </w:rPr>
            </w:pPr>
            <w:r>
              <w:rPr>
                <w:rFonts w:ascii="Arial" w:cs="Arial" w:eastAsia="Arial" w:hAnsi="Arial"/>
                <w:sz w:val="14"/>
                <w:szCs w:val="14"/>
                <w:color w:val="auto"/>
              </w:rPr>
              <w:t>​​</w:t>
            </w:r>
          </w:p>
        </w:tc>
        <w:tc>
          <w:tcPr>
            <w:tcW w:w="2200" w:type="dxa"/>
            <w:vAlign w:val="bottom"/>
            <w:tcBorders>
              <w:bottom w:val="single" w:sz="8" w:color="4B5088"/>
            </w:tcBorders>
          </w:tcPr>
          <w:p>
            <w:pPr>
              <w:spacing w:after="0"/>
              <w:rPr>
                <w:sz w:val="4"/>
                <w:szCs w:val="4"/>
                <w:color w:val="auto"/>
              </w:rPr>
            </w:pPr>
          </w:p>
        </w:tc>
        <w:tc>
          <w:tcPr>
            <w:tcW w:w="120" w:type="dxa"/>
            <w:vAlign w:val="bottom"/>
            <w:vMerge w:val="restart"/>
          </w:tcPr>
          <w:p>
            <w:pPr>
              <w:spacing w:after="0"/>
              <w:rPr>
                <w:sz w:val="20"/>
                <w:szCs w:val="20"/>
                <w:color w:val="auto"/>
              </w:rPr>
            </w:pPr>
            <w:r>
              <w:rPr>
                <w:rFonts w:ascii="Arial" w:cs="Arial" w:eastAsia="Arial" w:hAnsi="Arial"/>
                <w:sz w:val="14"/>
                <w:szCs w:val="14"/>
                <w:color w:val="auto"/>
              </w:rPr>
              <w:t>​​</w:t>
            </w:r>
          </w:p>
        </w:tc>
        <w:tc>
          <w:tcPr>
            <w:tcW w:w="2200" w:type="dxa"/>
            <w:vAlign w:val="bottom"/>
            <w:tcBorders>
              <w:bottom w:val="single" w:sz="8" w:color="4B5088"/>
            </w:tcBorders>
          </w:tcPr>
          <w:p>
            <w:pPr>
              <w:spacing w:after="0"/>
              <w:rPr>
                <w:sz w:val="4"/>
                <w:szCs w:val="4"/>
                <w:color w:val="auto"/>
              </w:rPr>
            </w:pPr>
          </w:p>
        </w:tc>
        <w:tc>
          <w:tcPr>
            <w:tcW w:w="60" w:type="dxa"/>
            <w:vAlign w:val="bottom"/>
            <w:vMerge w:val="restart"/>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820" w:type="dxa"/>
            <w:vAlign w:val="bottom"/>
          </w:tcPr>
          <w:p>
            <w:pPr>
              <w:spacing w:after="0"/>
              <w:rPr>
                <w:sz w:val="16"/>
                <w:szCs w:val="16"/>
                <w:color w:val="auto"/>
              </w:rPr>
            </w:pPr>
          </w:p>
        </w:tc>
        <w:tc>
          <w:tcPr>
            <w:tcW w:w="2100" w:type="dxa"/>
            <w:vAlign w:val="bottom"/>
            <w:gridSpan w:val="2"/>
          </w:tcPr>
          <w:p>
            <w:pPr>
              <w:spacing w:after="0" w:line="187" w:lineRule="exact"/>
              <w:rPr>
                <w:sz w:val="20"/>
                <w:szCs w:val="20"/>
                <w:color w:val="auto"/>
              </w:rPr>
            </w:pPr>
            <w:r>
              <w:rPr>
                <w:rFonts w:ascii="Arial" w:cs="Arial" w:eastAsia="Arial" w:hAnsi="Arial"/>
                <w:sz w:val="14"/>
                <w:szCs w:val="14"/>
                <w:b w:val="1"/>
                <w:bCs w:val="1"/>
                <w:color w:val="1F2668"/>
              </w:rPr>
              <w:t>Formulaic Annual Bonus</w:t>
            </w:r>
            <w:r>
              <w:rPr>
                <w:rFonts w:ascii="Arial" w:cs="Arial" w:eastAsia="Arial" w:hAnsi="Arial"/>
                <w:sz w:val="17"/>
                <w:szCs w:val="17"/>
                <w:b w:val="1"/>
                <w:bCs w:val="1"/>
                <w:color w:val="1F2668"/>
                <w:vertAlign w:val="superscript"/>
              </w:rPr>
              <w:t>(2)</w:t>
            </w:r>
          </w:p>
        </w:tc>
        <w:tc>
          <w:tcPr>
            <w:tcW w:w="100" w:type="dxa"/>
            <w:vAlign w:val="bottom"/>
            <w:vMerge w:val="continue"/>
          </w:tcPr>
          <w:p>
            <w:pPr>
              <w:spacing w:after="0"/>
              <w:rPr>
                <w:sz w:val="16"/>
                <w:szCs w:val="16"/>
                <w:color w:val="auto"/>
              </w:rPr>
            </w:pPr>
          </w:p>
        </w:tc>
        <w:tc>
          <w:tcPr>
            <w:tcW w:w="2220" w:type="dxa"/>
            <w:vAlign w:val="bottom"/>
          </w:tcPr>
          <w:p>
            <w:pPr>
              <w:ind w:left="20"/>
              <w:spacing w:after="0"/>
              <w:rPr>
                <w:sz w:val="20"/>
                <w:szCs w:val="20"/>
                <w:color w:val="auto"/>
              </w:rPr>
            </w:pPr>
            <w:r>
              <w:rPr>
                <w:rFonts w:ascii="Arial" w:cs="Arial" w:eastAsia="Arial" w:hAnsi="Arial"/>
                <w:sz w:val="14"/>
                <w:szCs w:val="14"/>
                <w:color w:val="auto"/>
              </w:rPr>
              <w:t>50-400% base salary (50-300%</w:t>
            </w:r>
          </w:p>
        </w:tc>
        <w:tc>
          <w:tcPr>
            <w:tcW w:w="120" w:type="dxa"/>
            <w:vAlign w:val="bottom"/>
            <w:vMerge w:val="continue"/>
          </w:tcPr>
          <w:p>
            <w:pPr>
              <w:spacing w:after="0"/>
              <w:rPr>
                <w:sz w:val="16"/>
                <w:szCs w:val="16"/>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50-250% base salary</w:t>
            </w:r>
          </w:p>
        </w:tc>
        <w:tc>
          <w:tcPr>
            <w:tcW w:w="120" w:type="dxa"/>
            <w:vAlign w:val="bottom"/>
            <w:vMerge w:val="continue"/>
          </w:tcPr>
          <w:p>
            <w:pPr>
              <w:spacing w:after="0"/>
              <w:rPr>
                <w:sz w:val="16"/>
                <w:szCs w:val="16"/>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None</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Pr>
          <w:p>
            <w:pPr>
              <w:ind w:left="20"/>
              <w:spacing w:after="0"/>
              <w:rPr>
                <w:sz w:val="20"/>
                <w:szCs w:val="20"/>
                <w:color w:val="auto"/>
              </w:rPr>
            </w:pPr>
            <w:r>
              <w:rPr>
                <w:rFonts w:ascii="Arial" w:cs="Arial" w:eastAsia="Arial" w:hAnsi="Arial"/>
                <w:sz w:val="14"/>
                <w:szCs w:val="14"/>
                <w:color w:val="auto"/>
              </w:rPr>
              <w:t>under prior contract)</w:t>
            </w:r>
          </w:p>
        </w:tc>
        <w:tc>
          <w:tcPr>
            <w:tcW w:w="1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sectPr>
          <w:pgSz w:w="11900" w:h="16838" w:orient="portrait"/>
          <w:cols w:equalWidth="0" w:num="1">
            <w:col w:w="10720"/>
          </w:cols>
          <w:pgMar w:left="580" w:top="97" w:right="599" w:bottom="1440" w:gutter="0" w:footer="0" w:header="0"/>
        </w:sectPr>
      </w:pPr>
    </w:p>
    <w:p>
      <w:pPr>
        <w:spacing w:after="0" w:line="65"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1F2668"/>
        </w:rPr>
        <w:t>Performance-Based LTIP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160655</wp:posOffset>
            </wp:positionV>
            <wp:extent cx="133731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337310" cy="825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-130175</wp:posOffset>
            </wp:positionV>
            <wp:extent cx="133731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278"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1F2668"/>
        </w:rPr>
        <w:t>Time-Based LTIP Units</w:t>
      </w:r>
      <w:r>
        <w:rPr>
          <w:rFonts w:ascii="Arial" w:cs="Arial" w:eastAsia="Arial" w:hAnsi="Arial"/>
          <w:sz w:val="17"/>
          <w:szCs w:val="17"/>
          <w:color w:val="1F2668"/>
          <w:vertAlign w:val="superscript"/>
        </w:rPr>
        <w:t>(4)</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left="118" w:right="280" w:hanging="118"/>
        <w:spacing w:after="0" w:line="195" w:lineRule="auto"/>
        <w:tabs>
          <w:tab w:leader="none" w:pos="118" w:val="left"/>
        </w:tabs>
        <w:numPr>
          <w:ilvl w:val="0"/>
          <w:numId w:val="93"/>
        </w:numPr>
        <w:rPr>
          <w:rFonts w:ascii="Arial" w:cs="Arial" w:eastAsia="Arial" w:hAnsi="Arial"/>
          <w:sz w:val="26"/>
          <w:szCs w:val="26"/>
          <w:color w:val="auto"/>
          <w:vertAlign w:val="superscript"/>
        </w:rPr>
      </w:pPr>
      <w:r>
        <w:rPr>
          <w:rFonts w:ascii="Arial" w:cs="Arial" w:eastAsia="Arial" w:hAnsi="Arial"/>
          <w:sz w:val="13"/>
          <w:szCs w:val="13"/>
          <w:color w:val="auto"/>
        </w:rPr>
        <w:t>$5.0M (Target)</w:t>
      </w:r>
      <w:r>
        <w:rPr>
          <w:rFonts w:ascii="Arial" w:cs="Arial" w:eastAsia="Arial" w:hAnsi="Arial"/>
          <w:sz w:val="16"/>
          <w:szCs w:val="16"/>
          <w:color w:val="auto"/>
          <w:vertAlign w:val="superscript"/>
        </w:rPr>
        <w:t>(3)</w:t>
      </w:r>
      <w:r>
        <w:rPr>
          <w:rFonts w:ascii="Arial" w:cs="Arial" w:eastAsia="Arial" w:hAnsi="Arial"/>
          <w:sz w:val="13"/>
          <w:szCs w:val="13"/>
          <w:color w:val="auto"/>
        </w:rPr>
        <w:t xml:space="preserve"> ($7.5M target amount under prior contract)</w:t>
      </w:r>
    </w:p>
    <w:p>
      <w:pPr>
        <w:spacing w:after="0" w:line="108" w:lineRule="exact"/>
        <w:rPr>
          <w:rFonts w:ascii="Arial" w:cs="Arial" w:eastAsia="Arial" w:hAnsi="Arial"/>
          <w:sz w:val="26"/>
          <w:szCs w:val="26"/>
          <w:color w:val="auto"/>
          <w:vertAlign w:val="superscript"/>
        </w:rPr>
      </w:pPr>
    </w:p>
    <w:p>
      <w:pPr>
        <w:ind w:left="118" w:hanging="118"/>
        <w:spacing w:after="0" w:line="206" w:lineRule="auto"/>
        <w:tabs>
          <w:tab w:leader="none" w:pos="118" w:val="left"/>
        </w:tabs>
        <w:numPr>
          <w:ilvl w:val="0"/>
          <w:numId w:val="93"/>
        </w:numPr>
        <w:rPr>
          <w:rFonts w:ascii="Arial" w:cs="Arial" w:eastAsia="Arial" w:hAnsi="Arial"/>
          <w:sz w:val="26"/>
          <w:szCs w:val="26"/>
          <w:color w:val="auto"/>
          <w:vertAlign w:val="superscript"/>
        </w:rPr>
      </w:pPr>
      <w:r>
        <w:rPr>
          <w:rFonts w:ascii="Arial" w:cs="Arial" w:eastAsia="Arial" w:hAnsi="Arial"/>
          <w:sz w:val="13"/>
          <w:szCs w:val="13"/>
          <w:color w:val="auto"/>
        </w:rPr>
        <w:t>$5.0M (target with up to 200% outperformance modifier) ($4.5M target amount under prior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-362585</wp:posOffset>
            </wp:positionV>
            <wp:extent cx="140589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405890" cy="8255"/>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-654050</wp:posOffset>
            </wp:positionV>
            <wp:extent cx="140589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120" w:type="dxa"/>
            <w:vAlign w:val="bottom"/>
          </w:tcPr>
          <w:p>
            <w:pPr>
              <w:spacing w:after="0"/>
              <w:rPr>
                <w:sz w:val="20"/>
                <w:szCs w:val="20"/>
                <w:color w:val="auto"/>
              </w:rPr>
            </w:pPr>
            <w:r>
              <w:rPr>
                <w:rFonts w:ascii="Arial" w:cs="Arial" w:eastAsia="Arial" w:hAnsi="Arial"/>
                <w:sz w:val="14"/>
                <w:szCs w:val="14"/>
                <w:color w:val="auto"/>
              </w:rPr>
              <w:t>​​</w:t>
            </w:r>
          </w:p>
        </w:tc>
        <w:tc>
          <w:tcPr>
            <w:tcW w:w="2200" w:type="dxa"/>
            <w:vAlign w:val="bottom"/>
            <w:tcBorders>
              <w:top w:val="single" w:sz="8" w:color="4B5088"/>
            </w:tcBorders>
          </w:tcPr>
          <w:p>
            <w:pPr>
              <w:spacing w:after="0"/>
              <w:rPr>
                <w:sz w:val="20"/>
                <w:szCs w:val="20"/>
                <w:color w:val="auto"/>
              </w:rPr>
            </w:pPr>
            <w:r>
              <w:rPr>
                <w:rFonts w:ascii="Arial" w:cs="Arial" w:eastAsia="Arial" w:hAnsi="Arial"/>
                <w:sz w:val="14"/>
                <w:szCs w:val="14"/>
                <w:color w:val="auto"/>
              </w:rPr>
              <w:t>None</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2200" w:type="dxa"/>
            <w:vAlign w:val="bottom"/>
            <w:tcBorders>
              <w:top w:val="single" w:sz="8" w:color="4B5088"/>
            </w:tcBorders>
          </w:tcPr>
          <w:p>
            <w:pPr>
              <w:spacing w:after="0"/>
              <w:rPr>
                <w:sz w:val="20"/>
                <w:szCs w:val="20"/>
                <w:color w:val="auto"/>
              </w:rPr>
            </w:pPr>
            <w:r>
              <w:rPr>
                <w:rFonts w:ascii="Arial" w:cs="Arial" w:eastAsia="Arial" w:hAnsi="Arial"/>
                <w:sz w:val="14"/>
                <w:szCs w:val="14"/>
                <w:color w:val="auto"/>
              </w:rPr>
              <w:t>None</w:t>
            </w: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4"/>
        </w:trPr>
        <w:tc>
          <w:tcPr>
            <w:tcW w:w="120" w:type="dxa"/>
            <w:vAlign w:val="bottom"/>
            <w:vMerge w:val="restart"/>
          </w:tcPr>
          <w:p>
            <w:pPr>
              <w:spacing w:after="0"/>
              <w:rPr>
                <w:sz w:val="20"/>
                <w:szCs w:val="20"/>
                <w:color w:val="auto"/>
              </w:rPr>
            </w:pPr>
            <w:r>
              <w:rPr>
                <w:rFonts w:ascii="Arial" w:cs="Arial" w:eastAsia="Arial" w:hAnsi="Arial"/>
                <w:sz w:val="14"/>
                <w:szCs w:val="14"/>
                <w:color w:val="auto"/>
              </w:rPr>
              <w:t>​​</w:t>
            </w:r>
          </w:p>
        </w:tc>
        <w:tc>
          <w:tcPr>
            <w:tcW w:w="2200" w:type="dxa"/>
            <w:vAlign w:val="bottom"/>
            <w:tcBorders>
              <w:bottom w:val="single" w:sz="8" w:color="4B5088"/>
            </w:tcBorders>
          </w:tcPr>
          <w:p>
            <w:pPr>
              <w:spacing w:after="0"/>
              <w:rPr>
                <w:sz w:val="19"/>
                <w:szCs w:val="19"/>
                <w:color w:val="auto"/>
              </w:rPr>
            </w:pPr>
          </w:p>
        </w:tc>
        <w:tc>
          <w:tcPr>
            <w:tcW w:w="120" w:type="dxa"/>
            <w:vAlign w:val="bottom"/>
            <w:vMerge w:val="restart"/>
          </w:tcPr>
          <w:p>
            <w:pPr>
              <w:spacing w:after="0"/>
              <w:rPr>
                <w:sz w:val="20"/>
                <w:szCs w:val="20"/>
                <w:color w:val="auto"/>
              </w:rPr>
            </w:pPr>
            <w:r>
              <w:rPr>
                <w:rFonts w:ascii="Arial" w:cs="Arial" w:eastAsia="Arial" w:hAnsi="Arial"/>
                <w:sz w:val="14"/>
                <w:szCs w:val="14"/>
                <w:color w:val="auto"/>
              </w:rPr>
              <w:t>​​</w:t>
            </w:r>
          </w:p>
        </w:tc>
        <w:tc>
          <w:tcPr>
            <w:tcW w:w="2200" w:type="dxa"/>
            <w:vAlign w:val="bottom"/>
            <w:tcBorders>
              <w:bottom w:val="single" w:sz="8" w:color="4B5088"/>
            </w:tcBorders>
          </w:tcPr>
          <w:p>
            <w:pPr>
              <w:spacing w:after="0"/>
              <w:rPr>
                <w:sz w:val="19"/>
                <w:szCs w:val="19"/>
                <w:color w:val="auto"/>
              </w:rPr>
            </w:pPr>
          </w:p>
        </w:tc>
        <w:tc>
          <w:tcPr>
            <w:tcW w:w="40" w:type="dxa"/>
            <w:vAlign w:val="bottom"/>
            <w:vMerge w:val="restart"/>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5"/>
        </w:trPr>
        <w:tc>
          <w:tcPr>
            <w:tcW w:w="120" w:type="dxa"/>
            <w:vAlign w:val="bottom"/>
            <w:vMerge w:val="continue"/>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$1.4M (Target)</w:t>
            </w:r>
          </w:p>
        </w:tc>
        <w:tc>
          <w:tcPr>
            <w:tcW w:w="120" w:type="dxa"/>
            <w:vAlign w:val="bottom"/>
            <w:vMerge w:val="continue"/>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$1.3M (Target)</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52" w:lineRule="exact"/>
        <w:rPr>
          <w:sz w:val="20"/>
          <w:szCs w:val="20"/>
          <w:color w:val="auto"/>
        </w:rPr>
      </w:pPr>
    </w:p>
    <w:p>
      <w:pPr>
        <w:sectPr>
          <w:pgSz w:w="11900" w:h="16838" w:orient="portrait"/>
          <w:cols w:equalWidth="0" w:num="3">
            <w:col w:w="2880" w:space="42"/>
            <w:col w:w="2278" w:space="40"/>
            <w:col w:w="5480"/>
          </w:cols>
          <w:pgMar w:left="580" w:top="97" w:right="599" w:bottom="1440" w:gutter="0" w:footer="0" w:header="0"/>
          <w:type w:val="continuous"/>
        </w:sectPr>
      </w:pPr>
    </w:p>
    <w:tbl>
      <w:tblPr>
        <w:tblLayout w:type="fixed"/>
        <w:tblInd w:w="820" w:type="dxa"/>
        <w:tblCellMar>
          <w:top w:w="0" w:type="dxa"/>
          <w:left w:w="0" w:type="dxa"/>
          <w:bottom w:w="0" w:type="dxa"/>
          <w:right w:w="0" w:type="dxa"/>
        </w:tblCellMar>
      </w:tblPr>
      <w:tr>
        <w:trPr>
          <w:trHeight w:val="220"/>
        </w:trPr>
        <w:tc>
          <w:tcPr>
            <w:tcW w:w="2100" w:type="dxa"/>
            <w:vAlign w:val="bottom"/>
            <w:tcBorders>
              <w:top w:val="single" w:sz="8" w:color="4B5088"/>
            </w:tcBorders>
          </w:tcPr>
          <w:p>
            <w:pPr>
              <w:spacing w:after="0"/>
              <w:rPr>
                <w:sz w:val="20"/>
                <w:szCs w:val="20"/>
                <w:color w:val="auto"/>
              </w:rPr>
            </w:pPr>
            <w:r>
              <w:rPr>
                <w:rFonts w:ascii="Arial" w:cs="Arial" w:eastAsia="Arial" w:hAnsi="Arial"/>
                <w:sz w:val="14"/>
                <w:szCs w:val="14"/>
                <w:b w:val="1"/>
                <w:bCs w:val="1"/>
                <w:color w:val="1F2668"/>
              </w:rPr>
              <w:t>Other Compensation / Benefits</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2220" w:type="dxa"/>
            <w:vAlign w:val="bottom"/>
            <w:tcBorders>
              <w:top w:val="single" w:sz="8" w:color="4B5088"/>
            </w:tcBorders>
          </w:tcPr>
          <w:p>
            <w:pPr>
              <w:ind w:left="20"/>
              <w:spacing w:after="0"/>
              <w:rPr>
                <w:sz w:val="20"/>
                <w:szCs w:val="20"/>
                <w:color w:val="auto"/>
              </w:rPr>
            </w:pPr>
            <w:r>
              <w:rPr>
                <w:rFonts w:ascii="Arial" w:cs="Arial" w:eastAsia="Arial" w:hAnsi="Arial"/>
                <w:sz w:val="14"/>
                <w:szCs w:val="14"/>
                <w:color w:val="auto"/>
              </w:rPr>
              <w:t>$10M one-time cash bonus</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2200" w:type="dxa"/>
            <w:vAlign w:val="bottom"/>
            <w:tcBorders>
              <w:top w:val="single" w:sz="8" w:color="4B5088"/>
            </w:tcBorders>
          </w:tcPr>
          <w:p>
            <w:pPr>
              <w:spacing w:after="0"/>
              <w:rPr>
                <w:sz w:val="20"/>
                <w:szCs w:val="20"/>
                <w:color w:val="auto"/>
              </w:rPr>
            </w:pPr>
            <w:r>
              <w:rPr>
                <w:rFonts w:ascii="Arial" w:cs="Arial" w:eastAsia="Arial" w:hAnsi="Arial"/>
                <w:sz w:val="14"/>
                <w:szCs w:val="14"/>
                <w:color w:val="auto"/>
              </w:rPr>
              <w:t>None</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2200" w:type="dxa"/>
            <w:vAlign w:val="bottom"/>
            <w:tcBorders>
              <w:top w:val="single" w:sz="8" w:color="4B5088"/>
            </w:tcBorders>
          </w:tcPr>
          <w:p>
            <w:pPr>
              <w:spacing w:after="0"/>
              <w:rPr>
                <w:sz w:val="20"/>
                <w:szCs w:val="20"/>
                <w:color w:val="auto"/>
              </w:rPr>
            </w:pPr>
            <w:r>
              <w:rPr>
                <w:rFonts w:ascii="Arial" w:cs="Arial" w:eastAsia="Arial" w:hAnsi="Arial"/>
                <w:sz w:val="14"/>
                <w:szCs w:val="14"/>
                <w:color w:val="auto"/>
              </w:rPr>
              <w:t>None</w:t>
            </w:r>
          </w:p>
        </w:tc>
        <w:tc>
          <w:tcPr>
            <w:tcW w:w="40" w:type="dxa"/>
            <w:vAlign w:val="bottom"/>
          </w:tcPr>
          <w:p>
            <w:pPr>
              <w:spacing w:after="0"/>
              <w:rPr>
                <w:sz w:val="20"/>
                <w:szCs w:val="20"/>
                <w:color w:val="auto"/>
              </w:rPr>
            </w:pPr>
            <w:r>
              <w:rPr>
                <w:rFonts w:ascii="Arial" w:cs="Arial" w:eastAsia="Arial" w:hAnsi="Arial"/>
                <w:sz w:val="14"/>
                <w:szCs w:val="14"/>
                <w:color w:val="auto"/>
              </w:rPr>
              <w:t>​</w:t>
            </w:r>
          </w:p>
        </w:tc>
      </w:tr>
      <w:tr>
        <w:trPr>
          <w:trHeight w:val="162"/>
        </w:trPr>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ind w:left="20"/>
              <w:spacing w:after="0"/>
              <w:rPr>
                <w:sz w:val="20"/>
                <w:szCs w:val="20"/>
                <w:color w:val="auto"/>
              </w:rPr>
            </w:pPr>
            <w:r>
              <w:rPr>
                <w:rFonts w:ascii="Arial" w:cs="Arial" w:eastAsia="Arial" w:hAnsi="Arial"/>
                <w:sz w:val="14"/>
                <w:szCs w:val="14"/>
                <w:color w:val="auto"/>
              </w:rPr>
              <w:t>payable in connection with</w:t>
            </w: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ind w:left="20"/>
              <w:spacing w:after="0"/>
              <w:rPr>
                <w:sz w:val="20"/>
                <w:szCs w:val="20"/>
                <w:color w:val="auto"/>
              </w:rPr>
            </w:pPr>
            <w:r>
              <w:rPr>
                <w:rFonts w:ascii="Arial" w:cs="Arial" w:eastAsia="Arial" w:hAnsi="Arial"/>
                <w:sz w:val="14"/>
                <w:szCs w:val="14"/>
                <w:color w:val="auto"/>
              </w:rPr>
              <w:t>milestones related to casino</w:t>
            </w: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0"/>
        </w:trPr>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Pr>
          <w:p>
            <w:pPr>
              <w:ind w:left="20"/>
              <w:spacing w:after="0"/>
              <w:rPr>
                <w:sz w:val="20"/>
                <w:szCs w:val="20"/>
                <w:color w:val="auto"/>
              </w:rPr>
            </w:pPr>
            <w:r>
              <w:rPr>
                <w:rFonts w:ascii="Arial" w:cs="Arial" w:eastAsia="Arial" w:hAnsi="Arial"/>
                <w:sz w:val="14"/>
                <w:szCs w:val="14"/>
                <w:color w:val="auto"/>
              </w:rPr>
              <w:t>licensing and projected EBITDA</w:t>
            </w:r>
          </w:p>
        </w:tc>
        <w:tc>
          <w:tcPr>
            <w:tcW w:w="1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74"/>
        </w:trPr>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tcPr>
          <w:p>
            <w:pPr>
              <w:ind w:left="20"/>
              <w:spacing w:after="0"/>
              <w:rPr>
                <w:sz w:val="20"/>
                <w:szCs w:val="20"/>
                <w:color w:val="auto"/>
              </w:rPr>
            </w:pPr>
            <w:r>
              <w:rPr>
                <w:rFonts w:ascii="Arial" w:cs="Arial" w:eastAsia="Arial" w:hAnsi="Arial"/>
                <w:sz w:val="14"/>
                <w:szCs w:val="14"/>
                <w:color w:val="auto"/>
              </w:rPr>
              <w:t>12% carried interest, if any,</w:t>
            </w:r>
          </w:p>
        </w:tc>
        <w:tc>
          <w:tcPr>
            <w:tcW w:w="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62"/>
        </w:trPr>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Pr>
          <w:p>
            <w:pPr>
              <w:ind w:left="20"/>
              <w:spacing w:after="0"/>
              <w:rPr>
                <w:sz w:val="20"/>
                <w:szCs w:val="20"/>
                <w:color w:val="auto"/>
              </w:rPr>
            </w:pPr>
            <w:r>
              <w:rPr>
                <w:rFonts w:ascii="Arial" w:cs="Arial" w:eastAsia="Arial" w:hAnsi="Arial"/>
                <w:sz w:val="14"/>
                <w:szCs w:val="14"/>
                <w:color w:val="auto"/>
              </w:rPr>
              <w:t>received from opportunistic debt</w:t>
            </w: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0"/>
        </w:trPr>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Pr>
          <w:p>
            <w:pPr>
              <w:ind w:left="20"/>
              <w:spacing w:after="0"/>
              <w:rPr>
                <w:sz w:val="20"/>
                <w:szCs w:val="20"/>
                <w:color w:val="auto"/>
              </w:rPr>
            </w:pPr>
            <w:r>
              <w:rPr>
                <w:rFonts w:ascii="Arial" w:cs="Arial" w:eastAsia="Arial" w:hAnsi="Arial"/>
                <w:sz w:val="14"/>
                <w:szCs w:val="14"/>
                <w:color w:val="auto"/>
              </w:rPr>
              <w:t>fund</w:t>
            </w:r>
          </w:p>
        </w:tc>
        <w:tc>
          <w:tcPr>
            <w:tcW w:w="1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ind w:left="20"/>
              <w:spacing w:after="0"/>
              <w:rPr>
                <w:sz w:val="20"/>
                <w:szCs w:val="20"/>
                <w:color w:val="auto"/>
              </w:rPr>
            </w:pPr>
            <w:r>
              <w:rPr>
                <w:rFonts w:ascii="Arial" w:cs="Arial" w:eastAsia="Arial" w:hAnsi="Arial"/>
                <w:sz w:val="14"/>
                <w:szCs w:val="14"/>
                <w:color w:val="auto"/>
              </w:rPr>
              <w:t>$10M of life insurance</w:t>
            </w: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4803140</wp:posOffset>
            </wp:positionH>
            <wp:positionV relativeFrom="paragraph">
              <wp:posOffset>48260</wp:posOffset>
            </wp:positionV>
            <wp:extent cx="6858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3328670</wp:posOffset>
            </wp:positionH>
            <wp:positionV relativeFrom="paragraph">
              <wp:posOffset>48260</wp:posOffset>
            </wp:positionV>
            <wp:extent cx="6858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20" w:type="dxa"/>
            <w:vAlign w:val="bottom"/>
          </w:tcPr>
          <w:p>
            <w:pPr>
              <w:spacing w:after="0"/>
              <w:rPr>
                <w:sz w:val="19"/>
                <w:szCs w:val="19"/>
                <w:color w:val="auto"/>
              </w:rPr>
            </w:pPr>
          </w:p>
        </w:tc>
        <w:tc>
          <w:tcPr>
            <w:tcW w:w="2100" w:type="dxa"/>
            <w:vAlign w:val="bottom"/>
            <w:tcBorders>
              <w:top w:val="single" w:sz="8" w:color="4B5088"/>
            </w:tcBorders>
            <w:gridSpan w:val="2"/>
          </w:tcPr>
          <w:p>
            <w:pPr>
              <w:spacing w:after="0"/>
              <w:rPr>
                <w:sz w:val="20"/>
                <w:szCs w:val="20"/>
                <w:color w:val="auto"/>
              </w:rPr>
            </w:pPr>
            <w:r>
              <w:rPr>
                <w:rFonts w:ascii="Arial" w:cs="Arial" w:eastAsia="Arial" w:hAnsi="Arial"/>
                <w:sz w:val="14"/>
                <w:szCs w:val="14"/>
                <w:b w:val="1"/>
                <w:bCs w:val="1"/>
                <w:color w:val="1F2668"/>
              </w:rPr>
              <w:t>Severance Benefits without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60" w:type="dxa"/>
            <w:vAlign w:val="bottom"/>
            <w:tcBorders>
              <w:top w:val="single" w:sz="8" w:color="4B5088"/>
            </w:tcBorders>
            <w:gridSpan w:val="5"/>
          </w:tcPr>
          <w:p>
            <w:pPr>
              <w:ind w:left="20"/>
              <w:spacing w:after="0"/>
              <w:rPr>
                <w:sz w:val="20"/>
                <w:szCs w:val="20"/>
                <w:color w:val="auto"/>
              </w:rPr>
            </w:pPr>
            <w:r>
              <w:rPr>
                <w:rFonts w:ascii="Arial" w:cs="Arial" w:eastAsia="Arial" w:hAnsi="Arial"/>
                <w:sz w:val="14"/>
                <w:szCs w:val="14"/>
                <w:color w:val="auto"/>
              </w:rPr>
              <w:t>If the executive’s employment is terminated by us without Cause or by the executive for Good Reason during</w:t>
            </w:r>
          </w:p>
        </w:tc>
        <w:tc>
          <w:tcPr>
            <w:tcW w:w="84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2100" w:type="dxa"/>
            <w:vAlign w:val="bottom"/>
            <w:gridSpan w:val="2"/>
          </w:tcPr>
          <w:p>
            <w:pPr>
              <w:spacing w:after="0"/>
              <w:rPr>
                <w:sz w:val="20"/>
                <w:szCs w:val="20"/>
                <w:color w:val="auto"/>
              </w:rPr>
            </w:pPr>
            <w:r>
              <w:rPr>
                <w:rFonts w:ascii="Arial" w:cs="Arial" w:eastAsia="Arial" w:hAnsi="Arial"/>
                <w:sz w:val="14"/>
                <w:szCs w:val="14"/>
                <w:b w:val="1"/>
                <w:bCs w:val="1"/>
                <w:color w:val="1F2668"/>
              </w:rPr>
              <w:t>Change-in-Control (“CiC”) and</w:t>
            </w:r>
          </w:p>
        </w:tc>
        <w:tc>
          <w:tcPr>
            <w:tcW w:w="100" w:type="dxa"/>
            <w:vAlign w:val="bottom"/>
          </w:tcPr>
          <w:p>
            <w:pPr>
              <w:spacing w:after="0"/>
              <w:rPr>
                <w:sz w:val="14"/>
                <w:szCs w:val="14"/>
                <w:color w:val="auto"/>
              </w:rPr>
            </w:pPr>
          </w:p>
        </w:tc>
        <w:tc>
          <w:tcPr>
            <w:tcW w:w="6860" w:type="dxa"/>
            <w:vAlign w:val="bottom"/>
            <w:gridSpan w:val="5"/>
          </w:tcPr>
          <w:p>
            <w:pPr>
              <w:ind w:left="20"/>
              <w:spacing w:after="0"/>
              <w:rPr>
                <w:sz w:val="20"/>
                <w:szCs w:val="20"/>
                <w:color w:val="auto"/>
              </w:rPr>
            </w:pPr>
            <w:r>
              <w:rPr>
                <w:rFonts w:ascii="Arial" w:cs="Arial" w:eastAsia="Arial" w:hAnsi="Arial"/>
                <w:sz w:val="14"/>
                <w:szCs w:val="14"/>
                <w:color w:val="auto"/>
              </w:rPr>
              <w:t>the term, the executive will be entitled to the following payments or benefits, subject to the effectiveness of a</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820" w:type="dxa"/>
            <w:vAlign w:val="bottom"/>
          </w:tcPr>
          <w:p>
            <w:pPr>
              <w:spacing w:after="0"/>
              <w:rPr>
                <w:sz w:val="14"/>
                <w:szCs w:val="14"/>
                <w:color w:val="auto"/>
              </w:rPr>
            </w:pPr>
          </w:p>
        </w:tc>
        <w:tc>
          <w:tcPr>
            <w:tcW w:w="2100" w:type="dxa"/>
            <w:vAlign w:val="bottom"/>
            <w:gridSpan w:val="2"/>
          </w:tcPr>
          <w:p>
            <w:pPr>
              <w:spacing w:after="0" w:line="163" w:lineRule="exact"/>
              <w:rPr>
                <w:sz w:val="20"/>
                <w:szCs w:val="20"/>
                <w:color w:val="auto"/>
              </w:rPr>
            </w:pPr>
            <w:r>
              <w:rPr>
                <w:rFonts w:ascii="Arial" w:cs="Arial" w:eastAsia="Arial" w:hAnsi="Arial"/>
                <w:sz w:val="14"/>
                <w:szCs w:val="14"/>
                <w:b w:val="1"/>
                <w:bCs w:val="1"/>
                <w:i w:val="1"/>
                <w:iCs w:val="1"/>
                <w:color w:val="1F2668"/>
              </w:rPr>
              <w:t>(in connection with a CiC)</w:t>
            </w:r>
            <w:r>
              <w:rPr>
                <w:rFonts w:ascii="Arial" w:cs="Arial" w:eastAsia="Arial" w:hAnsi="Arial"/>
                <w:sz w:val="17"/>
                <w:szCs w:val="17"/>
                <w:b w:val="1"/>
                <w:bCs w:val="1"/>
                <w:color w:val="1F2668"/>
                <w:vertAlign w:val="superscript"/>
              </w:rPr>
              <w:t>(5)</w:t>
            </w:r>
          </w:p>
        </w:tc>
        <w:tc>
          <w:tcPr>
            <w:tcW w:w="100" w:type="dxa"/>
            <w:vAlign w:val="bottom"/>
          </w:tcPr>
          <w:p>
            <w:pPr>
              <w:spacing w:after="0"/>
              <w:rPr>
                <w:sz w:val="14"/>
                <w:szCs w:val="14"/>
                <w:color w:val="auto"/>
              </w:rPr>
            </w:pPr>
          </w:p>
        </w:tc>
        <w:tc>
          <w:tcPr>
            <w:tcW w:w="6860" w:type="dxa"/>
            <w:vAlign w:val="bottom"/>
            <w:gridSpan w:val="5"/>
          </w:tcPr>
          <w:p>
            <w:pPr>
              <w:ind w:left="20"/>
              <w:spacing w:after="0"/>
              <w:rPr>
                <w:sz w:val="20"/>
                <w:szCs w:val="20"/>
                <w:color w:val="auto"/>
              </w:rPr>
            </w:pPr>
            <w:r>
              <w:rPr>
                <w:rFonts w:ascii="Arial" w:cs="Arial" w:eastAsia="Arial" w:hAnsi="Arial"/>
                <w:sz w:val="14"/>
                <w:szCs w:val="14"/>
                <w:color w:val="auto"/>
              </w:rPr>
              <w:t xml:space="preserve">mutual release. </w:t>
            </w:r>
            <w:r>
              <w:rPr>
                <w:rFonts w:ascii="Arial" w:cs="Arial" w:eastAsia="Arial" w:hAnsi="Arial"/>
                <w:sz w:val="14"/>
                <w:szCs w:val="14"/>
                <w:b w:val="1"/>
                <w:bCs w:val="1"/>
                <w:i w:val="1"/>
                <w:iCs w:val="1"/>
                <w:color w:val="auto"/>
              </w:rPr>
              <w:t>(For all executives, a Section 280G modified cut-back will apply in connection with a</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termination in connection with or within 18 months after a CiC.)</w:t>
            </w:r>
            <w:r>
              <w:rPr>
                <w:rFonts w:ascii="Arial" w:cs="Arial" w:eastAsia="Arial" w:hAnsi="Arial"/>
                <w:sz w:val="17"/>
                <w:szCs w:val="17"/>
                <w:b w:val="1"/>
                <w:bCs w:val="1"/>
                <w:color w:val="auto"/>
                <w:vertAlign w:val="superscript"/>
              </w:rPr>
              <w:t>(6)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820" w:type="dxa"/>
            <w:vAlign w:val="bottom"/>
          </w:tcPr>
          <w:p>
            <w:pPr>
              <w:spacing w:after="0"/>
              <w:rPr>
                <w:sz w:val="3"/>
                <w:szCs w:val="3"/>
                <w:color w:val="auto"/>
              </w:rPr>
            </w:pPr>
          </w:p>
        </w:tc>
        <w:tc>
          <w:tcPr>
            <w:tcW w:w="1220" w:type="dxa"/>
            <w:vAlign w:val="bottom"/>
            <w:vMerge w:val="restart"/>
          </w:tcPr>
          <w:p>
            <w:pPr>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3"/>
                <w:szCs w:val="3"/>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B5088"/>
            </w:tcBorders>
          </w:tcPr>
          <w:p>
            <w:pPr>
              <w:spacing w:after="0"/>
              <w:rPr>
                <w:sz w:val="3"/>
                <w:szCs w:val="3"/>
                <w:color w:val="auto"/>
              </w:rPr>
            </w:pPr>
          </w:p>
        </w:tc>
        <w:tc>
          <w:tcPr>
            <w:tcW w:w="4360" w:type="dxa"/>
            <w:vAlign w:val="bottom"/>
            <w:tcBorders>
              <w:bottom w:val="single" w:sz="8" w:color="4B5088"/>
            </w:tcBorders>
          </w:tcPr>
          <w:p>
            <w:pPr>
              <w:spacing w:after="0"/>
              <w:rPr>
                <w:sz w:val="3"/>
                <w:szCs w:val="3"/>
                <w:color w:val="auto"/>
              </w:rPr>
            </w:pPr>
          </w:p>
        </w:tc>
        <w:tc>
          <w:tcPr>
            <w:tcW w:w="120" w:type="dxa"/>
            <w:vAlign w:val="bottom"/>
            <w:tcBorders>
              <w:bottom w:val="single" w:sz="8" w:color="4B5088"/>
            </w:tcBorders>
          </w:tcPr>
          <w:p>
            <w:pPr>
              <w:spacing w:after="0"/>
              <w:rPr>
                <w:sz w:val="3"/>
                <w:szCs w:val="3"/>
                <w:color w:val="auto"/>
              </w:rPr>
            </w:pPr>
          </w:p>
        </w:tc>
        <w:tc>
          <w:tcPr>
            <w:tcW w:w="100" w:type="dxa"/>
            <w:vAlign w:val="bottom"/>
            <w:tcBorders>
              <w:bottom w:val="single" w:sz="8" w:color="4B5088"/>
            </w:tcBorders>
          </w:tcPr>
          <w:p>
            <w:pPr>
              <w:spacing w:after="0"/>
              <w:rPr>
                <w:sz w:val="3"/>
                <w:szCs w:val="3"/>
                <w:color w:val="auto"/>
              </w:rPr>
            </w:pPr>
          </w:p>
        </w:tc>
        <w:tc>
          <w:tcPr>
            <w:tcW w:w="2180" w:type="dxa"/>
            <w:vAlign w:val="bottom"/>
            <w:tcBorders>
              <w:bottom w:val="single" w:sz="8" w:color="4B5088"/>
            </w:tcBorders>
          </w:tcPr>
          <w:p>
            <w:pPr>
              <w:spacing w:after="0"/>
              <w:rPr>
                <w:sz w:val="3"/>
                <w:szCs w:val="3"/>
                <w:color w:val="auto"/>
              </w:rPr>
            </w:pPr>
          </w:p>
        </w:tc>
        <w:tc>
          <w:tcPr>
            <w:tcW w:w="840" w:type="dxa"/>
            <w:vAlign w:val="bottom"/>
            <w:vMerge w:val="restart"/>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8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00" w:type="dxa"/>
            <w:vAlign w:val="bottom"/>
          </w:tcPr>
          <w:p>
            <w:pPr>
              <w:ind w:left="20"/>
              <w:spacing w:after="0" w:line="147" w:lineRule="exact"/>
              <w:rPr>
                <w:sz w:val="20"/>
                <w:szCs w:val="20"/>
                <w:color w:val="auto"/>
              </w:rPr>
            </w:pPr>
            <w:r>
              <w:rPr>
                <w:rFonts w:ascii="Arial" w:cs="Arial" w:eastAsia="Arial" w:hAnsi="Arial"/>
                <w:sz w:val="14"/>
                <w:szCs w:val="14"/>
                <w:color w:val="auto"/>
              </w:rPr>
              <w:t>•</w:t>
            </w:r>
          </w:p>
        </w:tc>
        <w:tc>
          <w:tcPr>
            <w:tcW w:w="4360" w:type="dxa"/>
            <w:vAlign w:val="bottom"/>
          </w:tcPr>
          <w:p>
            <w:pPr>
              <w:ind w:left="60"/>
              <w:spacing w:after="0" w:line="147" w:lineRule="exact"/>
              <w:rPr>
                <w:sz w:val="20"/>
                <w:szCs w:val="20"/>
                <w:color w:val="auto"/>
              </w:rPr>
            </w:pPr>
            <w:r>
              <w:rPr>
                <w:rFonts w:ascii="Arial" w:cs="Arial" w:eastAsia="Arial" w:hAnsi="Arial"/>
                <w:sz w:val="14"/>
                <w:szCs w:val="14"/>
                <w:color w:val="auto"/>
              </w:rPr>
              <w:t>3.0x the sum of base salary and average annual bonus for prior</w:t>
            </w:r>
          </w:p>
        </w:tc>
        <w:tc>
          <w:tcPr>
            <w:tcW w:w="220" w:type="dxa"/>
            <w:vAlign w:val="bottom"/>
            <w:gridSpan w:val="2"/>
          </w:tcPr>
          <w:p>
            <w:pPr>
              <w:jc w:val="right"/>
              <w:ind w:right="24"/>
              <w:spacing w:after="0" w:line="147" w:lineRule="exact"/>
              <w:rPr>
                <w:sz w:val="20"/>
                <w:szCs w:val="20"/>
                <w:color w:val="auto"/>
              </w:rPr>
            </w:pPr>
            <w:r>
              <w:rPr>
                <w:rFonts w:ascii="Arial" w:cs="Arial" w:eastAsia="Arial" w:hAnsi="Arial"/>
                <w:sz w:val="14"/>
                <w:szCs w:val="14"/>
                <w:color w:val="auto"/>
              </w:rPr>
              <w:t>​​•</w:t>
            </w:r>
          </w:p>
        </w:tc>
        <w:tc>
          <w:tcPr>
            <w:tcW w:w="2180" w:type="dxa"/>
            <w:vAlign w:val="bottom"/>
          </w:tcPr>
          <w:p>
            <w:pPr>
              <w:ind w:left="40"/>
              <w:spacing w:after="0" w:line="147" w:lineRule="exact"/>
              <w:rPr>
                <w:sz w:val="20"/>
                <w:szCs w:val="20"/>
                <w:color w:val="auto"/>
              </w:rPr>
            </w:pPr>
            <w:r>
              <w:rPr>
                <w:rFonts w:ascii="Arial" w:cs="Arial" w:eastAsia="Arial" w:hAnsi="Arial"/>
                <w:sz w:val="14"/>
                <w:szCs w:val="14"/>
                <w:color w:val="auto"/>
              </w:rPr>
              <w:t xml:space="preserve">1x </w:t>
            </w:r>
            <w:r>
              <w:rPr>
                <w:rFonts w:ascii="Arial" w:cs="Arial" w:eastAsia="Arial" w:hAnsi="Arial"/>
                <w:sz w:val="14"/>
                <w:szCs w:val="14"/>
                <w:b w:val="1"/>
                <w:bCs w:val="1"/>
                <w:i w:val="1"/>
                <w:iCs w:val="1"/>
                <w:color w:val="auto"/>
              </w:rPr>
              <w:t>(2x if CiC)</w:t>
            </w:r>
            <w:r>
              <w:rPr>
                <w:rFonts w:ascii="Arial" w:cs="Arial" w:eastAsia="Arial" w:hAnsi="Arial"/>
                <w:sz w:val="14"/>
                <w:szCs w:val="14"/>
                <w:color w:val="auto"/>
              </w:rPr>
              <w:t xml:space="preserve"> the sum of base</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Arial" w:cs="Arial" w:eastAsia="Arial" w:hAnsi="Arial"/>
                <w:sz w:val="14"/>
                <w:szCs w:val="14"/>
                <w:color w:val="auto"/>
              </w:rPr>
              <w:t>two years and (i) 1.0x the target value of annual time-based equity</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Pr>
          <w:p>
            <w:pPr>
              <w:ind w:left="40"/>
              <w:spacing w:after="0"/>
              <w:rPr>
                <w:sz w:val="20"/>
                <w:szCs w:val="20"/>
                <w:color w:val="auto"/>
              </w:rPr>
            </w:pPr>
            <w:r>
              <w:rPr>
                <w:rFonts w:ascii="Arial" w:cs="Arial" w:eastAsia="Arial" w:hAnsi="Arial"/>
                <w:sz w:val="14"/>
                <w:szCs w:val="14"/>
                <w:color w:val="auto"/>
              </w:rPr>
              <w:t>salary and average annual bonus</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60" w:type="dxa"/>
            <w:vAlign w:val="bottom"/>
          </w:tcPr>
          <w:p>
            <w:pPr>
              <w:ind w:left="60"/>
              <w:spacing w:after="0" w:line="162" w:lineRule="exact"/>
              <w:rPr>
                <w:sz w:val="20"/>
                <w:szCs w:val="20"/>
                <w:color w:val="auto"/>
              </w:rPr>
            </w:pPr>
            <w:r>
              <w:rPr>
                <w:rFonts w:ascii="Arial" w:cs="Arial" w:eastAsia="Arial" w:hAnsi="Arial"/>
                <w:sz w:val="14"/>
                <w:szCs w:val="14"/>
                <w:color w:val="auto"/>
              </w:rPr>
              <w:t>award</w:t>
            </w:r>
            <w:r>
              <w:rPr>
                <w:rFonts w:ascii="Arial" w:cs="Arial" w:eastAsia="Arial" w:hAnsi="Arial"/>
                <w:sz w:val="17"/>
                <w:szCs w:val="17"/>
                <w:color w:val="auto"/>
                <w:vertAlign w:val="superscript"/>
              </w:rPr>
              <w:t>(7)</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(if CiC: 3.0x the sum of base salary, average annual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Pr>
          <w:p>
            <w:pPr>
              <w:ind w:left="40"/>
              <w:spacing w:after="0"/>
              <w:rPr>
                <w:sz w:val="20"/>
                <w:szCs w:val="20"/>
                <w:color w:val="auto"/>
              </w:rPr>
            </w:pPr>
            <w:r>
              <w:rPr>
                <w:rFonts w:ascii="Arial" w:cs="Arial" w:eastAsia="Arial" w:hAnsi="Arial"/>
                <w:sz w:val="14"/>
                <w:szCs w:val="14"/>
                <w:color w:val="auto"/>
              </w:rPr>
              <w:t>for prior two years (Levine) or</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8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4"/>
                <w:szCs w:val="14"/>
                <w:b w:val="1"/>
                <w:bCs w:val="1"/>
                <w:i w:val="1"/>
                <w:iCs w:val="1"/>
                <w:color w:val="auto"/>
              </w:rPr>
              <w:t>bonus for prior two years and target value of annual time-based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ind w:left="40"/>
              <w:spacing w:after="0"/>
              <w:rPr>
                <w:sz w:val="20"/>
                <w:szCs w:val="20"/>
                <w:color w:val="auto"/>
              </w:rPr>
            </w:pPr>
            <w:r>
              <w:rPr>
                <w:rFonts w:ascii="Arial" w:cs="Arial" w:eastAsia="Arial" w:hAnsi="Arial"/>
                <w:sz w:val="14"/>
                <w:szCs w:val="14"/>
                <w:color w:val="auto"/>
              </w:rPr>
              <w:t>prior three years (DiLiberto)</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4"/>
                <w:szCs w:val="14"/>
                <w:b w:val="1"/>
                <w:bCs w:val="1"/>
                <w:i w:val="1"/>
                <w:iCs w:val="1"/>
                <w:color w:val="auto"/>
              </w:rPr>
              <w:t>award)</w:t>
            </w:r>
          </w:p>
        </w:tc>
        <w:tc>
          <w:tcPr>
            <w:tcW w:w="120" w:type="dxa"/>
            <w:vAlign w:val="bottom"/>
          </w:tcPr>
          <w:p>
            <w:pPr>
              <w:spacing w:after="0"/>
              <w:rPr>
                <w:sz w:val="16"/>
                <w:szCs w:val="16"/>
                <w:color w:val="auto"/>
              </w:rPr>
            </w:pPr>
          </w:p>
        </w:tc>
        <w:tc>
          <w:tcPr>
            <w:tcW w:w="100" w:type="dxa"/>
            <w:vAlign w:val="bottom"/>
          </w:tcPr>
          <w:p>
            <w:pPr>
              <w:jc w:val="right"/>
              <w:ind w:right="24"/>
              <w:spacing w:after="0"/>
              <w:rPr>
                <w:sz w:val="20"/>
                <w:szCs w:val="20"/>
                <w:color w:val="auto"/>
              </w:rPr>
            </w:pPr>
            <w:r>
              <w:rPr>
                <w:rFonts w:ascii="Arial" w:cs="Arial" w:eastAsia="Arial" w:hAnsi="Arial"/>
                <w:sz w:val="7"/>
                <w:szCs w:val="7"/>
                <w:color w:val="auto"/>
                <w:w w:val="79"/>
              </w:rPr>
              <w:t>•</w:t>
            </w:r>
          </w:p>
        </w:tc>
        <w:tc>
          <w:tcPr>
            <w:tcW w:w="2180" w:type="dxa"/>
            <w:vAlign w:val="bottom"/>
          </w:tcPr>
          <w:p>
            <w:pPr>
              <w:ind w:left="40"/>
              <w:spacing w:after="0"/>
              <w:rPr>
                <w:sz w:val="20"/>
                <w:szCs w:val="20"/>
                <w:color w:val="auto"/>
              </w:rPr>
            </w:pPr>
            <w:r>
              <w:rPr>
                <w:rFonts w:ascii="Arial" w:cs="Arial" w:eastAsia="Arial" w:hAnsi="Arial"/>
                <w:sz w:val="14"/>
                <w:szCs w:val="14"/>
                <w:color w:val="auto"/>
              </w:rPr>
              <w:t>The target value of the annual</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rPr>
              <w:t>•</w:t>
            </w:r>
          </w:p>
        </w:tc>
        <w:tc>
          <w:tcPr>
            <w:tcW w:w="4360" w:type="dxa"/>
            <w:vAlign w:val="bottom"/>
          </w:tcPr>
          <w:p>
            <w:pPr>
              <w:ind w:left="60"/>
              <w:spacing w:after="0"/>
              <w:rPr>
                <w:sz w:val="20"/>
                <w:szCs w:val="20"/>
                <w:color w:val="auto"/>
              </w:rPr>
            </w:pPr>
            <w:r>
              <w:rPr>
                <w:rFonts w:ascii="Arial" w:cs="Arial" w:eastAsia="Arial" w:hAnsi="Arial"/>
                <w:sz w:val="14"/>
                <w:szCs w:val="14"/>
                <w:color w:val="auto"/>
              </w:rPr>
              <w:t>Pro-rata bonus and pro-rata portion of target value of annual time-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Pr>
          <w:p>
            <w:pPr>
              <w:ind w:left="40"/>
              <w:spacing w:after="0"/>
              <w:rPr>
                <w:sz w:val="20"/>
                <w:szCs w:val="20"/>
                <w:color w:val="auto"/>
              </w:rPr>
            </w:pPr>
            <w:r>
              <w:rPr>
                <w:rFonts w:ascii="Arial" w:cs="Arial" w:eastAsia="Arial" w:hAnsi="Arial"/>
                <w:sz w:val="14"/>
                <w:szCs w:val="14"/>
                <w:color w:val="auto"/>
              </w:rPr>
              <w:t>time-based equity awards to be</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60" w:type="dxa"/>
            <w:vAlign w:val="bottom"/>
          </w:tcPr>
          <w:p>
            <w:pPr>
              <w:ind w:left="60"/>
              <w:spacing w:after="0"/>
              <w:rPr>
                <w:sz w:val="20"/>
                <w:szCs w:val="20"/>
                <w:color w:val="auto"/>
              </w:rPr>
            </w:pPr>
            <w:r>
              <w:rPr>
                <w:rFonts w:ascii="Arial" w:cs="Arial" w:eastAsia="Arial" w:hAnsi="Arial"/>
                <w:sz w:val="14"/>
                <w:szCs w:val="14"/>
                <w:color w:val="auto"/>
              </w:rPr>
              <w:t>based award for partial year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Pr>
          <w:p>
            <w:pPr>
              <w:ind w:left="40"/>
              <w:spacing w:after="0"/>
              <w:rPr>
                <w:sz w:val="20"/>
                <w:szCs w:val="20"/>
                <w:color w:val="auto"/>
              </w:rPr>
            </w:pPr>
            <w:r>
              <w:rPr>
                <w:rFonts w:ascii="Arial" w:cs="Arial" w:eastAsia="Arial" w:hAnsi="Arial"/>
                <w:sz w:val="14"/>
                <w:szCs w:val="14"/>
                <w:color w:val="auto"/>
              </w:rPr>
              <w:t>granted in each January</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4360" w:type="dxa"/>
            <w:vAlign w:val="bottom"/>
            <w:vMerge w:val="restart"/>
          </w:tcPr>
          <w:p>
            <w:pPr>
              <w:ind w:left="60"/>
              <w:spacing w:after="0"/>
              <w:rPr>
                <w:sz w:val="20"/>
                <w:szCs w:val="20"/>
                <w:color w:val="auto"/>
              </w:rPr>
            </w:pPr>
            <w:r>
              <w:rPr>
                <w:rFonts w:ascii="Arial" w:cs="Arial" w:eastAsia="Arial" w:hAnsi="Arial"/>
                <w:sz w:val="14"/>
                <w:szCs w:val="14"/>
                <w:color w:val="auto"/>
              </w:rPr>
              <w:t>Acceleration of all unvested time-based equity awards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Pr>
          <w:p>
            <w:pPr>
              <w:ind w:left="40"/>
              <w:spacing w:after="0"/>
              <w:rPr>
                <w:sz w:val="20"/>
                <w:szCs w:val="20"/>
                <w:color w:val="auto"/>
              </w:rPr>
            </w:pPr>
            <w:r>
              <w:rPr>
                <w:rFonts w:ascii="Arial" w:cs="Arial" w:eastAsia="Arial" w:hAnsi="Arial"/>
                <w:sz w:val="14"/>
                <w:szCs w:val="14"/>
                <w:color w:val="auto"/>
              </w:rPr>
              <w:t>remaining in the term, to the</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43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80" w:type="dxa"/>
            <w:vAlign w:val="bottom"/>
            <w:vMerge w:val="restart"/>
          </w:tcPr>
          <w:p>
            <w:pPr>
              <w:ind w:left="40"/>
              <w:spacing w:after="0"/>
              <w:rPr>
                <w:sz w:val="20"/>
                <w:szCs w:val="20"/>
                <w:color w:val="auto"/>
              </w:rPr>
            </w:pPr>
            <w:r>
              <w:rPr>
                <w:rFonts w:ascii="Arial" w:cs="Arial" w:eastAsia="Arial" w:hAnsi="Arial"/>
                <w:sz w:val="14"/>
                <w:szCs w:val="14"/>
                <w:color w:val="auto"/>
              </w:rPr>
              <w:t>extent not yet granted</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4360" w:type="dxa"/>
            <w:vAlign w:val="bottom"/>
            <w:vMerge w:val="restart"/>
          </w:tcPr>
          <w:p>
            <w:pPr>
              <w:ind w:left="60"/>
              <w:spacing w:after="0"/>
              <w:rPr>
                <w:sz w:val="20"/>
                <w:szCs w:val="20"/>
                <w:color w:val="auto"/>
              </w:rPr>
            </w:pPr>
            <w:r>
              <w:rPr>
                <w:rFonts w:ascii="Arial" w:cs="Arial" w:eastAsia="Arial" w:hAnsi="Arial"/>
                <w:sz w:val="14"/>
                <w:szCs w:val="14"/>
                <w:color w:val="auto"/>
              </w:rPr>
              <w:t>Class O LTIP unit/option exercise period extended to second</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8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8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43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vMerge w:val="restart"/>
          </w:tcPr>
          <w:p>
            <w:pPr>
              <w:jc w:val="right"/>
              <w:ind w:right="24"/>
              <w:spacing w:after="0"/>
              <w:rPr>
                <w:sz w:val="20"/>
                <w:szCs w:val="20"/>
                <w:color w:val="auto"/>
              </w:rPr>
            </w:pPr>
            <w:r>
              <w:rPr>
                <w:rFonts w:ascii="Arial" w:cs="Arial" w:eastAsia="Arial" w:hAnsi="Arial"/>
                <w:sz w:val="7"/>
                <w:szCs w:val="7"/>
                <w:color w:val="auto"/>
                <w:w w:val="79"/>
              </w:rPr>
              <w:t>•</w:t>
            </w:r>
          </w:p>
        </w:tc>
        <w:tc>
          <w:tcPr>
            <w:tcW w:w="2180" w:type="dxa"/>
            <w:vAlign w:val="bottom"/>
            <w:vMerge w:val="restart"/>
          </w:tcPr>
          <w:p>
            <w:pPr>
              <w:ind w:left="40"/>
              <w:spacing w:after="0"/>
              <w:rPr>
                <w:sz w:val="20"/>
                <w:szCs w:val="20"/>
                <w:color w:val="auto"/>
              </w:rPr>
            </w:pPr>
            <w:r>
              <w:rPr>
                <w:rFonts w:ascii="Arial" w:cs="Arial" w:eastAsia="Arial" w:hAnsi="Arial"/>
                <w:sz w:val="14"/>
                <w:szCs w:val="14"/>
                <w:color w:val="auto"/>
              </w:rPr>
              <w:t>Pro-rata bonus for partial year</w:t>
            </w: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8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360" w:type="dxa"/>
            <w:vAlign w:val="bottom"/>
            <w:vMerge w:val="restart"/>
          </w:tcPr>
          <w:p>
            <w:pPr>
              <w:ind w:left="60"/>
              <w:spacing w:after="0"/>
              <w:rPr>
                <w:sz w:val="20"/>
                <w:szCs w:val="20"/>
                <w:color w:val="auto"/>
              </w:rPr>
            </w:pPr>
            <w:r>
              <w:rPr>
                <w:rFonts w:ascii="Arial" w:cs="Arial" w:eastAsia="Arial" w:hAnsi="Arial"/>
                <w:sz w:val="14"/>
                <w:szCs w:val="14"/>
                <w:color w:val="auto"/>
              </w:rPr>
              <w:t>January 1st following termination</w:t>
            </w:r>
          </w:p>
        </w:tc>
        <w:tc>
          <w:tcPr>
            <w:tcW w:w="12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21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8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3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vMerge w:val="restart"/>
          </w:tcPr>
          <w:p>
            <w:pPr>
              <w:jc w:val="right"/>
              <w:ind w:right="24"/>
              <w:spacing w:after="0"/>
              <w:rPr>
                <w:sz w:val="20"/>
                <w:szCs w:val="20"/>
                <w:color w:val="auto"/>
              </w:rPr>
            </w:pPr>
            <w:r>
              <w:rPr>
                <w:rFonts w:ascii="Arial" w:cs="Arial" w:eastAsia="Arial" w:hAnsi="Arial"/>
                <w:sz w:val="7"/>
                <w:szCs w:val="7"/>
                <w:color w:val="auto"/>
                <w:w w:val="79"/>
              </w:rPr>
              <w:t>•</w:t>
            </w:r>
          </w:p>
        </w:tc>
        <w:tc>
          <w:tcPr>
            <w:tcW w:w="2180" w:type="dxa"/>
            <w:vAlign w:val="bottom"/>
            <w:vMerge w:val="restart"/>
          </w:tcPr>
          <w:p>
            <w:pPr>
              <w:ind w:left="40"/>
              <w:spacing w:after="0"/>
              <w:rPr>
                <w:sz w:val="20"/>
                <w:szCs w:val="20"/>
                <w:color w:val="auto"/>
              </w:rPr>
            </w:pPr>
            <w:r>
              <w:rPr>
                <w:rFonts w:ascii="Arial" w:cs="Arial" w:eastAsia="Arial" w:hAnsi="Arial"/>
                <w:sz w:val="14"/>
                <w:szCs w:val="14"/>
                <w:color w:val="auto"/>
              </w:rPr>
              <w:t>Acceleration of all unvested time-</w:t>
            </w: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8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4360" w:type="dxa"/>
            <w:vAlign w:val="bottom"/>
            <w:vMerge w:val="restart"/>
          </w:tcPr>
          <w:p>
            <w:pPr>
              <w:ind w:left="60"/>
              <w:spacing w:after="0"/>
              <w:rPr>
                <w:sz w:val="20"/>
                <w:szCs w:val="20"/>
                <w:color w:val="auto"/>
              </w:rPr>
            </w:pPr>
            <w:r>
              <w:rPr>
                <w:rFonts w:ascii="Arial" w:cs="Arial" w:eastAsia="Arial" w:hAnsi="Arial"/>
                <w:sz w:val="14"/>
                <w:szCs w:val="14"/>
                <w:color w:val="auto"/>
              </w:rPr>
              <w:t>Performance-based awards (including Class O LTIP units/options)</w:t>
            </w:r>
          </w:p>
        </w:tc>
        <w:tc>
          <w:tcPr>
            <w:tcW w:w="1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1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8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43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80" w:type="dxa"/>
            <w:vAlign w:val="bottom"/>
            <w:vMerge w:val="restart"/>
          </w:tcPr>
          <w:p>
            <w:pPr>
              <w:ind w:left="40"/>
              <w:spacing w:after="0"/>
              <w:rPr>
                <w:sz w:val="20"/>
                <w:szCs w:val="20"/>
                <w:color w:val="auto"/>
              </w:rPr>
            </w:pPr>
            <w:r>
              <w:rPr>
                <w:rFonts w:ascii="Arial" w:cs="Arial" w:eastAsia="Arial" w:hAnsi="Arial"/>
                <w:sz w:val="14"/>
                <w:szCs w:val="14"/>
                <w:color w:val="auto"/>
              </w:rPr>
              <w:t>based equity awards</w:t>
            </w: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8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360" w:type="dxa"/>
            <w:vAlign w:val="bottom"/>
            <w:vMerge w:val="restart"/>
          </w:tcPr>
          <w:p>
            <w:pPr>
              <w:ind w:left="60"/>
              <w:spacing w:after="0"/>
              <w:rPr>
                <w:sz w:val="20"/>
                <w:szCs w:val="20"/>
                <w:color w:val="auto"/>
              </w:rPr>
            </w:pPr>
            <w:r>
              <w:rPr>
                <w:rFonts w:ascii="Arial" w:cs="Arial" w:eastAsia="Arial" w:hAnsi="Arial"/>
                <w:sz w:val="14"/>
                <w:szCs w:val="14"/>
                <w:color w:val="auto"/>
              </w:rPr>
              <w:t>governed by their terms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8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3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vMerge w:val="restart"/>
          </w:tcPr>
          <w:p>
            <w:pPr>
              <w:jc w:val="right"/>
              <w:ind w:right="24"/>
              <w:spacing w:after="0"/>
              <w:rPr>
                <w:sz w:val="20"/>
                <w:szCs w:val="20"/>
                <w:color w:val="auto"/>
              </w:rPr>
            </w:pPr>
            <w:r>
              <w:rPr>
                <w:rFonts w:ascii="Arial" w:cs="Arial" w:eastAsia="Arial" w:hAnsi="Arial"/>
                <w:sz w:val="7"/>
                <w:szCs w:val="7"/>
                <w:color w:val="auto"/>
                <w:w w:val="79"/>
              </w:rPr>
              <w:t>•</w:t>
            </w:r>
          </w:p>
        </w:tc>
        <w:tc>
          <w:tcPr>
            <w:tcW w:w="2180" w:type="dxa"/>
            <w:vAlign w:val="bottom"/>
            <w:vMerge w:val="restart"/>
          </w:tcPr>
          <w:p>
            <w:pPr>
              <w:ind w:left="40"/>
              <w:spacing w:after="0"/>
              <w:rPr>
                <w:sz w:val="20"/>
                <w:szCs w:val="20"/>
                <w:color w:val="auto"/>
              </w:rPr>
            </w:pPr>
            <w:r>
              <w:rPr>
                <w:rFonts w:ascii="Arial" w:cs="Arial" w:eastAsia="Arial" w:hAnsi="Arial"/>
                <w:sz w:val="14"/>
                <w:szCs w:val="14"/>
                <w:color w:val="auto"/>
              </w:rPr>
              <w:t>Class O LTIP unit/option exercise</w:t>
            </w: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8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4360" w:type="dxa"/>
            <w:vAlign w:val="bottom"/>
            <w:vMerge w:val="restart"/>
          </w:tcPr>
          <w:p>
            <w:pPr>
              <w:ind w:left="60"/>
              <w:spacing w:after="0"/>
              <w:rPr>
                <w:sz w:val="20"/>
                <w:szCs w:val="20"/>
                <w:color w:val="auto"/>
              </w:rPr>
            </w:pPr>
            <w:r>
              <w:rPr>
                <w:rFonts w:ascii="Arial" w:cs="Arial" w:eastAsia="Arial" w:hAnsi="Arial"/>
                <w:sz w:val="14"/>
                <w:szCs w:val="14"/>
                <w:color w:val="auto"/>
              </w:rPr>
              <w:t xml:space="preserve">24 </w:t>
            </w:r>
            <w:r>
              <w:rPr>
                <w:rFonts w:ascii="Arial" w:cs="Arial" w:eastAsia="Arial" w:hAnsi="Arial"/>
                <w:sz w:val="14"/>
                <w:szCs w:val="14"/>
                <w:b w:val="1"/>
                <w:bCs w:val="1"/>
                <w:i w:val="1"/>
                <w:iCs w:val="1"/>
                <w:color w:val="auto"/>
              </w:rPr>
              <w:t>(36 if CiC)</w:t>
            </w:r>
            <w:r>
              <w:rPr>
                <w:rFonts w:ascii="Arial" w:cs="Arial" w:eastAsia="Arial" w:hAnsi="Arial"/>
                <w:sz w:val="14"/>
                <w:szCs w:val="14"/>
                <w:color w:val="auto"/>
              </w:rPr>
              <w:t xml:space="preserve"> months of benefit continuation payments</w:t>
            </w:r>
          </w:p>
        </w:tc>
        <w:tc>
          <w:tcPr>
            <w:tcW w:w="1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1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43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80" w:type="dxa"/>
            <w:vAlign w:val="bottom"/>
            <w:vMerge w:val="restart"/>
          </w:tcPr>
          <w:p>
            <w:pPr>
              <w:ind w:left="40"/>
              <w:spacing w:after="0"/>
              <w:rPr>
                <w:sz w:val="20"/>
                <w:szCs w:val="20"/>
                <w:color w:val="auto"/>
              </w:rPr>
            </w:pPr>
            <w:r>
              <w:rPr>
                <w:rFonts w:ascii="Arial" w:cs="Arial" w:eastAsia="Arial" w:hAnsi="Arial"/>
                <w:sz w:val="14"/>
                <w:szCs w:val="14"/>
                <w:color w:val="auto"/>
              </w:rPr>
              <w:t>period extended to second</w:t>
            </w: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8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8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8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ind w:left="40"/>
              <w:spacing w:after="0"/>
              <w:rPr>
                <w:sz w:val="20"/>
                <w:szCs w:val="20"/>
                <w:color w:val="auto"/>
              </w:rPr>
            </w:pPr>
            <w:r>
              <w:rPr>
                <w:rFonts w:ascii="Arial" w:cs="Arial" w:eastAsia="Arial" w:hAnsi="Arial"/>
                <w:sz w:val="14"/>
                <w:szCs w:val="14"/>
                <w:color w:val="auto"/>
              </w:rPr>
              <w:t>January 1st following termination</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jc w:val="right"/>
              <w:ind w:right="24"/>
              <w:spacing w:after="0"/>
              <w:rPr>
                <w:sz w:val="20"/>
                <w:szCs w:val="20"/>
                <w:color w:val="auto"/>
              </w:rPr>
            </w:pPr>
            <w:r>
              <w:rPr>
                <w:rFonts w:ascii="Arial" w:cs="Arial" w:eastAsia="Arial" w:hAnsi="Arial"/>
                <w:sz w:val="7"/>
                <w:szCs w:val="7"/>
                <w:color w:val="auto"/>
                <w:w w:val="79"/>
              </w:rPr>
              <w:t>•</w:t>
            </w:r>
          </w:p>
        </w:tc>
        <w:tc>
          <w:tcPr>
            <w:tcW w:w="2180" w:type="dxa"/>
            <w:vAlign w:val="bottom"/>
          </w:tcPr>
          <w:p>
            <w:pPr>
              <w:ind w:left="40"/>
              <w:spacing w:after="0"/>
              <w:rPr>
                <w:sz w:val="20"/>
                <w:szCs w:val="20"/>
                <w:color w:val="auto"/>
              </w:rPr>
            </w:pPr>
            <w:r>
              <w:rPr>
                <w:rFonts w:ascii="Arial" w:cs="Arial" w:eastAsia="Arial" w:hAnsi="Arial"/>
                <w:sz w:val="14"/>
                <w:szCs w:val="14"/>
                <w:color w:val="auto"/>
              </w:rPr>
              <w:t>Performance-based awards</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ind w:left="40"/>
              <w:spacing w:after="0"/>
              <w:rPr>
                <w:sz w:val="20"/>
                <w:szCs w:val="20"/>
                <w:color w:val="auto"/>
              </w:rPr>
            </w:pPr>
            <w:r>
              <w:rPr>
                <w:rFonts w:ascii="Arial" w:cs="Arial" w:eastAsia="Arial" w:hAnsi="Arial"/>
                <w:sz w:val="14"/>
                <w:szCs w:val="14"/>
                <w:color w:val="auto"/>
              </w:rPr>
              <w:t>governed by their terms</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jc w:val="right"/>
              <w:ind w:right="24"/>
              <w:spacing w:after="0"/>
              <w:rPr>
                <w:sz w:val="20"/>
                <w:szCs w:val="20"/>
                <w:color w:val="auto"/>
              </w:rPr>
            </w:pPr>
            <w:r>
              <w:rPr>
                <w:rFonts w:ascii="Arial" w:cs="Arial" w:eastAsia="Arial" w:hAnsi="Arial"/>
                <w:sz w:val="7"/>
                <w:szCs w:val="7"/>
                <w:color w:val="auto"/>
                <w:w w:val="79"/>
              </w:rPr>
              <w:t>•</w:t>
            </w:r>
          </w:p>
        </w:tc>
        <w:tc>
          <w:tcPr>
            <w:tcW w:w="2180" w:type="dxa"/>
            <w:vAlign w:val="bottom"/>
          </w:tcPr>
          <w:p>
            <w:pPr>
              <w:ind w:left="40"/>
              <w:spacing w:after="0"/>
              <w:rPr>
                <w:sz w:val="20"/>
                <w:szCs w:val="20"/>
                <w:color w:val="auto"/>
              </w:rPr>
            </w:pPr>
            <w:r>
              <w:rPr>
                <w:rFonts w:ascii="Arial" w:cs="Arial" w:eastAsia="Arial" w:hAnsi="Arial"/>
                <w:sz w:val="14"/>
                <w:szCs w:val="14"/>
                <w:color w:val="auto"/>
              </w:rPr>
              <w:t xml:space="preserve">12 </w:t>
            </w:r>
            <w:r>
              <w:rPr>
                <w:rFonts w:ascii="Arial" w:cs="Arial" w:eastAsia="Arial" w:hAnsi="Arial"/>
                <w:sz w:val="14"/>
                <w:szCs w:val="14"/>
                <w:b w:val="1"/>
                <w:bCs w:val="1"/>
                <w:i w:val="1"/>
                <w:iCs w:val="1"/>
                <w:color w:val="auto"/>
              </w:rPr>
              <w:t>(24 if CiC)</w:t>
            </w:r>
            <w:r>
              <w:rPr>
                <w:rFonts w:ascii="Arial" w:cs="Arial" w:eastAsia="Arial" w:hAnsi="Arial"/>
                <w:sz w:val="14"/>
                <w:szCs w:val="14"/>
                <w:color w:val="auto"/>
              </w:rPr>
              <w:t xml:space="preserve"> months of benefit</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ind w:left="40"/>
              <w:spacing w:after="0"/>
              <w:rPr>
                <w:sz w:val="20"/>
                <w:szCs w:val="20"/>
                <w:color w:val="auto"/>
              </w:rPr>
            </w:pPr>
            <w:r>
              <w:rPr>
                <w:rFonts w:ascii="Arial" w:cs="Arial" w:eastAsia="Arial" w:hAnsi="Arial"/>
                <w:sz w:val="14"/>
                <w:szCs w:val="14"/>
                <w:color w:val="auto"/>
              </w:rPr>
              <w:t>continuation payments</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820" w:type="dxa"/>
            <w:vAlign w:val="bottom"/>
          </w:tcPr>
          <w:p>
            <w:pPr>
              <w:spacing w:after="0"/>
              <w:rPr>
                <w:sz w:val="5"/>
                <w:szCs w:val="5"/>
                <w:color w:val="auto"/>
              </w:rPr>
            </w:pPr>
          </w:p>
        </w:tc>
        <w:tc>
          <w:tcPr>
            <w:tcW w:w="1220" w:type="dxa"/>
            <w:vAlign w:val="bottom"/>
            <w:tcBorders>
              <w:bottom w:val="single" w:sz="8" w:color="4B5088"/>
            </w:tcBorders>
          </w:tcPr>
          <w:p>
            <w:pPr>
              <w:spacing w:after="0"/>
              <w:rPr>
                <w:sz w:val="5"/>
                <w:szCs w:val="5"/>
                <w:color w:val="auto"/>
              </w:rPr>
            </w:pPr>
          </w:p>
        </w:tc>
        <w:tc>
          <w:tcPr>
            <w:tcW w:w="880" w:type="dxa"/>
            <w:vAlign w:val="bottom"/>
            <w:tcBorders>
              <w:bottom w:val="single" w:sz="8" w:color="4B5088"/>
            </w:tcBorders>
          </w:tcPr>
          <w:p>
            <w:pPr>
              <w:spacing w:after="0"/>
              <w:rPr>
                <w:sz w:val="5"/>
                <w:szCs w:val="5"/>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B5088"/>
            </w:tcBorders>
          </w:tcPr>
          <w:p>
            <w:pPr>
              <w:spacing w:after="0"/>
              <w:rPr>
                <w:sz w:val="5"/>
                <w:szCs w:val="5"/>
                <w:color w:val="auto"/>
              </w:rPr>
            </w:pPr>
          </w:p>
        </w:tc>
        <w:tc>
          <w:tcPr>
            <w:tcW w:w="4360" w:type="dxa"/>
            <w:vAlign w:val="bottom"/>
            <w:tcBorders>
              <w:bottom w:val="single" w:sz="8" w:color="4B5088"/>
            </w:tcBorders>
          </w:tcPr>
          <w:p>
            <w:pPr>
              <w:spacing w:after="0"/>
              <w:rPr>
                <w:sz w:val="5"/>
                <w:szCs w:val="5"/>
                <w:color w:val="auto"/>
              </w:rPr>
            </w:pPr>
          </w:p>
        </w:tc>
        <w:tc>
          <w:tcPr>
            <w:tcW w:w="120" w:type="dxa"/>
            <w:vAlign w:val="bottom"/>
            <w:tcBorders>
              <w:bottom w:val="single" w:sz="8" w:color="4B5088"/>
            </w:tcBorders>
          </w:tcPr>
          <w:p>
            <w:pPr>
              <w:spacing w:after="0"/>
              <w:rPr>
                <w:sz w:val="5"/>
                <w:szCs w:val="5"/>
                <w:color w:val="auto"/>
              </w:rPr>
            </w:pPr>
          </w:p>
        </w:tc>
        <w:tc>
          <w:tcPr>
            <w:tcW w:w="100" w:type="dxa"/>
            <w:vAlign w:val="bottom"/>
            <w:tcBorders>
              <w:bottom w:val="single" w:sz="8" w:color="4B5088"/>
            </w:tcBorders>
          </w:tcPr>
          <w:p>
            <w:pPr>
              <w:spacing w:after="0"/>
              <w:rPr>
                <w:sz w:val="5"/>
                <w:szCs w:val="5"/>
                <w:color w:val="auto"/>
              </w:rPr>
            </w:pPr>
          </w:p>
        </w:tc>
        <w:tc>
          <w:tcPr>
            <w:tcW w:w="2180" w:type="dxa"/>
            <w:vAlign w:val="bottom"/>
            <w:tcBorders>
              <w:bottom w:val="single" w:sz="8" w:color="4B5088"/>
            </w:tcBorders>
          </w:tcPr>
          <w:p>
            <w:pPr>
              <w:spacing w:after="0"/>
              <w:rPr>
                <w:sz w:val="5"/>
                <w:szCs w:val="5"/>
                <w:color w:val="auto"/>
              </w:rPr>
            </w:pPr>
          </w:p>
        </w:tc>
        <w:tc>
          <w:tcPr>
            <w:tcW w:w="840" w:type="dxa"/>
            <w:vAlign w:val="bottom"/>
            <w:vMerge w:val="restart"/>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1220" w:type="dxa"/>
            <w:vAlign w:val="bottom"/>
          </w:tcPr>
          <w:p>
            <w:pPr>
              <w:spacing w:after="0" w:line="12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735"/>
              <w:spacing w:after="0"/>
              <w:rPr>
                <w:sz w:val="20"/>
                <w:szCs w:val="20"/>
                <w:color w:val="auto"/>
              </w:rPr>
            </w:pPr>
            <w:r>
              <w:rPr>
                <w:rFonts w:ascii="Arial" w:cs="Arial" w:eastAsia="Arial" w:hAnsi="Arial"/>
                <w:sz w:val="9"/>
                <w:szCs w:val="9"/>
                <w:b w:val="1"/>
                <w:bCs w:val="1"/>
                <w:color w:val="1F2668"/>
                <w:w w:val="72"/>
              </w:rPr>
              <w:t>(5)</w:t>
            </w:r>
          </w:p>
        </w:tc>
        <w:tc>
          <w:tcPr>
            <w:tcW w:w="100" w:type="dxa"/>
            <w:vAlign w:val="bottom"/>
            <w:vMerge w:val="continue"/>
          </w:tcPr>
          <w:p>
            <w:pPr>
              <w:spacing w:after="0"/>
              <w:rPr>
                <w:sz w:val="11"/>
                <w:szCs w:val="11"/>
                <w:color w:val="auto"/>
              </w:rPr>
            </w:pPr>
          </w:p>
        </w:tc>
        <w:tc>
          <w:tcPr>
            <w:tcW w:w="6860" w:type="dxa"/>
            <w:vAlign w:val="bottom"/>
            <w:gridSpan w:val="5"/>
            <w:vMerge w:val="restart"/>
          </w:tcPr>
          <w:p>
            <w:pPr>
              <w:ind w:left="20"/>
              <w:spacing w:after="0"/>
              <w:rPr>
                <w:sz w:val="20"/>
                <w:szCs w:val="20"/>
                <w:color w:val="auto"/>
              </w:rPr>
            </w:pPr>
            <w:r>
              <w:rPr>
                <w:rFonts w:ascii="Arial" w:cs="Arial" w:eastAsia="Arial" w:hAnsi="Arial"/>
                <w:sz w:val="14"/>
                <w:szCs w:val="14"/>
                <w:color w:val="auto"/>
              </w:rPr>
              <w:t>If the executive’s employment is terminated by us upon death or disability during the term, the executive will</w:t>
            </w: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820" w:type="dxa"/>
            <w:vAlign w:val="bottom"/>
          </w:tcPr>
          <w:p>
            <w:pPr>
              <w:spacing w:after="0"/>
              <w:rPr>
                <w:sz w:val="5"/>
                <w:szCs w:val="5"/>
                <w:color w:val="auto"/>
              </w:rPr>
            </w:pPr>
          </w:p>
        </w:tc>
        <w:tc>
          <w:tcPr>
            <w:tcW w:w="1220" w:type="dxa"/>
            <w:vAlign w:val="bottom"/>
          </w:tcPr>
          <w:p>
            <w:pPr>
              <w:spacing w:after="0" w:line="59" w:lineRule="exact"/>
              <w:rPr>
                <w:sz w:val="20"/>
                <w:szCs w:val="20"/>
                <w:color w:val="auto"/>
              </w:rPr>
            </w:pPr>
            <w:r>
              <w:rPr>
                <w:rFonts w:ascii="Arial" w:cs="Arial" w:eastAsia="Arial" w:hAnsi="Arial"/>
                <w:sz w:val="6"/>
                <w:szCs w:val="6"/>
                <w:b w:val="1"/>
                <w:bCs w:val="1"/>
                <w:color w:val="1F2668"/>
              </w:rPr>
              <w:t xml:space="preserve">Death / </w:t>
            </w:r>
            <w:r>
              <w:rPr>
                <w:rFonts w:ascii="Arial" w:cs="Arial" w:eastAsia="Arial" w:hAnsi="Arial"/>
                <w:sz w:val="6"/>
                <w:szCs w:val="6"/>
                <w:b w:val="1"/>
                <w:bCs w:val="1"/>
                <w:i w:val="1"/>
                <w:iCs w:val="1"/>
                <w:color w:val="1F2668"/>
              </w:rPr>
              <w:t>(Disability)</w:t>
            </w: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60" w:type="dxa"/>
            <w:vAlign w:val="bottom"/>
            <w:gridSpan w:val="5"/>
            <w:vMerge w:val="continue"/>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60" w:type="dxa"/>
            <w:vAlign w:val="bottom"/>
            <w:gridSpan w:val="5"/>
          </w:tcPr>
          <w:p>
            <w:pPr>
              <w:ind w:left="20"/>
              <w:spacing w:after="0"/>
              <w:rPr>
                <w:sz w:val="20"/>
                <w:szCs w:val="20"/>
                <w:color w:val="auto"/>
              </w:rPr>
            </w:pPr>
            <w:r>
              <w:rPr>
                <w:rFonts w:ascii="Arial" w:cs="Arial" w:eastAsia="Arial" w:hAnsi="Arial"/>
                <w:sz w:val="14"/>
                <w:szCs w:val="14"/>
                <w:color w:val="auto"/>
              </w:rPr>
              <w:t>be entitled to all of the following payments or benefits, plus additional benefits in the case of disability, subject</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xml:space="preserve">(in the case of disability) </w:t>
            </w:r>
            <w:r>
              <w:rPr>
                <w:rFonts w:ascii="Arial" w:cs="Arial" w:eastAsia="Arial" w:hAnsi="Arial"/>
                <w:sz w:val="14"/>
                <w:szCs w:val="14"/>
                <w:color w:val="auto"/>
              </w:rPr>
              <w:t>to the effectiveness of a mutual release: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
        </w:trPr>
        <w:tc>
          <w:tcPr>
            <w:tcW w:w="8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B5088"/>
            </w:tcBorders>
          </w:tcPr>
          <w:p>
            <w:pPr>
              <w:spacing w:after="0"/>
              <w:rPr>
                <w:sz w:val="3"/>
                <w:szCs w:val="3"/>
                <w:color w:val="auto"/>
              </w:rPr>
            </w:pPr>
          </w:p>
        </w:tc>
        <w:tc>
          <w:tcPr>
            <w:tcW w:w="4360" w:type="dxa"/>
            <w:vAlign w:val="bottom"/>
            <w:tcBorders>
              <w:bottom w:val="single" w:sz="8" w:color="4B5088"/>
            </w:tcBorders>
          </w:tcPr>
          <w:p>
            <w:pPr>
              <w:spacing w:after="0"/>
              <w:rPr>
                <w:sz w:val="3"/>
                <w:szCs w:val="3"/>
                <w:color w:val="auto"/>
              </w:rPr>
            </w:pPr>
          </w:p>
        </w:tc>
        <w:tc>
          <w:tcPr>
            <w:tcW w:w="220" w:type="dxa"/>
            <w:vAlign w:val="bottom"/>
            <w:tcBorders>
              <w:bottom w:val="single" w:sz="8" w:color="4B5088"/>
            </w:tcBorders>
            <w:gridSpan w:val="2"/>
          </w:tcPr>
          <w:p>
            <w:pPr>
              <w:spacing w:after="0"/>
              <w:rPr>
                <w:sz w:val="3"/>
                <w:szCs w:val="3"/>
                <w:color w:val="auto"/>
              </w:rPr>
            </w:pPr>
          </w:p>
        </w:tc>
        <w:tc>
          <w:tcPr>
            <w:tcW w:w="2180" w:type="dxa"/>
            <w:vAlign w:val="bottom"/>
            <w:tcBorders>
              <w:bottom w:val="single" w:sz="8" w:color="4B5088"/>
            </w:tcBorders>
          </w:tcPr>
          <w:p>
            <w:pPr>
              <w:spacing w:after="0"/>
              <w:rPr>
                <w:sz w:val="3"/>
                <w:szCs w:val="3"/>
                <w:color w:val="auto"/>
              </w:rPr>
            </w:pPr>
          </w:p>
        </w:tc>
        <w:tc>
          <w:tcPr>
            <w:tcW w:w="840" w:type="dxa"/>
            <w:vAlign w:val="bottom"/>
            <w:vMerge w:val="restart"/>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rPr>
              <w:t>•</w:t>
            </w:r>
          </w:p>
        </w:tc>
        <w:tc>
          <w:tcPr>
            <w:tcW w:w="4360" w:type="dxa"/>
            <w:vAlign w:val="bottom"/>
          </w:tcPr>
          <w:p>
            <w:pPr>
              <w:ind w:left="60"/>
              <w:spacing w:after="0"/>
              <w:rPr>
                <w:sz w:val="20"/>
                <w:szCs w:val="20"/>
                <w:color w:val="auto"/>
              </w:rPr>
            </w:pPr>
            <w:r>
              <w:rPr>
                <w:rFonts w:ascii="Arial" w:cs="Arial" w:eastAsia="Arial" w:hAnsi="Arial"/>
                <w:sz w:val="14"/>
                <w:szCs w:val="14"/>
                <w:b w:val="1"/>
                <w:bCs w:val="1"/>
                <w:i w:val="1"/>
                <w:iCs w:val="1"/>
                <w:color w:val="auto"/>
              </w:rPr>
              <w:t>(If Disability: 1x the sum of base salary, average annual bonus</w:t>
            </w:r>
          </w:p>
        </w:tc>
        <w:tc>
          <w:tcPr>
            <w:tcW w:w="220" w:type="dxa"/>
            <w:vAlign w:val="bottom"/>
            <w:gridSpan w:val="2"/>
          </w:tcPr>
          <w:p>
            <w:pPr>
              <w:jc w:val="right"/>
              <w:ind w:right="24"/>
              <w:spacing w:after="0" w:line="230" w:lineRule="exact"/>
              <w:rPr>
                <w:sz w:val="20"/>
                <w:szCs w:val="20"/>
                <w:color w:val="auto"/>
              </w:rPr>
            </w:pPr>
            <w:r>
              <w:rPr>
                <w:rFonts w:ascii="Arial" w:cs="Arial" w:eastAsia="Arial" w:hAnsi="Arial"/>
                <w:sz w:val="14"/>
                <w:szCs w:val="14"/>
                <w:color w:val="auto"/>
              </w:rPr>
              <w:t>​​</w:t>
            </w:r>
            <w:r>
              <w:rPr>
                <w:rFonts w:ascii="Arial" w:cs="Arial" w:eastAsia="Arial" w:hAnsi="Arial"/>
                <w:sz w:val="26"/>
                <w:szCs w:val="26"/>
                <w:color w:val="auto"/>
                <w:vertAlign w:val="subscript"/>
              </w:rPr>
              <w:t>•</w:t>
            </w:r>
          </w:p>
        </w:tc>
        <w:tc>
          <w:tcPr>
            <w:tcW w:w="2180" w:type="dxa"/>
            <w:vAlign w:val="bottom"/>
          </w:tcPr>
          <w:p>
            <w:pPr>
              <w:ind w:left="40"/>
              <w:spacing w:after="0"/>
              <w:rPr>
                <w:sz w:val="20"/>
                <w:szCs w:val="20"/>
                <w:color w:val="auto"/>
              </w:rPr>
            </w:pPr>
            <w:r>
              <w:rPr>
                <w:rFonts w:ascii="Arial" w:cs="Arial" w:eastAsia="Arial" w:hAnsi="Arial"/>
                <w:sz w:val="14"/>
                <w:szCs w:val="14"/>
                <w:b w:val="1"/>
                <w:bCs w:val="1"/>
                <w:i w:val="1"/>
                <w:iCs w:val="1"/>
                <w:color w:val="auto"/>
                <w:w w:val="99"/>
              </w:rPr>
              <w:t>(If Disability: 1x the sum of base</w:t>
            </w: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60" w:type="dxa"/>
            <w:vAlign w:val="bottom"/>
          </w:tcPr>
          <w:p>
            <w:pPr>
              <w:ind w:left="60"/>
              <w:spacing w:after="0"/>
              <w:rPr>
                <w:sz w:val="20"/>
                <w:szCs w:val="20"/>
                <w:color w:val="auto"/>
              </w:rPr>
            </w:pPr>
            <w:r>
              <w:rPr>
                <w:rFonts w:ascii="Arial" w:cs="Arial" w:eastAsia="Arial" w:hAnsi="Arial"/>
                <w:sz w:val="14"/>
                <w:szCs w:val="14"/>
                <w:b w:val="1"/>
                <w:bCs w:val="1"/>
                <w:i w:val="1"/>
                <w:iCs w:val="1"/>
                <w:color w:val="auto"/>
              </w:rPr>
              <w:t>for prior two years and target value of annual time-based equity</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salary and average annual</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60" w:type="dxa"/>
            <w:vAlign w:val="bottom"/>
          </w:tcPr>
          <w:p>
            <w:pPr>
              <w:ind w:left="60"/>
              <w:spacing w:after="0" w:line="163" w:lineRule="exact"/>
              <w:rPr>
                <w:sz w:val="20"/>
                <w:szCs w:val="20"/>
                <w:color w:val="auto"/>
              </w:rPr>
            </w:pPr>
            <w:r>
              <w:rPr>
                <w:rFonts w:ascii="Arial" w:cs="Arial" w:eastAsia="Arial" w:hAnsi="Arial"/>
                <w:sz w:val="14"/>
                <w:szCs w:val="14"/>
                <w:b w:val="1"/>
                <w:bCs w:val="1"/>
                <w:i w:val="1"/>
                <w:iCs w:val="1"/>
                <w:color w:val="auto"/>
              </w:rPr>
              <w:t>award)</w:t>
            </w:r>
            <w:r>
              <w:rPr>
                <w:rFonts w:ascii="Arial" w:cs="Arial" w:eastAsia="Arial" w:hAnsi="Arial"/>
                <w:sz w:val="17"/>
                <w:szCs w:val="17"/>
                <w:b w:val="1"/>
                <w:bCs w:val="1"/>
                <w:i w:val="1"/>
                <w:iCs w:val="1"/>
                <w:color w:val="auto"/>
                <w:vertAlign w:val="superscript"/>
              </w:rPr>
              <w:t>(8)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bonus for prior two years</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4360" w:type="dxa"/>
            <w:vAlign w:val="bottom"/>
            <w:vMerge w:val="restart"/>
          </w:tcPr>
          <w:p>
            <w:pPr>
              <w:ind w:left="60"/>
              <w:spacing w:after="0"/>
              <w:rPr>
                <w:sz w:val="20"/>
                <w:szCs w:val="20"/>
                <w:color w:val="auto"/>
              </w:rPr>
            </w:pPr>
            <w:r>
              <w:rPr>
                <w:rFonts w:ascii="Arial" w:cs="Arial" w:eastAsia="Arial" w:hAnsi="Arial"/>
                <w:sz w:val="14"/>
                <w:szCs w:val="14"/>
                <w:color w:val="auto"/>
              </w:rPr>
              <w:t>Pro-rata bonus for partial year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(Levine) or prior three years</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8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43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80" w:type="dxa"/>
            <w:vAlign w:val="bottom"/>
            <w:vMerge w:val="restart"/>
          </w:tcPr>
          <w:p>
            <w:pPr>
              <w:ind w:left="40"/>
              <w:spacing w:after="0"/>
              <w:rPr>
                <w:sz w:val="20"/>
                <w:szCs w:val="20"/>
                <w:color w:val="auto"/>
              </w:rPr>
            </w:pPr>
            <w:r>
              <w:rPr>
                <w:rFonts w:ascii="Arial" w:cs="Arial" w:eastAsia="Arial" w:hAnsi="Arial"/>
                <w:sz w:val="14"/>
                <w:szCs w:val="14"/>
                <w:b w:val="1"/>
                <w:bCs w:val="1"/>
                <w:i w:val="1"/>
                <w:iCs w:val="1"/>
                <w:color w:val="auto"/>
              </w:rPr>
              <w:t>(DiLiberto))</w:t>
            </w: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8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4360" w:type="dxa"/>
            <w:vAlign w:val="bottom"/>
            <w:vMerge w:val="restart"/>
          </w:tcPr>
          <w:p>
            <w:pPr>
              <w:ind w:left="60"/>
              <w:spacing w:after="0"/>
              <w:rPr>
                <w:sz w:val="20"/>
                <w:szCs w:val="20"/>
                <w:color w:val="auto"/>
              </w:rPr>
            </w:pPr>
            <w:r>
              <w:rPr>
                <w:rFonts w:ascii="Arial" w:cs="Arial" w:eastAsia="Arial" w:hAnsi="Arial"/>
                <w:sz w:val="14"/>
                <w:szCs w:val="14"/>
                <w:color w:val="auto"/>
              </w:rPr>
              <w:t>Acceleration of all unvested equity awards (other than performance-</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18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43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vMerge w:val="restart"/>
          </w:tcPr>
          <w:p>
            <w:pPr>
              <w:jc w:val="right"/>
              <w:ind w:right="24"/>
              <w:spacing w:after="0"/>
              <w:rPr>
                <w:sz w:val="20"/>
                <w:szCs w:val="20"/>
                <w:color w:val="auto"/>
              </w:rPr>
            </w:pPr>
            <w:r>
              <w:rPr>
                <w:rFonts w:ascii="Arial" w:cs="Arial" w:eastAsia="Arial" w:hAnsi="Arial"/>
                <w:sz w:val="7"/>
                <w:szCs w:val="7"/>
                <w:color w:val="auto"/>
                <w:w w:val="79"/>
              </w:rPr>
              <w:t>•</w:t>
            </w:r>
          </w:p>
        </w:tc>
        <w:tc>
          <w:tcPr>
            <w:tcW w:w="2180" w:type="dxa"/>
            <w:vAlign w:val="bottom"/>
            <w:vMerge w:val="restart"/>
          </w:tcPr>
          <w:p>
            <w:pPr>
              <w:ind w:left="40"/>
              <w:spacing w:after="0"/>
              <w:rPr>
                <w:sz w:val="20"/>
                <w:szCs w:val="20"/>
                <w:color w:val="auto"/>
              </w:rPr>
            </w:pPr>
            <w:r>
              <w:rPr>
                <w:rFonts w:ascii="Arial" w:cs="Arial" w:eastAsia="Arial" w:hAnsi="Arial"/>
                <w:sz w:val="14"/>
                <w:szCs w:val="14"/>
                <w:color w:val="auto"/>
              </w:rPr>
              <w:t>Pro-rata bonus for partial year</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8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360" w:type="dxa"/>
            <w:vAlign w:val="bottom"/>
            <w:vMerge w:val="restart"/>
          </w:tcPr>
          <w:p>
            <w:pPr>
              <w:ind w:left="60"/>
              <w:spacing w:after="0"/>
              <w:rPr>
                <w:sz w:val="20"/>
                <w:szCs w:val="20"/>
                <w:color w:val="auto"/>
              </w:rPr>
            </w:pPr>
            <w:r>
              <w:rPr>
                <w:rFonts w:ascii="Arial" w:cs="Arial" w:eastAsia="Arial" w:hAnsi="Arial"/>
                <w:sz w:val="14"/>
                <w:szCs w:val="14"/>
                <w:color w:val="auto"/>
              </w:rPr>
              <w:t>based awards)</w:t>
            </w:r>
          </w:p>
        </w:tc>
        <w:tc>
          <w:tcPr>
            <w:tcW w:w="12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21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8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3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vMerge w:val="restart"/>
          </w:tcPr>
          <w:p>
            <w:pPr>
              <w:jc w:val="right"/>
              <w:ind w:right="24"/>
              <w:spacing w:after="0"/>
              <w:rPr>
                <w:sz w:val="20"/>
                <w:szCs w:val="20"/>
                <w:color w:val="auto"/>
              </w:rPr>
            </w:pPr>
            <w:r>
              <w:rPr>
                <w:rFonts w:ascii="Arial" w:cs="Arial" w:eastAsia="Arial" w:hAnsi="Arial"/>
                <w:sz w:val="7"/>
                <w:szCs w:val="7"/>
                <w:color w:val="auto"/>
                <w:w w:val="79"/>
              </w:rPr>
              <w:t>•</w:t>
            </w:r>
          </w:p>
        </w:tc>
        <w:tc>
          <w:tcPr>
            <w:tcW w:w="2180" w:type="dxa"/>
            <w:vAlign w:val="bottom"/>
            <w:vMerge w:val="restart"/>
          </w:tcPr>
          <w:p>
            <w:pPr>
              <w:ind w:left="40"/>
              <w:spacing w:after="0"/>
              <w:rPr>
                <w:sz w:val="20"/>
                <w:szCs w:val="20"/>
                <w:color w:val="auto"/>
              </w:rPr>
            </w:pPr>
            <w:r>
              <w:rPr>
                <w:rFonts w:ascii="Arial" w:cs="Arial" w:eastAsia="Arial" w:hAnsi="Arial"/>
                <w:sz w:val="14"/>
                <w:szCs w:val="14"/>
                <w:color w:val="auto"/>
              </w:rPr>
              <w:t>Pro-rated target value of the</w:t>
            </w: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8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4360" w:type="dxa"/>
            <w:vAlign w:val="bottom"/>
            <w:vMerge w:val="restart"/>
          </w:tcPr>
          <w:p>
            <w:pPr>
              <w:ind w:left="60"/>
              <w:spacing w:after="0"/>
              <w:rPr>
                <w:sz w:val="20"/>
                <w:szCs w:val="20"/>
                <w:color w:val="auto"/>
              </w:rPr>
            </w:pPr>
            <w:r>
              <w:rPr>
                <w:rFonts w:ascii="Arial" w:cs="Arial" w:eastAsia="Arial" w:hAnsi="Arial"/>
                <w:sz w:val="14"/>
                <w:szCs w:val="14"/>
                <w:color w:val="auto"/>
              </w:rPr>
              <w:t>Class O LTIP unit/option exercise period extended to second</w:t>
            </w:r>
          </w:p>
        </w:tc>
        <w:tc>
          <w:tcPr>
            <w:tcW w:w="1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1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8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43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80" w:type="dxa"/>
            <w:vAlign w:val="bottom"/>
            <w:vMerge w:val="restart"/>
          </w:tcPr>
          <w:p>
            <w:pPr>
              <w:ind w:left="40"/>
              <w:spacing w:after="0"/>
              <w:rPr>
                <w:sz w:val="20"/>
                <w:szCs w:val="20"/>
                <w:color w:val="auto"/>
              </w:rPr>
            </w:pPr>
            <w:r>
              <w:rPr>
                <w:rFonts w:ascii="Arial" w:cs="Arial" w:eastAsia="Arial" w:hAnsi="Arial"/>
                <w:sz w:val="14"/>
                <w:szCs w:val="14"/>
                <w:color w:val="auto"/>
              </w:rPr>
              <w:t>annual time-based equity awards</w:t>
            </w: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60" w:type="dxa"/>
            <w:vAlign w:val="bottom"/>
            <w:vMerge w:val="restart"/>
          </w:tcPr>
          <w:p>
            <w:pPr>
              <w:ind w:left="60"/>
              <w:spacing w:after="0"/>
              <w:rPr>
                <w:sz w:val="20"/>
                <w:szCs w:val="20"/>
                <w:color w:val="auto"/>
              </w:rPr>
            </w:pPr>
            <w:r>
              <w:rPr>
                <w:rFonts w:ascii="Arial" w:cs="Arial" w:eastAsia="Arial" w:hAnsi="Arial"/>
                <w:sz w:val="14"/>
                <w:szCs w:val="14"/>
                <w:color w:val="auto"/>
              </w:rPr>
              <w:t>January 1st following termination</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8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80" w:type="dxa"/>
            <w:vAlign w:val="bottom"/>
            <w:vMerge w:val="restart"/>
          </w:tcPr>
          <w:p>
            <w:pPr>
              <w:ind w:left="40"/>
              <w:spacing w:after="0"/>
              <w:rPr>
                <w:sz w:val="20"/>
                <w:szCs w:val="20"/>
                <w:color w:val="auto"/>
              </w:rPr>
            </w:pPr>
            <w:r>
              <w:rPr>
                <w:rFonts w:ascii="Arial" w:cs="Arial" w:eastAsia="Arial" w:hAnsi="Arial"/>
                <w:sz w:val="14"/>
                <w:szCs w:val="14"/>
                <w:color w:val="auto"/>
              </w:rPr>
              <w:t>(upon termination prior to final</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8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4360" w:type="dxa"/>
            <w:vAlign w:val="bottom"/>
            <w:vMerge w:val="restart"/>
          </w:tcPr>
          <w:p>
            <w:pPr>
              <w:ind w:left="60"/>
              <w:spacing w:after="0"/>
              <w:rPr>
                <w:sz w:val="20"/>
                <w:szCs w:val="20"/>
                <w:color w:val="auto"/>
              </w:rPr>
            </w:pPr>
            <w:r>
              <w:rPr>
                <w:rFonts w:ascii="Arial" w:cs="Arial" w:eastAsia="Arial" w:hAnsi="Arial"/>
                <w:sz w:val="14"/>
                <w:szCs w:val="14"/>
                <w:color w:val="auto"/>
              </w:rPr>
              <w:t>Payments/benefits to Mr. Holliday are reduced by life insurance</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8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4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tcPr>
          <w:p>
            <w:pPr>
              <w:ind w:left="40"/>
              <w:spacing w:after="0" w:line="145" w:lineRule="exact"/>
              <w:rPr>
                <w:sz w:val="20"/>
                <w:szCs w:val="20"/>
                <w:color w:val="auto"/>
              </w:rPr>
            </w:pPr>
            <w:r>
              <w:rPr>
                <w:rFonts w:ascii="Arial" w:cs="Arial" w:eastAsia="Arial" w:hAnsi="Arial"/>
                <w:sz w:val="14"/>
                <w:szCs w:val="14"/>
                <w:color w:val="auto"/>
              </w:rPr>
              <w:t>annual time-based grant)</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60" w:type="dxa"/>
            <w:vAlign w:val="bottom"/>
          </w:tcPr>
          <w:p>
            <w:pPr>
              <w:ind w:left="60"/>
              <w:spacing w:after="0"/>
              <w:rPr>
                <w:sz w:val="20"/>
                <w:szCs w:val="20"/>
                <w:color w:val="auto"/>
              </w:rPr>
            </w:pPr>
            <w:r>
              <w:rPr>
                <w:rFonts w:ascii="Arial" w:cs="Arial" w:eastAsia="Arial" w:hAnsi="Arial"/>
                <w:sz w:val="14"/>
                <w:szCs w:val="14"/>
                <w:color w:val="auto"/>
              </w:rPr>
              <w:t>benefit</w:t>
            </w:r>
          </w:p>
        </w:tc>
        <w:tc>
          <w:tcPr>
            <w:tcW w:w="120" w:type="dxa"/>
            <w:vAlign w:val="bottom"/>
          </w:tcPr>
          <w:p>
            <w:pPr>
              <w:spacing w:after="0"/>
              <w:rPr>
                <w:sz w:val="16"/>
                <w:szCs w:val="16"/>
                <w:color w:val="auto"/>
              </w:rPr>
            </w:pPr>
          </w:p>
        </w:tc>
        <w:tc>
          <w:tcPr>
            <w:tcW w:w="100" w:type="dxa"/>
            <w:vAlign w:val="bottom"/>
            <w:vMerge w:val="restart"/>
          </w:tcPr>
          <w:p>
            <w:pPr>
              <w:jc w:val="right"/>
              <w:ind w:right="24"/>
              <w:spacing w:after="0"/>
              <w:rPr>
                <w:sz w:val="20"/>
                <w:szCs w:val="20"/>
                <w:color w:val="auto"/>
              </w:rPr>
            </w:pPr>
            <w:r>
              <w:rPr>
                <w:rFonts w:ascii="Arial" w:cs="Arial" w:eastAsia="Arial" w:hAnsi="Arial"/>
                <w:sz w:val="7"/>
                <w:szCs w:val="7"/>
                <w:color w:val="auto"/>
                <w:w w:val="79"/>
              </w:rPr>
              <w:t>•</w:t>
            </w:r>
          </w:p>
        </w:tc>
        <w:tc>
          <w:tcPr>
            <w:tcW w:w="2180" w:type="dxa"/>
            <w:vAlign w:val="bottom"/>
            <w:vMerge w:val="restart"/>
          </w:tcPr>
          <w:p>
            <w:pPr>
              <w:ind w:left="40"/>
              <w:spacing w:after="0"/>
              <w:rPr>
                <w:sz w:val="20"/>
                <w:szCs w:val="20"/>
                <w:color w:val="auto"/>
              </w:rPr>
            </w:pPr>
            <w:r>
              <w:rPr>
                <w:rFonts w:ascii="Arial" w:cs="Arial" w:eastAsia="Arial" w:hAnsi="Arial"/>
                <w:sz w:val="14"/>
                <w:szCs w:val="14"/>
                <w:color w:val="auto"/>
                <w:w w:val="99"/>
              </w:rPr>
              <w:t>Acceleration of all unvested equity</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8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4360" w:type="dxa"/>
            <w:vAlign w:val="bottom"/>
            <w:vMerge w:val="restart"/>
          </w:tcPr>
          <w:p>
            <w:pPr>
              <w:ind w:left="60"/>
              <w:spacing w:after="0"/>
              <w:rPr>
                <w:sz w:val="20"/>
                <w:szCs w:val="20"/>
                <w:color w:val="auto"/>
              </w:rPr>
            </w:pPr>
            <w:r>
              <w:rPr>
                <w:rFonts w:ascii="Arial" w:cs="Arial" w:eastAsia="Arial" w:hAnsi="Arial"/>
                <w:sz w:val="14"/>
                <w:szCs w:val="14"/>
                <w:b w:val="1"/>
                <w:bCs w:val="1"/>
                <w:i w:val="1"/>
                <w:iCs w:val="1"/>
                <w:color w:val="auto"/>
              </w:rPr>
              <w:t>(If Disability: 36 months of benefit continuation/payments)</w:t>
            </w:r>
            <w:r>
              <w:rPr>
                <w:rFonts w:ascii="Arial" w:cs="Arial" w:eastAsia="Arial" w:hAnsi="Arial"/>
                <w:sz w:val="14"/>
                <w:szCs w:val="14"/>
                <w:color w:val="auto"/>
              </w:rPr>
              <w:t>​</w:t>
            </w:r>
          </w:p>
        </w:tc>
        <w:tc>
          <w:tcPr>
            <w:tcW w:w="12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218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Pr>
          <w:p>
            <w:pPr>
              <w:ind w:left="40"/>
              <w:spacing w:after="0"/>
              <w:rPr>
                <w:sz w:val="20"/>
                <w:szCs w:val="20"/>
                <w:color w:val="auto"/>
              </w:rPr>
            </w:pPr>
            <w:r>
              <w:rPr>
                <w:rFonts w:ascii="Arial" w:cs="Arial" w:eastAsia="Arial" w:hAnsi="Arial"/>
                <w:sz w:val="14"/>
                <w:szCs w:val="14"/>
                <w:color w:val="auto"/>
              </w:rPr>
              <w:t>awards (other than performance-</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ind w:left="40"/>
              <w:spacing w:after="0"/>
              <w:rPr>
                <w:sz w:val="20"/>
                <w:szCs w:val="20"/>
                <w:color w:val="auto"/>
              </w:rPr>
            </w:pPr>
            <w:r>
              <w:rPr>
                <w:rFonts w:ascii="Arial" w:cs="Arial" w:eastAsia="Arial" w:hAnsi="Arial"/>
                <w:sz w:val="14"/>
                <w:szCs w:val="14"/>
                <w:color w:val="auto"/>
              </w:rPr>
              <w:t>based awards)</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jc w:val="right"/>
              <w:ind w:right="24"/>
              <w:spacing w:after="0"/>
              <w:rPr>
                <w:sz w:val="20"/>
                <w:szCs w:val="20"/>
                <w:color w:val="auto"/>
              </w:rPr>
            </w:pPr>
            <w:r>
              <w:rPr>
                <w:rFonts w:ascii="Arial" w:cs="Arial" w:eastAsia="Arial" w:hAnsi="Arial"/>
                <w:sz w:val="7"/>
                <w:szCs w:val="7"/>
                <w:color w:val="auto"/>
                <w:w w:val="79"/>
              </w:rPr>
              <w:t>•</w:t>
            </w:r>
          </w:p>
        </w:tc>
        <w:tc>
          <w:tcPr>
            <w:tcW w:w="2180" w:type="dxa"/>
            <w:vAlign w:val="bottom"/>
          </w:tcPr>
          <w:p>
            <w:pPr>
              <w:ind w:left="40"/>
              <w:spacing w:after="0"/>
              <w:rPr>
                <w:sz w:val="20"/>
                <w:szCs w:val="20"/>
                <w:color w:val="auto"/>
              </w:rPr>
            </w:pPr>
            <w:r>
              <w:rPr>
                <w:rFonts w:ascii="Arial" w:cs="Arial" w:eastAsia="Arial" w:hAnsi="Arial"/>
                <w:sz w:val="14"/>
                <w:szCs w:val="14"/>
                <w:color w:val="auto"/>
              </w:rPr>
              <w:t>Class O LTIP unit/ option exercise</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Pr>
          <w:p>
            <w:pPr>
              <w:ind w:left="40"/>
              <w:spacing w:after="0"/>
              <w:rPr>
                <w:sz w:val="20"/>
                <w:szCs w:val="20"/>
                <w:color w:val="auto"/>
              </w:rPr>
            </w:pPr>
            <w:r>
              <w:rPr>
                <w:rFonts w:ascii="Arial" w:cs="Arial" w:eastAsia="Arial" w:hAnsi="Arial"/>
                <w:sz w:val="14"/>
                <w:szCs w:val="14"/>
                <w:color w:val="auto"/>
              </w:rPr>
              <w:t>period extended to second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ind w:left="40"/>
              <w:spacing w:after="0"/>
              <w:rPr>
                <w:sz w:val="20"/>
                <w:szCs w:val="20"/>
                <w:color w:val="auto"/>
              </w:rPr>
            </w:pPr>
            <w:r>
              <w:rPr>
                <w:rFonts w:ascii="Arial" w:cs="Arial" w:eastAsia="Arial" w:hAnsi="Arial"/>
                <w:sz w:val="14"/>
                <w:szCs w:val="14"/>
                <w:color w:val="auto"/>
              </w:rPr>
              <w:t>January 1st following termination</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jc w:val="right"/>
              <w:ind w:right="24"/>
              <w:spacing w:after="0"/>
              <w:rPr>
                <w:sz w:val="20"/>
                <w:szCs w:val="20"/>
                <w:color w:val="auto"/>
              </w:rPr>
            </w:pPr>
            <w:r>
              <w:rPr>
                <w:rFonts w:ascii="Arial" w:cs="Arial" w:eastAsia="Arial" w:hAnsi="Arial"/>
                <w:sz w:val="7"/>
                <w:szCs w:val="7"/>
                <w:color w:val="auto"/>
                <w:w w:val="79"/>
              </w:rPr>
              <w:t>•</w:t>
            </w:r>
          </w:p>
        </w:tc>
        <w:tc>
          <w:tcPr>
            <w:tcW w:w="21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(If Disability: 36 months of</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benefit continuation/payments)</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820" w:type="dxa"/>
            <w:vAlign w:val="bottom"/>
          </w:tcPr>
          <w:p>
            <w:pPr>
              <w:spacing w:after="0"/>
              <w:rPr>
                <w:sz w:val="3"/>
                <w:szCs w:val="3"/>
                <w:color w:val="auto"/>
              </w:rPr>
            </w:pPr>
          </w:p>
        </w:tc>
        <w:tc>
          <w:tcPr>
            <w:tcW w:w="1220" w:type="dxa"/>
            <w:vAlign w:val="bottom"/>
            <w:tcBorders>
              <w:bottom w:val="single" w:sz="8" w:color="4B5088"/>
            </w:tcBorders>
          </w:tcPr>
          <w:p>
            <w:pPr>
              <w:spacing w:after="0"/>
              <w:rPr>
                <w:sz w:val="3"/>
                <w:szCs w:val="3"/>
                <w:color w:val="auto"/>
              </w:rPr>
            </w:pPr>
          </w:p>
        </w:tc>
        <w:tc>
          <w:tcPr>
            <w:tcW w:w="880" w:type="dxa"/>
            <w:vAlign w:val="bottom"/>
            <w:tcBorders>
              <w:bottom w:val="single" w:sz="8" w:color="4B5088"/>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4B5088"/>
            </w:tcBorders>
          </w:tcPr>
          <w:p>
            <w:pPr>
              <w:spacing w:after="0"/>
              <w:rPr>
                <w:sz w:val="3"/>
                <w:szCs w:val="3"/>
                <w:color w:val="auto"/>
              </w:rPr>
            </w:pPr>
          </w:p>
        </w:tc>
        <w:tc>
          <w:tcPr>
            <w:tcW w:w="4360" w:type="dxa"/>
            <w:vAlign w:val="bottom"/>
            <w:tcBorders>
              <w:bottom w:val="single" w:sz="8" w:color="4B5088"/>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4B5088"/>
            </w:tcBorders>
          </w:tcPr>
          <w:p>
            <w:pPr>
              <w:spacing w:after="0"/>
              <w:rPr>
                <w:sz w:val="3"/>
                <w:szCs w:val="3"/>
                <w:color w:val="auto"/>
              </w:rPr>
            </w:pPr>
          </w:p>
        </w:tc>
        <w:tc>
          <w:tcPr>
            <w:tcW w:w="2180" w:type="dxa"/>
            <w:vAlign w:val="bottom"/>
            <w:tcBorders>
              <w:bottom w:val="single" w:sz="8" w:color="4B5088"/>
            </w:tcBorders>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43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1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4751705</wp:posOffset>
            </wp:positionH>
            <wp:positionV relativeFrom="paragraph">
              <wp:posOffset>-2622550</wp:posOffset>
            </wp:positionV>
            <wp:extent cx="6858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type w:val="continuous"/>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5100" w:type="dxa"/>
            <w:vAlign w:val="bottom"/>
          </w:tcPr>
          <w:p>
            <w:pPr>
              <w:spacing w:after="0"/>
              <w:rPr>
                <w:sz w:val="20"/>
                <w:szCs w:val="20"/>
                <w:color w:val="auto"/>
              </w:rPr>
            </w:pPr>
            <w:r>
              <w:rPr>
                <w:rFonts w:ascii="Arial" w:cs="Arial" w:eastAsia="Arial" w:hAnsi="Arial"/>
                <w:sz w:val="14"/>
                <w:szCs w:val="14"/>
                <w:b w:val="1"/>
                <w:bCs w:val="1"/>
                <w:color w:val="auto"/>
              </w:rPr>
              <w:t>​</w:t>
            </w:r>
          </w:p>
        </w:tc>
        <w:tc>
          <w:tcPr>
            <w:tcW w:w="3480" w:type="dxa"/>
            <w:vAlign w:val="bottom"/>
          </w:tcPr>
          <w:p>
            <w:pPr>
              <w:ind w:left="3100"/>
              <w:spacing w:after="0"/>
              <w:rPr>
                <w:sz w:val="20"/>
                <w:szCs w:val="20"/>
                <w:color w:val="auto"/>
              </w:rPr>
            </w:pPr>
            <w:r>
              <w:rPr>
                <w:rFonts w:ascii="Arial" w:cs="Arial" w:eastAsia="Arial" w:hAnsi="Arial"/>
                <w:sz w:val="14"/>
                <w:szCs w:val="14"/>
                <w:b w:val="1"/>
                <w:bCs w:val="1"/>
                <w:color w:val="auto"/>
              </w:rPr>
              <w:t>​ ​</w:t>
            </w:r>
          </w:p>
        </w:tc>
        <w:tc>
          <w:tcPr>
            <w:tcW w:w="480" w:type="dxa"/>
            <w:vAlign w:val="bottom"/>
            <w:vMerge w:val="restart"/>
          </w:tcPr>
          <w:p>
            <w:pPr>
              <w:jc w:val="right"/>
              <w:spacing w:after="0"/>
              <w:rPr>
                <w:sz w:val="20"/>
                <w:szCs w:val="20"/>
                <w:color w:val="auto"/>
              </w:rPr>
            </w:pPr>
            <w:r>
              <w:rPr>
                <w:rFonts w:ascii="Arial" w:cs="Arial" w:eastAsia="Arial" w:hAnsi="Arial"/>
                <w:sz w:val="22"/>
                <w:szCs w:val="22"/>
                <w:b w:val="1"/>
                <w:bCs w:val="1"/>
                <w:color w:val="1F2668"/>
              </w:rPr>
              <w:t>73</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5100" w:type="dxa"/>
            <w:vAlign w:val="bottom"/>
          </w:tcPr>
          <w:p>
            <w:pPr>
              <w:spacing w:after="0"/>
              <w:rPr>
                <w:sz w:val="20"/>
                <w:szCs w:val="20"/>
                <w:color w:val="auto"/>
              </w:rPr>
            </w:pPr>
            <w:r>
              <w:rPr>
                <w:rFonts w:ascii="Arial" w:cs="Arial" w:eastAsia="Arial" w:hAnsi="Arial"/>
                <w:sz w:val="14"/>
                <w:szCs w:val="14"/>
                <w:b w:val="1"/>
                <w:bCs w:val="1"/>
                <w:color w:val="auto"/>
              </w:rPr>
              <w:t>EXECUTIVE COMPENSATION</w:t>
            </w:r>
          </w:p>
        </w:tc>
        <w:tc>
          <w:tcPr>
            <w:tcW w:w="348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ectPr>
          <w:pgSz w:w="11900" w:h="16838" w:orient="portrait"/>
          <w:cols w:equalWidth="0" w:num="1">
            <w:col w:w="9920"/>
          </w:cols>
          <w:pgMar w:left="580" w:top="97" w:right="1399" w:bottom="1440" w:gutter="0" w:footer="0" w:header="0"/>
        </w:sectPr>
      </w:pPr>
    </w:p>
    <w:p>
      <w:pPr>
        <w:spacing w:after="0" w:line="195" w:lineRule="exact"/>
        <w:rPr>
          <w:sz w:val="20"/>
          <w:szCs w:val="20"/>
          <w:color w:val="auto"/>
        </w:rPr>
      </w:pPr>
    </w:p>
    <w:p>
      <w:pPr>
        <w:ind w:left="820"/>
        <w:spacing w:after="0"/>
        <w:rPr>
          <w:sz w:val="20"/>
          <w:szCs w:val="20"/>
          <w:color w:val="auto"/>
        </w:rPr>
      </w:pPr>
      <w:r>
        <w:rPr>
          <w:rFonts w:ascii="Arial" w:cs="Arial" w:eastAsia="Arial" w:hAnsi="Arial"/>
          <w:sz w:val="14"/>
          <w:szCs w:val="14"/>
          <w:color w:val="1F2668"/>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15240</wp:posOffset>
            </wp:positionV>
            <wp:extent cx="133731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49" w:lineRule="exact"/>
        <w:rPr>
          <w:sz w:val="20"/>
          <w:szCs w:val="20"/>
          <w:color w:val="auto"/>
        </w:rPr>
      </w:pPr>
    </w:p>
    <w:p>
      <w:pPr>
        <w:ind w:left="820"/>
        <w:spacing w:after="0" w:line="294" w:lineRule="auto"/>
        <w:rPr>
          <w:sz w:val="20"/>
          <w:szCs w:val="20"/>
          <w:color w:val="auto"/>
        </w:rPr>
      </w:pPr>
      <w:r>
        <w:rPr>
          <w:rFonts w:ascii="Arial" w:cs="Arial" w:eastAsia="Arial" w:hAnsi="Arial"/>
          <w:sz w:val="14"/>
          <w:szCs w:val="14"/>
          <w:b w:val="1"/>
          <w:bCs w:val="1"/>
          <w:color w:val="1F2668"/>
        </w:rPr>
        <w:t>Post-Change-in-Control Compensation</w:t>
      </w:r>
    </w:p>
    <w:p>
      <w:pPr>
        <w:spacing w:after="0" w:line="200" w:lineRule="exact"/>
        <w:rPr>
          <w:sz w:val="20"/>
          <w:szCs w:val="20"/>
          <w:color w:val="auto"/>
        </w:rPr>
      </w:pPr>
    </w:p>
    <w:p>
      <w:pPr>
        <w:ind w:left="82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20"/>
        <w:spacing w:after="0"/>
        <w:rPr>
          <w:sz w:val="20"/>
          <w:szCs w:val="20"/>
          <w:color w:val="auto"/>
        </w:rPr>
      </w:pPr>
      <w:r>
        <w:rPr>
          <w:rFonts w:ascii="Arial" w:cs="Arial" w:eastAsia="Arial" w:hAnsi="Arial"/>
          <w:sz w:val="28"/>
          <w:szCs w:val="28"/>
          <w:color w:val="1F2668"/>
          <w:vertAlign w:val="superscript"/>
        </w:rPr>
        <w:t>​</w:t>
      </w:r>
      <w:r>
        <w:rPr>
          <w:rFonts w:ascii="Arial" w:cs="Arial" w:eastAsia="Arial" w:hAnsi="Arial"/>
          <w:sz w:val="14"/>
          <w:szCs w:val="14"/>
          <w:b w:val="1"/>
          <w:bCs w:val="1"/>
          <w:color w:val="1F2668"/>
        </w:rPr>
        <w:t>Restrictive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1558925</wp:posOffset>
            </wp:positionV>
            <wp:extent cx="133731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337310" cy="825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-198120</wp:posOffset>
            </wp:positionV>
            <wp:extent cx="133731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2300" w:val="left"/>
          <w:tab w:leader="none" w:pos="4620" w:val="left"/>
        </w:tabs>
        <w:rPr>
          <w:sz w:val="20"/>
          <w:szCs w:val="20"/>
          <w:color w:val="auto"/>
        </w:rPr>
      </w:pPr>
      <w:r>
        <w:rPr>
          <w:rFonts w:ascii="Arial" w:cs="Arial" w:eastAsia="Arial" w:hAnsi="Arial"/>
          <w:sz w:val="28"/>
          <w:szCs w:val="28"/>
          <w:color w:val="1F2668"/>
          <w:vertAlign w:val="subscript"/>
        </w:rPr>
        <w:t>​​</w:t>
      </w:r>
      <w:r>
        <w:rPr>
          <w:rFonts w:ascii="Arial" w:cs="Arial" w:eastAsia="Arial" w:hAnsi="Arial"/>
          <w:sz w:val="14"/>
          <w:szCs w:val="14"/>
          <w:color w:val="1F2668"/>
        </w:rPr>
        <w:t>Marc Holliday</w:t>
      </w:r>
      <w:r>
        <w:rPr>
          <w:sz w:val="20"/>
          <w:szCs w:val="20"/>
          <w:color w:val="auto"/>
        </w:rPr>
        <w:tab/>
      </w:r>
      <w:r>
        <w:rPr>
          <w:rFonts w:ascii="Arial" w:cs="Arial" w:eastAsia="Arial" w:hAnsi="Arial"/>
          <w:sz w:val="29"/>
          <w:szCs w:val="29"/>
          <w:color w:val="1F2668"/>
          <w:vertAlign w:val="subscript"/>
        </w:rPr>
        <w:t>​​</w:t>
      </w:r>
      <w:r>
        <w:rPr>
          <w:rFonts w:ascii="Arial" w:cs="Arial" w:eastAsia="Arial" w:hAnsi="Arial"/>
          <w:sz w:val="29"/>
          <w:szCs w:val="29"/>
          <w:color w:val="1F2668"/>
        </w:rPr>
        <w:t>Matthew J. DiLiberto</w:t>
      </w:r>
      <w:r>
        <w:rPr>
          <w:sz w:val="20"/>
          <w:szCs w:val="20"/>
          <w:color w:val="auto"/>
        </w:rPr>
        <w:tab/>
      </w:r>
      <w:r>
        <w:rPr>
          <w:rFonts w:ascii="Arial" w:cs="Arial" w:eastAsia="Arial" w:hAnsi="Arial"/>
          <w:sz w:val="15"/>
          <w:szCs w:val="15"/>
          <w:color w:val="1F2668"/>
          <w:vertAlign w:val="subscript"/>
        </w:rPr>
        <w:t>​​</w:t>
      </w:r>
      <w:r>
        <w:rPr>
          <w:rFonts w:ascii="Arial" w:cs="Arial" w:eastAsia="Arial" w:hAnsi="Arial"/>
          <w:sz w:val="15"/>
          <w:szCs w:val="15"/>
          <w:color w:val="1F2668"/>
        </w:rPr>
        <w:t>Andrew S.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20955</wp:posOffset>
            </wp:positionV>
            <wp:extent cx="4354830" cy="171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4354830" cy="17145"/>
                    </a:xfrm>
                    <a:prstGeom prst="rect">
                      <a:avLst/>
                    </a:prstGeom>
                    <a:noFill/>
                  </pic:spPr>
                </pic:pic>
              </a:graphicData>
            </a:graphic>
          </wp:anchor>
        </w:drawing>
      </w:r>
    </w:p>
    <w:p>
      <w:pPr>
        <w:spacing w:after="0" w:line="71" w:lineRule="exact"/>
        <w:rPr>
          <w:sz w:val="20"/>
          <w:szCs w:val="20"/>
          <w:color w:val="auto"/>
        </w:rPr>
      </w:pPr>
    </w:p>
    <w:p>
      <w:pPr>
        <w:ind w:left="120" w:right="120" w:hanging="118"/>
        <w:spacing w:after="0" w:line="188" w:lineRule="auto"/>
        <w:tabs>
          <w:tab w:leader="none" w:pos="120" w:val="left"/>
        </w:tabs>
        <w:numPr>
          <w:ilvl w:val="0"/>
          <w:numId w:val="94"/>
        </w:numPr>
        <w:rPr>
          <w:rFonts w:ascii="Arial" w:cs="Arial" w:eastAsia="Arial" w:hAnsi="Arial"/>
          <w:sz w:val="29"/>
          <w:szCs w:val="29"/>
          <w:color w:val="auto"/>
          <w:vertAlign w:val="superscript"/>
        </w:rPr>
      </w:pPr>
      <w:r>
        <w:rPr>
          <w:rFonts w:ascii="Arial" w:cs="Arial" w:eastAsia="Arial" w:hAnsi="Arial"/>
          <w:sz w:val="14"/>
          <w:szCs w:val="14"/>
          <w:color w:val="auto"/>
        </w:rPr>
        <w:t>Upon a Change-in-Control, for pro-rata payments, and while employed for periods following a Change-in-Control, in lieu of the base salary, annual bonus, and the equity awards described above, each executive will be entitled to the following:</w:t>
      </w:r>
    </w:p>
    <w:p>
      <w:pPr>
        <w:spacing w:after="0" w:line="80" w:lineRule="exact"/>
        <w:rPr>
          <w:rFonts w:ascii="Arial" w:cs="Arial" w:eastAsia="Arial" w:hAnsi="Arial"/>
          <w:sz w:val="29"/>
          <w:szCs w:val="29"/>
          <w:color w:val="auto"/>
          <w:vertAlign w:val="superscript"/>
        </w:rPr>
      </w:pPr>
    </w:p>
    <w:p>
      <w:pPr>
        <w:ind w:left="120" w:hanging="118"/>
        <w:spacing w:after="0"/>
        <w:tabs>
          <w:tab w:leader="none" w:pos="1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 Pro-rata bonus based on average annual bonus for ​​• Pro-rata bonus for partial year prior to Change-in-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-121285</wp:posOffset>
            </wp:positionV>
            <wp:extent cx="435483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435483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3380" w:type="dxa"/>
            <w:vAlign w:val="bottom"/>
          </w:tcPr>
          <w:p>
            <w:pPr>
              <w:ind w:left="160"/>
              <w:spacing w:after="0"/>
              <w:rPr>
                <w:sz w:val="20"/>
                <w:szCs w:val="20"/>
                <w:color w:val="auto"/>
              </w:rPr>
            </w:pPr>
            <w:r>
              <w:rPr>
                <w:rFonts w:ascii="Arial" w:cs="Arial" w:eastAsia="Arial" w:hAnsi="Arial"/>
                <w:sz w:val="14"/>
                <w:szCs w:val="14"/>
                <w:color w:val="auto"/>
              </w:rPr>
              <w:t>prior two years and pro-rata portion of target value</w:t>
            </w:r>
          </w:p>
        </w:tc>
        <w:tc>
          <w:tcPr>
            <w:tcW w:w="120" w:type="dxa"/>
            <w:vAlign w:val="bottom"/>
          </w:tcPr>
          <w:p>
            <w:pPr>
              <w:spacing w:after="0"/>
              <w:rPr>
                <w:sz w:val="14"/>
                <w:szCs w:val="14"/>
                <w:color w:val="auto"/>
              </w:rPr>
            </w:pPr>
          </w:p>
        </w:tc>
        <w:tc>
          <w:tcPr>
            <w:tcW w:w="3360" w:type="dxa"/>
            <w:vAlign w:val="bottom"/>
            <w:gridSpan w:val="3"/>
          </w:tcPr>
          <w:p>
            <w:pPr>
              <w:ind w:left="140"/>
              <w:spacing w:after="0"/>
              <w:rPr>
                <w:sz w:val="20"/>
                <w:szCs w:val="20"/>
                <w:color w:val="auto"/>
              </w:rPr>
            </w:pPr>
            <w:r>
              <w:rPr>
                <w:rFonts w:ascii="Arial" w:cs="Arial" w:eastAsia="Arial" w:hAnsi="Arial"/>
                <w:sz w:val="14"/>
                <w:szCs w:val="14"/>
                <w:color w:val="auto"/>
              </w:rPr>
              <w:t>Control based on average annual bonus for prior</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3380" w:type="dxa"/>
            <w:vAlign w:val="bottom"/>
          </w:tcPr>
          <w:p>
            <w:pPr>
              <w:ind w:left="160"/>
              <w:spacing w:after="0"/>
              <w:rPr>
                <w:sz w:val="20"/>
                <w:szCs w:val="20"/>
                <w:color w:val="auto"/>
              </w:rPr>
            </w:pPr>
            <w:r>
              <w:rPr>
                <w:rFonts w:ascii="Arial" w:cs="Arial" w:eastAsia="Arial" w:hAnsi="Arial"/>
                <w:sz w:val="14"/>
                <w:szCs w:val="14"/>
                <w:color w:val="auto"/>
              </w:rPr>
              <w:t>of annual time-based award for partial year prior to</w:t>
            </w:r>
          </w:p>
        </w:tc>
        <w:tc>
          <w:tcPr>
            <w:tcW w:w="120" w:type="dxa"/>
            <w:vAlign w:val="bottom"/>
          </w:tcPr>
          <w:p>
            <w:pPr>
              <w:spacing w:after="0"/>
              <w:rPr>
                <w:sz w:val="14"/>
                <w:szCs w:val="14"/>
                <w:color w:val="auto"/>
              </w:rPr>
            </w:pPr>
          </w:p>
        </w:tc>
        <w:tc>
          <w:tcPr>
            <w:tcW w:w="3360" w:type="dxa"/>
            <w:vAlign w:val="bottom"/>
            <w:gridSpan w:val="3"/>
          </w:tcPr>
          <w:p>
            <w:pPr>
              <w:ind w:left="140"/>
              <w:spacing w:after="0"/>
              <w:rPr>
                <w:sz w:val="20"/>
                <w:szCs w:val="20"/>
                <w:color w:val="auto"/>
              </w:rPr>
            </w:pPr>
            <w:r>
              <w:rPr>
                <w:rFonts w:ascii="Arial" w:cs="Arial" w:eastAsia="Arial" w:hAnsi="Arial"/>
                <w:sz w:val="14"/>
                <w:szCs w:val="14"/>
                <w:color w:val="auto"/>
              </w:rPr>
              <w:t>two years (Levine) or prior three years (DiLiberto)</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3380" w:type="dxa"/>
            <w:vAlign w:val="bottom"/>
          </w:tcPr>
          <w:p>
            <w:pPr>
              <w:ind w:left="160"/>
              <w:spacing w:after="0"/>
              <w:rPr>
                <w:sz w:val="20"/>
                <w:szCs w:val="20"/>
                <w:color w:val="auto"/>
              </w:rPr>
            </w:pPr>
            <w:r>
              <w:rPr>
                <w:rFonts w:ascii="Arial" w:cs="Arial" w:eastAsia="Arial" w:hAnsi="Arial"/>
                <w:sz w:val="14"/>
                <w:szCs w:val="14"/>
                <w:color w:val="auto"/>
              </w:rPr>
              <w:t>Change-in-Control</w:t>
            </w:r>
          </w:p>
        </w:tc>
        <w:tc>
          <w:tcPr>
            <w:tcW w:w="120" w:type="dxa"/>
            <w:vAlign w:val="bottom"/>
          </w:tcPr>
          <w:p>
            <w:pPr>
              <w:spacing w:after="0"/>
              <w:rPr>
                <w:sz w:val="16"/>
                <w:szCs w:val="16"/>
                <w:color w:val="auto"/>
              </w:rPr>
            </w:pPr>
          </w:p>
        </w:tc>
        <w:tc>
          <w:tcPr>
            <w:tcW w:w="3360" w:type="dxa"/>
            <w:vAlign w:val="bottom"/>
            <w:gridSpan w:val="3"/>
            <w:vMerge w:val="restart"/>
          </w:tcPr>
          <w:p>
            <w:pPr>
              <w:spacing w:after="0"/>
              <w:rPr>
                <w:sz w:val="20"/>
                <w:szCs w:val="20"/>
                <w:color w:val="auto"/>
              </w:rPr>
            </w:pPr>
            <w:r>
              <w:rPr>
                <w:rFonts w:ascii="Arial" w:cs="Arial" w:eastAsia="Arial" w:hAnsi="Arial"/>
                <w:sz w:val="14"/>
                <w:szCs w:val="14"/>
                <w:color w:val="auto"/>
              </w:rPr>
              <w:t>• Annual cash salary equal to the sum of prior base</w:t>
            </w:r>
          </w:p>
        </w:tc>
        <w:tc>
          <w:tcPr>
            <w:tcW w:w="0" w:type="dxa"/>
            <w:vAlign w:val="bottom"/>
          </w:tcPr>
          <w:p>
            <w:pPr>
              <w:spacing w:after="0"/>
              <w:rPr>
                <w:sz w:val="1"/>
                <w:szCs w:val="1"/>
                <w:color w:val="auto"/>
              </w:rPr>
            </w:pPr>
          </w:p>
        </w:tc>
      </w:tr>
      <w:tr>
        <w:trPr>
          <w:trHeight w:val="39"/>
        </w:trPr>
        <w:tc>
          <w:tcPr>
            <w:tcW w:w="100" w:type="dxa"/>
            <w:vAlign w:val="bottom"/>
          </w:tcPr>
          <w:p>
            <w:pPr>
              <w:spacing w:after="0"/>
              <w:rPr>
                <w:sz w:val="3"/>
                <w:szCs w:val="3"/>
                <w:color w:val="auto"/>
              </w:rPr>
            </w:pPr>
          </w:p>
        </w:tc>
        <w:tc>
          <w:tcPr>
            <w:tcW w:w="3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3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100" w:type="dxa"/>
            <w:vAlign w:val="bottom"/>
          </w:tcPr>
          <w:p>
            <w:pPr>
              <w:spacing w:after="0"/>
              <w:rPr>
                <w:sz w:val="14"/>
                <w:szCs w:val="14"/>
                <w:color w:val="auto"/>
              </w:rPr>
            </w:pPr>
          </w:p>
        </w:tc>
        <w:tc>
          <w:tcPr>
            <w:tcW w:w="3380" w:type="dxa"/>
            <w:vAlign w:val="bottom"/>
          </w:tcPr>
          <w:p>
            <w:pPr>
              <w:ind w:left="20"/>
              <w:spacing w:after="0"/>
              <w:rPr>
                <w:sz w:val="20"/>
                <w:szCs w:val="20"/>
                <w:color w:val="auto"/>
              </w:rPr>
            </w:pPr>
            <w:r>
              <w:rPr>
                <w:rFonts w:ascii="Arial" w:cs="Arial" w:eastAsia="Arial" w:hAnsi="Arial"/>
                <w:sz w:val="14"/>
                <w:szCs w:val="14"/>
                <w:color w:val="auto"/>
              </w:rPr>
              <w:t>• Annual cash salary equal to the sum of prior base</w:t>
            </w:r>
          </w:p>
        </w:tc>
        <w:tc>
          <w:tcPr>
            <w:tcW w:w="120" w:type="dxa"/>
            <w:vAlign w:val="bottom"/>
          </w:tcPr>
          <w:p>
            <w:pPr>
              <w:spacing w:after="0"/>
              <w:rPr>
                <w:sz w:val="14"/>
                <w:szCs w:val="14"/>
                <w:color w:val="auto"/>
              </w:rPr>
            </w:pPr>
          </w:p>
        </w:tc>
        <w:tc>
          <w:tcPr>
            <w:tcW w:w="3360" w:type="dxa"/>
            <w:vAlign w:val="bottom"/>
            <w:gridSpan w:val="3"/>
          </w:tcPr>
          <w:p>
            <w:pPr>
              <w:ind w:left="140"/>
              <w:spacing w:after="0"/>
              <w:rPr>
                <w:sz w:val="20"/>
                <w:szCs w:val="20"/>
                <w:color w:val="auto"/>
              </w:rPr>
            </w:pPr>
            <w:r>
              <w:rPr>
                <w:rFonts w:ascii="Arial" w:cs="Arial" w:eastAsia="Arial" w:hAnsi="Arial"/>
                <w:sz w:val="14"/>
                <w:szCs w:val="14"/>
                <w:color w:val="auto"/>
              </w:rPr>
              <w:t>salary, prior year cash bonus (or average of three</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3380" w:type="dxa"/>
            <w:vAlign w:val="bottom"/>
          </w:tcPr>
          <w:p>
            <w:pPr>
              <w:ind w:left="160"/>
              <w:spacing w:after="0"/>
              <w:rPr>
                <w:sz w:val="20"/>
                <w:szCs w:val="20"/>
                <w:color w:val="auto"/>
              </w:rPr>
            </w:pPr>
            <w:r>
              <w:rPr>
                <w:rFonts w:ascii="Arial" w:cs="Arial" w:eastAsia="Arial" w:hAnsi="Arial"/>
                <w:sz w:val="14"/>
                <w:szCs w:val="14"/>
                <w:color w:val="auto"/>
              </w:rPr>
              <w:t>salary, prior year cash bonus and target value of</w:t>
            </w:r>
          </w:p>
        </w:tc>
        <w:tc>
          <w:tcPr>
            <w:tcW w:w="120" w:type="dxa"/>
            <w:vAlign w:val="bottom"/>
          </w:tcPr>
          <w:p>
            <w:pPr>
              <w:spacing w:after="0"/>
              <w:rPr>
                <w:sz w:val="14"/>
                <w:szCs w:val="14"/>
                <w:color w:val="auto"/>
              </w:rPr>
            </w:pPr>
          </w:p>
        </w:tc>
        <w:tc>
          <w:tcPr>
            <w:tcW w:w="3360" w:type="dxa"/>
            <w:vAlign w:val="bottom"/>
            <w:gridSpan w:val="3"/>
          </w:tcPr>
          <w:p>
            <w:pPr>
              <w:ind w:left="140"/>
              <w:spacing w:after="0"/>
              <w:rPr>
                <w:sz w:val="20"/>
                <w:szCs w:val="20"/>
                <w:color w:val="auto"/>
              </w:rPr>
            </w:pPr>
            <w:r>
              <w:rPr>
                <w:rFonts w:ascii="Arial" w:cs="Arial" w:eastAsia="Arial" w:hAnsi="Arial"/>
                <w:sz w:val="14"/>
                <w:szCs w:val="14"/>
                <w:color w:val="auto"/>
              </w:rPr>
              <w:t>prior fiscal year cash bonuses, for DiLiberto) and,</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3380" w:type="dxa"/>
            <w:vAlign w:val="bottom"/>
          </w:tcPr>
          <w:p>
            <w:pPr>
              <w:ind w:left="160"/>
              <w:spacing w:after="0"/>
              <w:rPr>
                <w:sz w:val="20"/>
                <w:szCs w:val="20"/>
                <w:color w:val="auto"/>
              </w:rPr>
            </w:pPr>
            <w:r>
              <w:rPr>
                <w:rFonts w:ascii="Arial" w:cs="Arial" w:eastAsia="Arial" w:hAnsi="Arial"/>
                <w:sz w:val="14"/>
                <w:szCs w:val="14"/>
                <w:color w:val="auto"/>
              </w:rPr>
              <w:t>annual time-based and performance-based equity</w:t>
            </w:r>
          </w:p>
        </w:tc>
        <w:tc>
          <w:tcPr>
            <w:tcW w:w="120" w:type="dxa"/>
            <w:vAlign w:val="bottom"/>
          </w:tcPr>
          <w:p>
            <w:pPr>
              <w:spacing w:after="0"/>
              <w:rPr>
                <w:sz w:val="14"/>
                <w:szCs w:val="14"/>
                <w:color w:val="auto"/>
              </w:rPr>
            </w:pPr>
          </w:p>
        </w:tc>
        <w:tc>
          <w:tcPr>
            <w:tcW w:w="3360" w:type="dxa"/>
            <w:vAlign w:val="bottom"/>
            <w:gridSpan w:val="3"/>
          </w:tcPr>
          <w:p>
            <w:pPr>
              <w:ind w:left="140"/>
              <w:spacing w:after="0"/>
              <w:rPr>
                <w:sz w:val="20"/>
                <w:szCs w:val="20"/>
                <w:color w:val="auto"/>
              </w:rPr>
            </w:pPr>
            <w:r>
              <w:rPr>
                <w:rFonts w:ascii="Arial" w:cs="Arial" w:eastAsia="Arial" w:hAnsi="Arial"/>
                <w:sz w:val="14"/>
                <w:szCs w:val="14"/>
                <w:color w:val="auto"/>
              </w:rPr>
              <w:t>beginning in the year following the most recent</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3380" w:type="dxa"/>
            <w:vAlign w:val="bottom"/>
          </w:tcPr>
          <w:p>
            <w:pPr>
              <w:ind w:left="160"/>
              <w:spacing w:after="0"/>
              <w:rPr>
                <w:sz w:val="20"/>
                <w:szCs w:val="20"/>
                <w:color w:val="auto"/>
              </w:rPr>
            </w:pPr>
            <w:r>
              <w:rPr>
                <w:rFonts w:ascii="Arial" w:cs="Arial" w:eastAsia="Arial" w:hAnsi="Arial"/>
                <w:sz w:val="14"/>
                <w:szCs w:val="14"/>
                <w:color w:val="auto"/>
              </w:rPr>
              <w:t>awards</w:t>
            </w:r>
          </w:p>
        </w:tc>
        <w:tc>
          <w:tcPr>
            <w:tcW w:w="120" w:type="dxa"/>
            <w:vAlign w:val="bottom"/>
          </w:tcPr>
          <w:p>
            <w:pPr>
              <w:spacing w:after="0"/>
              <w:rPr>
                <w:sz w:val="14"/>
                <w:szCs w:val="14"/>
                <w:color w:val="auto"/>
              </w:rPr>
            </w:pPr>
          </w:p>
        </w:tc>
        <w:tc>
          <w:tcPr>
            <w:tcW w:w="3360" w:type="dxa"/>
            <w:vAlign w:val="bottom"/>
            <w:gridSpan w:val="3"/>
          </w:tcPr>
          <w:p>
            <w:pPr>
              <w:ind w:left="140"/>
              <w:spacing w:after="0"/>
              <w:rPr>
                <w:sz w:val="20"/>
                <w:szCs w:val="20"/>
                <w:color w:val="auto"/>
              </w:rPr>
            </w:pPr>
            <w:r>
              <w:rPr>
                <w:rFonts w:ascii="Arial" w:cs="Arial" w:eastAsia="Arial" w:hAnsi="Arial"/>
                <w:sz w:val="14"/>
                <w:szCs w:val="14"/>
                <w:color w:val="auto"/>
              </w:rPr>
              <w:t>grant of a time-based equity award, target value of</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60" w:type="dxa"/>
            <w:vAlign w:val="bottom"/>
            <w:gridSpan w:val="3"/>
          </w:tcPr>
          <w:p>
            <w:pPr>
              <w:ind w:left="140"/>
              <w:spacing w:after="0"/>
              <w:rPr>
                <w:sz w:val="20"/>
                <w:szCs w:val="20"/>
                <w:color w:val="auto"/>
              </w:rPr>
            </w:pPr>
            <w:r>
              <w:rPr>
                <w:rFonts w:ascii="Arial" w:cs="Arial" w:eastAsia="Arial" w:hAnsi="Arial"/>
                <w:sz w:val="14"/>
                <w:szCs w:val="14"/>
                <w:color w:val="auto"/>
              </w:rPr>
              <w:t>annual time-based equity awards</w:t>
            </w:r>
          </w:p>
        </w:tc>
        <w:tc>
          <w:tcPr>
            <w:tcW w:w="0" w:type="dxa"/>
            <w:vAlign w:val="bottom"/>
          </w:tcPr>
          <w:p>
            <w:pPr>
              <w:spacing w:after="0"/>
              <w:rPr>
                <w:sz w:val="1"/>
                <w:szCs w:val="1"/>
                <w:color w:val="auto"/>
              </w:rPr>
            </w:pPr>
          </w:p>
        </w:tc>
      </w:tr>
      <w:tr>
        <w:trPr>
          <w:trHeight w:val="49"/>
        </w:trPr>
        <w:tc>
          <w:tcPr>
            <w:tcW w:w="100" w:type="dxa"/>
            <w:vAlign w:val="bottom"/>
            <w:vMerge w:val="restart"/>
          </w:tcPr>
          <w:p>
            <w:pPr>
              <w:jc w:val="right"/>
              <w:spacing w:after="0"/>
              <w:rPr>
                <w:sz w:val="20"/>
                <w:szCs w:val="20"/>
                <w:color w:val="auto"/>
              </w:rPr>
            </w:pPr>
            <w:r>
              <w:rPr>
                <w:rFonts w:ascii="Arial" w:cs="Arial" w:eastAsia="Arial" w:hAnsi="Arial"/>
                <w:sz w:val="14"/>
                <w:szCs w:val="14"/>
                <w:color w:val="1F2668"/>
              </w:rPr>
              <w:t>​​</w:t>
            </w:r>
          </w:p>
        </w:tc>
        <w:tc>
          <w:tcPr>
            <w:tcW w:w="3380" w:type="dxa"/>
            <w:vAlign w:val="bottom"/>
            <w:tcBorders>
              <w:bottom w:val="single" w:sz="8" w:color="4B5088"/>
            </w:tcBorders>
          </w:tcPr>
          <w:p>
            <w:pPr>
              <w:spacing w:after="0"/>
              <w:rPr>
                <w:sz w:val="4"/>
                <w:szCs w:val="4"/>
                <w:color w:val="auto"/>
              </w:rPr>
            </w:pPr>
          </w:p>
        </w:tc>
        <w:tc>
          <w:tcPr>
            <w:tcW w:w="120" w:type="dxa"/>
            <w:vAlign w:val="bottom"/>
            <w:tcBorders>
              <w:bottom w:val="single" w:sz="8" w:color="4B5088"/>
            </w:tcBorders>
          </w:tcPr>
          <w:p>
            <w:pPr>
              <w:spacing w:after="0"/>
              <w:rPr>
                <w:sz w:val="4"/>
                <w:szCs w:val="4"/>
                <w:color w:val="auto"/>
              </w:rPr>
            </w:pPr>
          </w:p>
        </w:tc>
        <w:tc>
          <w:tcPr>
            <w:tcW w:w="1620" w:type="dxa"/>
            <w:vAlign w:val="bottom"/>
            <w:tcBorders>
              <w:bottom w:val="single" w:sz="8" w:color="4B5088"/>
            </w:tcBorders>
          </w:tcPr>
          <w:p>
            <w:pPr>
              <w:spacing w:after="0"/>
              <w:rPr>
                <w:sz w:val="4"/>
                <w:szCs w:val="4"/>
                <w:color w:val="auto"/>
              </w:rPr>
            </w:pPr>
          </w:p>
        </w:tc>
        <w:tc>
          <w:tcPr>
            <w:tcW w:w="120" w:type="dxa"/>
            <w:vAlign w:val="bottom"/>
            <w:tcBorders>
              <w:bottom w:val="single" w:sz="8" w:color="4B5088"/>
            </w:tcBorders>
          </w:tcPr>
          <w:p>
            <w:pPr>
              <w:spacing w:after="0"/>
              <w:rPr>
                <w:sz w:val="4"/>
                <w:szCs w:val="4"/>
                <w:color w:val="auto"/>
              </w:rPr>
            </w:pPr>
          </w:p>
        </w:tc>
        <w:tc>
          <w:tcPr>
            <w:tcW w:w="1620" w:type="dxa"/>
            <w:vAlign w:val="bottom"/>
            <w:tcBorders>
              <w:bottom w:val="single" w:sz="8" w:color="4B5088"/>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vMerge w:val="continue"/>
          </w:tcPr>
          <w:p>
            <w:pPr>
              <w:spacing w:after="0"/>
              <w:rPr>
                <w:sz w:val="21"/>
                <w:szCs w:val="21"/>
                <w:color w:val="auto"/>
              </w:rPr>
            </w:pPr>
          </w:p>
        </w:tc>
        <w:tc>
          <w:tcPr>
            <w:tcW w:w="3380" w:type="dxa"/>
            <w:vAlign w:val="bottom"/>
          </w:tcPr>
          <w:p>
            <w:pPr>
              <w:ind w:left="20"/>
              <w:spacing w:after="0"/>
              <w:rPr>
                <w:sz w:val="20"/>
                <w:szCs w:val="20"/>
                <w:color w:val="auto"/>
              </w:rPr>
            </w:pPr>
            <w:r>
              <w:rPr>
                <w:rFonts w:ascii="Arial" w:cs="Arial" w:eastAsia="Arial" w:hAnsi="Arial"/>
                <w:sz w:val="14"/>
                <w:szCs w:val="14"/>
                <w:color w:val="auto"/>
              </w:rPr>
              <w:t>The executive agreed to the following covenants:</w:t>
            </w: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380" w:type="dxa"/>
            <w:vAlign w:val="bottom"/>
            <w:tcBorders>
              <w:bottom w:val="single" w:sz="8" w:color="4B5088"/>
            </w:tcBorders>
          </w:tcPr>
          <w:p>
            <w:pPr>
              <w:spacing w:after="0"/>
              <w:rPr>
                <w:sz w:val="4"/>
                <w:szCs w:val="4"/>
                <w:color w:val="auto"/>
              </w:rPr>
            </w:pPr>
          </w:p>
        </w:tc>
        <w:tc>
          <w:tcPr>
            <w:tcW w:w="1740" w:type="dxa"/>
            <w:vAlign w:val="bottom"/>
            <w:tcBorders>
              <w:bottom w:val="single" w:sz="8" w:color="4B5088"/>
            </w:tcBorders>
            <w:gridSpan w:val="2"/>
          </w:tcPr>
          <w:p>
            <w:pPr>
              <w:spacing w:after="0"/>
              <w:rPr>
                <w:sz w:val="4"/>
                <w:szCs w:val="4"/>
                <w:color w:val="auto"/>
              </w:rPr>
            </w:pPr>
          </w:p>
        </w:tc>
        <w:tc>
          <w:tcPr>
            <w:tcW w:w="1740" w:type="dxa"/>
            <w:vAlign w:val="bottom"/>
            <w:tcBorders>
              <w:bottom w:val="single" w:sz="8" w:color="4B5088"/>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00" w:type="dxa"/>
            <w:vAlign w:val="bottom"/>
            <w:vMerge w:val="continue"/>
          </w:tcPr>
          <w:p>
            <w:pPr>
              <w:spacing w:after="0"/>
              <w:rPr>
                <w:sz w:val="17"/>
                <w:szCs w:val="17"/>
                <w:color w:val="auto"/>
              </w:rPr>
            </w:pPr>
          </w:p>
        </w:tc>
        <w:tc>
          <w:tcPr>
            <w:tcW w:w="3380" w:type="dxa"/>
            <w:vAlign w:val="bottom"/>
          </w:tcPr>
          <w:p>
            <w:pPr>
              <w:ind w:left="20"/>
              <w:spacing w:after="0"/>
              <w:rPr>
                <w:sz w:val="20"/>
                <w:szCs w:val="20"/>
                <w:color w:val="auto"/>
              </w:rPr>
            </w:pPr>
            <w:r>
              <w:rPr>
                <w:rFonts w:ascii="Arial" w:cs="Arial" w:eastAsia="Arial" w:hAnsi="Arial"/>
                <w:sz w:val="14"/>
                <w:szCs w:val="14"/>
                <w:color w:val="auto"/>
              </w:rPr>
              <w:t>Noncompetition with us for 12 months following</w:t>
            </w:r>
          </w:p>
        </w:tc>
        <w:tc>
          <w:tcPr>
            <w:tcW w:w="1740" w:type="dxa"/>
            <w:vAlign w:val="bottom"/>
            <w:gridSpan w:val="2"/>
          </w:tcPr>
          <w:p>
            <w:pPr>
              <w:spacing w:after="0" w:line="20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Noncompetition with us</w:t>
            </w:r>
          </w:p>
        </w:tc>
        <w:tc>
          <w:tcPr>
            <w:tcW w:w="1740" w:type="dxa"/>
            <w:vAlign w:val="bottom"/>
            <w:gridSpan w:val="2"/>
          </w:tcPr>
          <w:p>
            <w:pPr>
              <w:spacing w:after="0" w:line="20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Noncompetition with us</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3380" w:type="dxa"/>
            <w:vAlign w:val="bottom"/>
          </w:tcPr>
          <w:p>
            <w:pPr>
              <w:ind w:left="20"/>
              <w:spacing w:after="0"/>
              <w:rPr>
                <w:sz w:val="20"/>
                <w:szCs w:val="20"/>
                <w:color w:val="auto"/>
              </w:rPr>
            </w:pPr>
            <w:r>
              <w:rPr>
                <w:rFonts w:ascii="Arial" w:cs="Arial" w:eastAsia="Arial" w:hAnsi="Arial"/>
                <w:sz w:val="14"/>
                <w:szCs w:val="14"/>
                <w:color w:val="auto"/>
              </w:rPr>
              <w:t>termination (6 months if employment is terminated in</w:t>
            </w:r>
          </w:p>
        </w:tc>
        <w:tc>
          <w:tcPr>
            <w:tcW w:w="120" w:type="dxa"/>
            <w:vAlign w:val="bottom"/>
          </w:tcPr>
          <w:p>
            <w:pPr>
              <w:spacing w:after="0"/>
              <w:rPr>
                <w:sz w:val="14"/>
                <w:szCs w:val="14"/>
                <w:color w:val="auto"/>
              </w:rPr>
            </w:pPr>
          </w:p>
        </w:tc>
        <w:tc>
          <w:tcPr>
            <w:tcW w:w="1620" w:type="dxa"/>
            <w:vAlign w:val="bottom"/>
          </w:tcPr>
          <w:p>
            <w:pPr>
              <w:spacing w:after="0"/>
              <w:rPr>
                <w:sz w:val="20"/>
                <w:szCs w:val="20"/>
                <w:color w:val="auto"/>
              </w:rPr>
            </w:pPr>
            <w:r>
              <w:rPr>
                <w:rFonts w:ascii="Arial" w:cs="Arial" w:eastAsia="Arial" w:hAnsi="Arial"/>
                <w:sz w:val="14"/>
                <w:szCs w:val="14"/>
                <w:color w:val="auto"/>
              </w:rPr>
              <w:t>for 6 months after</w:t>
            </w:r>
          </w:p>
        </w:tc>
        <w:tc>
          <w:tcPr>
            <w:tcW w:w="120" w:type="dxa"/>
            <w:vAlign w:val="bottom"/>
          </w:tcPr>
          <w:p>
            <w:pPr>
              <w:spacing w:after="0"/>
              <w:rPr>
                <w:sz w:val="14"/>
                <w:szCs w:val="14"/>
                <w:color w:val="auto"/>
              </w:rPr>
            </w:pPr>
          </w:p>
        </w:tc>
        <w:tc>
          <w:tcPr>
            <w:tcW w:w="1620" w:type="dxa"/>
            <w:vAlign w:val="bottom"/>
          </w:tcPr>
          <w:p>
            <w:pPr>
              <w:spacing w:after="0"/>
              <w:rPr>
                <w:sz w:val="20"/>
                <w:szCs w:val="20"/>
                <w:color w:val="auto"/>
              </w:rPr>
            </w:pPr>
            <w:r>
              <w:rPr>
                <w:rFonts w:ascii="Arial" w:cs="Arial" w:eastAsia="Arial" w:hAnsi="Arial"/>
                <w:sz w:val="14"/>
                <w:szCs w:val="14"/>
                <w:color w:val="auto"/>
              </w:rPr>
              <w:t>for 6 months after</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3380" w:type="dxa"/>
            <w:vAlign w:val="bottom"/>
          </w:tcPr>
          <w:p>
            <w:pPr>
              <w:ind w:left="20"/>
              <w:spacing w:after="0"/>
              <w:rPr>
                <w:sz w:val="20"/>
                <w:szCs w:val="20"/>
                <w:color w:val="auto"/>
              </w:rPr>
            </w:pPr>
            <w:r>
              <w:rPr>
                <w:rFonts w:ascii="Arial" w:cs="Arial" w:eastAsia="Arial" w:hAnsi="Arial"/>
                <w:sz w:val="14"/>
                <w:szCs w:val="14"/>
                <w:color w:val="auto"/>
              </w:rPr>
              <w:t>connection with or within 18 months after a Change-</w:t>
            </w:r>
          </w:p>
        </w:tc>
        <w:tc>
          <w:tcPr>
            <w:tcW w:w="120" w:type="dxa"/>
            <w:vAlign w:val="bottom"/>
          </w:tcPr>
          <w:p>
            <w:pPr>
              <w:spacing w:after="0"/>
              <w:rPr>
                <w:sz w:val="14"/>
                <w:szCs w:val="14"/>
                <w:color w:val="auto"/>
              </w:rPr>
            </w:pPr>
          </w:p>
        </w:tc>
        <w:tc>
          <w:tcPr>
            <w:tcW w:w="1620" w:type="dxa"/>
            <w:vAlign w:val="bottom"/>
          </w:tcPr>
          <w:p>
            <w:pPr>
              <w:spacing w:after="0"/>
              <w:rPr>
                <w:sz w:val="20"/>
                <w:szCs w:val="20"/>
                <w:color w:val="auto"/>
              </w:rPr>
            </w:pPr>
            <w:r>
              <w:rPr>
                <w:rFonts w:ascii="Arial" w:cs="Arial" w:eastAsia="Arial" w:hAnsi="Arial"/>
                <w:sz w:val="14"/>
                <w:szCs w:val="14"/>
                <w:color w:val="auto"/>
              </w:rPr>
              <w:t>termination, including</w:t>
            </w:r>
          </w:p>
        </w:tc>
        <w:tc>
          <w:tcPr>
            <w:tcW w:w="120" w:type="dxa"/>
            <w:vAlign w:val="bottom"/>
          </w:tcPr>
          <w:p>
            <w:pPr>
              <w:spacing w:after="0"/>
              <w:rPr>
                <w:sz w:val="14"/>
                <w:szCs w:val="14"/>
                <w:color w:val="auto"/>
              </w:rPr>
            </w:pPr>
          </w:p>
        </w:tc>
        <w:tc>
          <w:tcPr>
            <w:tcW w:w="1620" w:type="dxa"/>
            <w:vAlign w:val="bottom"/>
          </w:tcPr>
          <w:p>
            <w:pPr>
              <w:spacing w:after="0"/>
              <w:rPr>
                <w:sz w:val="20"/>
                <w:szCs w:val="20"/>
                <w:color w:val="auto"/>
              </w:rPr>
            </w:pPr>
            <w:r>
              <w:rPr>
                <w:rFonts w:ascii="Arial" w:cs="Arial" w:eastAsia="Arial" w:hAnsi="Arial"/>
                <w:sz w:val="14"/>
                <w:szCs w:val="14"/>
                <w:color w:val="auto"/>
              </w:rPr>
              <w:t>termination unless</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3380" w:type="dxa"/>
            <w:vAlign w:val="bottom"/>
          </w:tcPr>
          <w:p>
            <w:pPr>
              <w:ind w:left="20"/>
              <w:spacing w:after="0"/>
              <w:rPr>
                <w:sz w:val="20"/>
                <w:szCs w:val="20"/>
                <w:color w:val="auto"/>
              </w:rPr>
            </w:pPr>
            <w:r>
              <w:rPr>
                <w:rFonts w:ascii="Arial" w:cs="Arial" w:eastAsia="Arial" w:hAnsi="Arial"/>
                <w:sz w:val="14"/>
                <w:szCs w:val="14"/>
                <w:color w:val="auto"/>
              </w:rPr>
              <w:t>in-Control). Non-solicitation, non-disparagement, non-</w:t>
            </w:r>
          </w:p>
        </w:tc>
        <w:tc>
          <w:tcPr>
            <w:tcW w:w="120" w:type="dxa"/>
            <w:vAlign w:val="bottom"/>
          </w:tcPr>
          <w:p>
            <w:pPr>
              <w:spacing w:after="0"/>
              <w:rPr>
                <w:sz w:val="14"/>
                <w:szCs w:val="14"/>
                <w:color w:val="auto"/>
              </w:rPr>
            </w:pPr>
          </w:p>
        </w:tc>
        <w:tc>
          <w:tcPr>
            <w:tcW w:w="1620" w:type="dxa"/>
            <w:vAlign w:val="bottom"/>
          </w:tcPr>
          <w:p>
            <w:pPr>
              <w:spacing w:after="0"/>
              <w:rPr>
                <w:sz w:val="20"/>
                <w:szCs w:val="20"/>
                <w:color w:val="auto"/>
              </w:rPr>
            </w:pPr>
            <w:r>
              <w:rPr>
                <w:rFonts w:ascii="Arial" w:cs="Arial" w:eastAsia="Arial" w:hAnsi="Arial"/>
                <w:sz w:val="14"/>
                <w:szCs w:val="14"/>
                <w:color w:val="auto"/>
              </w:rPr>
              <w:t>upon non-renewal of the</w:t>
            </w:r>
          </w:p>
        </w:tc>
        <w:tc>
          <w:tcPr>
            <w:tcW w:w="120" w:type="dxa"/>
            <w:vAlign w:val="bottom"/>
          </w:tcPr>
          <w:p>
            <w:pPr>
              <w:spacing w:after="0"/>
              <w:rPr>
                <w:sz w:val="14"/>
                <w:szCs w:val="14"/>
                <w:color w:val="auto"/>
              </w:rPr>
            </w:pPr>
          </w:p>
        </w:tc>
        <w:tc>
          <w:tcPr>
            <w:tcW w:w="1620" w:type="dxa"/>
            <w:vAlign w:val="bottom"/>
          </w:tcPr>
          <w:p>
            <w:pPr>
              <w:spacing w:after="0"/>
              <w:rPr>
                <w:sz w:val="20"/>
                <w:szCs w:val="20"/>
                <w:color w:val="auto"/>
              </w:rPr>
            </w:pPr>
            <w:r>
              <w:rPr>
                <w:rFonts w:ascii="Arial" w:cs="Arial" w:eastAsia="Arial" w:hAnsi="Arial"/>
                <w:sz w:val="14"/>
                <w:szCs w:val="14"/>
                <w:color w:val="auto"/>
                <w:w w:val="99"/>
              </w:rPr>
              <w:t>employment is terminated</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3380" w:type="dxa"/>
            <w:vAlign w:val="bottom"/>
          </w:tcPr>
          <w:p>
            <w:pPr>
              <w:ind w:left="20"/>
              <w:spacing w:after="0"/>
              <w:rPr>
                <w:sz w:val="20"/>
                <w:szCs w:val="20"/>
                <w:color w:val="auto"/>
              </w:rPr>
            </w:pPr>
            <w:r>
              <w:rPr>
                <w:rFonts w:ascii="Arial" w:cs="Arial" w:eastAsia="Arial" w:hAnsi="Arial"/>
                <w:sz w:val="14"/>
                <w:szCs w:val="14"/>
                <w:color w:val="auto"/>
              </w:rPr>
              <w:t>interference and litigation cooperation covenants also</w:t>
            </w:r>
          </w:p>
        </w:tc>
        <w:tc>
          <w:tcPr>
            <w:tcW w:w="120" w:type="dxa"/>
            <w:vAlign w:val="bottom"/>
          </w:tcPr>
          <w:p>
            <w:pPr>
              <w:spacing w:after="0"/>
              <w:rPr>
                <w:sz w:val="14"/>
                <w:szCs w:val="14"/>
                <w:color w:val="auto"/>
              </w:rPr>
            </w:pPr>
          </w:p>
        </w:tc>
        <w:tc>
          <w:tcPr>
            <w:tcW w:w="1620" w:type="dxa"/>
            <w:vAlign w:val="bottom"/>
          </w:tcPr>
          <w:p>
            <w:pPr>
              <w:spacing w:after="0"/>
              <w:rPr>
                <w:sz w:val="20"/>
                <w:szCs w:val="20"/>
                <w:color w:val="auto"/>
              </w:rPr>
            </w:pPr>
            <w:r>
              <w:rPr>
                <w:rFonts w:ascii="Arial" w:cs="Arial" w:eastAsia="Arial" w:hAnsi="Arial"/>
                <w:sz w:val="14"/>
                <w:szCs w:val="14"/>
                <w:color w:val="auto"/>
              </w:rPr>
              <w:t>agreement, provided that</w:t>
            </w:r>
          </w:p>
        </w:tc>
        <w:tc>
          <w:tcPr>
            <w:tcW w:w="120" w:type="dxa"/>
            <w:vAlign w:val="bottom"/>
          </w:tcPr>
          <w:p>
            <w:pPr>
              <w:spacing w:after="0"/>
              <w:rPr>
                <w:sz w:val="14"/>
                <w:szCs w:val="14"/>
                <w:color w:val="auto"/>
              </w:rPr>
            </w:pPr>
          </w:p>
        </w:tc>
        <w:tc>
          <w:tcPr>
            <w:tcW w:w="1620" w:type="dxa"/>
            <w:vAlign w:val="bottom"/>
          </w:tcPr>
          <w:p>
            <w:pPr>
              <w:spacing w:after="0"/>
              <w:rPr>
                <w:sz w:val="20"/>
                <w:szCs w:val="20"/>
                <w:color w:val="auto"/>
              </w:rPr>
            </w:pPr>
            <w:r>
              <w:rPr>
                <w:rFonts w:ascii="Arial" w:cs="Arial" w:eastAsia="Arial" w:hAnsi="Arial"/>
                <w:sz w:val="14"/>
                <w:szCs w:val="14"/>
                <w:color w:val="auto"/>
              </w:rPr>
              <w:t>upon non-renewal of the</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3380" w:type="dxa"/>
            <w:vAlign w:val="bottom"/>
          </w:tcPr>
          <w:p>
            <w:pPr>
              <w:ind w:left="20"/>
              <w:spacing w:after="0"/>
              <w:rPr>
                <w:sz w:val="20"/>
                <w:szCs w:val="20"/>
                <w:color w:val="auto"/>
              </w:rPr>
            </w:pPr>
            <w:r>
              <w:rPr>
                <w:rFonts w:ascii="Arial" w:cs="Arial" w:eastAsia="Arial" w:hAnsi="Arial"/>
                <w:sz w:val="14"/>
                <w:szCs w:val="14"/>
                <w:color w:val="auto"/>
              </w:rPr>
              <w:t>apply.</w:t>
            </w:r>
          </w:p>
        </w:tc>
        <w:tc>
          <w:tcPr>
            <w:tcW w:w="120" w:type="dxa"/>
            <w:vAlign w:val="bottom"/>
          </w:tcPr>
          <w:p>
            <w:pPr>
              <w:spacing w:after="0"/>
              <w:rPr>
                <w:sz w:val="14"/>
                <w:szCs w:val="14"/>
                <w:color w:val="auto"/>
              </w:rPr>
            </w:pPr>
          </w:p>
        </w:tc>
        <w:tc>
          <w:tcPr>
            <w:tcW w:w="1620" w:type="dxa"/>
            <w:vAlign w:val="bottom"/>
          </w:tcPr>
          <w:p>
            <w:pPr>
              <w:spacing w:after="0"/>
              <w:rPr>
                <w:sz w:val="20"/>
                <w:szCs w:val="20"/>
                <w:color w:val="auto"/>
              </w:rPr>
            </w:pPr>
            <w:r>
              <w:rPr>
                <w:rFonts w:ascii="Arial" w:cs="Arial" w:eastAsia="Arial" w:hAnsi="Arial"/>
                <w:sz w:val="14"/>
                <w:szCs w:val="14"/>
                <w:color w:val="auto"/>
                <w:w w:val="99"/>
              </w:rPr>
              <w:t>if termination occurs upon</w:t>
            </w:r>
          </w:p>
        </w:tc>
        <w:tc>
          <w:tcPr>
            <w:tcW w:w="120" w:type="dxa"/>
            <w:vAlign w:val="bottom"/>
          </w:tcPr>
          <w:p>
            <w:pPr>
              <w:spacing w:after="0"/>
              <w:rPr>
                <w:sz w:val="14"/>
                <w:szCs w:val="14"/>
                <w:color w:val="auto"/>
              </w:rPr>
            </w:pPr>
          </w:p>
        </w:tc>
        <w:tc>
          <w:tcPr>
            <w:tcW w:w="1620" w:type="dxa"/>
            <w:vAlign w:val="bottom"/>
          </w:tcPr>
          <w:p>
            <w:pPr>
              <w:spacing w:after="0"/>
              <w:rPr>
                <w:sz w:val="20"/>
                <w:szCs w:val="20"/>
                <w:color w:val="auto"/>
              </w:rPr>
            </w:pPr>
            <w:r>
              <w:rPr>
                <w:rFonts w:ascii="Arial" w:cs="Arial" w:eastAsia="Arial" w:hAnsi="Arial"/>
                <w:sz w:val="14"/>
                <w:szCs w:val="14"/>
                <w:color w:val="auto"/>
              </w:rPr>
              <w:t>agreement. Non-</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20"/>
                <w:szCs w:val="20"/>
                <w:color w:val="auto"/>
              </w:rPr>
            </w:pPr>
            <w:r>
              <w:rPr>
                <w:rFonts w:ascii="Arial" w:cs="Arial" w:eastAsia="Arial" w:hAnsi="Arial"/>
                <w:sz w:val="14"/>
                <w:szCs w:val="14"/>
                <w:color w:val="auto"/>
              </w:rPr>
              <w:t>or following the term,</w:t>
            </w:r>
          </w:p>
        </w:tc>
        <w:tc>
          <w:tcPr>
            <w:tcW w:w="120" w:type="dxa"/>
            <w:vAlign w:val="bottom"/>
          </w:tcPr>
          <w:p>
            <w:pPr>
              <w:spacing w:after="0"/>
              <w:rPr>
                <w:sz w:val="14"/>
                <w:szCs w:val="14"/>
                <w:color w:val="auto"/>
              </w:rPr>
            </w:pPr>
          </w:p>
        </w:tc>
        <w:tc>
          <w:tcPr>
            <w:tcW w:w="1620" w:type="dxa"/>
            <w:vAlign w:val="bottom"/>
          </w:tcPr>
          <w:p>
            <w:pPr>
              <w:spacing w:after="0"/>
              <w:rPr>
                <w:sz w:val="20"/>
                <w:szCs w:val="20"/>
                <w:color w:val="auto"/>
              </w:rPr>
            </w:pPr>
            <w:r>
              <w:rPr>
                <w:rFonts w:ascii="Arial" w:cs="Arial" w:eastAsia="Arial" w:hAnsi="Arial"/>
                <w:sz w:val="14"/>
                <w:szCs w:val="14"/>
                <w:color w:val="auto"/>
              </w:rPr>
              <w:t>solicitation, non-</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20"/>
                <w:szCs w:val="20"/>
                <w:color w:val="auto"/>
              </w:rPr>
            </w:pPr>
            <w:r>
              <w:rPr>
                <w:rFonts w:ascii="Arial" w:cs="Arial" w:eastAsia="Arial" w:hAnsi="Arial"/>
                <w:sz w:val="14"/>
                <w:szCs w:val="14"/>
                <w:color w:val="auto"/>
              </w:rPr>
              <w:t>entitled to receive</w:t>
            </w:r>
          </w:p>
        </w:tc>
        <w:tc>
          <w:tcPr>
            <w:tcW w:w="120" w:type="dxa"/>
            <w:vAlign w:val="bottom"/>
          </w:tcPr>
          <w:p>
            <w:pPr>
              <w:spacing w:after="0"/>
              <w:rPr>
                <w:sz w:val="14"/>
                <w:szCs w:val="14"/>
                <w:color w:val="auto"/>
              </w:rPr>
            </w:pPr>
          </w:p>
        </w:tc>
        <w:tc>
          <w:tcPr>
            <w:tcW w:w="1620" w:type="dxa"/>
            <w:vAlign w:val="bottom"/>
          </w:tcPr>
          <w:p>
            <w:pPr>
              <w:spacing w:after="0"/>
              <w:rPr>
                <w:sz w:val="20"/>
                <w:szCs w:val="20"/>
                <w:color w:val="auto"/>
              </w:rPr>
            </w:pPr>
            <w:r>
              <w:rPr>
                <w:rFonts w:ascii="Arial" w:cs="Arial" w:eastAsia="Arial" w:hAnsi="Arial"/>
                <w:sz w:val="14"/>
                <w:szCs w:val="14"/>
                <w:color w:val="auto"/>
              </w:rPr>
              <w:t>disparagement, non-</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20"/>
                <w:szCs w:val="20"/>
                <w:color w:val="auto"/>
              </w:rPr>
            </w:pPr>
            <w:r>
              <w:rPr>
                <w:rFonts w:ascii="Arial" w:cs="Arial" w:eastAsia="Arial" w:hAnsi="Arial"/>
                <w:sz w:val="14"/>
                <w:szCs w:val="14"/>
                <w:color w:val="auto"/>
              </w:rPr>
              <w:t>6 months of salary and</w:t>
            </w:r>
          </w:p>
        </w:tc>
        <w:tc>
          <w:tcPr>
            <w:tcW w:w="120" w:type="dxa"/>
            <w:vAlign w:val="bottom"/>
          </w:tcPr>
          <w:p>
            <w:pPr>
              <w:spacing w:after="0"/>
              <w:rPr>
                <w:sz w:val="14"/>
                <w:szCs w:val="14"/>
                <w:color w:val="auto"/>
              </w:rPr>
            </w:pPr>
          </w:p>
        </w:tc>
        <w:tc>
          <w:tcPr>
            <w:tcW w:w="1620" w:type="dxa"/>
            <w:vAlign w:val="bottom"/>
          </w:tcPr>
          <w:p>
            <w:pPr>
              <w:spacing w:after="0"/>
              <w:rPr>
                <w:sz w:val="20"/>
                <w:szCs w:val="20"/>
                <w:color w:val="auto"/>
              </w:rPr>
            </w:pPr>
            <w:r>
              <w:rPr>
                <w:rFonts w:ascii="Arial" w:cs="Arial" w:eastAsia="Arial" w:hAnsi="Arial"/>
                <w:sz w:val="14"/>
                <w:szCs w:val="14"/>
                <w:color w:val="auto"/>
              </w:rPr>
              <w:t>interference and litigation</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20"/>
                <w:szCs w:val="20"/>
                <w:color w:val="auto"/>
              </w:rPr>
            </w:pPr>
            <w:r>
              <w:rPr>
                <w:rFonts w:ascii="Arial" w:cs="Arial" w:eastAsia="Arial" w:hAnsi="Arial"/>
                <w:sz w:val="14"/>
                <w:szCs w:val="14"/>
                <w:color w:val="auto"/>
              </w:rPr>
              <w:t>bonus. Non-solicitation,</w:t>
            </w:r>
          </w:p>
        </w:tc>
        <w:tc>
          <w:tcPr>
            <w:tcW w:w="120" w:type="dxa"/>
            <w:vAlign w:val="bottom"/>
          </w:tcPr>
          <w:p>
            <w:pPr>
              <w:spacing w:after="0"/>
              <w:rPr>
                <w:sz w:val="14"/>
                <w:szCs w:val="14"/>
                <w:color w:val="auto"/>
              </w:rPr>
            </w:pPr>
          </w:p>
        </w:tc>
        <w:tc>
          <w:tcPr>
            <w:tcW w:w="1620" w:type="dxa"/>
            <w:vAlign w:val="bottom"/>
          </w:tcPr>
          <w:p>
            <w:pPr>
              <w:spacing w:after="0"/>
              <w:rPr>
                <w:sz w:val="20"/>
                <w:szCs w:val="20"/>
                <w:color w:val="auto"/>
              </w:rPr>
            </w:pPr>
            <w:r>
              <w:rPr>
                <w:rFonts w:ascii="Arial" w:cs="Arial" w:eastAsia="Arial" w:hAnsi="Arial"/>
                <w:sz w:val="14"/>
                <w:szCs w:val="14"/>
                <w:color w:val="auto"/>
              </w:rPr>
              <w:t>cooperation covenants</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20"/>
                <w:szCs w:val="20"/>
                <w:color w:val="auto"/>
              </w:rPr>
            </w:pPr>
            <w:r>
              <w:rPr>
                <w:rFonts w:ascii="Arial" w:cs="Arial" w:eastAsia="Arial" w:hAnsi="Arial"/>
                <w:sz w:val="14"/>
                <w:szCs w:val="14"/>
                <w:color w:val="auto"/>
              </w:rPr>
              <w:t>non-disparagement, non-</w:t>
            </w:r>
          </w:p>
        </w:tc>
        <w:tc>
          <w:tcPr>
            <w:tcW w:w="120" w:type="dxa"/>
            <w:vAlign w:val="bottom"/>
          </w:tcPr>
          <w:p>
            <w:pPr>
              <w:spacing w:after="0"/>
              <w:rPr>
                <w:sz w:val="14"/>
                <w:szCs w:val="14"/>
                <w:color w:val="auto"/>
              </w:rPr>
            </w:pPr>
          </w:p>
        </w:tc>
        <w:tc>
          <w:tcPr>
            <w:tcW w:w="1620" w:type="dxa"/>
            <w:vAlign w:val="bottom"/>
          </w:tcPr>
          <w:p>
            <w:pPr>
              <w:spacing w:after="0"/>
              <w:rPr>
                <w:sz w:val="20"/>
                <w:szCs w:val="20"/>
                <w:color w:val="auto"/>
              </w:rPr>
            </w:pPr>
            <w:r>
              <w:rPr>
                <w:rFonts w:ascii="Arial" w:cs="Arial" w:eastAsia="Arial" w:hAnsi="Arial"/>
                <w:sz w:val="14"/>
                <w:szCs w:val="14"/>
                <w:color w:val="auto"/>
              </w:rPr>
              <w:t>also apply.</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20"/>
                <w:szCs w:val="20"/>
                <w:color w:val="auto"/>
              </w:rPr>
            </w:pPr>
            <w:r>
              <w:rPr>
                <w:rFonts w:ascii="Arial" w:cs="Arial" w:eastAsia="Arial" w:hAnsi="Arial"/>
                <w:sz w:val="14"/>
                <w:szCs w:val="14"/>
                <w:color w:val="auto"/>
              </w:rPr>
              <w:t>interference and litigation</w:t>
            </w: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20"/>
                <w:szCs w:val="20"/>
                <w:color w:val="auto"/>
              </w:rPr>
            </w:pPr>
            <w:r>
              <w:rPr>
                <w:rFonts w:ascii="Arial" w:cs="Arial" w:eastAsia="Arial" w:hAnsi="Arial"/>
                <w:sz w:val="14"/>
                <w:szCs w:val="14"/>
                <w:color w:val="auto"/>
              </w:rPr>
              <w:t>cooperation covenants</w:t>
            </w: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20"/>
                <w:szCs w:val="20"/>
                <w:color w:val="auto"/>
              </w:rPr>
            </w:pPr>
            <w:r>
              <w:rPr>
                <w:rFonts w:ascii="Arial" w:cs="Arial" w:eastAsia="Arial" w:hAnsi="Arial"/>
                <w:sz w:val="14"/>
                <w:szCs w:val="14"/>
                <w:color w:val="auto"/>
              </w:rPr>
              <w:t>also apply.</w:t>
            </w: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100" w:type="dxa"/>
            <w:vAlign w:val="bottom"/>
          </w:tcPr>
          <w:p>
            <w:pPr>
              <w:spacing w:after="0"/>
              <w:rPr>
                <w:sz w:val="8"/>
                <w:szCs w:val="8"/>
                <w:color w:val="auto"/>
              </w:rPr>
            </w:pPr>
          </w:p>
        </w:tc>
        <w:tc>
          <w:tcPr>
            <w:tcW w:w="3380" w:type="dxa"/>
            <w:vAlign w:val="bottom"/>
            <w:tcBorders>
              <w:bottom w:val="single" w:sz="8" w:color="1F2668"/>
            </w:tcBorders>
          </w:tcPr>
          <w:p>
            <w:pPr>
              <w:spacing w:after="0"/>
              <w:rPr>
                <w:sz w:val="8"/>
                <w:szCs w:val="8"/>
                <w:color w:val="auto"/>
              </w:rPr>
            </w:pPr>
          </w:p>
        </w:tc>
        <w:tc>
          <w:tcPr>
            <w:tcW w:w="120" w:type="dxa"/>
            <w:vAlign w:val="bottom"/>
          </w:tcPr>
          <w:p>
            <w:pPr>
              <w:spacing w:after="0"/>
              <w:rPr>
                <w:sz w:val="8"/>
                <w:szCs w:val="8"/>
                <w:color w:val="auto"/>
              </w:rPr>
            </w:pPr>
          </w:p>
        </w:tc>
        <w:tc>
          <w:tcPr>
            <w:tcW w:w="1620" w:type="dxa"/>
            <w:vAlign w:val="bottom"/>
            <w:tcBorders>
              <w:bottom w:val="single" w:sz="8" w:color="1F2668"/>
            </w:tcBorders>
          </w:tcPr>
          <w:p>
            <w:pPr>
              <w:spacing w:after="0"/>
              <w:rPr>
                <w:sz w:val="8"/>
                <w:szCs w:val="8"/>
                <w:color w:val="auto"/>
              </w:rPr>
            </w:pPr>
          </w:p>
        </w:tc>
        <w:tc>
          <w:tcPr>
            <w:tcW w:w="120" w:type="dxa"/>
            <w:vAlign w:val="bottom"/>
          </w:tcPr>
          <w:p>
            <w:pPr>
              <w:spacing w:after="0"/>
              <w:rPr>
                <w:sz w:val="8"/>
                <w:szCs w:val="8"/>
                <w:color w:val="auto"/>
              </w:rPr>
            </w:pPr>
          </w:p>
        </w:tc>
        <w:tc>
          <w:tcPr>
            <w:tcW w:w="1620" w:type="dxa"/>
            <w:vAlign w:val="bottom"/>
            <w:tcBorders>
              <w:bottom w:val="single" w:sz="8" w:color="1F2668"/>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2211705</wp:posOffset>
            </wp:positionH>
            <wp:positionV relativeFrom="paragraph">
              <wp:posOffset>-1765300</wp:posOffset>
            </wp:positionV>
            <wp:extent cx="6858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1F2668"/>
        </w:rPr>
        <w:t>​</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1F2668"/>
        </w:rPr>
        <w:t>​</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518" w:lineRule="exact"/>
        <w:rPr>
          <w:sz w:val="20"/>
          <w:szCs w:val="20"/>
          <w:color w:val="auto"/>
        </w:rPr>
      </w:pPr>
    </w:p>
    <w:p>
      <w:pPr>
        <w:sectPr>
          <w:pgSz w:w="11900" w:h="16838" w:orient="portrait"/>
          <w:cols w:equalWidth="0" w:num="3">
            <w:col w:w="2400" w:space="520"/>
            <w:col w:w="6960" w:space="0"/>
            <w:col w:w="40"/>
          </w:cols>
          <w:pgMar w:left="580" w:top="97" w:right="1399" w:bottom="1440" w:gutter="0" w:footer="0" w:header="0"/>
          <w:type w:val="continuous"/>
        </w:sectPr>
      </w:pPr>
    </w:p>
    <w:p>
      <w:pPr>
        <w:spacing w:after="0" w:line="47" w:lineRule="exact"/>
        <w:rPr>
          <w:sz w:val="20"/>
          <w:szCs w:val="20"/>
          <w:color w:val="auto"/>
        </w:rPr>
      </w:pPr>
    </w:p>
    <w:p>
      <w:pPr>
        <w:ind w:left="1180" w:hanging="364"/>
        <w:spacing w:after="0"/>
        <w:tabs>
          <w:tab w:leader="none" w:pos="11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term automatically renews for one year for Mr. Holliday, unless either party provides advance written notice of non-renewal.</w:t>
      </w:r>
    </w:p>
    <w:p>
      <w:pPr>
        <w:spacing w:after="0" w:line="82" w:lineRule="exact"/>
        <w:rPr>
          <w:rFonts w:ascii="Arial" w:cs="Arial" w:eastAsia="Arial" w:hAnsi="Arial"/>
          <w:sz w:val="14"/>
          <w:szCs w:val="14"/>
          <w:color w:val="auto"/>
        </w:rPr>
      </w:pPr>
    </w:p>
    <w:p>
      <w:pPr>
        <w:ind w:left="1180" w:right="40" w:hanging="364"/>
        <w:spacing w:after="0" w:line="282" w:lineRule="auto"/>
        <w:tabs>
          <w:tab w:leader="none" w:pos="11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Messrs. Holliday and DiLiberto are eligible to participate in an annual formulaic bonus program pursuant to which they will be able to earn from 50-400% (Holliday) and 50-250% (DiLiberto) of their base salary based on the achievement of specific goals established in advance by the Committee. For Mr. DiLiberto, this formulaic component represents 60% of his total bonus opportunity, with the remaining 40% to be determined by the Committee. Mr. Levine may be awarded a bonus in an amount determined by the Committee. Bonuses may be paid in equity or cash.</w:t>
      </w:r>
    </w:p>
    <w:p>
      <w:pPr>
        <w:spacing w:after="0" w:line="26" w:lineRule="exact"/>
        <w:rPr>
          <w:rFonts w:ascii="Arial" w:cs="Arial" w:eastAsia="Arial" w:hAnsi="Arial"/>
          <w:sz w:val="14"/>
          <w:szCs w:val="14"/>
          <w:color w:val="auto"/>
        </w:rPr>
      </w:pPr>
    </w:p>
    <w:p>
      <w:pPr>
        <w:ind w:left="1180" w:right="60" w:hanging="364"/>
        <w:spacing w:after="0" w:line="282" w:lineRule="auto"/>
        <w:tabs>
          <w:tab w:leader="none" w:pos="11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Mr. Holliday is entitled to receive an annual award of performance-based LTIP units with the target value set forth in the table above. See “Executive Compensation—Compensation Discussion and Analysis—Our 2024 Executive Compensation Program” for details regarding the structure of these awards for 2024. A summary of the terms applicable to these awards in connection with a termination of the executive’s employment is set forth below.</w:t>
      </w:r>
    </w:p>
    <w:p>
      <w:pPr>
        <w:spacing w:after="0" w:line="39" w:lineRule="exact"/>
        <w:rPr>
          <w:rFonts w:ascii="Arial" w:cs="Arial" w:eastAsia="Arial" w:hAnsi="Arial"/>
          <w:sz w:val="14"/>
          <w:szCs w:val="14"/>
          <w:color w:val="auto"/>
        </w:rPr>
      </w:pPr>
    </w:p>
    <w:p>
      <w:pPr>
        <w:ind w:left="1180" w:right="40" w:hanging="364"/>
        <w:spacing w:after="0" w:line="278" w:lineRule="auto"/>
        <w:tabs>
          <w:tab w:leader="none" w:pos="11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Each executive is eligible to receive an annual grant of LTIP units subject to time-based vesting conditions. See “Executive Compensation— Compensation Discussion and Analysis—Our 2024 Executive Compensation Program” for details regarding the structure of these awards for 2024. A summary of the terms applicable to these awards in connection with a termination of the executive’s employment is set forth below. Beginning in 2025, Mr. Holliday’s annual grant of time-based LTIP units will be subject to an additional outperformance modifier pursuant to which up to 200% of the target time-based amount may be earned upon the achievement of three-year specific operational or financial goals, as established in advance by the Committee.</w:t>
      </w:r>
    </w:p>
    <w:p>
      <w:pPr>
        <w:spacing w:after="0" w:line="28" w:lineRule="exact"/>
        <w:rPr>
          <w:rFonts w:ascii="Arial" w:cs="Arial" w:eastAsia="Arial" w:hAnsi="Arial"/>
          <w:sz w:val="14"/>
          <w:szCs w:val="14"/>
          <w:color w:val="auto"/>
        </w:rPr>
      </w:pPr>
    </w:p>
    <w:p>
      <w:pPr>
        <w:ind w:left="1180" w:right="520" w:hanging="364"/>
        <w:spacing w:after="0" w:line="322" w:lineRule="auto"/>
        <w:tabs>
          <w:tab w:leader="none" w:pos="11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Performance-based equity awards will be treated in accordance with their terms. See table below for relevant terms to be included in performance-based LTIP units granted pursuant to the employment agreements.</w:t>
      </w:r>
    </w:p>
    <w:p>
      <w:pPr>
        <w:ind w:left="1180" w:right="40" w:hanging="364"/>
        <w:spacing w:after="0" w:line="282" w:lineRule="auto"/>
        <w:tabs>
          <w:tab w:leader="none" w:pos="11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In the event that any payment or benefit constitutes an excess “parachute payment” under Section 280G of the IRC subject to an excise tax, the executive will not be entitled to a tax gross-up payment; however, the executive’s payments and benefits would be reduced to the extent necessary to avoid such excise taxes, but only if such a reduction of pay or benefits would result in a greater after-tax benefit to the executive.</w:t>
      </w:r>
    </w:p>
    <w:p>
      <w:pPr>
        <w:spacing w:after="0" w:line="39" w:lineRule="exact"/>
        <w:rPr>
          <w:rFonts w:ascii="Arial" w:cs="Arial" w:eastAsia="Arial" w:hAnsi="Arial"/>
          <w:sz w:val="14"/>
          <w:szCs w:val="14"/>
          <w:color w:val="auto"/>
        </w:rPr>
      </w:pPr>
    </w:p>
    <w:p>
      <w:pPr>
        <w:ind w:left="1180" w:hanging="364"/>
        <w:spacing w:after="0"/>
        <w:tabs>
          <w:tab w:leader="none" w:pos="11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2.0x the sum of base salary, maximum formulaic bonus and the target value of the annual time-based equity award under prior contract.</w:t>
      </w:r>
    </w:p>
    <w:p>
      <w:pPr>
        <w:spacing w:after="0" w:line="82" w:lineRule="exact"/>
        <w:rPr>
          <w:rFonts w:ascii="Arial" w:cs="Arial" w:eastAsia="Arial" w:hAnsi="Arial"/>
          <w:sz w:val="14"/>
          <w:szCs w:val="14"/>
          <w:color w:val="auto"/>
        </w:rPr>
      </w:pPr>
    </w:p>
    <w:p>
      <w:pPr>
        <w:ind w:left="1180" w:hanging="364"/>
        <w:spacing w:after="0"/>
        <w:tabs>
          <w:tab w:leader="none" w:pos="1180" w:val="left"/>
        </w:tabs>
        <w:numPr>
          <w:ilvl w:val="0"/>
          <w:numId w:val="95"/>
        </w:numPr>
        <w:rPr>
          <w:rFonts w:ascii="Arial" w:cs="Arial" w:eastAsia="Arial" w:hAnsi="Arial"/>
          <w:sz w:val="14"/>
          <w:szCs w:val="14"/>
          <w:color w:val="auto"/>
        </w:rPr>
      </w:pPr>
      <w:r>
        <w:rPr>
          <w:rFonts w:ascii="Arial" w:cs="Arial" w:eastAsia="Arial" w:hAnsi="Arial"/>
          <w:sz w:val="14"/>
          <w:szCs w:val="14"/>
          <w:color w:val="auto"/>
        </w:rPr>
        <w:t>1.0x the sum of base salary, maximum formulaic bonus and the target value of the annual time-based equity award under prior contract.</w:t>
      </w:r>
    </w:p>
    <w:p>
      <w:pPr>
        <w:spacing w:after="0" w:line="172" w:lineRule="exact"/>
        <w:rPr>
          <w:sz w:val="20"/>
          <w:szCs w:val="20"/>
          <w:color w:val="auto"/>
        </w:rPr>
      </w:pPr>
    </w:p>
    <w:p>
      <w:pPr>
        <w:ind w:left="820" w:right="80"/>
        <w:spacing w:after="0" w:line="291" w:lineRule="auto"/>
        <w:rPr>
          <w:sz w:val="20"/>
          <w:szCs w:val="20"/>
          <w:color w:val="auto"/>
        </w:rPr>
      </w:pPr>
      <w:r>
        <w:rPr>
          <w:rFonts w:ascii="Arial" w:cs="Arial" w:eastAsia="Arial" w:hAnsi="Arial"/>
          <w:sz w:val="16"/>
          <w:szCs w:val="16"/>
          <w:color w:val="auto"/>
        </w:rPr>
        <w:t>The terms Cause, Good Reason and Change-in-Control, as used above, are specifically defined in each executive’s employment agreement. For Mr. Holliday, the term Cause is defined to include a non-renewal of the term of the employment agreement, provided that the cash severance multiple in such instance would be 1.0x instead of 3.0x for Mr. Holliday. The summary above is qualified in its entirety by reference to the copies of the employment agreements with our named executive officers, which have been previously filed by us with the SEC,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831965"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type w:val="continuous"/>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p>
      <w:pPr>
        <w:ind w:left="820"/>
        <w:spacing w:after="0"/>
        <w:tabs>
          <w:tab w:leader="none" w:pos="1440" w:val="left"/>
          <w:tab w:leader="none" w:pos="9860" w:val="left"/>
        </w:tabs>
        <w:rPr>
          <w:sz w:val="20"/>
          <w:szCs w:val="20"/>
          <w:color w:val="auto"/>
        </w:rPr>
      </w:pPr>
      <w:r>
        <w:rPr>
          <w:rFonts w:ascii="Arial" w:cs="Arial" w:eastAsia="Arial" w:hAnsi="Arial"/>
          <w:sz w:val="22"/>
          <w:szCs w:val="22"/>
          <w:b w:val="1"/>
          <w:bCs w:val="1"/>
          <w:color w:val="1F2668"/>
        </w:rPr>
        <w:t>​74</w:t>
      </w:r>
      <w:r>
        <w:rPr>
          <w:sz w:val="20"/>
          <w:szCs w:val="20"/>
          <w:color w:val="auto"/>
        </w:rPr>
        <w:tab/>
      </w:r>
      <w:r>
        <w:rPr>
          <w:rFonts w:ascii="Arial" w:cs="Arial" w:eastAsia="Arial" w:hAnsi="Arial"/>
          <w:sz w:val="22"/>
          <w:szCs w:val="22"/>
          <w:b w:val="1"/>
          <w:bCs w:val="1"/>
          <w:color w:val="1F2668"/>
        </w:rPr>
        <w:t xml:space="preserve">​ ​ </w:t>
      </w:r>
      <w:r>
        <w:rPr>
          <w:rFonts w:ascii="Arial" w:cs="Arial" w:eastAsia="Arial" w:hAnsi="Arial"/>
          <w:sz w:val="14"/>
          <w:szCs w:val="14"/>
          <w:b w:val="1"/>
          <w:bCs w:val="1"/>
          <w:color w:val="1F2668"/>
        </w:rPr>
        <w:t>SL GREEN REALTY CORP. 2025 PROXY STATEMENT</w:t>
      </w:r>
      <w:r>
        <w:rPr>
          <w:sz w:val="20"/>
          <w:szCs w:val="20"/>
          <w:color w:val="auto"/>
        </w:rPr>
        <w:tab/>
      </w:r>
      <w:r>
        <w:rPr>
          <w:rFonts w:ascii="Arial" w:cs="Arial" w:eastAsia="Arial" w:hAnsi="Arial"/>
          <w:sz w:val="22"/>
          <w:szCs w:val="22"/>
          <w:b w:val="1"/>
          <w:bCs w:val="1"/>
          <w:color w:val="1F2668"/>
        </w:rPr>
        <w:t>​</w:t>
      </w:r>
    </w:p>
    <w:p>
      <w:pPr>
        <w:sectPr>
          <w:pgSz w:w="11900" w:h="16838" w:orient="portrait"/>
          <w:cols w:equalWidth="0" w:num="1">
            <w:col w:w="10720"/>
          </w:cols>
          <w:pgMar w:left="580" w:top="97"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80" w:right="40" w:hanging="164"/>
        <w:spacing w:after="0" w:line="222" w:lineRule="auto"/>
        <w:tabs>
          <w:tab w:leader="none" w:pos="980" w:val="left"/>
        </w:tabs>
        <w:numPr>
          <w:ilvl w:val="0"/>
          <w:numId w:val="96"/>
        </w:numPr>
        <w:rPr>
          <w:rFonts w:ascii="Arial" w:cs="Arial" w:eastAsia="Arial" w:hAnsi="Arial"/>
          <w:sz w:val="29"/>
          <w:szCs w:val="29"/>
          <w:color w:val="auto"/>
          <w:vertAlign w:val="superscript"/>
        </w:rPr>
      </w:pPr>
      <w:r>
        <w:rPr>
          <w:rFonts w:ascii="Arial" w:cs="Arial" w:eastAsia="Arial" w:hAnsi="Arial"/>
          <w:sz w:val="15"/>
          <w:szCs w:val="15"/>
          <w:color w:val="auto"/>
        </w:rPr>
        <w:t xml:space="preserve">Stockholder feedback has always informed the Committee’s design of executive employee agreements—Mr. Holliday’s new employment agreement is no different. </w:t>
      </w:r>
      <w:r>
        <w:rPr>
          <w:rFonts w:ascii="Arial" w:cs="Arial" w:eastAsia="Arial" w:hAnsi="Arial"/>
          <w:sz w:val="15"/>
          <w:szCs w:val="15"/>
          <w:b w:val="1"/>
          <w:bCs w:val="1"/>
          <w:color w:val="auto"/>
        </w:rPr>
        <w:t>In redesigning this contract, the Committee considered both current market</w:t>
      </w:r>
      <w:r>
        <w:rPr>
          <w:rFonts w:ascii="Arial" w:cs="Arial" w:eastAsia="Arial" w:hAnsi="Arial"/>
          <w:sz w:val="15"/>
          <w:szCs w:val="15"/>
          <w:color w:val="auto"/>
        </w:rPr>
        <w:t xml:space="preserve"> </w:t>
      </w:r>
      <w:r>
        <w:rPr>
          <w:rFonts w:ascii="Arial" w:cs="Arial" w:eastAsia="Arial" w:hAnsi="Arial"/>
          <w:sz w:val="15"/>
          <w:szCs w:val="15"/>
          <w:b w:val="1"/>
          <w:bCs w:val="1"/>
          <w:color w:val="auto"/>
        </w:rPr>
        <w:t>norms and stockholder feedback to ensure that negotiations were centered around the most critical aspects</w:t>
      </w:r>
      <w:r>
        <w:rPr>
          <w:rFonts w:ascii="Arial" w:cs="Arial" w:eastAsia="Arial" w:hAnsi="Arial"/>
          <w:sz w:val="15"/>
          <w:szCs w:val="15"/>
          <w:color w:val="auto"/>
        </w:rPr>
        <w:t>.</w:t>
      </w:r>
    </w:p>
    <w:p>
      <w:pPr>
        <w:spacing w:after="0" w:line="74" w:lineRule="exact"/>
        <w:rPr>
          <w:rFonts w:ascii="Arial" w:cs="Arial" w:eastAsia="Arial" w:hAnsi="Arial"/>
          <w:sz w:val="29"/>
          <w:szCs w:val="29"/>
          <w:color w:val="auto"/>
          <w:vertAlign w:val="superscript"/>
        </w:rPr>
      </w:pPr>
    </w:p>
    <w:p>
      <w:pPr>
        <w:ind w:left="980" w:hanging="164"/>
        <w:spacing w:after="0" w:line="213" w:lineRule="auto"/>
        <w:tabs>
          <w:tab w:leader="none" w:pos="980" w:val="left"/>
        </w:tabs>
        <w:numPr>
          <w:ilvl w:val="0"/>
          <w:numId w:val="96"/>
        </w:numPr>
        <w:rPr>
          <w:rFonts w:ascii="Arial" w:cs="Arial" w:eastAsia="Arial" w:hAnsi="Arial"/>
          <w:sz w:val="32"/>
          <w:szCs w:val="32"/>
          <w:color w:val="auto"/>
          <w:vertAlign w:val="superscript"/>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Committee’s primary focus was to eliminate the short-term performance goals in long-term performance equity</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awards </w:t>
      </w:r>
      <w:r>
        <w:rPr>
          <w:rFonts w:ascii="Arial" w:cs="Arial" w:eastAsia="Arial" w:hAnsi="Arial"/>
          <w:sz w:val="16"/>
          <w:szCs w:val="16"/>
          <w:color w:val="auto"/>
        </w:rPr>
        <w:t>in alignment with our commitment to stockholders. Even though the majority of stockholders did not raise concerns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regarding our severance provisions, through negotiations the </w:t>
      </w:r>
      <w:r>
        <w:rPr>
          <w:rFonts w:ascii="Arial" w:cs="Arial" w:eastAsia="Arial" w:hAnsi="Arial"/>
          <w:sz w:val="16"/>
          <w:szCs w:val="16"/>
          <w:b w:val="1"/>
          <w:bCs w:val="1"/>
          <w:color w:val="auto"/>
        </w:rPr>
        <w:t>Committee eliminated the maximum bonus from</w:t>
      </w:r>
      <w:r>
        <w:rPr>
          <w:rFonts w:ascii="Arial" w:cs="Arial" w:eastAsia="Arial" w:hAnsi="Arial"/>
          <w:sz w:val="16"/>
          <w:szCs w:val="16"/>
          <w:color w:val="auto"/>
        </w:rPr>
        <w:t xml:space="preserve"> </w:t>
      </w:r>
      <w:r>
        <w:rPr>
          <w:rFonts w:ascii="Arial" w:cs="Arial" w:eastAsia="Arial" w:hAnsi="Arial"/>
          <w:sz w:val="16"/>
          <w:szCs w:val="16"/>
          <w:b w:val="1"/>
          <w:bCs w:val="1"/>
          <w:color w:val="auto"/>
        </w:rPr>
        <w:t>severance calculations</w:t>
      </w:r>
      <w:r>
        <w:rPr>
          <w:rFonts w:ascii="Arial" w:cs="Arial" w:eastAsia="Arial" w:hAnsi="Arial"/>
          <w:sz w:val="16"/>
          <w:szCs w:val="16"/>
          <w:color w:val="auto"/>
        </w:rPr>
        <w:t>, while retaining other legacy provisions that have been in place for over ten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-1031875</wp:posOffset>
            </wp:positionV>
            <wp:extent cx="5760720" cy="109728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5760720" cy="10972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913" w:lineRule="exact"/>
        <w:rPr>
          <w:sz w:val="20"/>
          <w:szCs w:val="20"/>
          <w:color w:val="auto"/>
        </w:rPr>
      </w:pPr>
    </w:p>
    <w:p>
      <w:pPr>
        <w:sectPr>
          <w:pgSz w:w="11900" w:h="16838" w:orient="portrait"/>
          <w:cols w:equalWidth="0" w:num="2">
            <w:col w:w="9680" w:space="40"/>
            <w:col w:w="1000"/>
          </w:cols>
          <w:pgMar w:left="580" w:top="97" w:right="599" w:bottom="1440" w:gutter="0" w:footer="0" w:header="0"/>
          <w:type w:val="continuous"/>
        </w:sectPr>
      </w:pPr>
    </w:p>
    <w:p>
      <w:pPr>
        <w:spacing w:after="0" w:line="95"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83AD40"/>
        </w:rPr>
        <w:t>Performance-Based Equity Awards</w:t>
      </w:r>
    </w:p>
    <w:p>
      <w:pPr>
        <w:spacing w:after="0" w:line="144" w:lineRule="exact"/>
        <w:rPr>
          <w:sz w:val="20"/>
          <w:szCs w:val="20"/>
          <w:color w:val="auto"/>
        </w:rPr>
      </w:pPr>
    </w:p>
    <w:p>
      <w:pPr>
        <w:ind w:left="820" w:right="900"/>
        <w:spacing w:after="0" w:line="301" w:lineRule="auto"/>
        <w:rPr>
          <w:sz w:val="20"/>
          <w:szCs w:val="20"/>
          <w:color w:val="auto"/>
        </w:rPr>
      </w:pPr>
      <w:r>
        <w:rPr>
          <w:rFonts w:ascii="Arial" w:cs="Arial" w:eastAsia="Arial" w:hAnsi="Arial"/>
          <w:sz w:val="16"/>
          <w:szCs w:val="16"/>
          <w:color w:val="auto"/>
        </w:rPr>
        <w:t>The table below summarizes the treatment of our annual performance-based equity awards, including those granted in 2023 and 2024 that were outstanding at December 31, 2024 (the “Annual Performance-Based Awards”), in connection with a change-in-control and various hypothetical termination scenarios for our named executive officers.</w:t>
      </w:r>
    </w:p>
    <w:p>
      <w:pPr>
        <w:sectPr>
          <w:pgSz w:w="11900" w:h="16838" w:orient="portrait"/>
          <w:cols w:equalWidth="0" w:num="1">
            <w:col w:w="10720"/>
          </w:cols>
          <w:pgMar w:left="580" w:top="97" w:right="599" w:bottom="1440" w:gutter="0" w:footer="0" w:header="0"/>
          <w:type w:val="continuous"/>
        </w:sectPr>
      </w:pPr>
    </w:p>
    <w:p>
      <w:pPr>
        <w:spacing w:after="0" w:line="123" w:lineRule="exact"/>
        <w:rPr>
          <w:sz w:val="20"/>
          <w:szCs w:val="20"/>
          <w:color w:val="auto"/>
        </w:rPr>
      </w:pPr>
    </w:p>
    <w:p>
      <w:pPr>
        <w:ind w:left="4240"/>
        <w:spacing w:after="0"/>
        <w:rPr>
          <w:sz w:val="20"/>
          <w:szCs w:val="20"/>
          <w:color w:val="auto"/>
        </w:rPr>
      </w:pPr>
      <w:r>
        <w:rPr>
          <w:rFonts w:ascii="Arial" w:cs="Arial" w:eastAsia="Arial" w:hAnsi="Arial"/>
          <w:sz w:val="14"/>
          <w:szCs w:val="14"/>
          <w:color w:val="1F2668"/>
        </w:rPr>
        <w:t>Annual Performance-Based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32385</wp:posOffset>
            </wp:positionV>
            <wp:extent cx="576072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76"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700" w:type="dxa"/>
            <w:vAlign w:val="bottom"/>
            <w:gridSpan w:val="2"/>
          </w:tcPr>
          <w:p>
            <w:pPr>
              <w:ind w:left="260"/>
              <w:spacing w:after="0"/>
              <w:rPr>
                <w:sz w:val="20"/>
                <w:szCs w:val="20"/>
                <w:color w:val="auto"/>
              </w:rPr>
            </w:pPr>
            <w:r>
              <w:rPr>
                <w:rFonts w:ascii="Arial" w:cs="Arial" w:eastAsia="Arial" w:hAnsi="Arial"/>
                <w:sz w:val="14"/>
                <w:szCs w:val="14"/>
                <w:color w:val="1F2668"/>
              </w:rPr>
              <w:t>Change-in-Control &amp; Termination</w:t>
            </w:r>
          </w:p>
        </w:tc>
        <w:tc>
          <w:tcPr>
            <w:tcW w:w="2660" w:type="dxa"/>
            <w:vAlign w:val="bottom"/>
          </w:tcPr>
          <w:p>
            <w:pPr>
              <w:ind w:left="220"/>
              <w:spacing w:after="0"/>
              <w:rPr>
                <w:sz w:val="20"/>
                <w:szCs w:val="20"/>
                <w:color w:val="auto"/>
              </w:rPr>
            </w:pPr>
            <w:r>
              <w:rPr>
                <w:rFonts w:ascii="Arial" w:cs="Arial" w:eastAsia="Arial" w:hAnsi="Arial"/>
                <w:sz w:val="14"/>
                <w:szCs w:val="14"/>
                <w:color w:val="1F2668"/>
              </w:rPr>
              <w:t>Death/Disability &amp; Termination</w:t>
            </w: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700" w:type="dxa"/>
            <w:vAlign w:val="bottom"/>
            <w:gridSpan w:val="2"/>
          </w:tcPr>
          <w:p>
            <w:pPr>
              <w:ind w:left="260"/>
              <w:spacing w:after="0"/>
              <w:rPr>
                <w:sz w:val="20"/>
                <w:szCs w:val="20"/>
                <w:color w:val="auto"/>
              </w:rPr>
            </w:pPr>
            <w:r>
              <w:rPr>
                <w:rFonts w:ascii="Arial" w:cs="Arial" w:eastAsia="Arial" w:hAnsi="Arial"/>
                <w:sz w:val="14"/>
                <w:szCs w:val="14"/>
                <w:color w:val="1F2668"/>
              </w:rPr>
              <w:t>Without Cause or For Good</w:t>
            </w:r>
          </w:p>
        </w:tc>
        <w:tc>
          <w:tcPr>
            <w:tcW w:w="2660" w:type="dxa"/>
            <w:vAlign w:val="bottom"/>
          </w:tcPr>
          <w:p>
            <w:pPr>
              <w:ind w:left="220"/>
              <w:spacing w:after="0"/>
              <w:rPr>
                <w:sz w:val="20"/>
                <w:szCs w:val="20"/>
                <w:color w:val="auto"/>
              </w:rPr>
            </w:pPr>
            <w:r>
              <w:rPr>
                <w:rFonts w:ascii="Arial" w:cs="Arial" w:eastAsia="Arial" w:hAnsi="Arial"/>
                <w:sz w:val="14"/>
                <w:szCs w:val="14"/>
                <w:color w:val="1F2668"/>
              </w:rPr>
              <w:t>Without Cause or For Good</w:t>
            </w:r>
          </w:p>
        </w:tc>
        <w:tc>
          <w:tcPr>
            <w:tcW w:w="0" w:type="dxa"/>
            <w:vAlign w:val="bottom"/>
          </w:tcPr>
          <w:p>
            <w:pPr>
              <w:spacing w:after="0"/>
              <w:rPr>
                <w:sz w:val="1"/>
                <w:szCs w:val="1"/>
                <w:color w:val="auto"/>
              </w:rPr>
            </w:pPr>
          </w:p>
        </w:tc>
      </w:tr>
      <w:tr>
        <w:trPr>
          <w:trHeight w:val="198"/>
        </w:trPr>
        <w:tc>
          <w:tcPr>
            <w:tcW w:w="860" w:type="dxa"/>
            <w:vAlign w:val="bottom"/>
            <w:tcBorders>
              <w:bottom w:val="single" w:sz="8" w:color="1F2668"/>
            </w:tcBorders>
          </w:tcPr>
          <w:p>
            <w:pPr>
              <w:spacing w:after="0"/>
              <w:rPr>
                <w:sz w:val="20"/>
                <w:szCs w:val="20"/>
                <w:color w:val="auto"/>
              </w:rPr>
            </w:pPr>
            <w:r>
              <w:rPr>
                <w:rFonts w:ascii="Arial" w:cs="Arial" w:eastAsia="Arial" w:hAnsi="Arial"/>
                <w:sz w:val="14"/>
                <w:szCs w:val="14"/>
                <w:color w:val="1F2668"/>
              </w:rPr>
              <w:t>​</w:t>
            </w:r>
          </w:p>
        </w:tc>
        <w:tc>
          <w:tcPr>
            <w:tcW w:w="2840" w:type="dxa"/>
            <w:vAlign w:val="bottom"/>
            <w:tcBorders>
              <w:bottom w:val="single" w:sz="8" w:color="1F2668"/>
            </w:tcBorders>
            <w:gridSpan w:val="2"/>
          </w:tcPr>
          <w:p>
            <w:pPr>
              <w:ind w:left="260"/>
              <w:spacing w:after="0" w:line="199" w:lineRule="exact"/>
              <w:rPr>
                <w:sz w:val="20"/>
                <w:szCs w:val="20"/>
                <w:color w:val="auto"/>
              </w:rPr>
            </w:pPr>
            <w:r>
              <w:rPr>
                <w:rFonts w:ascii="Arial" w:cs="Arial" w:eastAsia="Arial" w:hAnsi="Arial"/>
                <w:sz w:val="22"/>
                <w:szCs w:val="22"/>
                <w:color w:val="1F2668"/>
                <w:vertAlign w:val="subscript"/>
              </w:rPr>
              <w:t>​ ​</w:t>
            </w:r>
            <w:r>
              <w:rPr>
                <w:rFonts w:ascii="Arial" w:cs="Arial" w:eastAsia="Arial" w:hAnsi="Arial"/>
                <w:sz w:val="12"/>
                <w:szCs w:val="12"/>
                <w:color w:val="1F2668"/>
              </w:rPr>
              <w:t xml:space="preserve"> Change-in-Control (“CiC”)</w:t>
            </w:r>
          </w:p>
        </w:tc>
        <w:tc>
          <w:tcPr>
            <w:tcW w:w="2700" w:type="dxa"/>
            <w:vAlign w:val="bottom"/>
            <w:tcBorders>
              <w:bottom w:val="single" w:sz="8" w:color="1F2668"/>
            </w:tcBorders>
            <w:gridSpan w:val="2"/>
          </w:tcPr>
          <w:p>
            <w:pPr>
              <w:ind w:left="40"/>
              <w:spacing w:after="0" w:line="199" w:lineRule="exact"/>
              <w:rPr>
                <w:sz w:val="20"/>
                <w:szCs w:val="20"/>
                <w:color w:val="auto"/>
              </w:rPr>
            </w:pPr>
            <w:r>
              <w:rPr>
                <w:rFonts w:ascii="Arial" w:cs="Arial" w:eastAsia="Arial" w:hAnsi="Arial"/>
                <w:sz w:val="22"/>
                <w:szCs w:val="22"/>
                <w:color w:val="1F2668"/>
                <w:vertAlign w:val="subscript"/>
              </w:rPr>
              <w:t>​ ​</w:t>
            </w:r>
            <w:r>
              <w:rPr>
                <w:rFonts w:ascii="Arial" w:cs="Arial" w:eastAsia="Arial" w:hAnsi="Arial"/>
                <w:sz w:val="12"/>
                <w:szCs w:val="12"/>
                <w:color w:val="1F2668"/>
              </w:rPr>
              <w:t xml:space="preserve"> Reason</w:t>
            </w:r>
            <w:r>
              <w:rPr>
                <w:rFonts w:ascii="Arial" w:cs="Arial" w:eastAsia="Arial" w:hAnsi="Arial"/>
                <w:sz w:val="14"/>
                <w:szCs w:val="14"/>
                <w:b w:val="1"/>
                <w:bCs w:val="1"/>
                <w:color w:val="1F2668"/>
                <w:vertAlign w:val="superscript"/>
              </w:rPr>
              <w:t>(1)</w:t>
            </w:r>
          </w:p>
        </w:tc>
        <w:tc>
          <w:tcPr>
            <w:tcW w:w="2660" w:type="dxa"/>
            <w:vAlign w:val="bottom"/>
            <w:tcBorders>
              <w:bottom w:val="single" w:sz="8" w:color="1F2668"/>
            </w:tcBorders>
          </w:tcPr>
          <w:p>
            <w:pPr>
              <w:spacing w:after="0" w:line="199" w:lineRule="exact"/>
              <w:rPr>
                <w:sz w:val="20"/>
                <w:szCs w:val="20"/>
                <w:color w:val="auto"/>
              </w:rPr>
            </w:pPr>
            <w:r>
              <w:rPr>
                <w:rFonts w:ascii="Arial" w:cs="Arial" w:eastAsia="Arial" w:hAnsi="Arial"/>
                <w:sz w:val="22"/>
                <w:szCs w:val="22"/>
                <w:color w:val="1F2668"/>
                <w:vertAlign w:val="subscript"/>
              </w:rPr>
              <w:t>​ ​</w:t>
            </w:r>
            <w:r>
              <w:rPr>
                <w:rFonts w:ascii="Arial" w:cs="Arial" w:eastAsia="Arial" w:hAnsi="Arial"/>
                <w:sz w:val="12"/>
                <w:szCs w:val="12"/>
                <w:color w:val="1F2668"/>
              </w:rPr>
              <w:t xml:space="preserve"> Reason</w:t>
            </w:r>
            <w:r>
              <w:rPr>
                <w:rFonts w:ascii="Arial" w:cs="Arial" w:eastAsia="Arial" w:hAnsi="Arial"/>
                <w:sz w:val="14"/>
                <w:szCs w:val="14"/>
                <w:b w:val="1"/>
                <w:bCs w:val="1"/>
                <w:color w:val="1F2668"/>
                <w:vertAlign w:val="superscript"/>
              </w:rPr>
              <w:t>(1)</w:t>
            </w:r>
          </w:p>
        </w:tc>
        <w:tc>
          <w:tcPr>
            <w:tcW w:w="0" w:type="dxa"/>
            <w:vAlign w:val="bottom"/>
          </w:tcPr>
          <w:p>
            <w:pPr>
              <w:spacing w:after="0"/>
              <w:rPr>
                <w:sz w:val="1"/>
                <w:szCs w:val="1"/>
                <w:color w:val="auto"/>
              </w:rPr>
            </w:pPr>
          </w:p>
        </w:tc>
      </w:tr>
      <w:tr>
        <w:trPr>
          <w:trHeight w:val="249"/>
        </w:trPr>
        <w:tc>
          <w:tcPr>
            <w:tcW w:w="860" w:type="dxa"/>
            <w:vAlign w:val="bottom"/>
          </w:tcPr>
          <w:p>
            <w:pPr>
              <w:spacing w:after="0"/>
              <w:rPr>
                <w:sz w:val="21"/>
                <w:szCs w:val="21"/>
                <w:color w:val="auto"/>
              </w:rPr>
            </w:pPr>
          </w:p>
        </w:tc>
        <w:tc>
          <w:tcPr>
            <w:tcW w:w="560" w:type="dxa"/>
            <w:vAlign w:val="bottom"/>
          </w:tcPr>
          <w:p>
            <w:pPr>
              <w:jc w:val="right"/>
              <w:spacing w:after="0" w:line="249"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8"/>
                <w:szCs w:val="28"/>
                <w:color w:val="auto"/>
                <w:vertAlign w:val="subscript"/>
              </w:rPr>
              <w:t>•</w:t>
            </w:r>
          </w:p>
        </w:tc>
        <w:tc>
          <w:tcPr>
            <w:tcW w:w="2280" w:type="dxa"/>
            <w:vAlign w:val="bottom"/>
          </w:tcPr>
          <w:p>
            <w:pPr>
              <w:ind w:left="60"/>
              <w:spacing w:after="0"/>
              <w:rPr>
                <w:sz w:val="20"/>
                <w:szCs w:val="20"/>
                <w:color w:val="auto"/>
              </w:rPr>
            </w:pPr>
            <w:r>
              <w:rPr>
                <w:rFonts w:ascii="Arial" w:cs="Arial" w:eastAsia="Arial" w:hAnsi="Arial"/>
                <w:sz w:val="16"/>
                <w:szCs w:val="16"/>
                <w:color w:val="auto"/>
              </w:rPr>
              <w:t>If one-year performance period</w:t>
            </w:r>
          </w:p>
        </w:tc>
        <w:tc>
          <w:tcPr>
            <w:tcW w:w="380" w:type="dxa"/>
            <w:vAlign w:val="bottom"/>
          </w:tcPr>
          <w:p>
            <w:pPr>
              <w:jc w:val="right"/>
              <w:spacing w:after="0" w:line="249"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8"/>
                <w:szCs w:val="28"/>
                <w:color w:val="auto"/>
                <w:vertAlign w:val="subscript"/>
              </w:rPr>
              <w:t>•</w:t>
            </w:r>
          </w:p>
        </w:tc>
        <w:tc>
          <w:tcPr>
            <w:tcW w:w="2320" w:type="dxa"/>
            <w:vAlign w:val="bottom"/>
          </w:tcPr>
          <w:p>
            <w:pPr>
              <w:ind w:left="40"/>
              <w:spacing w:after="0"/>
              <w:rPr>
                <w:sz w:val="20"/>
                <w:szCs w:val="20"/>
                <w:color w:val="auto"/>
              </w:rPr>
            </w:pPr>
            <w:r>
              <w:rPr>
                <w:rFonts w:ascii="Arial" w:cs="Arial" w:eastAsia="Arial" w:hAnsi="Arial"/>
                <w:sz w:val="16"/>
                <w:szCs w:val="16"/>
                <w:color w:val="auto"/>
              </w:rPr>
              <w:t>If one-year performance period</w:t>
            </w:r>
          </w:p>
        </w:tc>
        <w:tc>
          <w:tcPr>
            <w:tcW w:w="2660" w:type="dxa"/>
            <w:vAlign w:val="bottom"/>
          </w:tcPr>
          <w:p>
            <w:pPr>
              <w:spacing w:after="0" w:line="249"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 Performance calculated as of</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80" w:type="dxa"/>
            <w:vAlign w:val="bottom"/>
          </w:tcPr>
          <w:p>
            <w:pPr>
              <w:ind w:left="60"/>
              <w:spacing w:after="0"/>
              <w:rPr>
                <w:sz w:val="20"/>
                <w:szCs w:val="20"/>
                <w:color w:val="auto"/>
              </w:rPr>
            </w:pPr>
            <w:r>
              <w:rPr>
                <w:rFonts w:ascii="Arial" w:cs="Arial" w:eastAsia="Arial" w:hAnsi="Arial"/>
                <w:sz w:val="16"/>
                <w:szCs w:val="16"/>
                <w:color w:val="auto"/>
              </w:rPr>
              <w:t>ends early, Operational</w:t>
            </w:r>
          </w:p>
        </w:tc>
        <w:tc>
          <w:tcPr>
            <w:tcW w:w="380" w:type="dxa"/>
            <w:vAlign w:val="bottom"/>
          </w:tcPr>
          <w:p>
            <w:pPr>
              <w:spacing w:after="0"/>
              <w:rPr>
                <w:sz w:val="17"/>
                <w:szCs w:val="17"/>
                <w:color w:val="auto"/>
              </w:rPr>
            </w:pPr>
          </w:p>
        </w:tc>
        <w:tc>
          <w:tcPr>
            <w:tcW w:w="2320" w:type="dxa"/>
            <w:vAlign w:val="bottom"/>
          </w:tcPr>
          <w:p>
            <w:pPr>
              <w:ind w:left="40"/>
              <w:spacing w:after="0"/>
              <w:rPr>
                <w:sz w:val="20"/>
                <w:szCs w:val="20"/>
                <w:color w:val="auto"/>
              </w:rPr>
            </w:pPr>
            <w:r>
              <w:rPr>
                <w:rFonts w:ascii="Arial" w:cs="Arial" w:eastAsia="Arial" w:hAnsi="Arial"/>
                <w:sz w:val="16"/>
                <w:szCs w:val="16"/>
                <w:color w:val="auto"/>
              </w:rPr>
              <w:t>ends early, Operational</w:t>
            </w:r>
          </w:p>
        </w:tc>
        <w:tc>
          <w:tcPr>
            <w:tcW w:w="2660" w:type="dxa"/>
            <w:vAlign w:val="bottom"/>
          </w:tcPr>
          <w:p>
            <w:pPr>
              <w:ind w:left="380"/>
              <w:spacing w:after="0"/>
              <w:rPr>
                <w:sz w:val="20"/>
                <w:szCs w:val="20"/>
                <w:color w:val="auto"/>
              </w:rPr>
            </w:pPr>
            <w:r>
              <w:rPr>
                <w:rFonts w:ascii="Arial" w:cs="Arial" w:eastAsia="Arial" w:hAnsi="Arial"/>
                <w:sz w:val="16"/>
                <w:szCs w:val="16"/>
                <w:color w:val="auto"/>
              </w:rPr>
              <w:t>end of performance period</w:t>
            </w: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80" w:type="dxa"/>
            <w:vAlign w:val="bottom"/>
          </w:tcPr>
          <w:p>
            <w:pPr>
              <w:ind w:left="60"/>
              <w:spacing w:after="0"/>
              <w:rPr>
                <w:sz w:val="20"/>
                <w:szCs w:val="20"/>
                <w:color w:val="auto"/>
              </w:rPr>
            </w:pPr>
            <w:r>
              <w:rPr>
                <w:rFonts w:ascii="Arial" w:cs="Arial" w:eastAsia="Arial" w:hAnsi="Arial"/>
                <w:sz w:val="16"/>
                <w:szCs w:val="16"/>
                <w:color w:val="auto"/>
              </w:rPr>
              <w:t>Component deemed achieved</w:t>
            </w:r>
          </w:p>
        </w:tc>
        <w:tc>
          <w:tcPr>
            <w:tcW w:w="380" w:type="dxa"/>
            <w:vAlign w:val="bottom"/>
          </w:tcPr>
          <w:p>
            <w:pPr>
              <w:spacing w:after="0"/>
              <w:rPr>
                <w:sz w:val="16"/>
                <w:szCs w:val="16"/>
                <w:color w:val="auto"/>
              </w:rPr>
            </w:pPr>
          </w:p>
        </w:tc>
        <w:tc>
          <w:tcPr>
            <w:tcW w:w="2320" w:type="dxa"/>
            <w:vAlign w:val="bottom"/>
          </w:tcPr>
          <w:p>
            <w:pPr>
              <w:ind w:left="40"/>
              <w:spacing w:after="0"/>
              <w:rPr>
                <w:sz w:val="20"/>
                <w:szCs w:val="20"/>
                <w:color w:val="auto"/>
              </w:rPr>
            </w:pPr>
            <w:r>
              <w:rPr>
                <w:rFonts w:ascii="Arial" w:cs="Arial" w:eastAsia="Arial" w:hAnsi="Arial"/>
                <w:sz w:val="16"/>
                <w:szCs w:val="16"/>
                <w:color w:val="auto"/>
              </w:rPr>
              <w:t>Component deemed achieved</w:t>
            </w:r>
          </w:p>
        </w:tc>
        <w:tc>
          <w:tcPr>
            <w:tcW w:w="2660" w:type="dxa"/>
            <w:vAlign w:val="bottom"/>
            <w:vMerge w:val="restart"/>
          </w:tcPr>
          <w:p>
            <w:pPr>
              <w:ind w:left="220"/>
              <w:spacing w:after="0"/>
              <w:rPr>
                <w:sz w:val="20"/>
                <w:szCs w:val="20"/>
                <w:color w:val="auto"/>
              </w:rPr>
            </w:pPr>
            <w:r>
              <w:rPr>
                <w:rFonts w:ascii="Arial" w:cs="Arial" w:eastAsia="Arial" w:hAnsi="Arial"/>
                <w:sz w:val="16"/>
                <w:szCs w:val="16"/>
                <w:color w:val="auto"/>
              </w:rPr>
              <w:t>• Earned awards fully vested</w:t>
            </w:r>
          </w:p>
        </w:tc>
        <w:tc>
          <w:tcPr>
            <w:tcW w:w="0" w:type="dxa"/>
            <w:vAlign w:val="bottom"/>
          </w:tcPr>
          <w:p>
            <w:pPr>
              <w:spacing w:after="0"/>
              <w:rPr>
                <w:sz w:val="1"/>
                <w:szCs w:val="1"/>
                <w:color w:val="auto"/>
              </w:rPr>
            </w:pPr>
          </w:p>
        </w:tc>
      </w:tr>
      <w:tr>
        <w:trPr>
          <w:trHeight w:val="93"/>
        </w:trPr>
        <w:tc>
          <w:tcPr>
            <w:tcW w:w="8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80" w:type="dxa"/>
            <w:vAlign w:val="bottom"/>
            <w:vMerge w:val="restart"/>
          </w:tcPr>
          <w:p>
            <w:pPr>
              <w:ind w:left="60"/>
              <w:spacing w:after="0"/>
              <w:rPr>
                <w:sz w:val="20"/>
                <w:szCs w:val="20"/>
                <w:color w:val="auto"/>
              </w:rPr>
            </w:pPr>
            <w:r>
              <w:rPr>
                <w:rFonts w:ascii="Arial" w:cs="Arial" w:eastAsia="Arial" w:hAnsi="Arial"/>
                <w:sz w:val="16"/>
                <w:szCs w:val="16"/>
                <w:color w:val="auto"/>
              </w:rPr>
              <w:t>at target, subject to Absolute</w:t>
            </w:r>
          </w:p>
        </w:tc>
        <w:tc>
          <w:tcPr>
            <w:tcW w:w="380" w:type="dxa"/>
            <w:vAlign w:val="bottom"/>
          </w:tcPr>
          <w:p>
            <w:pPr>
              <w:spacing w:after="0"/>
              <w:rPr>
                <w:sz w:val="8"/>
                <w:szCs w:val="8"/>
                <w:color w:val="auto"/>
              </w:rPr>
            </w:pPr>
          </w:p>
        </w:tc>
        <w:tc>
          <w:tcPr>
            <w:tcW w:w="2320" w:type="dxa"/>
            <w:vAlign w:val="bottom"/>
            <w:vMerge w:val="restart"/>
          </w:tcPr>
          <w:p>
            <w:pPr>
              <w:ind w:left="40"/>
              <w:spacing w:after="0"/>
              <w:rPr>
                <w:sz w:val="20"/>
                <w:szCs w:val="20"/>
                <w:color w:val="auto"/>
              </w:rPr>
            </w:pPr>
            <w:r>
              <w:rPr>
                <w:rFonts w:ascii="Arial" w:cs="Arial" w:eastAsia="Arial" w:hAnsi="Arial"/>
                <w:sz w:val="16"/>
                <w:szCs w:val="16"/>
                <w:color w:val="auto"/>
              </w:rPr>
              <w:t>at maximum (200%), subject to</w:t>
            </w:r>
          </w:p>
        </w:tc>
        <w:tc>
          <w:tcPr>
            <w:tcW w:w="2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860" w:type="dxa"/>
            <w:vAlign w:val="bottom"/>
            <w:vMerge w:val="restart"/>
          </w:tcPr>
          <w:p>
            <w:pPr>
              <w:spacing w:after="0"/>
              <w:rPr>
                <w:sz w:val="20"/>
                <w:szCs w:val="20"/>
                <w:color w:val="auto"/>
              </w:rPr>
            </w:pPr>
            <w:r>
              <w:rPr>
                <w:rFonts w:ascii="Arial" w:cs="Arial" w:eastAsia="Arial" w:hAnsi="Arial"/>
                <w:sz w:val="16"/>
                <w:szCs w:val="16"/>
                <w:b w:val="1"/>
                <w:bCs w:val="1"/>
                <w:color w:val="1F2668"/>
              </w:rPr>
              <w:t>Holliday</w:t>
            </w:r>
          </w:p>
        </w:tc>
        <w:tc>
          <w:tcPr>
            <w:tcW w:w="56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2320" w:type="dxa"/>
            <w:vAlign w:val="bottom"/>
            <w:vMerge w:val="continue"/>
          </w:tcPr>
          <w:p>
            <w:pPr>
              <w:spacing w:after="0"/>
              <w:rPr>
                <w:sz w:val="9"/>
                <w:szCs w:val="9"/>
                <w:color w:val="auto"/>
              </w:rPr>
            </w:pPr>
          </w:p>
        </w:tc>
        <w:tc>
          <w:tcPr>
            <w:tcW w:w="2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86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2280" w:type="dxa"/>
            <w:vAlign w:val="bottom"/>
          </w:tcPr>
          <w:p>
            <w:pPr>
              <w:ind w:left="60"/>
              <w:spacing w:after="0" w:line="163" w:lineRule="exact"/>
              <w:rPr>
                <w:sz w:val="20"/>
                <w:szCs w:val="20"/>
                <w:color w:val="auto"/>
              </w:rPr>
            </w:pPr>
            <w:r>
              <w:rPr>
                <w:rFonts w:ascii="Arial" w:cs="Arial" w:eastAsia="Arial" w:hAnsi="Arial"/>
                <w:sz w:val="16"/>
                <w:szCs w:val="16"/>
                <w:color w:val="auto"/>
              </w:rPr>
              <w:t>TSR modifier</w:t>
            </w:r>
          </w:p>
        </w:tc>
        <w:tc>
          <w:tcPr>
            <w:tcW w:w="380" w:type="dxa"/>
            <w:vAlign w:val="bottom"/>
          </w:tcPr>
          <w:p>
            <w:pPr>
              <w:spacing w:after="0"/>
              <w:rPr>
                <w:sz w:val="14"/>
                <w:szCs w:val="14"/>
                <w:color w:val="auto"/>
              </w:rPr>
            </w:pPr>
          </w:p>
        </w:tc>
        <w:tc>
          <w:tcPr>
            <w:tcW w:w="2320" w:type="dxa"/>
            <w:vAlign w:val="bottom"/>
          </w:tcPr>
          <w:p>
            <w:pPr>
              <w:ind w:left="40"/>
              <w:spacing w:after="0" w:line="163" w:lineRule="exact"/>
              <w:rPr>
                <w:sz w:val="20"/>
                <w:szCs w:val="20"/>
                <w:color w:val="auto"/>
              </w:rPr>
            </w:pPr>
            <w:r>
              <w:rPr>
                <w:rFonts w:ascii="Arial" w:cs="Arial" w:eastAsia="Arial" w:hAnsi="Arial"/>
                <w:sz w:val="16"/>
                <w:szCs w:val="16"/>
                <w:color w:val="auto"/>
              </w:rPr>
              <w:t>Absolute TSR modifier</w:t>
            </w: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20"/>
                <w:szCs w:val="20"/>
                <w:color w:val="auto"/>
              </w:rPr>
            </w:pPr>
            <w:r>
              <w:rPr>
                <w:rFonts w:ascii="Arial" w:cs="Arial" w:eastAsia="Arial" w:hAnsi="Arial"/>
                <w:sz w:val="16"/>
                <w:szCs w:val="16"/>
                <w:b w:val="1"/>
                <w:bCs w:val="1"/>
                <w:color w:val="1F2668"/>
              </w:rPr>
              <w:t>Awards</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80" w:type="dxa"/>
            <w:vAlign w:val="bottom"/>
            <w:vMerge w:val="restart"/>
          </w:tcPr>
          <w:p>
            <w:pPr>
              <w:ind w:left="60"/>
              <w:spacing w:after="0"/>
              <w:rPr>
                <w:sz w:val="20"/>
                <w:szCs w:val="20"/>
                <w:color w:val="auto"/>
              </w:rPr>
            </w:pPr>
            <w:r>
              <w:rPr>
                <w:rFonts w:ascii="Arial" w:cs="Arial" w:eastAsia="Arial" w:hAnsi="Arial"/>
                <w:sz w:val="16"/>
                <w:szCs w:val="16"/>
                <w:color w:val="auto"/>
              </w:rPr>
              <w:t>Relative Component</w:t>
            </w: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320" w:type="dxa"/>
            <w:vAlign w:val="bottom"/>
            <w:vMerge w:val="restart"/>
          </w:tcPr>
          <w:p>
            <w:pPr>
              <w:ind w:left="40"/>
              <w:spacing w:after="0"/>
              <w:rPr>
                <w:sz w:val="20"/>
                <w:szCs w:val="20"/>
                <w:color w:val="auto"/>
              </w:rPr>
            </w:pPr>
            <w:r>
              <w:rPr>
                <w:rFonts w:ascii="Arial" w:cs="Arial" w:eastAsia="Arial" w:hAnsi="Arial"/>
                <w:sz w:val="16"/>
                <w:szCs w:val="16"/>
                <w:color w:val="auto"/>
                <w:w w:val="98"/>
              </w:rPr>
              <w:t>Relative Component determined</w:t>
            </w:r>
          </w:p>
        </w:tc>
        <w:tc>
          <w:tcPr>
            <w:tcW w:w="2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8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228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2320" w:type="dxa"/>
            <w:vAlign w:val="bottom"/>
            <w:vMerge w:val="continue"/>
          </w:tcPr>
          <w:p>
            <w:pPr>
              <w:spacing w:after="0"/>
              <w:rPr>
                <w:sz w:val="8"/>
                <w:szCs w:val="8"/>
                <w:color w:val="auto"/>
              </w:rPr>
            </w:pPr>
          </w:p>
        </w:tc>
        <w:tc>
          <w:tcPr>
            <w:tcW w:w="2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80" w:type="dxa"/>
            <w:vAlign w:val="bottom"/>
          </w:tcPr>
          <w:p>
            <w:pPr>
              <w:ind w:left="60"/>
              <w:spacing w:after="0"/>
              <w:rPr>
                <w:sz w:val="20"/>
                <w:szCs w:val="20"/>
                <w:color w:val="auto"/>
              </w:rPr>
            </w:pPr>
            <w:r>
              <w:rPr>
                <w:rFonts w:ascii="Arial" w:cs="Arial" w:eastAsia="Arial" w:hAnsi="Arial"/>
                <w:sz w:val="16"/>
                <w:szCs w:val="16"/>
                <w:color w:val="auto"/>
              </w:rPr>
              <w:t>determined as of date of CiC</w:t>
            </w:r>
          </w:p>
        </w:tc>
        <w:tc>
          <w:tcPr>
            <w:tcW w:w="380" w:type="dxa"/>
            <w:vAlign w:val="bottom"/>
          </w:tcPr>
          <w:p>
            <w:pPr>
              <w:spacing w:after="0"/>
              <w:rPr>
                <w:sz w:val="18"/>
                <w:szCs w:val="18"/>
                <w:color w:val="auto"/>
              </w:rPr>
            </w:pPr>
          </w:p>
        </w:tc>
        <w:tc>
          <w:tcPr>
            <w:tcW w:w="2320" w:type="dxa"/>
            <w:vAlign w:val="bottom"/>
          </w:tcPr>
          <w:p>
            <w:pPr>
              <w:ind w:left="40"/>
              <w:spacing w:after="0"/>
              <w:rPr>
                <w:sz w:val="20"/>
                <w:szCs w:val="20"/>
                <w:color w:val="auto"/>
              </w:rPr>
            </w:pPr>
            <w:r>
              <w:rPr>
                <w:rFonts w:ascii="Arial" w:cs="Arial" w:eastAsia="Arial" w:hAnsi="Arial"/>
                <w:sz w:val="16"/>
                <w:szCs w:val="16"/>
                <w:color w:val="auto"/>
              </w:rPr>
              <w:t>as of date of CiC</w:t>
            </w: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8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280" w:type="dxa"/>
            <w:vAlign w:val="bottom"/>
          </w:tcPr>
          <w:p>
            <w:pPr>
              <w:ind w:left="60"/>
              <w:spacing w:after="0"/>
              <w:rPr>
                <w:sz w:val="20"/>
                <w:szCs w:val="20"/>
                <w:color w:val="auto"/>
              </w:rPr>
            </w:pPr>
            <w:r>
              <w:rPr>
                <w:rFonts w:ascii="Arial" w:cs="Arial" w:eastAsia="Arial" w:hAnsi="Arial"/>
                <w:sz w:val="16"/>
                <w:szCs w:val="16"/>
                <w:color w:val="auto"/>
              </w:rPr>
              <w:t>Earned awards remain subject</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320" w:type="dxa"/>
            <w:vAlign w:val="bottom"/>
          </w:tcPr>
          <w:p>
            <w:pPr>
              <w:ind w:left="40"/>
              <w:spacing w:after="0"/>
              <w:rPr>
                <w:sz w:val="20"/>
                <w:szCs w:val="20"/>
                <w:color w:val="auto"/>
              </w:rPr>
            </w:pPr>
            <w:r>
              <w:rPr>
                <w:rFonts w:ascii="Arial" w:cs="Arial" w:eastAsia="Arial" w:hAnsi="Arial"/>
                <w:sz w:val="16"/>
                <w:szCs w:val="16"/>
                <w:color w:val="auto"/>
              </w:rPr>
              <w:t>Earned awards vest in full</w:t>
            </w:r>
          </w:p>
        </w:tc>
        <w:tc>
          <w:tcPr>
            <w:tcW w:w="2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80" w:type="dxa"/>
            <w:vAlign w:val="bottom"/>
          </w:tcPr>
          <w:p>
            <w:pPr>
              <w:ind w:left="60"/>
              <w:spacing w:after="0"/>
              <w:rPr>
                <w:sz w:val="20"/>
                <w:szCs w:val="20"/>
                <w:color w:val="auto"/>
              </w:rPr>
            </w:pPr>
            <w:r>
              <w:rPr>
                <w:rFonts w:ascii="Arial" w:cs="Arial" w:eastAsia="Arial" w:hAnsi="Arial"/>
                <w:sz w:val="16"/>
                <w:szCs w:val="16"/>
                <w:color w:val="auto"/>
              </w:rPr>
              <w:t>to time-based vesting</w:t>
            </w:r>
          </w:p>
        </w:tc>
        <w:tc>
          <w:tcPr>
            <w:tcW w:w="3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1F2668"/>
        </w:rPr>
        <w: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1F2668"/>
        </w:rPr>
        <w: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870" w:lineRule="exact"/>
        <w:rPr>
          <w:sz w:val="20"/>
          <w:szCs w:val="20"/>
          <w:color w:val="auto"/>
        </w:rPr>
      </w:pPr>
    </w:p>
    <w:p>
      <w:pPr>
        <w:sectPr>
          <w:pgSz w:w="11900" w:h="16838" w:orient="portrait"/>
          <w:cols w:equalWidth="0" w:num="2">
            <w:col w:w="9880" w:space="0"/>
            <w:col w:w="840"/>
          </w:cols>
          <w:pgMar w:left="580" w:top="97" w:right="599" w:bottom="1440" w:gutter="0" w:footer="0" w:header="0"/>
          <w:type w:val="continuous"/>
        </w:sectPr>
      </w:pPr>
    </w:p>
    <w:tbl>
      <w:tblPr>
        <w:tblLayout w:type="fixed"/>
        <w:tblInd w:w="820" w:type="dxa"/>
        <w:tblCellMar>
          <w:top w:w="0" w:type="dxa"/>
          <w:left w:w="0" w:type="dxa"/>
          <w:bottom w:w="0" w:type="dxa"/>
          <w:right w:w="0" w:type="dxa"/>
        </w:tblCellMar>
      </w:tblPr>
      <w:tr>
        <w:trPr>
          <w:trHeight w:val="20"/>
        </w:trPr>
        <w:tc>
          <w:tcPr>
            <w:tcW w:w="1420" w:type="dxa"/>
            <w:vAlign w:val="bottom"/>
            <w:shd w:val="clear" w:color="auto" w:fill="4B5088"/>
          </w:tcPr>
          <w:p>
            <w:pPr>
              <w:spacing w:after="0" w:line="20" w:lineRule="exact"/>
              <w:rPr>
                <w:sz w:val="1"/>
                <w:szCs w:val="1"/>
                <w:color w:val="auto"/>
              </w:rPr>
            </w:pPr>
          </w:p>
        </w:tc>
        <w:tc>
          <w:tcPr>
            <w:tcW w:w="2280" w:type="dxa"/>
            <w:vAlign w:val="bottom"/>
            <w:shd w:val="clear" w:color="auto" w:fill="4B5088"/>
          </w:tcPr>
          <w:p>
            <w:pPr>
              <w:spacing w:after="0" w:line="20" w:lineRule="exact"/>
              <w:rPr>
                <w:sz w:val="1"/>
                <w:szCs w:val="1"/>
                <w:color w:val="auto"/>
              </w:rPr>
            </w:pPr>
          </w:p>
        </w:tc>
        <w:tc>
          <w:tcPr>
            <w:tcW w:w="380" w:type="dxa"/>
            <w:vAlign w:val="bottom"/>
            <w:shd w:val="clear" w:color="auto" w:fill="4B5088"/>
          </w:tcPr>
          <w:p>
            <w:pPr>
              <w:spacing w:after="0" w:line="20" w:lineRule="exact"/>
              <w:rPr>
                <w:sz w:val="1"/>
                <w:szCs w:val="1"/>
                <w:color w:val="auto"/>
              </w:rPr>
            </w:pPr>
          </w:p>
        </w:tc>
        <w:tc>
          <w:tcPr>
            <w:tcW w:w="2440" w:type="dxa"/>
            <w:vAlign w:val="bottom"/>
            <w:shd w:val="clear" w:color="auto" w:fill="4B5088"/>
          </w:tcPr>
          <w:p>
            <w:pPr>
              <w:spacing w:after="0" w:line="20" w:lineRule="exact"/>
              <w:rPr>
                <w:sz w:val="1"/>
                <w:szCs w:val="1"/>
                <w:color w:val="auto"/>
              </w:rPr>
            </w:pPr>
          </w:p>
        </w:tc>
        <w:tc>
          <w:tcPr>
            <w:tcW w:w="220" w:type="dxa"/>
            <w:vAlign w:val="bottom"/>
            <w:shd w:val="clear" w:color="auto" w:fill="4B5088"/>
          </w:tcPr>
          <w:p>
            <w:pPr>
              <w:spacing w:after="0" w:line="20" w:lineRule="exact"/>
              <w:rPr>
                <w:sz w:val="1"/>
                <w:szCs w:val="1"/>
                <w:color w:val="auto"/>
              </w:rPr>
            </w:pPr>
          </w:p>
        </w:tc>
        <w:tc>
          <w:tcPr>
            <w:tcW w:w="2320" w:type="dxa"/>
            <w:vAlign w:val="bottom"/>
            <w:shd w:val="clear" w:color="auto" w:fill="4B50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420" w:type="dxa"/>
            <w:vAlign w:val="bottom"/>
          </w:tcPr>
          <w:p>
            <w:pPr>
              <w:jc w:val="right"/>
              <w:spacing w:after="0" w:line="245"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8"/>
                <w:szCs w:val="28"/>
                <w:color w:val="auto"/>
                <w:vertAlign w:val="subscript"/>
              </w:rPr>
              <w:t>•</w:t>
            </w:r>
          </w:p>
        </w:tc>
        <w:tc>
          <w:tcPr>
            <w:tcW w:w="2280" w:type="dxa"/>
            <w:vAlign w:val="bottom"/>
          </w:tcPr>
          <w:p>
            <w:pPr>
              <w:ind w:left="60"/>
              <w:spacing w:after="0"/>
              <w:rPr>
                <w:sz w:val="20"/>
                <w:szCs w:val="20"/>
                <w:color w:val="auto"/>
              </w:rPr>
            </w:pPr>
            <w:r>
              <w:rPr>
                <w:rFonts w:ascii="Arial" w:cs="Arial" w:eastAsia="Arial" w:hAnsi="Arial"/>
                <w:sz w:val="16"/>
                <w:szCs w:val="16"/>
                <w:color w:val="auto"/>
              </w:rPr>
              <w:t>If one-year performance period</w:t>
            </w:r>
          </w:p>
        </w:tc>
        <w:tc>
          <w:tcPr>
            <w:tcW w:w="380" w:type="dxa"/>
            <w:vAlign w:val="bottom"/>
          </w:tcPr>
          <w:p>
            <w:pPr>
              <w:jc w:val="right"/>
              <w:spacing w:after="0" w:line="245"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8"/>
                <w:szCs w:val="28"/>
                <w:color w:val="auto"/>
                <w:vertAlign w:val="subscript"/>
              </w:rPr>
              <w:t>•</w:t>
            </w:r>
          </w:p>
        </w:tc>
        <w:tc>
          <w:tcPr>
            <w:tcW w:w="2660" w:type="dxa"/>
            <w:vAlign w:val="bottom"/>
            <w:gridSpan w:val="2"/>
          </w:tcPr>
          <w:p>
            <w:pPr>
              <w:ind w:left="40"/>
              <w:spacing w:after="0" w:line="245" w:lineRule="exact"/>
              <w:rPr>
                <w:sz w:val="20"/>
                <w:szCs w:val="20"/>
                <w:color w:val="auto"/>
              </w:rPr>
            </w:pPr>
            <w:r>
              <w:rPr>
                <w:rFonts w:ascii="Arial" w:cs="Arial" w:eastAsia="Arial" w:hAnsi="Arial"/>
                <w:sz w:val="15"/>
                <w:szCs w:val="15"/>
                <w:color w:val="auto"/>
              </w:rPr>
              <w:t xml:space="preserve">If one-year performance period </w:t>
            </w:r>
            <w:r>
              <w:rPr>
                <w:rFonts w:ascii="Arial" w:cs="Arial" w:eastAsia="Arial" w:hAnsi="Arial"/>
                <w:sz w:val="28"/>
                <w:szCs w:val="28"/>
                <w:color w:val="auto"/>
                <w:vertAlign w:val="superscript"/>
              </w:rPr>
              <w:t>​ ​</w:t>
            </w:r>
            <w:r>
              <w:rPr>
                <w:rFonts w:ascii="Arial" w:cs="Arial" w:eastAsia="Arial" w:hAnsi="Arial"/>
                <w:sz w:val="15"/>
                <w:szCs w:val="15"/>
                <w:color w:val="auto"/>
              </w:rPr>
              <w:t xml:space="preserve"> •</w:t>
            </w:r>
          </w:p>
        </w:tc>
        <w:tc>
          <w:tcPr>
            <w:tcW w:w="2380" w:type="dxa"/>
            <w:vAlign w:val="bottom"/>
            <w:gridSpan w:val="2"/>
          </w:tcPr>
          <w:p>
            <w:pPr>
              <w:ind w:left="40"/>
              <w:spacing w:after="0" w:line="245" w:lineRule="exact"/>
              <w:rPr>
                <w:sz w:val="20"/>
                <w:szCs w:val="20"/>
                <w:color w:val="auto"/>
              </w:rPr>
            </w:pPr>
            <w:r>
              <w:rPr>
                <w:rFonts w:ascii="Arial" w:cs="Arial" w:eastAsia="Arial" w:hAnsi="Arial"/>
                <w:sz w:val="15"/>
                <w:szCs w:val="15"/>
                <w:color w:val="auto"/>
              </w:rPr>
              <w:t xml:space="preserve">Performance calculated as of   </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2280" w:type="dxa"/>
            <w:vAlign w:val="bottom"/>
          </w:tcPr>
          <w:p>
            <w:pPr>
              <w:ind w:left="60"/>
              <w:spacing w:after="0"/>
              <w:rPr>
                <w:sz w:val="20"/>
                <w:szCs w:val="20"/>
                <w:color w:val="auto"/>
              </w:rPr>
            </w:pPr>
            <w:r>
              <w:rPr>
                <w:rFonts w:ascii="Arial" w:cs="Arial" w:eastAsia="Arial" w:hAnsi="Arial"/>
                <w:sz w:val="16"/>
                <w:szCs w:val="16"/>
                <w:color w:val="auto"/>
              </w:rPr>
              <w:t>ends early, Operational</w:t>
            </w:r>
          </w:p>
        </w:tc>
        <w:tc>
          <w:tcPr>
            <w:tcW w:w="380" w:type="dxa"/>
            <w:vAlign w:val="bottom"/>
          </w:tcPr>
          <w:p>
            <w:pPr>
              <w:spacing w:after="0"/>
              <w:rPr>
                <w:sz w:val="17"/>
                <w:szCs w:val="17"/>
                <w:color w:val="auto"/>
              </w:rPr>
            </w:pPr>
          </w:p>
        </w:tc>
        <w:tc>
          <w:tcPr>
            <w:tcW w:w="2440" w:type="dxa"/>
            <w:vAlign w:val="bottom"/>
          </w:tcPr>
          <w:p>
            <w:pPr>
              <w:ind w:left="40"/>
              <w:spacing w:after="0"/>
              <w:rPr>
                <w:sz w:val="20"/>
                <w:szCs w:val="20"/>
                <w:color w:val="auto"/>
              </w:rPr>
            </w:pPr>
            <w:r>
              <w:rPr>
                <w:rFonts w:ascii="Arial" w:cs="Arial" w:eastAsia="Arial" w:hAnsi="Arial"/>
                <w:sz w:val="16"/>
                <w:szCs w:val="16"/>
                <w:color w:val="auto"/>
              </w:rPr>
              <w:t>ends early, Operational</w:t>
            </w:r>
          </w:p>
        </w:tc>
        <w:tc>
          <w:tcPr>
            <w:tcW w:w="220" w:type="dxa"/>
            <w:vAlign w:val="bottom"/>
          </w:tcPr>
          <w:p>
            <w:pPr>
              <w:spacing w:after="0"/>
              <w:rPr>
                <w:sz w:val="17"/>
                <w:szCs w:val="17"/>
                <w:color w:val="auto"/>
              </w:rPr>
            </w:pPr>
          </w:p>
        </w:tc>
        <w:tc>
          <w:tcPr>
            <w:tcW w:w="2380" w:type="dxa"/>
            <w:vAlign w:val="bottom"/>
            <w:gridSpan w:val="2"/>
          </w:tcPr>
          <w:p>
            <w:pPr>
              <w:ind w:left="40"/>
              <w:spacing w:after="0"/>
              <w:rPr>
                <w:sz w:val="20"/>
                <w:szCs w:val="20"/>
                <w:color w:val="auto"/>
              </w:rPr>
            </w:pPr>
            <w:r>
              <w:rPr>
                <w:rFonts w:ascii="Arial" w:cs="Arial" w:eastAsia="Arial" w:hAnsi="Arial"/>
                <w:sz w:val="16"/>
                <w:szCs w:val="16"/>
                <w:color w:val="auto"/>
              </w:rPr>
              <w:t>end of performance period</w:t>
            </w:r>
          </w:p>
        </w:tc>
        <w:tc>
          <w:tcPr>
            <w:tcW w:w="0" w:type="dxa"/>
            <w:vAlign w:val="bottom"/>
          </w:tcPr>
          <w:p>
            <w:pPr>
              <w:spacing w:after="0"/>
              <w:rPr>
                <w:sz w:val="1"/>
                <w:szCs w:val="1"/>
                <w:color w:val="auto"/>
              </w:rPr>
            </w:pPr>
          </w:p>
        </w:tc>
      </w:tr>
      <w:tr>
        <w:trPr>
          <w:trHeight w:val="189"/>
        </w:trPr>
        <w:tc>
          <w:tcPr>
            <w:tcW w:w="1420" w:type="dxa"/>
            <w:vAlign w:val="bottom"/>
          </w:tcPr>
          <w:p>
            <w:pPr>
              <w:spacing w:after="0"/>
              <w:rPr>
                <w:sz w:val="16"/>
                <w:szCs w:val="16"/>
                <w:color w:val="auto"/>
              </w:rPr>
            </w:pPr>
          </w:p>
        </w:tc>
        <w:tc>
          <w:tcPr>
            <w:tcW w:w="2280" w:type="dxa"/>
            <w:vAlign w:val="bottom"/>
          </w:tcPr>
          <w:p>
            <w:pPr>
              <w:ind w:left="60"/>
              <w:spacing w:after="0"/>
              <w:rPr>
                <w:sz w:val="20"/>
                <w:szCs w:val="20"/>
                <w:color w:val="auto"/>
              </w:rPr>
            </w:pPr>
            <w:r>
              <w:rPr>
                <w:rFonts w:ascii="Arial" w:cs="Arial" w:eastAsia="Arial" w:hAnsi="Arial"/>
                <w:sz w:val="16"/>
                <w:szCs w:val="16"/>
                <w:color w:val="auto"/>
              </w:rPr>
              <w:t>Component deemed achieved</w:t>
            </w:r>
          </w:p>
        </w:tc>
        <w:tc>
          <w:tcPr>
            <w:tcW w:w="380" w:type="dxa"/>
            <w:vAlign w:val="bottom"/>
          </w:tcPr>
          <w:p>
            <w:pPr>
              <w:spacing w:after="0"/>
              <w:rPr>
                <w:sz w:val="16"/>
                <w:szCs w:val="16"/>
                <w:color w:val="auto"/>
              </w:rPr>
            </w:pPr>
          </w:p>
        </w:tc>
        <w:tc>
          <w:tcPr>
            <w:tcW w:w="2440" w:type="dxa"/>
            <w:vAlign w:val="bottom"/>
          </w:tcPr>
          <w:p>
            <w:pPr>
              <w:ind w:left="40"/>
              <w:spacing w:after="0"/>
              <w:rPr>
                <w:sz w:val="20"/>
                <w:szCs w:val="20"/>
                <w:color w:val="auto"/>
              </w:rPr>
            </w:pPr>
            <w:r>
              <w:rPr>
                <w:rFonts w:ascii="Arial" w:cs="Arial" w:eastAsia="Arial" w:hAnsi="Arial"/>
                <w:sz w:val="16"/>
                <w:szCs w:val="16"/>
                <w:color w:val="auto"/>
              </w:rPr>
              <w:t>Component deemed achieved</w:t>
            </w:r>
          </w:p>
        </w:tc>
        <w:tc>
          <w:tcPr>
            <w:tcW w:w="22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2380" w:type="dxa"/>
            <w:vAlign w:val="bottom"/>
            <w:gridSpan w:val="2"/>
            <w:vMerge w:val="restart"/>
          </w:tcPr>
          <w:p>
            <w:pPr>
              <w:ind w:left="40"/>
              <w:spacing w:after="0"/>
              <w:rPr>
                <w:sz w:val="20"/>
                <w:szCs w:val="20"/>
                <w:color w:val="auto"/>
              </w:rPr>
            </w:pPr>
            <w:r>
              <w:rPr>
                <w:rFonts w:ascii="Arial" w:cs="Arial" w:eastAsia="Arial" w:hAnsi="Arial"/>
                <w:sz w:val="16"/>
                <w:szCs w:val="16"/>
                <w:color w:val="auto"/>
              </w:rPr>
              <w:t>Earned awards fully vest,</w:t>
            </w:r>
          </w:p>
        </w:tc>
        <w:tc>
          <w:tcPr>
            <w:tcW w:w="0" w:type="dxa"/>
            <w:vAlign w:val="bottom"/>
          </w:tcPr>
          <w:p>
            <w:pPr>
              <w:spacing w:after="0"/>
              <w:rPr>
                <w:sz w:val="1"/>
                <w:szCs w:val="1"/>
                <w:color w:val="auto"/>
              </w:rPr>
            </w:pPr>
          </w:p>
        </w:tc>
      </w:tr>
      <w:tr>
        <w:trPr>
          <w:trHeight w:val="94"/>
        </w:trPr>
        <w:tc>
          <w:tcPr>
            <w:tcW w:w="1420" w:type="dxa"/>
            <w:vAlign w:val="bottom"/>
          </w:tcPr>
          <w:p>
            <w:pPr>
              <w:spacing w:after="0"/>
              <w:rPr>
                <w:sz w:val="8"/>
                <w:szCs w:val="8"/>
                <w:color w:val="auto"/>
              </w:rPr>
            </w:pPr>
          </w:p>
        </w:tc>
        <w:tc>
          <w:tcPr>
            <w:tcW w:w="2280" w:type="dxa"/>
            <w:vAlign w:val="bottom"/>
            <w:vMerge w:val="restart"/>
          </w:tcPr>
          <w:p>
            <w:pPr>
              <w:ind w:left="60"/>
              <w:spacing w:after="0"/>
              <w:rPr>
                <w:sz w:val="20"/>
                <w:szCs w:val="20"/>
                <w:color w:val="auto"/>
              </w:rPr>
            </w:pPr>
            <w:r>
              <w:rPr>
                <w:rFonts w:ascii="Arial" w:cs="Arial" w:eastAsia="Arial" w:hAnsi="Arial"/>
                <w:sz w:val="16"/>
                <w:szCs w:val="16"/>
                <w:color w:val="auto"/>
              </w:rPr>
              <w:t>at target, subject to Absolute</w:t>
            </w:r>
          </w:p>
        </w:tc>
        <w:tc>
          <w:tcPr>
            <w:tcW w:w="380" w:type="dxa"/>
            <w:vAlign w:val="bottom"/>
          </w:tcPr>
          <w:p>
            <w:pPr>
              <w:spacing w:after="0"/>
              <w:rPr>
                <w:sz w:val="8"/>
                <w:szCs w:val="8"/>
                <w:color w:val="auto"/>
              </w:rPr>
            </w:pPr>
          </w:p>
        </w:tc>
        <w:tc>
          <w:tcPr>
            <w:tcW w:w="2440" w:type="dxa"/>
            <w:vAlign w:val="bottom"/>
            <w:vMerge w:val="restart"/>
          </w:tcPr>
          <w:p>
            <w:pPr>
              <w:ind w:left="40"/>
              <w:spacing w:after="0"/>
              <w:rPr>
                <w:sz w:val="20"/>
                <w:szCs w:val="20"/>
                <w:color w:val="auto"/>
              </w:rPr>
            </w:pPr>
            <w:r>
              <w:rPr>
                <w:rFonts w:ascii="Arial" w:cs="Arial" w:eastAsia="Arial" w:hAnsi="Arial"/>
                <w:sz w:val="16"/>
                <w:szCs w:val="16"/>
                <w:color w:val="auto"/>
              </w:rPr>
              <w:t>at target, subject to Absolute</w:t>
            </w:r>
          </w:p>
        </w:tc>
        <w:tc>
          <w:tcPr>
            <w:tcW w:w="220" w:type="dxa"/>
            <w:vAlign w:val="bottom"/>
            <w:vMerge w:val="continue"/>
          </w:tcPr>
          <w:p>
            <w:pPr>
              <w:spacing w:after="0"/>
              <w:rPr>
                <w:sz w:val="8"/>
                <w:szCs w:val="8"/>
                <w:color w:val="auto"/>
              </w:rPr>
            </w:pPr>
          </w:p>
        </w:tc>
        <w:tc>
          <w:tcPr>
            <w:tcW w:w="23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42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24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380" w:type="dxa"/>
            <w:vAlign w:val="bottom"/>
            <w:gridSpan w:val="2"/>
            <w:vMerge w:val="restart"/>
          </w:tcPr>
          <w:p>
            <w:pPr>
              <w:ind w:left="40"/>
              <w:spacing w:after="0"/>
              <w:rPr>
                <w:sz w:val="20"/>
                <w:szCs w:val="20"/>
                <w:color w:val="auto"/>
              </w:rPr>
            </w:pPr>
            <w:r>
              <w:rPr>
                <w:rFonts w:ascii="Arial" w:cs="Arial" w:eastAsia="Arial" w:hAnsi="Arial"/>
                <w:sz w:val="16"/>
                <w:szCs w:val="16"/>
                <w:color w:val="auto"/>
              </w:rPr>
              <w:t>subject to proration such that</w:t>
            </w:r>
          </w:p>
        </w:tc>
        <w:tc>
          <w:tcPr>
            <w:tcW w:w="0" w:type="dxa"/>
            <w:vAlign w:val="bottom"/>
          </w:tcPr>
          <w:p>
            <w:pPr>
              <w:spacing w:after="0"/>
              <w:rPr>
                <w:sz w:val="1"/>
                <w:szCs w:val="1"/>
                <w:color w:val="auto"/>
              </w:rPr>
            </w:pPr>
          </w:p>
        </w:tc>
      </w:tr>
      <w:tr>
        <w:trPr>
          <w:trHeight w:val="94"/>
        </w:trPr>
        <w:tc>
          <w:tcPr>
            <w:tcW w:w="1420" w:type="dxa"/>
            <w:vAlign w:val="bottom"/>
          </w:tcPr>
          <w:p>
            <w:pPr>
              <w:spacing w:after="0"/>
              <w:rPr>
                <w:sz w:val="8"/>
                <w:szCs w:val="8"/>
                <w:color w:val="auto"/>
              </w:rPr>
            </w:pPr>
          </w:p>
        </w:tc>
        <w:tc>
          <w:tcPr>
            <w:tcW w:w="2280" w:type="dxa"/>
            <w:vAlign w:val="bottom"/>
            <w:vMerge w:val="restart"/>
          </w:tcPr>
          <w:p>
            <w:pPr>
              <w:ind w:left="60"/>
              <w:spacing w:after="0"/>
              <w:rPr>
                <w:sz w:val="20"/>
                <w:szCs w:val="20"/>
                <w:color w:val="auto"/>
              </w:rPr>
            </w:pPr>
            <w:r>
              <w:rPr>
                <w:rFonts w:ascii="Arial" w:cs="Arial" w:eastAsia="Arial" w:hAnsi="Arial"/>
                <w:sz w:val="16"/>
                <w:szCs w:val="16"/>
                <w:color w:val="auto"/>
              </w:rPr>
              <w:t>TSR modifier</w:t>
            </w:r>
          </w:p>
        </w:tc>
        <w:tc>
          <w:tcPr>
            <w:tcW w:w="380" w:type="dxa"/>
            <w:vAlign w:val="bottom"/>
          </w:tcPr>
          <w:p>
            <w:pPr>
              <w:spacing w:after="0"/>
              <w:rPr>
                <w:sz w:val="8"/>
                <w:szCs w:val="8"/>
                <w:color w:val="auto"/>
              </w:rPr>
            </w:pPr>
          </w:p>
        </w:tc>
        <w:tc>
          <w:tcPr>
            <w:tcW w:w="2440" w:type="dxa"/>
            <w:vAlign w:val="bottom"/>
            <w:vMerge w:val="restart"/>
          </w:tcPr>
          <w:p>
            <w:pPr>
              <w:ind w:left="40"/>
              <w:spacing w:after="0"/>
              <w:rPr>
                <w:sz w:val="20"/>
                <w:szCs w:val="20"/>
                <w:color w:val="auto"/>
              </w:rPr>
            </w:pPr>
            <w:r>
              <w:rPr>
                <w:rFonts w:ascii="Arial" w:cs="Arial" w:eastAsia="Arial" w:hAnsi="Arial"/>
                <w:sz w:val="16"/>
                <w:szCs w:val="16"/>
                <w:color w:val="auto"/>
              </w:rPr>
              <w:t>TSR modifier</w:t>
            </w:r>
          </w:p>
        </w:tc>
        <w:tc>
          <w:tcPr>
            <w:tcW w:w="220" w:type="dxa"/>
            <w:vAlign w:val="bottom"/>
          </w:tcPr>
          <w:p>
            <w:pPr>
              <w:spacing w:after="0"/>
              <w:rPr>
                <w:sz w:val="8"/>
                <w:szCs w:val="8"/>
                <w:color w:val="auto"/>
              </w:rPr>
            </w:pPr>
          </w:p>
        </w:tc>
        <w:tc>
          <w:tcPr>
            <w:tcW w:w="23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420" w:type="dxa"/>
            <w:vAlign w:val="bottom"/>
            <w:vMerge w:val="restart"/>
          </w:tcPr>
          <w:p>
            <w:pPr>
              <w:spacing w:after="0"/>
              <w:rPr>
                <w:sz w:val="20"/>
                <w:szCs w:val="20"/>
                <w:color w:val="auto"/>
              </w:rPr>
            </w:pPr>
            <w:r>
              <w:rPr>
                <w:rFonts w:ascii="Arial" w:cs="Arial" w:eastAsia="Arial" w:hAnsi="Arial"/>
                <w:sz w:val="16"/>
                <w:szCs w:val="16"/>
                <w:b w:val="1"/>
                <w:bCs w:val="1"/>
                <w:color w:val="1F2668"/>
              </w:rPr>
              <w:t>DiLiberto /</w:t>
            </w:r>
          </w:p>
        </w:tc>
        <w:tc>
          <w:tcPr>
            <w:tcW w:w="22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24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2380" w:type="dxa"/>
            <w:vAlign w:val="bottom"/>
            <w:gridSpan w:val="2"/>
            <w:vMerge w:val="restart"/>
          </w:tcPr>
          <w:p>
            <w:pPr>
              <w:ind w:left="40"/>
              <w:spacing w:after="0"/>
              <w:rPr>
                <w:sz w:val="20"/>
                <w:szCs w:val="20"/>
                <w:color w:val="auto"/>
              </w:rPr>
            </w:pPr>
            <w:r>
              <w:rPr>
                <w:rFonts w:ascii="Arial" w:cs="Arial" w:eastAsia="Arial" w:hAnsi="Arial"/>
                <w:sz w:val="16"/>
                <w:szCs w:val="16"/>
                <w:color w:val="auto"/>
              </w:rPr>
              <w:t>no units vest if termination</w:t>
            </w:r>
          </w:p>
        </w:tc>
        <w:tc>
          <w:tcPr>
            <w:tcW w:w="0" w:type="dxa"/>
            <w:vAlign w:val="bottom"/>
          </w:tcPr>
          <w:p>
            <w:pPr>
              <w:spacing w:after="0"/>
              <w:rPr>
                <w:sz w:val="1"/>
                <w:szCs w:val="1"/>
                <w:color w:val="auto"/>
              </w:rPr>
            </w:pPr>
          </w:p>
        </w:tc>
      </w:tr>
      <w:tr>
        <w:trPr>
          <w:trHeight w:val="70"/>
        </w:trPr>
        <w:tc>
          <w:tcPr>
            <w:tcW w:w="1420" w:type="dxa"/>
            <w:vAlign w:val="bottom"/>
            <w:vMerge w:val="continue"/>
          </w:tcPr>
          <w:p>
            <w:pPr>
              <w:spacing w:after="0"/>
              <w:rPr>
                <w:sz w:val="6"/>
                <w:szCs w:val="6"/>
                <w:color w:val="auto"/>
              </w:rPr>
            </w:pPr>
          </w:p>
        </w:tc>
        <w:tc>
          <w:tcPr>
            <w:tcW w:w="2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3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line="202" w:lineRule="exact"/>
              <w:rPr>
                <w:sz w:val="20"/>
                <w:szCs w:val="20"/>
                <w:color w:val="auto"/>
              </w:rPr>
            </w:pPr>
            <w:r>
              <w:rPr>
                <w:rFonts w:ascii="Arial" w:cs="Arial" w:eastAsia="Arial" w:hAnsi="Arial"/>
                <w:sz w:val="13"/>
                <w:szCs w:val="13"/>
                <w:b w:val="1"/>
                <w:bCs w:val="1"/>
                <w:color w:val="1F2668"/>
              </w:rPr>
              <w:t xml:space="preserve">Levine Awards  </w:t>
            </w:r>
            <w:r>
              <w:rPr>
                <w:rFonts w:ascii="Arial" w:cs="Arial" w:eastAsia="Arial" w:hAnsi="Arial"/>
                <w:sz w:val="23"/>
                <w:szCs w:val="23"/>
                <w:color w:val="000000"/>
                <w:vertAlign w:val="superscript"/>
              </w:rPr>
              <w:t>•</w:t>
            </w:r>
          </w:p>
        </w:tc>
        <w:tc>
          <w:tcPr>
            <w:tcW w:w="2280" w:type="dxa"/>
            <w:vAlign w:val="bottom"/>
          </w:tcPr>
          <w:p>
            <w:pPr>
              <w:ind w:left="60"/>
              <w:spacing w:after="0"/>
              <w:rPr>
                <w:sz w:val="20"/>
                <w:szCs w:val="20"/>
                <w:color w:val="auto"/>
              </w:rPr>
            </w:pPr>
            <w:r>
              <w:rPr>
                <w:rFonts w:ascii="Arial" w:cs="Arial" w:eastAsia="Arial" w:hAnsi="Arial"/>
                <w:sz w:val="16"/>
                <w:szCs w:val="16"/>
                <w:color w:val="auto"/>
              </w:rPr>
              <w:t>Relative Component</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440" w:type="dxa"/>
            <w:vAlign w:val="bottom"/>
          </w:tcPr>
          <w:p>
            <w:pPr>
              <w:ind w:left="40"/>
              <w:spacing w:after="0"/>
              <w:rPr>
                <w:sz w:val="20"/>
                <w:szCs w:val="20"/>
                <w:color w:val="auto"/>
              </w:rPr>
            </w:pPr>
            <w:r>
              <w:rPr>
                <w:rFonts w:ascii="Arial" w:cs="Arial" w:eastAsia="Arial" w:hAnsi="Arial"/>
                <w:sz w:val="16"/>
                <w:szCs w:val="16"/>
                <w:color w:val="auto"/>
              </w:rPr>
              <w:t>Relative Component determined</w:t>
            </w:r>
          </w:p>
        </w:tc>
        <w:tc>
          <w:tcPr>
            <w:tcW w:w="220" w:type="dxa"/>
            <w:vAlign w:val="bottom"/>
          </w:tcPr>
          <w:p>
            <w:pPr>
              <w:spacing w:after="0"/>
              <w:rPr>
                <w:sz w:val="17"/>
                <w:szCs w:val="17"/>
                <w:color w:val="auto"/>
              </w:rPr>
            </w:pPr>
          </w:p>
        </w:tc>
        <w:tc>
          <w:tcPr>
            <w:tcW w:w="2380" w:type="dxa"/>
            <w:vAlign w:val="bottom"/>
            <w:gridSpan w:val="2"/>
          </w:tcPr>
          <w:p>
            <w:pPr>
              <w:ind w:left="40"/>
              <w:spacing w:after="0"/>
              <w:rPr>
                <w:sz w:val="20"/>
                <w:szCs w:val="20"/>
                <w:color w:val="auto"/>
              </w:rPr>
            </w:pPr>
            <w:r>
              <w:rPr>
                <w:rFonts w:ascii="Arial" w:cs="Arial" w:eastAsia="Arial" w:hAnsi="Arial"/>
                <w:sz w:val="16"/>
                <w:szCs w:val="16"/>
                <w:color w:val="auto"/>
              </w:rPr>
              <w:t>occurs during the first year, one-</w:t>
            </w: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2280" w:type="dxa"/>
            <w:vAlign w:val="bottom"/>
          </w:tcPr>
          <w:p>
            <w:pPr>
              <w:ind w:left="60"/>
              <w:spacing w:after="0"/>
              <w:rPr>
                <w:sz w:val="20"/>
                <w:szCs w:val="20"/>
                <w:color w:val="auto"/>
              </w:rPr>
            </w:pPr>
            <w:r>
              <w:rPr>
                <w:rFonts w:ascii="Arial" w:cs="Arial" w:eastAsia="Arial" w:hAnsi="Arial"/>
                <w:sz w:val="16"/>
                <w:szCs w:val="16"/>
                <w:color w:val="auto"/>
              </w:rPr>
              <w:t>determined as of date of CiC</w:t>
            </w:r>
          </w:p>
        </w:tc>
        <w:tc>
          <w:tcPr>
            <w:tcW w:w="380" w:type="dxa"/>
            <w:vAlign w:val="bottom"/>
          </w:tcPr>
          <w:p>
            <w:pPr>
              <w:spacing w:after="0"/>
              <w:rPr>
                <w:sz w:val="17"/>
                <w:szCs w:val="17"/>
                <w:color w:val="auto"/>
              </w:rPr>
            </w:pPr>
          </w:p>
        </w:tc>
        <w:tc>
          <w:tcPr>
            <w:tcW w:w="2440" w:type="dxa"/>
            <w:vAlign w:val="bottom"/>
          </w:tcPr>
          <w:p>
            <w:pPr>
              <w:ind w:left="40"/>
              <w:spacing w:after="0"/>
              <w:rPr>
                <w:sz w:val="20"/>
                <w:szCs w:val="20"/>
                <w:color w:val="auto"/>
              </w:rPr>
            </w:pPr>
            <w:r>
              <w:rPr>
                <w:rFonts w:ascii="Arial" w:cs="Arial" w:eastAsia="Arial" w:hAnsi="Arial"/>
                <w:sz w:val="16"/>
                <w:szCs w:val="16"/>
                <w:color w:val="auto"/>
              </w:rPr>
              <w:t>as of date of CiC</w:t>
            </w:r>
          </w:p>
        </w:tc>
        <w:tc>
          <w:tcPr>
            <w:tcW w:w="220" w:type="dxa"/>
            <w:vAlign w:val="bottom"/>
          </w:tcPr>
          <w:p>
            <w:pPr>
              <w:spacing w:after="0"/>
              <w:rPr>
                <w:sz w:val="17"/>
                <w:szCs w:val="17"/>
                <w:color w:val="auto"/>
              </w:rPr>
            </w:pPr>
          </w:p>
        </w:tc>
        <w:tc>
          <w:tcPr>
            <w:tcW w:w="2380" w:type="dxa"/>
            <w:vAlign w:val="bottom"/>
            <w:gridSpan w:val="2"/>
          </w:tcPr>
          <w:p>
            <w:pPr>
              <w:ind w:left="40"/>
              <w:spacing w:after="0"/>
              <w:rPr>
                <w:sz w:val="20"/>
                <w:szCs w:val="20"/>
                <w:color w:val="auto"/>
              </w:rPr>
            </w:pPr>
            <w:r>
              <w:rPr>
                <w:rFonts w:ascii="Arial" w:cs="Arial" w:eastAsia="Arial" w:hAnsi="Arial"/>
                <w:sz w:val="16"/>
                <w:szCs w:val="16"/>
                <w:color w:val="auto"/>
              </w:rPr>
              <w:t>third vest if the termination</w:t>
            </w:r>
          </w:p>
        </w:tc>
        <w:tc>
          <w:tcPr>
            <w:tcW w:w="0" w:type="dxa"/>
            <w:vAlign w:val="bottom"/>
          </w:tcPr>
          <w:p>
            <w:pPr>
              <w:spacing w:after="0"/>
              <w:rPr>
                <w:sz w:val="1"/>
                <w:szCs w:val="1"/>
                <w:color w:val="auto"/>
              </w:rPr>
            </w:pPr>
          </w:p>
        </w:tc>
      </w:tr>
      <w:tr>
        <w:trPr>
          <w:trHeight w:val="189"/>
        </w:trPr>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80" w:type="dxa"/>
            <w:vAlign w:val="bottom"/>
            <w:vMerge w:val="restart"/>
          </w:tcPr>
          <w:p>
            <w:pPr>
              <w:ind w:left="60"/>
              <w:spacing w:after="0"/>
              <w:rPr>
                <w:sz w:val="20"/>
                <w:szCs w:val="20"/>
                <w:color w:val="auto"/>
              </w:rPr>
            </w:pPr>
            <w:r>
              <w:rPr>
                <w:rFonts w:ascii="Arial" w:cs="Arial" w:eastAsia="Arial" w:hAnsi="Arial"/>
                <w:sz w:val="16"/>
                <w:szCs w:val="16"/>
                <w:color w:val="auto"/>
              </w:rPr>
              <w:t>Earned awards remain subject</w:t>
            </w: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40" w:type="dxa"/>
            <w:vAlign w:val="bottom"/>
            <w:vMerge w:val="restart"/>
          </w:tcPr>
          <w:p>
            <w:pPr>
              <w:ind w:left="40"/>
              <w:spacing w:after="0"/>
              <w:rPr>
                <w:sz w:val="20"/>
                <w:szCs w:val="20"/>
                <w:color w:val="auto"/>
              </w:rPr>
            </w:pPr>
            <w:r>
              <w:rPr>
                <w:rFonts w:ascii="Arial" w:cs="Arial" w:eastAsia="Arial" w:hAnsi="Arial"/>
                <w:sz w:val="16"/>
                <w:szCs w:val="16"/>
                <w:color w:val="auto"/>
              </w:rPr>
              <w:t>Earned awards vest in full</w:t>
            </w:r>
          </w:p>
        </w:tc>
        <w:tc>
          <w:tcPr>
            <w:tcW w:w="220" w:type="dxa"/>
            <w:vAlign w:val="bottom"/>
          </w:tcPr>
          <w:p>
            <w:pPr>
              <w:spacing w:after="0"/>
              <w:rPr>
                <w:sz w:val="16"/>
                <w:szCs w:val="16"/>
                <w:color w:val="auto"/>
              </w:rPr>
            </w:pPr>
          </w:p>
        </w:tc>
        <w:tc>
          <w:tcPr>
            <w:tcW w:w="2380" w:type="dxa"/>
            <w:vAlign w:val="bottom"/>
            <w:gridSpan w:val="2"/>
          </w:tcPr>
          <w:p>
            <w:pPr>
              <w:ind w:left="40"/>
              <w:spacing w:after="0"/>
              <w:rPr>
                <w:sz w:val="20"/>
                <w:szCs w:val="20"/>
                <w:color w:val="auto"/>
              </w:rPr>
            </w:pPr>
            <w:r>
              <w:rPr>
                <w:rFonts w:ascii="Arial" w:cs="Arial" w:eastAsia="Arial" w:hAnsi="Arial"/>
                <w:sz w:val="16"/>
                <w:szCs w:val="16"/>
                <w:color w:val="auto"/>
              </w:rPr>
              <w:t>occurs during the second year</w:t>
            </w:r>
          </w:p>
        </w:tc>
        <w:tc>
          <w:tcPr>
            <w:tcW w:w="0" w:type="dxa"/>
            <w:vAlign w:val="bottom"/>
          </w:tcPr>
          <w:p>
            <w:pPr>
              <w:spacing w:after="0"/>
              <w:rPr>
                <w:sz w:val="1"/>
                <w:szCs w:val="1"/>
                <w:color w:val="auto"/>
              </w:rPr>
            </w:pPr>
          </w:p>
        </w:tc>
      </w:tr>
      <w:tr>
        <w:trPr>
          <w:trHeight w:val="95"/>
        </w:trPr>
        <w:tc>
          <w:tcPr>
            <w:tcW w:w="1420" w:type="dxa"/>
            <w:vAlign w:val="bottom"/>
            <w:vMerge w:val="continue"/>
          </w:tcPr>
          <w:p>
            <w:pPr>
              <w:spacing w:after="0"/>
              <w:rPr>
                <w:sz w:val="8"/>
                <w:szCs w:val="8"/>
                <w:color w:val="auto"/>
              </w:rPr>
            </w:pPr>
          </w:p>
        </w:tc>
        <w:tc>
          <w:tcPr>
            <w:tcW w:w="228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24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380" w:type="dxa"/>
            <w:vAlign w:val="bottom"/>
            <w:gridSpan w:val="2"/>
            <w:vMerge w:val="restart"/>
          </w:tcPr>
          <w:p>
            <w:pPr>
              <w:ind w:left="40"/>
              <w:spacing w:after="0"/>
              <w:rPr>
                <w:sz w:val="20"/>
                <w:szCs w:val="20"/>
                <w:color w:val="auto"/>
              </w:rPr>
            </w:pPr>
            <w:r>
              <w:rPr>
                <w:rFonts w:ascii="Arial" w:cs="Arial" w:eastAsia="Arial" w:hAnsi="Arial"/>
                <w:sz w:val="16"/>
                <w:szCs w:val="16"/>
                <w:color w:val="auto"/>
              </w:rPr>
              <w:t>and two-thirds will vest if the</w:t>
            </w:r>
          </w:p>
        </w:tc>
        <w:tc>
          <w:tcPr>
            <w:tcW w:w="0" w:type="dxa"/>
            <w:vAlign w:val="bottom"/>
          </w:tcPr>
          <w:p>
            <w:pPr>
              <w:spacing w:after="0"/>
              <w:rPr>
                <w:sz w:val="1"/>
                <w:szCs w:val="1"/>
                <w:color w:val="auto"/>
              </w:rPr>
            </w:pPr>
          </w:p>
        </w:tc>
      </w:tr>
      <w:tr>
        <w:trPr>
          <w:trHeight w:val="108"/>
        </w:trPr>
        <w:tc>
          <w:tcPr>
            <w:tcW w:w="1420" w:type="dxa"/>
            <w:vAlign w:val="bottom"/>
          </w:tcPr>
          <w:p>
            <w:pPr>
              <w:spacing w:after="0"/>
              <w:rPr>
                <w:sz w:val="9"/>
                <w:szCs w:val="9"/>
                <w:color w:val="auto"/>
              </w:rPr>
            </w:pPr>
          </w:p>
        </w:tc>
        <w:tc>
          <w:tcPr>
            <w:tcW w:w="2280" w:type="dxa"/>
            <w:vAlign w:val="bottom"/>
            <w:vMerge w:val="restart"/>
          </w:tcPr>
          <w:p>
            <w:pPr>
              <w:ind w:left="60"/>
              <w:spacing w:after="0"/>
              <w:rPr>
                <w:sz w:val="20"/>
                <w:szCs w:val="20"/>
                <w:color w:val="auto"/>
              </w:rPr>
            </w:pPr>
            <w:r>
              <w:rPr>
                <w:rFonts w:ascii="Arial" w:cs="Arial" w:eastAsia="Arial" w:hAnsi="Arial"/>
                <w:sz w:val="16"/>
                <w:szCs w:val="16"/>
                <w:color w:val="auto"/>
              </w:rPr>
              <w:t>to time-based vesting</w:t>
            </w:r>
          </w:p>
        </w:tc>
        <w:tc>
          <w:tcPr>
            <w:tcW w:w="380" w:type="dxa"/>
            <w:vAlign w:val="bottom"/>
          </w:tcPr>
          <w:p>
            <w:pPr>
              <w:spacing w:after="0"/>
              <w:rPr>
                <w:sz w:val="9"/>
                <w:szCs w:val="9"/>
                <w:color w:val="auto"/>
              </w:rPr>
            </w:pPr>
          </w:p>
        </w:tc>
        <w:tc>
          <w:tcPr>
            <w:tcW w:w="2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3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420" w:type="dxa"/>
            <w:vAlign w:val="bottom"/>
          </w:tcPr>
          <w:p>
            <w:pPr>
              <w:spacing w:after="0"/>
              <w:rPr>
                <w:sz w:val="9"/>
                <w:szCs w:val="9"/>
                <w:color w:val="auto"/>
              </w:rPr>
            </w:pPr>
          </w:p>
        </w:tc>
        <w:tc>
          <w:tcPr>
            <w:tcW w:w="228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2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380" w:type="dxa"/>
            <w:vAlign w:val="bottom"/>
            <w:gridSpan w:val="2"/>
            <w:vMerge w:val="restart"/>
          </w:tcPr>
          <w:p>
            <w:pPr>
              <w:ind w:left="40"/>
              <w:spacing w:after="0"/>
              <w:rPr>
                <w:sz w:val="20"/>
                <w:szCs w:val="20"/>
                <w:color w:val="auto"/>
              </w:rPr>
            </w:pPr>
            <w:r>
              <w:rPr>
                <w:rFonts w:ascii="Arial" w:cs="Arial" w:eastAsia="Arial" w:hAnsi="Arial"/>
                <w:sz w:val="16"/>
                <w:szCs w:val="16"/>
                <w:color w:val="auto"/>
              </w:rPr>
              <w:t>termination occurs during the</w:t>
            </w:r>
          </w:p>
        </w:tc>
        <w:tc>
          <w:tcPr>
            <w:tcW w:w="0" w:type="dxa"/>
            <w:vAlign w:val="bottom"/>
          </w:tcPr>
          <w:p>
            <w:pPr>
              <w:spacing w:after="0"/>
              <w:rPr>
                <w:sz w:val="1"/>
                <w:szCs w:val="1"/>
                <w:color w:val="auto"/>
              </w:rPr>
            </w:pPr>
          </w:p>
        </w:tc>
      </w:tr>
      <w:tr>
        <w:trPr>
          <w:trHeight w:val="108"/>
        </w:trPr>
        <w:tc>
          <w:tcPr>
            <w:tcW w:w="14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3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ind w:left="7600"/>
        <w:spacing w:after="0"/>
        <w:rPr>
          <w:sz w:val="20"/>
          <w:szCs w:val="20"/>
          <w:color w:val="auto"/>
        </w:rPr>
      </w:pPr>
      <w:r>
        <w:rPr>
          <w:rFonts w:ascii="Arial" w:cs="Arial" w:eastAsia="Arial" w:hAnsi="Arial"/>
          <w:sz w:val="16"/>
          <w:szCs w:val="16"/>
          <w:color w:val="auto"/>
        </w:rPr>
        <w:t>third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21590</wp:posOffset>
            </wp:positionV>
            <wp:extent cx="576072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34" w:lineRule="exact"/>
        <w:rPr>
          <w:sz w:val="20"/>
          <w:szCs w:val="20"/>
          <w:color w:val="auto"/>
        </w:rPr>
      </w:pPr>
    </w:p>
    <w:p>
      <w:pPr>
        <w:ind w:left="1180" w:right="840" w:hanging="364"/>
        <w:spacing w:after="0" w:line="325" w:lineRule="auto"/>
        <w:tabs>
          <w:tab w:leader="none" w:pos="11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Accelerated vesting under the Annual Performance-Based Awards is generally subject to the effectiveness of a mutual release, except upon a termination as a result of death or in connection with or within 18 months after a change in control.</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820" w:type="dxa"/>
            <w:vAlign w:val="bottom"/>
          </w:tcPr>
          <w:p>
            <w:pPr>
              <w:spacing w:after="0"/>
              <w:rPr>
                <w:sz w:val="24"/>
                <w:szCs w:val="24"/>
                <w:color w:val="auto"/>
              </w:rPr>
            </w:pPr>
          </w:p>
        </w:tc>
        <w:tc>
          <w:tcPr>
            <w:tcW w:w="8740" w:type="dxa"/>
            <w:vAlign w:val="bottom"/>
            <w:shd w:val="clear" w:color="auto" w:fill="E9F9D8"/>
          </w:tcPr>
          <w:p>
            <w:pPr>
              <w:spacing w:after="0"/>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As noted above, in connection with our CEO’s new employment agreement, annual goals no longer underpin our CEO’s</w:t>
            </w:r>
          </w:p>
        </w:tc>
        <w:tc>
          <w:tcPr>
            <w:tcW w:w="320" w:type="dxa"/>
            <w:vAlign w:val="bottom"/>
            <w:shd w:val="clear" w:color="auto" w:fill="E9F9D8"/>
          </w:tcPr>
          <w:p>
            <w:pPr>
              <w:ind w:left="16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24"/>
                <w:szCs w:val="24"/>
                <w:color w:val="auto"/>
              </w:rPr>
            </w:pPr>
          </w:p>
        </w:tc>
      </w:tr>
      <w:tr>
        <w:trPr>
          <w:trHeight w:val="203"/>
        </w:trPr>
        <w:tc>
          <w:tcPr>
            <w:tcW w:w="820" w:type="dxa"/>
            <w:vAlign w:val="bottom"/>
          </w:tcPr>
          <w:p>
            <w:pPr>
              <w:spacing w:after="0"/>
              <w:rPr>
                <w:sz w:val="17"/>
                <w:szCs w:val="17"/>
                <w:color w:val="auto"/>
              </w:rPr>
            </w:pPr>
          </w:p>
        </w:tc>
        <w:tc>
          <w:tcPr>
            <w:tcW w:w="8740" w:type="dxa"/>
            <w:vAlign w:val="bottom"/>
            <w:shd w:val="clear" w:color="auto" w:fill="E9F9D8"/>
          </w:tcPr>
          <w:p>
            <w:pPr>
              <w:ind w:left="160"/>
              <w:spacing w:after="0"/>
              <w:rPr>
                <w:sz w:val="20"/>
                <w:szCs w:val="20"/>
                <w:color w:val="auto"/>
              </w:rPr>
            </w:pPr>
            <w:r>
              <w:rPr>
                <w:rFonts w:ascii="Arial" w:cs="Arial" w:eastAsia="Arial" w:hAnsi="Arial"/>
                <w:sz w:val="16"/>
                <w:szCs w:val="16"/>
                <w:color w:val="auto"/>
              </w:rPr>
              <w:t xml:space="preserve">performance-based equity awards. </w:t>
            </w:r>
            <w:r>
              <w:rPr>
                <w:rFonts w:ascii="Arial" w:cs="Arial" w:eastAsia="Arial" w:hAnsi="Arial"/>
                <w:sz w:val="16"/>
                <w:szCs w:val="16"/>
                <w:b w:val="1"/>
                <w:bCs w:val="1"/>
                <w:color w:val="auto"/>
              </w:rPr>
              <w:t>Starting with 2025, all performance-based equity awards to our CEO will be</w:t>
            </w:r>
          </w:p>
        </w:tc>
        <w:tc>
          <w:tcPr>
            <w:tcW w:w="320" w:type="dxa"/>
            <w:vAlign w:val="bottom"/>
            <w:shd w:val="clear" w:color="auto" w:fill="E9F9D8"/>
          </w:tcPr>
          <w:p>
            <w:pPr>
              <w:spacing w:after="0"/>
              <w:rPr>
                <w:sz w:val="17"/>
                <w:szCs w:val="17"/>
                <w:color w:val="auto"/>
              </w:rPr>
            </w:pPr>
          </w:p>
        </w:tc>
        <w:tc>
          <w:tcPr>
            <w:tcW w:w="840" w:type="dxa"/>
            <w:vAlign w:val="bottom"/>
          </w:tcPr>
          <w:p>
            <w:pPr>
              <w:spacing w:after="0"/>
              <w:rPr>
                <w:sz w:val="17"/>
                <w:szCs w:val="17"/>
                <w:color w:val="auto"/>
              </w:rPr>
            </w:pPr>
          </w:p>
        </w:tc>
      </w:tr>
      <w:tr>
        <w:trPr>
          <w:trHeight w:val="223"/>
        </w:trPr>
        <w:tc>
          <w:tcPr>
            <w:tcW w:w="820" w:type="dxa"/>
            <w:vAlign w:val="bottom"/>
          </w:tcPr>
          <w:p>
            <w:pPr>
              <w:spacing w:after="0"/>
              <w:rPr>
                <w:sz w:val="19"/>
                <w:szCs w:val="19"/>
                <w:color w:val="auto"/>
              </w:rPr>
            </w:pPr>
          </w:p>
        </w:tc>
        <w:tc>
          <w:tcPr>
            <w:tcW w:w="8740" w:type="dxa"/>
            <w:vAlign w:val="bottom"/>
            <w:shd w:val="clear" w:color="auto" w:fill="E9F9D8"/>
          </w:tcPr>
          <w:p>
            <w:pPr>
              <w:ind w:left="160"/>
              <w:spacing w:after="0"/>
              <w:rPr>
                <w:sz w:val="20"/>
                <w:szCs w:val="20"/>
                <w:color w:val="auto"/>
              </w:rPr>
            </w:pPr>
            <w:r>
              <w:rPr>
                <w:rFonts w:ascii="Arial" w:cs="Arial" w:eastAsia="Arial" w:hAnsi="Arial"/>
                <w:sz w:val="16"/>
                <w:szCs w:val="16"/>
                <w:b w:val="1"/>
                <w:bCs w:val="1"/>
                <w:color w:val="auto"/>
              </w:rPr>
              <w:t>exclusively based on three-year performance goals</w:t>
            </w:r>
            <w:r>
              <w:rPr>
                <w:rFonts w:ascii="Arial" w:cs="Arial" w:eastAsia="Arial" w:hAnsi="Arial"/>
                <w:sz w:val="16"/>
                <w:szCs w:val="16"/>
                <w:color w:val="auto"/>
              </w:rPr>
              <w:t>.</w:t>
            </w:r>
          </w:p>
        </w:tc>
        <w:tc>
          <w:tcPr>
            <w:tcW w:w="320" w:type="dxa"/>
            <w:vAlign w:val="bottom"/>
            <w:shd w:val="clear" w:color="auto" w:fill="E9F9D8"/>
          </w:tcPr>
          <w:p>
            <w:pPr>
              <w:spacing w:after="0"/>
              <w:rPr>
                <w:sz w:val="19"/>
                <w:szCs w:val="19"/>
                <w:color w:val="auto"/>
              </w:rPr>
            </w:pPr>
          </w:p>
        </w:tc>
        <w:tc>
          <w:tcPr>
            <w:tcW w:w="840" w:type="dxa"/>
            <w:vAlign w:val="bottom"/>
          </w:tcPr>
          <w:p>
            <w:pPr>
              <w:spacing w:after="0"/>
              <w:rPr>
                <w:sz w:val="19"/>
                <w:szCs w:val="19"/>
                <w:color w:val="auto"/>
              </w:rPr>
            </w:pPr>
          </w:p>
        </w:tc>
      </w:tr>
      <w:tr>
        <w:trPr>
          <w:trHeight w:val="88"/>
        </w:trPr>
        <w:tc>
          <w:tcPr>
            <w:tcW w:w="820" w:type="dxa"/>
            <w:vAlign w:val="bottom"/>
          </w:tcPr>
          <w:p>
            <w:pPr>
              <w:spacing w:after="0"/>
              <w:rPr>
                <w:sz w:val="7"/>
                <w:szCs w:val="7"/>
                <w:color w:val="auto"/>
              </w:rPr>
            </w:pPr>
          </w:p>
        </w:tc>
        <w:tc>
          <w:tcPr>
            <w:tcW w:w="8740" w:type="dxa"/>
            <w:vAlign w:val="bottom"/>
            <w:shd w:val="clear" w:color="auto" w:fill="E9F9D8"/>
          </w:tcPr>
          <w:p>
            <w:pPr>
              <w:spacing w:after="0"/>
              <w:rPr>
                <w:sz w:val="7"/>
                <w:szCs w:val="7"/>
                <w:color w:val="auto"/>
              </w:rPr>
            </w:pPr>
          </w:p>
        </w:tc>
        <w:tc>
          <w:tcPr>
            <w:tcW w:w="320" w:type="dxa"/>
            <w:vAlign w:val="bottom"/>
            <w:shd w:val="clear" w:color="auto" w:fill="E9F9D8"/>
          </w:tcPr>
          <w:p>
            <w:pPr>
              <w:spacing w:after="0"/>
              <w:rPr>
                <w:sz w:val="7"/>
                <w:szCs w:val="7"/>
                <w:color w:val="auto"/>
              </w:rPr>
            </w:pPr>
          </w:p>
        </w:tc>
        <w:tc>
          <w:tcPr>
            <w:tcW w:w="840" w:type="dxa"/>
            <w:vAlign w:val="bottom"/>
          </w:tcPr>
          <w:p>
            <w:pPr>
              <w:spacing w:after="0"/>
              <w:rPr>
                <w:sz w:val="7"/>
                <w:szCs w:val="7"/>
                <w:color w:val="auto"/>
              </w:rPr>
            </w:pPr>
          </w:p>
        </w:tc>
      </w:tr>
      <w:tr>
        <w:trPr>
          <w:trHeight w:val="2545"/>
        </w:trPr>
        <w:tc>
          <w:tcPr>
            <w:tcW w:w="820" w:type="dxa"/>
            <w:vAlign w:val="bottom"/>
            <w:tcBorders>
              <w:bottom w:val="single" w:sz="8" w:color="9A9A9A"/>
            </w:tcBorders>
          </w:tcPr>
          <w:p>
            <w:pPr>
              <w:spacing w:after="0"/>
              <w:rPr>
                <w:sz w:val="24"/>
                <w:szCs w:val="24"/>
                <w:color w:val="auto"/>
              </w:rPr>
            </w:pPr>
          </w:p>
        </w:tc>
        <w:tc>
          <w:tcPr>
            <w:tcW w:w="87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type w:val="continuous"/>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5100" w:type="dxa"/>
            <w:vAlign w:val="bottom"/>
          </w:tcPr>
          <w:p>
            <w:pPr>
              <w:spacing w:after="0"/>
              <w:rPr>
                <w:sz w:val="20"/>
                <w:szCs w:val="20"/>
                <w:color w:val="auto"/>
              </w:rPr>
            </w:pPr>
            <w:r>
              <w:rPr>
                <w:rFonts w:ascii="Arial" w:cs="Arial" w:eastAsia="Arial" w:hAnsi="Arial"/>
                <w:sz w:val="14"/>
                <w:szCs w:val="14"/>
                <w:b w:val="1"/>
                <w:bCs w:val="1"/>
                <w:color w:val="auto"/>
              </w:rPr>
              <w:t>​</w:t>
            </w:r>
          </w:p>
        </w:tc>
        <w:tc>
          <w:tcPr>
            <w:tcW w:w="3480" w:type="dxa"/>
            <w:vAlign w:val="bottom"/>
          </w:tcPr>
          <w:p>
            <w:pPr>
              <w:ind w:left="3100"/>
              <w:spacing w:after="0"/>
              <w:rPr>
                <w:sz w:val="20"/>
                <w:szCs w:val="20"/>
                <w:color w:val="auto"/>
              </w:rPr>
            </w:pPr>
            <w:r>
              <w:rPr>
                <w:rFonts w:ascii="Arial" w:cs="Arial" w:eastAsia="Arial" w:hAnsi="Arial"/>
                <w:sz w:val="14"/>
                <w:szCs w:val="14"/>
                <w:b w:val="1"/>
                <w:bCs w:val="1"/>
                <w:color w:val="auto"/>
              </w:rPr>
              <w:t>​ ​</w:t>
            </w:r>
          </w:p>
        </w:tc>
        <w:tc>
          <w:tcPr>
            <w:tcW w:w="480" w:type="dxa"/>
            <w:vAlign w:val="bottom"/>
            <w:vMerge w:val="restart"/>
          </w:tcPr>
          <w:p>
            <w:pPr>
              <w:jc w:val="right"/>
              <w:spacing w:after="0"/>
              <w:rPr>
                <w:sz w:val="20"/>
                <w:szCs w:val="20"/>
                <w:color w:val="auto"/>
              </w:rPr>
            </w:pPr>
            <w:r>
              <w:rPr>
                <w:rFonts w:ascii="Arial" w:cs="Arial" w:eastAsia="Arial" w:hAnsi="Arial"/>
                <w:sz w:val="22"/>
                <w:szCs w:val="22"/>
                <w:b w:val="1"/>
                <w:bCs w:val="1"/>
                <w:color w:val="1F2668"/>
              </w:rPr>
              <w:t>75</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5100" w:type="dxa"/>
            <w:vAlign w:val="bottom"/>
          </w:tcPr>
          <w:p>
            <w:pPr>
              <w:spacing w:after="0"/>
              <w:rPr>
                <w:sz w:val="20"/>
                <w:szCs w:val="20"/>
                <w:color w:val="auto"/>
              </w:rPr>
            </w:pPr>
            <w:r>
              <w:rPr>
                <w:rFonts w:ascii="Arial" w:cs="Arial" w:eastAsia="Arial" w:hAnsi="Arial"/>
                <w:sz w:val="14"/>
                <w:szCs w:val="14"/>
                <w:b w:val="1"/>
                <w:bCs w:val="1"/>
                <w:color w:val="auto"/>
              </w:rPr>
              <w:t>EXECUTIVE COMPENSATION</w:t>
            </w:r>
          </w:p>
        </w:tc>
        <w:tc>
          <w:tcPr>
            <w:tcW w:w="348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83AD40"/>
        </w:rPr>
        <w:t>Hypothetical Illustration of Payments upon Termination or Change in Control</w:t>
      </w:r>
    </w:p>
    <w:p>
      <w:pPr>
        <w:spacing w:after="0" w:line="131" w:lineRule="exact"/>
        <w:rPr>
          <w:sz w:val="20"/>
          <w:szCs w:val="20"/>
          <w:color w:val="auto"/>
        </w:rPr>
      </w:pPr>
    </w:p>
    <w:p>
      <w:pPr>
        <w:ind w:left="820" w:right="60"/>
        <w:spacing w:after="0" w:line="273" w:lineRule="auto"/>
        <w:rPr>
          <w:sz w:val="20"/>
          <w:szCs w:val="20"/>
          <w:color w:val="auto"/>
        </w:rPr>
      </w:pPr>
      <w:r>
        <w:rPr>
          <w:rFonts w:ascii="Arial" w:cs="Arial" w:eastAsia="Arial" w:hAnsi="Arial"/>
          <w:sz w:val="16"/>
          <w:szCs w:val="16"/>
          <w:color w:val="auto"/>
        </w:rPr>
        <w:t>The following tables show the potential payments and estimated value of the benefits that our named executive officers would have been entitled to receive upon a termination of their employment by us without cause or by them for good reason or upon the death or disability as of December 31, 2024. Our named executive officers would not have been entitled to any payments or benefits other than those already accrued in the event of a termination of their employment by us for cause or by them without good reason (including upon retirement). The types of events constituting cause, good reason, disability and a change in control may differ in some respects among the different arrangements providing for benefits to the named executive officers; however, for consistency in presentation, the payments and estimated value of benefits have been grouped together based on these concepts without regard for any such differences. The potential payments and estimated values set forth below are based on the terms of the employment agreements in effect as of December 31, 2024.</w:t>
      </w:r>
    </w:p>
    <w:p>
      <w:pPr>
        <w:sectPr>
          <w:pgSz w:w="11900" w:h="16838" w:orient="portrait"/>
          <w:cols w:equalWidth="0" w:num="1">
            <w:col w:w="9940"/>
          </w:cols>
          <w:pgMar w:left="580" w:top="97" w:right="1379" w:bottom="1440" w:gutter="0" w:footer="0" w:header="0"/>
        </w:sectPr>
      </w:pPr>
    </w:p>
    <w:p>
      <w:pPr>
        <w:spacing w:after="0" w:line="195"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1F2668"/>
        </w:rPr>
        <w:t>Marc Holliday</w:t>
      </w:r>
    </w:p>
    <w:p>
      <w:pPr>
        <w:spacing w:after="0" w:line="200" w:lineRule="exact"/>
        <w:rPr>
          <w:sz w:val="20"/>
          <w:szCs w:val="20"/>
          <w:color w:val="auto"/>
        </w:rPr>
      </w:pPr>
    </w:p>
    <w:p>
      <w:pPr>
        <w:spacing w:after="0" w:line="323"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1F2668"/>
        </w:rPr>
        <w:t>Payment/Benefit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40640</wp:posOffset>
            </wp:positionV>
            <wp:extent cx="294894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98" w:lineRule="exact"/>
        <w:rPr>
          <w:sz w:val="20"/>
          <w:szCs w:val="20"/>
          <w:color w:val="auto"/>
        </w:rPr>
      </w:pPr>
    </w:p>
    <w:p>
      <w:pPr>
        <w:ind w:left="820"/>
        <w:spacing w:after="0"/>
        <w:rPr>
          <w:sz w:val="20"/>
          <w:szCs w:val="20"/>
          <w:color w:val="auto"/>
        </w:rPr>
      </w:pPr>
      <w:r>
        <w:rPr>
          <w:rFonts w:ascii="Arial" w:cs="Arial" w:eastAsia="Arial" w:hAnsi="Arial"/>
          <w:sz w:val="16"/>
          <w:szCs w:val="16"/>
          <w:color w:val="auto"/>
        </w:rPr>
        <w:t>Pro-Rata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38100</wp:posOffset>
            </wp:positionV>
            <wp:extent cx="294894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9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Cash Severance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38100</wp:posOffset>
            </wp:positionV>
            <wp:extent cx="294894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91" w:lineRule="exact"/>
        <w:rPr>
          <w:sz w:val="20"/>
          <w:szCs w:val="20"/>
          <w:color w:val="auto"/>
        </w:rPr>
      </w:pPr>
    </w:p>
    <w:p>
      <w:pPr>
        <w:ind w:left="820"/>
        <w:spacing w:after="0"/>
        <w:rPr>
          <w:sz w:val="20"/>
          <w:szCs w:val="20"/>
          <w:color w:val="auto"/>
        </w:rPr>
      </w:pPr>
      <w:r>
        <w:rPr>
          <w:rFonts w:ascii="Arial" w:cs="Arial" w:eastAsia="Arial" w:hAnsi="Arial"/>
          <w:sz w:val="15"/>
          <w:szCs w:val="15"/>
          <w:color w:val="auto"/>
        </w:rPr>
        <w:t>Stock Option / Class O LTIP Unit Vesting</w:t>
      </w:r>
      <w:r>
        <w:rPr>
          <w:rFonts w:ascii="Arial" w:cs="Arial" w:eastAsia="Arial" w:hAnsi="Arial"/>
          <w:sz w:val="18"/>
          <w:szCs w:val="18"/>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41910</wp:posOffset>
            </wp:positionV>
            <wp:extent cx="294894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97" w:lineRule="exact"/>
        <w:rPr>
          <w:sz w:val="20"/>
          <w:szCs w:val="20"/>
          <w:color w:val="auto"/>
        </w:rPr>
      </w:pPr>
    </w:p>
    <w:p>
      <w:pPr>
        <w:ind w:left="820"/>
        <w:spacing w:after="0"/>
        <w:rPr>
          <w:sz w:val="20"/>
          <w:szCs w:val="20"/>
          <w:color w:val="auto"/>
        </w:rPr>
      </w:pPr>
      <w:r>
        <w:rPr>
          <w:rFonts w:ascii="Arial" w:cs="Arial" w:eastAsia="Arial" w:hAnsi="Arial"/>
          <w:sz w:val="16"/>
          <w:szCs w:val="16"/>
          <w:color w:val="auto"/>
        </w:rPr>
        <w:t>LTIP Unit / Stock Unit Vesting</w:t>
      </w:r>
      <w:r>
        <w:rPr>
          <w:rFonts w:ascii="Arial" w:cs="Arial" w:eastAsia="Arial" w:hAnsi="Arial"/>
          <w:sz w:val="19"/>
          <w:szCs w:val="19"/>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34925</wp:posOffset>
            </wp:positionV>
            <wp:extent cx="294894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8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Benefits Continuation</w:t>
      </w:r>
      <w:r>
        <w:rPr>
          <w:rFonts w:ascii="Arial" w:cs="Arial" w:eastAsia="Arial" w:hAnsi="Arial"/>
          <w:sz w:val="19"/>
          <w:szCs w:val="19"/>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34925</wp:posOffset>
            </wp:positionV>
            <wp:extent cx="294894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317"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1F2668"/>
        </w:rPr>
        <w:t>Matthew J. DiLiberto</w:t>
      </w:r>
    </w:p>
    <w:p>
      <w:pPr>
        <w:spacing w:after="0" w:line="200" w:lineRule="exact"/>
        <w:rPr>
          <w:sz w:val="20"/>
          <w:szCs w:val="20"/>
          <w:color w:val="auto"/>
        </w:rPr>
      </w:pPr>
    </w:p>
    <w:p>
      <w:pPr>
        <w:spacing w:after="0" w:line="323"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1F2668"/>
        </w:rPr>
        <w:t>Payment/Benefit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40640</wp:posOffset>
            </wp:positionV>
            <wp:extent cx="307721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98" w:lineRule="exact"/>
        <w:rPr>
          <w:sz w:val="20"/>
          <w:szCs w:val="20"/>
          <w:color w:val="auto"/>
        </w:rPr>
      </w:pPr>
    </w:p>
    <w:p>
      <w:pPr>
        <w:ind w:left="820"/>
        <w:spacing w:after="0"/>
        <w:rPr>
          <w:sz w:val="20"/>
          <w:szCs w:val="20"/>
          <w:color w:val="auto"/>
        </w:rPr>
      </w:pPr>
      <w:r>
        <w:rPr>
          <w:rFonts w:ascii="Arial" w:cs="Arial" w:eastAsia="Arial" w:hAnsi="Arial"/>
          <w:sz w:val="16"/>
          <w:szCs w:val="16"/>
          <w:color w:val="auto"/>
        </w:rPr>
        <w:t>Pro-Rata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38100</wp:posOffset>
            </wp:positionV>
            <wp:extent cx="307721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9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Cash Severance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38100</wp:posOffset>
            </wp:positionV>
            <wp:extent cx="307721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91" w:lineRule="exact"/>
        <w:rPr>
          <w:sz w:val="20"/>
          <w:szCs w:val="20"/>
          <w:color w:val="auto"/>
        </w:rPr>
      </w:pPr>
    </w:p>
    <w:p>
      <w:pPr>
        <w:ind w:left="820"/>
        <w:spacing w:after="0"/>
        <w:rPr>
          <w:sz w:val="20"/>
          <w:szCs w:val="20"/>
          <w:color w:val="auto"/>
        </w:rPr>
      </w:pPr>
      <w:r>
        <w:rPr>
          <w:rFonts w:ascii="Arial" w:cs="Arial" w:eastAsia="Arial" w:hAnsi="Arial"/>
          <w:sz w:val="15"/>
          <w:szCs w:val="15"/>
          <w:color w:val="auto"/>
        </w:rPr>
        <w:t>Stock Option / Class O LTIP Unit Vesting</w:t>
      </w:r>
      <w:r>
        <w:rPr>
          <w:rFonts w:ascii="Arial" w:cs="Arial" w:eastAsia="Arial" w:hAnsi="Arial"/>
          <w:sz w:val="18"/>
          <w:szCs w:val="18"/>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41910</wp:posOffset>
            </wp:positionV>
            <wp:extent cx="307721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97" w:lineRule="exact"/>
        <w:rPr>
          <w:sz w:val="20"/>
          <w:szCs w:val="20"/>
          <w:color w:val="auto"/>
        </w:rPr>
      </w:pPr>
    </w:p>
    <w:p>
      <w:pPr>
        <w:ind w:left="820"/>
        <w:spacing w:after="0"/>
        <w:rPr>
          <w:sz w:val="20"/>
          <w:szCs w:val="20"/>
          <w:color w:val="auto"/>
        </w:rPr>
      </w:pPr>
      <w:r>
        <w:rPr>
          <w:rFonts w:ascii="Arial" w:cs="Arial" w:eastAsia="Arial" w:hAnsi="Arial"/>
          <w:sz w:val="16"/>
          <w:szCs w:val="16"/>
          <w:color w:val="auto"/>
        </w:rPr>
        <w:t>LTIP Unit / Stock Unit Vesting</w:t>
      </w:r>
      <w:r>
        <w:rPr>
          <w:rFonts w:ascii="Arial" w:cs="Arial" w:eastAsia="Arial" w:hAnsi="Arial"/>
          <w:sz w:val="19"/>
          <w:szCs w:val="19"/>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34925</wp:posOffset>
            </wp:positionV>
            <wp:extent cx="307721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8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Benefits Continuation</w:t>
      </w:r>
      <w:r>
        <w:rPr>
          <w:rFonts w:ascii="Arial" w:cs="Arial" w:eastAsia="Arial" w:hAnsi="Arial"/>
          <w:sz w:val="19"/>
          <w:szCs w:val="19"/>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34925</wp:posOffset>
            </wp:positionV>
            <wp:extent cx="307721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17"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1F2668"/>
        </w:rPr>
        <w:t>Andrew S. Levine</w:t>
      </w:r>
    </w:p>
    <w:p>
      <w:pPr>
        <w:spacing w:after="0" w:line="200" w:lineRule="exact"/>
        <w:rPr>
          <w:sz w:val="20"/>
          <w:szCs w:val="20"/>
          <w:color w:val="auto"/>
        </w:rPr>
      </w:pPr>
    </w:p>
    <w:p>
      <w:pPr>
        <w:spacing w:after="0" w:line="323"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1F2668"/>
        </w:rPr>
        <w:t>Payment/Benefit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40640</wp:posOffset>
            </wp:positionV>
            <wp:extent cx="307721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98" w:lineRule="exact"/>
        <w:rPr>
          <w:sz w:val="20"/>
          <w:szCs w:val="20"/>
          <w:color w:val="auto"/>
        </w:rPr>
      </w:pPr>
    </w:p>
    <w:p>
      <w:pPr>
        <w:ind w:left="820"/>
        <w:spacing w:after="0"/>
        <w:rPr>
          <w:sz w:val="20"/>
          <w:szCs w:val="20"/>
          <w:color w:val="auto"/>
        </w:rPr>
      </w:pPr>
      <w:r>
        <w:rPr>
          <w:rFonts w:ascii="Arial" w:cs="Arial" w:eastAsia="Arial" w:hAnsi="Arial"/>
          <w:sz w:val="16"/>
          <w:szCs w:val="16"/>
          <w:color w:val="auto"/>
        </w:rPr>
        <w:t>Pro-Rata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38100</wp:posOffset>
            </wp:positionV>
            <wp:extent cx="307721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9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Cash Severance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38100</wp:posOffset>
            </wp:positionV>
            <wp:extent cx="307721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91" w:lineRule="exact"/>
        <w:rPr>
          <w:sz w:val="20"/>
          <w:szCs w:val="20"/>
          <w:color w:val="auto"/>
        </w:rPr>
      </w:pPr>
    </w:p>
    <w:p>
      <w:pPr>
        <w:ind w:left="820"/>
        <w:spacing w:after="0"/>
        <w:rPr>
          <w:sz w:val="20"/>
          <w:szCs w:val="20"/>
          <w:color w:val="auto"/>
        </w:rPr>
      </w:pPr>
      <w:r>
        <w:rPr>
          <w:rFonts w:ascii="Arial" w:cs="Arial" w:eastAsia="Arial" w:hAnsi="Arial"/>
          <w:sz w:val="15"/>
          <w:szCs w:val="15"/>
          <w:color w:val="auto"/>
        </w:rPr>
        <w:t>Stock Option / Class O LTIP Unit Vesting</w:t>
      </w:r>
      <w:r>
        <w:rPr>
          <w:rFonts w:ascii="Arial" w:cs="Arial" w:eastAsia="Arial" w:hAnsi="Arial"/>
          <w:sz w:val="18"/>
          <w:szCs w:val="18"/>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41910</wp:posOffset>
            </wp:positionV>
            <wp:extent cx="307721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97" w:lineRule="exact"/>
        <w:rPr>
          <w:sz w:val="20"/>
          <w:szCs w:val="20"/>
          <w:color w:val="auto"/>
        </w:rPr>
      </w:pPr>
    </w:p>
    <w:p>
      <w:pPr>
        <w:ind w:left="820"/>
        <w:spacing w:after="0"/>
        <w:rPr>
          <w:sz w:val="20"/>
          <w:szCs w:val="20"/>
          <w:color w:val="auto"/>
        </w:rPr>
      </w:pPr>
      <w:r>
        <w:rPr>
          <w:rFonts w:ascii="Arial" w:cs="Arial" w:eastAsia="Arial" w:hAnsi="Arial"/>
          <w:sz w:val="16"/>
          <w:szCs w:val="16"/>
          <w:color w:val="auto"/>
        </w:rPr>
        <w:t>LTIP Unit / Stock Unit Vesting</w:t>
      </w:r>
      <w:r>
        <w:rPr>
          <w:rFonts w:ascii="Arial" w:cs="Arial" w:eastAsia="Arial" w:hAnsi="Arial"/>
          <w:sz w:val="19"/>
          <w:szCs w:val="19"/>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34925</wp:posOffset>
            </wp:positionV>
            <wp:extent cx="307721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8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Benefits Continuation</w:t>
      </w:r>
      <w:r>
        <w:rPr>
          <w:rFonts w:ascii="Arial" w:cs="Arial" w:eastAsia="Arial" w:hAnsi="Arial"/>
          <w:sz w:val="19"/>
          <w:szCs w:val="19"/>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34925</wp:posOffset>
            </wp:positionV>
            <wp:extent cx="307721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1F2668"/>
              </w:rPr>
              <w:t>Termination</w:t>
            </w:r>
          </w:p>
        </w:tc>
        <w:tc>
          <w:tcPr>
            <w:tcW w:w="2240" w:type="dxa"/>
            <w:vAlign w:val="bottom"/>
            <w:gridSpan w:val="5"/>
          </w:tcPr>
          <w:p>
            <w:pPr>
              <w:jc w:val="right"/>
              <w:ind w:right="1420"/>
              <w:spacing w:after="0"/>
              <w:rPr>
                <w:sz w:val="20"/>
                <w:szCs w:val="20"/>
                <w:color w:val="auto"/>
              </w:rPr>
            </w:pPr>
            <w:r>
              <w:rPr>
                <w:rFonts w:ascii="Arial" w:cs="Arial" w:eastAsia="Arial" w:hAnsi="Arial"/>
                <w:sz w:val="14"/>
                <w:szCs w:val="14"/>
                <w:b w:val="1"/>
                <w:bCs w:val="1"/>
                <w:color w:val="1F2668"/>
                <w:w w:val="99"/>
              </w:rPr>
              <w:t>Termination</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1F2668"/>
              </w:rPr>
              <w:t>without Cause or</w:t>
            </w:r>
          </w:p>
        </w:tc>
        <w:tc>
          <w:tcPr>
            <w:tcW w:w="2240" w:type="dxa"/>
            <w:vAlign w:val="bottom"/>
            <w:gridSpan w:val="5"/>
          </w:tcPr>
          <w:p>
            <w:pPr>
              <w:jc w:val="right"/>
              <w:ind w:right="1420"/>
              <w:spacing w:after="0"/>
              <w:rPr>
                <w:sz w:val="20"/>
                <w:szCs w:val="20"/>
                <w:color w:val="auto"/>
              </w:rPr>
            </w:pPr>
            <w:r>
              <w:rPr>
                <w:rFonts w:ascii="Arial" w:cs="Arial" w:eastAsia="Arial" w:hAnsi="Arial"/>
                <w:sz w:val="14"/>
                <w:szCs w:val="14"/>
                <w:b w:val="1"/>
                <w:bCs w:val="1"/>
                <w:color w:val="1F2668"/>
                <w:w w:val="92"/>
              </w:rPr>
              <w:t>w/ Change in</w:t>
            </w:r>
          </w:p>
        </w:tc>
        <w:tc>
          <w:tcPr>
            <w:tcW w:w="7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1F2668"/>
                <w:w w:val="98"/>
              </w:rPr>
              <w:t>Death</w:t>
            </w:r>
            <w:r>
              <w:rPr>
                <w:rFonts w:ascii="Arial" w:cs="Arial" w:eastAsia="Arial" w:hAnsi="Arial"/>
                <w:sz w:val="17"/>
                <w:szCs w:val="17"/>
                <w:b w:val="1"/>
                <w:bCs w:val="1"/>
                <w:color w:val="1F2668"/>
                <w:w w:val="98"/>
                <w:vertAlign w:val="superscript"/>
              </w:rPr>
              <w:t>(1)</w:t>
            </w:r>
            <w:r>
              <w:rPr>
                <w:rFonts w:ascii="Arial" w:cs="Arial" w:eastAsia="Arial" w:hAnsi="Arial"/>
                <w:sz w:val="28"/>
                <w:szCs w:val="28"/>
                <w:b w:val="1"/>
                <w:bCs w:val="1"/>
                <w:color w:val="1F2668"/>
                <w:w w:val="98"/>
                <w:vertAlign w:val="subscript"/>
              </w:rPr>
              <w:t>​</w:t>
            </w:r>
          </w:p>
        </w:tc>
        <w:tc>
          <w:tcPr>
            <w:tcW w:w="0" w:type="dxa"/>
            <w:vAlign w:val="bottom"/>
          </w:tcPr>
          <w:p>
            <w:pPr>
              <w:spacing w:after="0"/>
              <w:rPr>
                <w:sz w:val="1"/>
                <w:szCs w:val="1"/>
                <w:color w:val="auto"/>
              </w:rPr>
            </w:pPr>
          </w:p>
        </w:tc>
      </w:tr>
      <w:tr>
        <w:trPr>
          <w:trHeight w:val="225"/>
        </w:trPr>
        <w:tc>
          <w:tcPr>
            <w:tcW w:w="1420" w:type="dxa"/>
            <w:vAlign w:val="bottom"/>
            <w:gridSpan w:val="3"/>
          </w:tcPr>
          <w:p>
            <w:pPr>
              <w:spacing w:after="0" w:line="225" w:lineRule="exact"/>
              <w:rPr>
                <w:sz w:val="20"/>
                <w:szCs w:val="20"/>
                <w:color w:val="auto"/>
              </w:rPr>
            </w:pPr>
            <w:r>
              <w:rPr>
                <w:rFonts w:ascii="Arial" w:cs="Arial" w:eastAsia="Arial" w:hAnsi="Arial"/>
                <w:sz w:val="26"/>
                <w:szCs w:val="26"/>
                <w:b w:val="1"/>
                <w:bCs w:val="1"/>
                <w:color w:val="1F2668"/>
                <w:vertAlign w:val="subscript"/>
              </w:rPr>
              <w:t>​​</w:t>
            </w:r>
            <w:r>
              <w:rPr>
                <w:rFonts w:ascii="Arial" w:cs="Arial" w:eastAsia="Arial" w:hAnsi="Arial"/>
                <w:sz w:val="14"/>
                <w:szCs w:val="14"/>
                <w:b w:val="1"/>
                <w:bCs w:val="1"/>
                <w:color w:val="1F2668"/>
              </w:rPr>
              <w:t xml:space="preserve">for Good Reason </w:t>
            </w:r>
            <w:r>
              <w:rPr>
                <w:rFonts w:ascii="Arial" w:cs="Arial" w:eastAsia="Arial" w:hAnsi="Arial"/>
                <w:sz w:val="26"/>
                <w:szCs w:val="26"/>
                <w:b w:val="1"/>
                <w:bCs w:val="1"/>
                <w:color w:val="1F2668"/>
                <w:vertAlign w:val="subscript"/>
              </w:rPr>
              <w:t>​​</w:t>
            </w:r>
          </w:p>
        </w:tc>
        <w:tc>
          <w:tcPr>
            <w:tcW w:w="2240" w:type="dxa"/>
            <w:vAlign w:val="bottom"/>
            <w:gridSpan w:val="5"/>
          </w:tcPr>
          <w:p>
            <w:pPr>
              <w:ind w:left="360"/>
              <w:spacing w:after="0" w:line="225" w:lineRule="exact"/>
              <w:rPr>
                <w:sz w:val="20"/>
                <w:szCs w:val="20"/>
                <w:color w:val="auto"/>
              </w:rPr>
            </w:pPr>
            <w:r>
              <w:rPr>
                <w:rFonts w:ascii="Arial" w:cs="Arial" w:eastAsia="Arial" w:hAnsi="Arial"/>
                <w:sz w:val="14"/>
                <w:szCs w:val="14"/>
                <w:b w:val="1"/>
                <w:bCs w:val="1"/>
                <w:color w:val="1F2668"/>
              </w:rPr>
              <w:t xml:space="preserve">Control </w:t>
            </w:r>
            <w:r>
              <w:rPr>
                <w:rFonts w:ascii="Arial" w:cs="Arial" w:eastAsia="Arial" w:hAnsi="Arial"/>
                <w:sz w:val="26"/>
                <w:szCs w:val="26"/>
                <w:b w:val="1"/>
                <w:bCs w:val="1"/>
                <w:color w:val="1F2668"/>
                <w:vertAlign w:val="subscript"/>
              </w:rPr>
              <w:t>​​</w:t>
            </w:r>
            <w:r>
              <w:rPr>
                <w:rFonts w:ascii="Arial" w:cs="Arial" w:eastAsia="Arial" w:hAnsi="Arial"/>
                <w:sz w:val="14"/>
                <w:szCs w:val="14"/>
                <w:b w:val="1"/>
                <w:bCs w:val="1"/>
                <w:color w:val="1F2668"/>
              </w:rPr>
              <w:t xml:space="preserve">   Disability </w:t>
            </w:r>
            <w:r>
              <w:rPr>
                <w:rFonts w:ascii="Arial" w:cs="Arial" w:eastAsia="Arial" w:hAnsi="Arial"/>
                <w:sz w:val="26"/>
                <w:szCs w:val="26"/>
                <w:b w:val="1"/>
                <w:bCs w:val="1"/>
                <w:color w:val="1F2668"/>
                <w:vertAlign w:val="subscript"/>
              </w:rPr>
              <w:t>​​</w:t>
            </w:r>
          </w:p>
        </w:tc>
        <w:tc>
          <w:tcPr>
            <w:tcW w:w="7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shd w:val="clear" w:color="auto" w:fill="1F2668"/>
          </w:tcPr>
          <w:p>
            <w:pPr>
              <w:spacing w:after="0" w:line="20" w:lineRule="exact"/>
              <w:rPr>
                <w:sz w:val="1"/>
                <w:szCs w:val="1"/>
                <w:color w:val="auto"/>
              </w:rPr>
            </w:pPr>
          </w:p>
        </w:tc>
        <w:tc>
          <w:tcPr>
            <w:tcW w:w="180" w:type="dxa"/>
            <w:vAlign w:val="bottom"/>
            <w:tcBorders>
              <w:right w:val="single" w:sz="8" w:color="1F2668"/>
            </w:tcBorders>
          </w:tcPr>
          <w:p>
            <w:pPr>
              <w:spacing w:after="0" w:line="20" w:lineRule="exact"/>
              <w:rPr>
                <w:sz w:val="1"/>
                <w:szCs w:val="1"/>
                <w:color w:val="auto"/>
              </w:rPr>
            </w:pPr>
          </w:p>
        </w:tc>
        <w:tc>
          <w:tcPr>
            <w:tcW w:w="860" w:type="dxa"/>
            <w:vAlign w:val="bottom"/>
            <w:shd w:val="clear" w:color="auto" w:fill="1F266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1F266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1F2668"/>
          </w:tcPr>
          <w:p>
            <w:pPr>
              <w:spacing w:after="0" w:line="20" w:lineRule="exact"/>
              <w:rPr>
                <w:sz w:val="1"/>
                <w:szCs w:val="1"/>
                <w:color w:val="auto"/>
              </w:rPr>
            </w:pPr>
          </w:p>
        </w:tc>
        <w:tc>
          <w:tcPr>
            <w:tcW w:w="700" w:type="dxa"/>
            <w:vAlign w:val="bottom"/>
            <w:shd w:val="clear" w:color="auto" w:fill="1F266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80" w:hanging="273"/>
        <w:spacing w:after="0" w:line="201" w:lineRule="auto"/>
        <w:tabs>
          <w:tab w:leader="none" w:pos="280" w:val="left"/>
        </w:tabs>
        <w:numPr>
          <w:ilvl w:val="0"/>
          <w:numId w:val="98"/>
        </w:numPr>
        <w:rPr>
          <w:rFonts w:ascii="Arial" w:cs="Arial" w:eastAsia="Arial" w:hAnsi="Arial"/>
          <w:sz w:val="32"/>
          <w:szCs w:val="32"/>
          <w:color w:val="auto"/>
          <w:vertAlign w:val="subscript"/>
        </w:rPr>
      </w:pPr>
      <w:r>
        <w:rPr>
          <w:rFonts w:ascii="Arial" w:cs="Arial" w:eastAsia="Arial" w:hAnsi="Arial"/>
          <w:sz w:val="32"/>
          <w:szCs w:val="32"/>
          <w:color w:val="auto"/>
          <w:vertAlign w:val="subscript"/>
        </w:rPr>
        <w:t>​</w:t>
      </w:r>
      <w:r>
        <w:rPr>
          <w:rFonts w:ascii="Arial" w:cs="Arial" w:eastAsia="Arial" w:hAnsi="Arial"/>
          <w:sz w:val="16"/>
          <w:szCs w:val="16"/>
          <w:color w:val="auto"/>
        </w:rPr>
        <w:t>$  7,005,260</w:t>
      </w:r>
      <w:r>
        <w:rPr>
          <w:rFonts w:ascii="Arial" w:cs="Arial" w:eastAsia="Arial" w:hAnsi="Arial"/>
          <w:sz w:val="32"/>
          <w:szCs w:val="32"/>
          <w:color w:val="auto"/>
          <w:vertAlign w:val="subscript"/>
        </w:rPr>
        <w:t>​​​​</w:t>
      </w:r>
      <w:r>
        <w:rPr>
          <w:rFonts w:ascii="Arial" w:cs="Arial" w:eastAsia="Arial" w:hAnsi="Arial"/>
          <w:sz w:val="16"/>
          <w:szCs w:val="16"/>
          <w:color w:val="auto"/>
        </w:rPr>
        <w:t>$ 7,005,260</w:t>
      </w:r>
      <w:r>
        <w:rPr>
          <w:rFonts w:ascii="Arial" w:cs="Arial" w:eastAsia="Arial" w:hAnsi="Arial"/>
          <w:sz w:val="32"/>
          <w:szCs w:val="32"/>
          <w:color w:val="auto"/>
          <w:vertAlign w:val="subscript"/>
        </w:rPr>
        <w:t>​​​​</w:t>
      </w:r>
      <w:r>
        <w:rPr>
          <w:rFonts w:ascii="Arial" w:cs="Arial" w:eastAsia="Arial" w:hAnsi="Arial"/>
          <w:sz w:val="16"/>
          <w:szCs w:val="16"/>
          <w:color w:val="auto"/>
        </w:rPr>
        <w:t>$ 7,005,260</w:t>
      </w:r>
      <w:r>
        <w:rPr>
          <w:rFonts w:ascii="Arial" w:cs="Arial" w:eastAsia="Arial" w:hAnsi="Arial"/>
          <w:sz w:val="32"/>
          <w:szCs w:val="32"/>
          <w:color w:val="auto"/>
          <w:vertAlign w:val="subscript"/>
        </w:rPr>
        <w:t>​​​​</w:t>
      </w:r>
      <w:r>
        <w:rPr>
          <w:rFonts w:ascii="Arial" w:cs="Arial" w:eastAsia="Arial" w:hAnsi="Arial"/>
          <w:sz w:val="16"/>
          <w:szCs w:val="16"/>
          <w:color w:val="auto"/>
        </w:rPr>
        <w:t>$ 7,005,260</w:t>
      </w:r>
      <w:r>
        <w:rPr>
          <w:rFonts w:ascii="Arial" w:cs="Arial" w:eastAsia="Arial" w:hAnsi="Arial"/>
          <w:sz w:val="32"/>
          <w:szCs w:val="32"/>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-15240</wp:posOffset>
            </wp:positionV>
            <wp:extent cx="274320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72"/>
        </w:trPr>
        <w:tc>
          <w:tcPr>
            <w:tcW w:w="200" w:type="dxa"/>
            <w:vAlign w:val="bottom"/>
            <w:gridSpan w:val="2"/>
          </w:tcPr>
          <w:p>
            <w:pPr>
              <w:spacing w:after="0"/>
              <w:rPr>
                <w:sz w:val="20"/>
                <w:szCs w:val="20"/>
                <w:color w:val="auto"/>
              </w:rPr>
            </w:pPr>
            <w:r>
              <w:rPr>
                <w:rFonts w:ascii="Arial" w:cs="Arial" w:eastAsia="Arial" w:hAnsi="Arial"/>
                <w:sz w:val="16"/>
                <w:szCs w:val="16"/>
                <w:color w:val="auto"/>
              </w:rPr>
              <w:t>​​</w:t>
            </w:r>
          </w:p>
        </w:tc>
        <w:tc>
          <w:tcPr>
            <w:tcW w:w="260" w:type="dxa"/>
            <w:vAlign w:val="bottom"/>
          </w:tcPr>
          <w:p>
            <w:pPr>
              <w:ind w:left="80"/>
              <w:spacing w:after="0" w:line="272"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6"/>
                <w:szCs w:val="16"/>
                <w:color w:val="auto"/>
              </w:rPr>
              <w:t>$</w:t>
            </w:r>
          </w:p>
        </w:tc>
        <w:tc>
          <w:tcPr>
            <w:tcW w:w="2160" w:type="dxa"/>
            <w:vAlign w:val="bottom"/>
            <w:gridSpan w:val="6"/>
          </w:tcPr>
          <w:p>
            <w:pPr>
              <w:ind w:left="20"/>
              <w:spacing w:after="0" w:line="272" w:lineRule="exact"/>
              <w:rPr>
                <w:sz w:val="20"/>
                <w:szCs w:val="20"/>
                <w:color w:val="auto"/>
              </w:rPr>
            </w:pPr>
            <w:r>
              <w:rPr>
                <w:rFonts w:ascii="Arial" w:cs="Arial" w:eastAsia="Arial" w:hAnsi="Arial"/>
                <w:sz w:val="16"/>
                <w:szCs w:val="16"/>
                <w:color w:val="auto"/>
              </w:rPr>
              <w:t>19,000,000</w:t>
            </w:r>
            <w:r>
              <w:rPr>
                <w:rFonts w:ascii="Arial" w:cs="Arial" w:eastAsia="Arial" w:hAnsi="Arial"/>
                <w:sz w:val="31"/>
                <w:szCs w:val="31"/>
                <w:color w:val="auto"/>
                <w:vertAlign w:val="subscript"/>
              </w:rPr>
              <w:t>​​​​</w:t>
            </w:r>
            <w:r>
              <w:rPr>
                <w:rFonts w:ascii="Arial" w:cs="Arial" w:eastAsia="Arial" w:hAnsi="Arial"/>
                <w:sz w:val="16"/>
                <w:szCs w:val="16"/>
                <w:color w:val="auto"/>
              </w:rPr>
              <w:t>$28,500,000</w:t>
            </w:r>
            <w:r>
              <w:rPr>
                <w:rFonts w:ascii="Arial" w:cs="Arial" w:eastAsia="Arial" w:hAnsi="Arial"/>
                <w:sz w:val="31"/>
                <w:szCs w:val="31"/>
                <w:color w:val="auto"/>
                <w:vertAlign w:val="subscript"/>
              </w:rPr>
              <w:t>​​​​</w:t>
            </w:r>
            <w:r>
              <w:rPr>
                <w:rFonts w:ascii="Arial" w:cs="Arial" w:eastAsia="Arial" w:hAnsi="Arial"/>
                <w:sz w:val="16"/>
                <w:szCs w:val="16"/>
                <w:color w:val="auto"/>
              </w:rPr>
              <w:t>$</w:t>
            </w:r>
          </w:p>
        </w:tc>
        <w:tc>
          <w:tcPr>
            <w:tcW w:w="1320" w:type="dxa"/>
            <w:vAlign w:val="bottom"/>
            <w:gridSpan w:val="3"/>
          </w:tcPr>
          <w:p>
            <w:pPr>
              <w:jc w:val="right"/>
              <w:ind w:right="320"/>
              <w:spacing w:after="0" w:line="272" w:lineRule="exact"/>
              <w:rPr>
                <w:sz w:val="20"/>
                <w:szCs w:val="20"/>
                <w:color w:val="auto"/>
              </w:rPr>
            </w:pPr>
            <w:r>
              <w:rPr>
                <w:rFonts w:ascii="Arial" w:cs="Arial" w:eastAsia="Arial" w:hAnsi="Arial"/>
                <w:sz w:val="16"/>
                <w:szCs w:val="16"/>
                <w:color w:val="auto"/>
              </w:rPr>
              <w:t>9,500,000</w:t>
            </w:r>
            <w:r>
              <w:rPr>
                <w:rFonts w:ascii="Arial" w:cs="Arial" w:eastAsia="Arial" w:hAnsi="Arial"/>
                <w:sz w:val="31"/>
                <w:szCs w:val="31"/>
                <w:color w:val="auto"/>
                <w:vertAlign w:val="subscript"/>
              </w:rPr>
              <w:t>​​​​</w:t>
            </w:r>
            <w:r>
              <w:rPr>
                <w:rFonts w:ascii="Arial" w:cs="Arial" w:eastAsia="Arial" w:hAnsi="Arial"/>
                <w:sz w:val="16"/>
                <w:szCs w:val="16"/>
                <w:color w:val="auto"/>
              </w:rPr>
              <w:t xml:space="preserve"> ​</w:t>
            </w:r>
          </w:p>
        </w:tc>
        <w:tc>
          <w:tcPr>
            <w:tcW w:w="520" w:type="dxa"/>
            <w:vAlign w:val="bottom"/>
            <w:gridSpan w:val="2"/>
          </w:tcPr>
          <w:p>
            <w:pPr>
              <w:ind w:left="300"/>
              <w:spacing w:after="0" w:line="272" w:lineRule="exact"/>
              <w:rPr>
                <w:sz w:val="20"/>
                <w:szCs w:val="20"/>
                <w:color w:val="auto"/>
              </w:rPr>
            </w:pPr>
            <w:r>
              <w:rPr>
                <w:rFonts w:ascii="Arial" w:cs="Arial" w:eastAsia="Arial" w:hAnsi="Arial"/>
                <w:sz w:val="16"/>
                <w:szCs w:val="16"/>
                <w:color w:val="auto"/>
              </w:rPr>
              <w:t>—</w:t>
            </w:r>
            <w:r>
              <w:rPr>
                <w:rFonts w:ascii="Arial" w:cs="Arial" w:eastAsia="Arial" w:hAnsi="Arial"/>
                <w:sz w:val="31"/>
                <w:szCs w:val="31"/>
                <w:color w:val="auto"/>
                <w:vertAlign w:val="subscript"/>
              </w:rPr>
              <w:t>​</w:t>
            </w:r>
          </w:p>
        </w:tc>
      </w:tr>
      <w:tr>
        <w:trPr>
          <w:trHeight w:val="20"/>
        </w:trPr>
        <w:tc>
          <w:tcPr>
            <w:tcW w:w="80" w:type="dxa"/>
            <w:vAlign w:val="bottom"/>
          </w:tcPr>
          <w:p>
            <w:pPr>
              <w:spacing w:after="0" w:line="20" w:lineRule="exact"/>
              <w:rPr>
                <w:sz w:val="1"/>
                <w:szCs w:val="1"/>
                <w:color w:val="auto"/>
              </w:rPr>
            </w:pPr>
          </w:p>
        </w:tc>
        <w:tc>
          <w:tcPr>
            <w:tcW w:w="120" w:type="dxa"/>
            <w:vAlign w:val="bottom"/>
            <w:shd w:val="clear" w:color="auto" w:fill="4B5088"/>
          </w:tcPr>
          <w:p>
            <w:pPr>
              <w:spacing w:after="0" w:line="20" w:lineRule="exact"/>
              <w:rPr>
                <w:sz w:val="1"/>
                <w:szCs w:val="1"/>
                <w:color w:val="auto"/>
              </w:rPr>
            </w:pPr>
          </w:p>
        </w:tc>
        <w:tc>
          <w:tcPr>
            <w:tcW w:w="260" w:type="dxa"/>
            <w:vAlign w:val="bottom"/>
            <w:shd w:val="clear" w:color="auto" w:fill="4B5088"/>
          </w:tcPr>
          <w:p>
            <w:pPr>
              <w:spacing w:after="0" w:line="20" w:lineRule="exact"/>
              <w:rPr>
                <w:sz w:val="1"/>
                <w:szCs w:val="1"/>
                <w:color w:val="auto"/>
              </w:rPr>
            </w:pPr>
          </w:p>
        </w:tc>
        <w:tc>
          <w:tcPr>
            <w:tcW w:w="82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4B5088"/>
          </w:tcPr>
          <w:p>
            <w:pPr>
              <w:spacing w:after="0" w:line="20" w:lineRule="exact"/>
              <w:rPr>
                <w:sz w:val="1"/>
                <w:szCs w:val="1"/>
                <w:color w:val="auto"/>
              </w:rPr>
            </w:pPr>
          </w:p>
        </w:tc>
        <w:tc>
          <w:tcPr>
            <w:tcW w:w="46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4B5088"/>
          </w:tcPr>
          <w:p>
            <w:pPr>
              <w:spacing w:after="0" w:line="20" w:lineRule="exact"/>
              <w:rPr>
                <w:sz w:val="1"/>
                <w:szCs w:val="1"/>
                <w:color w:val="auto"/>
              </w:rPr>
            </w:pPr>
          </w:p>
        </w:tc>
        <w:tc>
          <w:tcPr>
            <w:tcW w:w="74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4B5088"/>
          </w:tcPr>
          <w:p>
            <w:pPr>
              <w:spacing w:after="0" w:line="20" w:lineRule="exact"/>
              <w:rPr>
                <w:sz w:val="1"/>
                <w:szCs w:val="1"/>
                <w:color w:val="auto"/>
              </w:rPr>
            </w:pPr>
          </w:p>
        </w:tc>
        <w:tc>
          <w:tcPr>
            <w:tcW w:w="460" w:type="dxa"/>
            <w:vAlign w:val="bottom"/>
            <w:shd w:val="clear" w:color="auto" w:fill="4B50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200" w:type="dxa"/>
            <w:vAlign w:val="bottom"/>
            <w:gridSpan w:val="2"/>
          </w:tcPr>
          <w:p>
            <w:pPr>
              <w:spacing w:after="0"/>
              <w:rPr>
                <w:sz w:val="20"/>
                <w:szCs w:val="20"/>
                <w:color w:val="auto"/>
              </w:rPr>
            </w:pPr>
            <w:r>
              <w:rPr>
                <w:rFonts w:ascii="Arial" w:cs="Arial" w:eastAsia="Arial" w:hAnsi="Arial"/>
                <w:sz w:val="16"/>
                <w:szCs w:val="16"/>
                <w:color w:val="auto"/>
              </w:rPr>
              <w:t>​​</w:t>
            </w:r>
          </w:p>
        </w:tc>
        <w:tc>
          <w:tcPr>
            <w:tcW w:w="260" w:type="dxa"/>
            <w:vAlign w:val="bottom"/>
          </w:tcPr>
          <w:p>
            <w:pPr>
              <w:ind w:left="80"/>
              <w:spacing w:after="0" w:line="30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2"/>
                <w:szCs w:val="32"/>
                <w:color w:val="auto"/>
                <w:vertAlign w:val="superscript"/>
              </w:rPr>
              <w:t>​</w:t>
            </w:r>
          </w:p>
        </w:tc>
        <w:tc>
          <w:tcPr>
            <w:tcW w:w="1400" w:type="dxa"/>
            <w:vAlign w:val="bottom"/>
            <w:gridSpan w:val="3"/>
          </w:tcPr>
          <w:p>
            <w:pPr>
              <w:ind w:left="660"/>
              <w:spacing w:after="0" w:line="304"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w:t>
            </w:r>
            <w:r>
              <w:rPr>
                <w:rFonts w:ascii="Arial" w:cs="Arial" w:eastAsia="Arial" w:hAnsi="Arial"/>
                <w:sz w:val="32"/>
                <w:szCs w:val="32"/>
                <w:color w:val="auto"/>
                <w:vertAlign w:val="superscript"/>
              </w:rPr>
              <w:t>​</w:t>
            </w:r>
          </w:p>
        </w:tc>
        <w:tc>
          <w:tcPr>
            <w:tcW w:w="760" w:type="dxa"/>
            <w:vAlign w:val="bottom"/>
            <w:gridSpan w:val="3"/>
          </w:tcPr>
          <w:p>
            <w:pPr>
              <w:ind w:left="300"/>
              <w:spacing w:after="0" w:line="304"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w:t>
            </w:r>
            <w:r>
              <w:rPr>
                <w:rFonts w:ascii="Arial" w:cs="Arial" w:eastAsia="Arial" w:hAnsi="Arial"/>
                <w:sz w:val="32"/>
                <w:szCs w:val="32"/>
                <w:color w:val="auto"/>
                <w:vertAlign w:val="superscript"/>
              </w:rPr>
              <w:t>​</w:t>
            </w:r>
          </w:p>
        </w:tc>
        <w:tc>
          <w:tcPr>
            <w:tcW w:w="1320" w:type="dxa"/>
            <w:vAlign w:val="bottom"/>
            <w:gridSpan w:val="3"/>
          </w:tcPr>
          <w:p>
            <w:pPr>
              <w:jc w:val="right"/>
              <w:ind w:right="320"/>
              <w:spacing w:after="0" w:line="304"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w:t>
            </w:r>
            <w:r>
              <w:rPr>
                <w:rFonts w:ascii="Arial" w:cs="Arial" w:eastAsia="Arial" w:hAnsi="Arial"/>
                <w:sz w:val="32"/>
                <w:szCs w:val="32"/>
                <w:color w:val="auto"/>
                <w:vertAlign w:val="superscript"/>
              </w:rPr>
              <w:t>​</w:t>
            </w:r>
          </w:p>
        </w:tc>
        <w:tc>
          <w:tcPr>
            <w:tcW w:w="520" w:type="dxa"/>
            <w:vAlign w:val="bottom"/>
            <w:gridSpan w:val="2"/>
          </w:tcPr>
          <w:p>
            <w:pPr>
              <w:ind w:left="300"/>
              <w:spacing w:after="0" w:line="304" w:lineRule="exact"/>
              <w:rPr>
                <w:sz w:val="20"/>
                <w:szCs w:val="20"/>
                <w:color w:val="auto"/>
              </w:rPr>
            </w:pPr>
            <w:r>
              <w:rPr>
                <w:rFonts w:ascii="Arial" w:cs="Arial" w:eastAsia="Arial" w:hAnsi="Arial"/>
                <w:sz w:val="32"/>
                <w:szCs w:val="32"/>
                <w:color w:val="auto"/>
                <w:w w:val="93"/>
                <w:vertAlign w:val="superscript"/>
              </w:rPr>
              <w:t>—</w:t>
            </w:r>
            <w:r>
              <w:rPr>
                <w:rFonts w:ascii="Arial" w:cs="Arial" w:eastAsia="Arial" w:hAnsi="Arial"/>
                <w:sz w:val="16"/>
                <w:szCs w:val="16"/>
                <w:color w:val="auto"/>
                <w:w w:val="93"/>
              </w:rPr>
              <w:t>​</w:t>
            </w:r>
          </w:p>
        </w:tc>
      </w:tr>
      <w:tr>
        <w:trPr>
          <w:trHeight w:val="20"/>
        </w:trPr>
        <w:tc>
          <w:tcPr>
            <w:tcW w:w="80" w:type="dxa"/>
            <w:vAlign w:val="bottom"/>
          </w:tcPr>
          <w:p>
            <w:pPr>
              <w:spacing w:after="0" w:line="20" w:lineRule="exact"/>
              <w:rPr>
                <w:sz w:val="1"/>
                <w:szCs w:val="1"/>
                <w:color w:val="auto"/>
              </w:rPr>
            </w:pPr>
          </w:p>
        </w:tc>
        <w:tc>
          <w:tcPr>
            <w:tcW w:w="120" w:type="dxa"/>
            <w:vAlign w:val="bottom"/>
            <w:shd w:val="clear" w:color="auto" w:fill="4B5088"/>
          </w:tcPr>
          <w:p>
            <w:pPr>
              <w:spacing w:after="0" w:line="20" w:lineRule="exact"/>
              <w:rPr>
                <w:sz w:val="1"/>
                <w:szCs w:val="1"/>
                <w:color w:val="auto"/>
              </w:rPr>
            </w:pPr>
          </w:p>
        </w:tc>
        <w:tc>
          <w:tcPr>
            <w:tcW w:w="260" w:type="dxa"/>
            <w:vAlign w:val="bottom"/>
            <w:shd w:val="clear" w:color="auto" w:fill="4B5088"/>
          </w:tcPr>
          <w:p>
            <w:pPr>
              <w:spacing w:after="0" w:line="20" w:lineRule="exact"/>
              <w:rPr>
                <w:sz w:val="1"/>
                <w:szCs w:val="1"/>
                <w:color w:val="auto"/>
              </w:rPr>
            </w:pPr>
          </w:p>
        </w:tc>
        <w:tc>
          <w:tcPr>
            <w:tcW w:w="82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4B5088"/>
          </w:tcPr>
          <w:p>
            <w:pPr>
              <w:spacing w:after="0" w:line="20" w:lineRule="exact"/>
              <w:rPr>
                <w:sz w:val="1"/>
                <w:szCs w:val="1"/>
                <w:color w:val="auto"/>
              </w:rPr>
            </w:pPr>
          </w:p>
        </w:tc>
        <w:tc>
          <w:tcPr>
            <w:tcW w:w="46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4B5088"/>
          </w:tcPr>
          <w:p>
            <w:pPr>
              <w:spacing w:after="0" w:line="20" w:lineRule="exact"/>
              <w:rPr>
                <w:sz w:val="1"/>
                <w:szCs w:val="1"/>
                <w:color w:val="auto"/>
              </w:rPr>
            </w:pPr>
          </w:p>
        </w:tc>
        <w:tc>
          <w:tcPr>
            <w:tcW w:w="74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4B5088"/>
          </w:tcPr>
          <w:p>
            <w:pPr>
              <w:spacing w:after="0" w:line="20" w:lineRule="exact"/>
              <w:rPr>
                <w:sz w:val="1"/>
                <w:szCs w:val="1"/>
                <w:color w:val="auto"/>
              </w:rPr>
            </w:pPr>
          </w:p>
        </w:tc>
        <w:tc>
          <w:tcPr>
            <w:tcW w:w="460" w:type="dxa"/>
            <w:vAlign w:val="bottom"/>
            <w:shd w:val="clear" w:color="auto" w:fill="4B50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ind w:left="280" w:hanging="273"/>
        <w:spacing w:after="0" w:line="218" w:lineRule="auto"/>
        <w:tabs>
          <w:tab w:leader="none" w:pos="280" w:val="left"/>
        </w:tabs>
        <w:numPr>
          <w:ilvl w:val="0"/>
          <w:numId w:val="99"/>
        </w:numPr>
        <w:rPr>
          <w:rFonts w:ascii="Arial" w:cs="Arial" w:eastAsia="Arial" w:hAnsi="Arial"/>
          <w:sz w:val="32"/>
          <w:szCs w:val="32"/>
          <w:color w:val="auto"/>
          <w:vertAlign w:val="subscript"/>
        </w:rPr>
      </w:pPr>
      <w:r>
        <w:rPr>
          <w:rFonts w:ascii="Arial" w:cs="Arial" w:eastAsia="Arial" w:hAnsi="Arial"/>
          <w:sz w:val="32"/>
          <w:szCs w:val="32"/>
          <w:color w:val="auto"/>
          <w:vertAlign w:val="subscript"/>
        </w:rPr>
        <w:t>​</w:t>
      </w:r>
      <w:r>
        <w:rPr>
          <w:rFonts w:ascii="Arial" w:cs="Arial" w:eastAsia="Arial" w:hAnsi="Arial"/>
          <w:sz w:val="16"/>
          <w:szCs w:val="16"/>
          <w:color w:val="auto"/>
        </w:rPr>
        <w:t>$ 27,596,558</w:t>
      </w:r>
      <w:r>
        <w:rPr>
          <w:rFonts w:ascii="Arial" w:cs="Arial" w:eastAsia="Arial" w:hAnsi="Arial"/>
          <w:sz w:val="32"/>
          <w:szCs w:val="32"/>
          <w:color w:val="auto"/>
          <w:vertAlign w:val="subscript"/>
        </w:rPr>
        <w:t>​​​​</w:t>
      </w:r>
      <w:r>
        <w:rPr>
          <w:rFonts w:ascii="Arial" w:cs="Arial" w:eastAsia="Arial" w:hAnsi="Arial"/>
          <w:sz w:val="16"/>
          <w:szCs w:val="16"/>
          <w:color w:val="auto"/>
        </w:rPr>
        <w:t>$60,915,071</w:t>
      </w:r>
      <w:r>
        <w:rPr>
          <w:rFonts w:ascii="Arial" w:cs="Arial" w:eastAsia="Arial" w:hAnsi="Arial"/>
          <w:sz w:val="32"/>
          <w:szCs w:val="32"/>
          <w:color w:val="auto"/>
          <w:vertAlign w:val="subscript"/>
        </w:rPr>
        <w:t>​​​​</w:t>
      </w:r>
      <w:r>
        <w:rPr>
          <w:rFonts w:ascii="Arial" w:cs="Arial" w:eastAsia="Arial" w:hAnsi="Arial"/>
          <w:sz w:val="16"/>
          <w:szCs w:val="16"/>
          <w:color w:val="auto"/>
        </w:rPr>
        <w:t>$27,596,558</w:t>
      </w:r>
      <w:r>
        <w:rPr>
          <w:rFonts w:ascii="Arial" w:cs="Arial" w:eastAsia="Arial" w:hAnsi="Arial"/>
          <w:sz w:val="32"/>
          <w:szCs w:val="32"/>
          <w:color w:val="auto"/>
          <w:vertAlign w:val="subscript"/>
        </w:rPr>
        <w:t>​​​​</w:t>
      </w:r>
      <w:r>
        <w:rPr>
          <w:rFonts w:ascii="Arial" w:cs="Arial" w:eastAsia="Arial" w:hAnsi="Arial"/>
          <w:sz w:val="16"/>
          <w:szCs w:val="16"/>
          <w:color w:val="auto"/>
        </w:rPr>
        <w:t>$27,596,558</w:t>
      </w:r>
      <w:r>
        <w:rPr>
          <w:rFonts w:ascii="Arial" w:cs="Arial" w:eastAsia="Arial" w:hAnsi="Arial"/>
          <w:sz w:val="32"/>
          <w:szCs w:val="32"/>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-14605</wp:posOffset>
            </wp:positionV>
            <wp:extent cx="274320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00"/>
        </w:trPr>
        <w:tc>
          <w:tcPr>
            <w:tcW w:w="520" w:type="dxa"/>
            <w:vAlign w:val="bottom"/>
            <w:gridSpan w:val="3"/>
          </w:tcPr>
          <w:p>
            <w:pPr>
              <w:spacing w:after="0" w:line="299" w:lineRule="exact"/>
              <w:rPr>
                <w:sz w:val="20"/>
                <w:szCs w:val="20"/>
                <w:color w:val="auto"/>
              </w:rPr>
            </w:pPr>
            <w:r>
              <w:rPr>
                <w:rFonts w:ascii="Arial" w:cs="Arial" w:eastAsia="Arial" w:hAnsi="Arial"/>
                <w:sz w:val="16"/>
                <w:szCs w:val="16"/>
                <w:color w:val="auto"/>
              </w:rPr>
              <w:t>​​  ​</w:t>
            </w:r>
            <w:r>
              <w:rPr>
                <w:rFonts w:ascii="Arial" w:cs="Arial" w:eastAsia="Arial" w:hAnsi="Arial"/>
                <w:sz w:val="32"/>
                <w:szCs w:val="32"/>
                <w:color w:val="auto"/>
                <w:vertAlign w:val="superscript"/>
              </w:rPr>
              <w:t>$</w:t>
            </w:r>
          </w:p>
        </w:tc>
        <w:tc>
          <w:tcPr>
            <w:tcW w:w="1140" w:type="dxa"/>
            <w:vAlign w:val="bottom"/>
            <w:gridSpan w:val="4"/>
          </w:tcPr>
          <w:p>
            <w:pPr>
              <w:ind w:left="180"/>
              <w:spacing w:after="0" w:line="299" w:lineRule="exact"/>
              <w:rPr>
                <w:sz w:val="20"/>
                <w:szCs w:val="20"/>
                <w:color w:val="auto"/>
              </w:rPr>
            </w:pPr>
            <w:r>
              <w:rPr>
                <w:rFonts w:ascii="Arial" w:cs="Arial" w:eastAsia="Arial" w:hAnsi="Arial"/>
                <w:sz w:val="16"/>
                <w:szCs w:val="16"/>
                <w:color w:val="auto"/>
              </w:rPr>
              <w:t>147,088</w:t>
            </w:r>
            <w:r>
              <w:rPr>
                <w:rFonts w:ascii="Arial" w:cs="Arial" w:eastAsia="Arial" w:hAnsi="Arial"/>
                <w:sz w:val="32"/>
                <w:szCs w:val="32"/>
                <w:color w:val="auto"/>
                <w:vertAlign w:val="subscript"/>
              </w:rPr>
              <w:t>​​​​</w:t>
            </w:r>
            <w:r>
              <w:rPr>
                <w:rFonts w:ascii="Arial" w:cs="Arial" w:eastAsia="Arial" w:hAnsi="Arial"/>
                <w:sz w:val="16"/>
                <w:szCs w:val="16"/>
                <w:color w:val="auto"/>
              </w:rPr>
              <w:t>$</w:t>
            </w:r>
          </w:p>
        </w:tc>
        <w:tc>
          <w:tcPr>
            <w:tcW w:w="1060" w:type="dxa"/>
            <w:vAlign w:val="bottom"/>
            <w:gridSpan w:val="5"/>
          </w:tcPr>
          <w:p>
            <w:pPr>
              <w:ind w:left="80"/>
              <w:spacing w:after="0" w:line="299" w:lineRule="exact"/>
              <w:rPr>
                <w:sz w:val="20"/>
                <w:szCs w:val="20"/>
                <w:color w:val="auto"/>
              </w:rPr>
            </w:pPr>
            <w:r>
              <w:rPr>
                <w:rFonts w:ascii="Arial" w:cs="Arial" w:eastAsia="Arial" w:hAnsi="Arial"/>
                <w:sz w:val="16"/>
                <w:szCs w:val="16"/>
                <w:color w:val="auto"/>
              </w:rPr>
              <w:t>220,632</w:t>
            </w:r>
            <w:r>
              <w:rPr>
                <w:rFonts w:ascii="Arial" w:cs="Arial" w:eastAsia="Arial" w:hAnsi="Arial"/>
                <w:sz w:val="32"/>
                <w:szCs w:val="32"/>
                <w:color w:val="auto"/>
                <w:vertAlign w:val="subscript"/>
              </w:rPr>
              <w:t>​​​​</w:t>
            </w:r>
            <w:r>
              <w:rPr>
                <w:rFonts w:ascii="Arial" w:cs="Arial" w:eastAsia="Arial" w:hAnsi="Arial"/>
                <w:sz w:val="16"/>
                <w:szCs w:val="16"/>
                <w:color w:val="auto"/>
              </w:rPr>
              <w:t>$</w:t>
            </w:r>
          </w:p>
        </w:tc>
        <w:tc>
          <w:tcPr>
            <w:tcW w:w="1100" w:type="dxa"/>
            <w:vAlign w:val="bottom"/>
            <w:gridSpan w:val="5"/>
          </w:tcPr>
          <w:p>
            <w:pPr>
              <w:jc w:val="center"/>
              <w:ind w:right="140"/>
              <w:spacing w:after="0" w:line="299" w:lineRule="exact"/>
              <w:rPr>
                <w:sz w:val="20"/>
                <w:szCs w:val="20"/>
                <w:color w:val="auto"/>
              </w:rPr>
            </w:pPr>
            <w:r>
              <w:rPr>
                <w:rFonts w:ascii="Arial" w:cs="Arial" w:eastAsia="Arial" w:hAnsi="Arial"/>
                <w:sz w:val="16"/>
                <w:szCs w:val="16"/>
                <w:color w:val="auto"/>
              </w:rPr>
              <w:t>220,632</w:t>
            </w:r>
            <w:r>
              <w:rPr>
                <w:rFonts w:ascii="Arial" w:cs="Arial" w:eastAsia="Arial" w:hAnsi="Arial"/>
                <w:sz w:val="32"/>
                <w:szCs w:val="32"/>
                <w:color w:val="auto"/>
                <w:vertAlign w:val="subscript"/>
              </w:rPr>
              <w:t>​​​​</w:t>
            </w:r>
            <w:r>
              <w:rPr>
                <w:rFonts w:ascii="Arial" w:cs="Arial" w:eastAsia="Arial" w:hAnsi="Arial"/>
                <w:sz w:val="16"/>
                <w:szCs w:val="16"/>
                <w:color w:val="auto"/>
              </w:rPr>
              <w:t xml:space="preserve"> ​</w:t>
            </w:r>
          </w:p>
        </w:tc>
        <w:tc>
          <w:tcPr>
            <w:tcW w:w="640" w:type="dxa"/>
            <w:vAlign w:val="bottom"/>
            <w:gridSpan w:val="2"/>
          </w:tcPr>
          <w:p>
            <w:pPr>
              <w:jc w:val="right"/>
              <w:spacing w:after="0" w:line="299"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w:t>
            </w:r>
          </w:p>
        </w:tc>
      </w:tr>
      <w:tr>
        <w:trPr>
          <w:trHeight w:val="20"/>
        </w:trPr>
        <w:tc>
          <w:tcPr>
            <w:tcW w:w="80" w:type="dxa"/>
            <w:vAlign w:val="bottom"/>
          </w:tcPr>
          <w:p>
            <w:pPr>
              <w:spacing w:after="0" w:line="20" w:lineRule="exact"/>
              <w:rPr>
                <w:sz w:val="1"/>
                <w:szCs w:val="1"/>
                <w:color w:val="auto"/>
              </w:rPr>
            </w:pPr>
          </w:p>
        </w:tc>
        <w:tc>
          <w:tcPr>
            <w:tcW w:w="200" w:type="dxa"/>
            <w:vAlign w:val="bottom"/>
            <w:shd w:val="clear" w:color="auto" w:fill="1F2668"/>
          </w:tcPr>
          <w:p>
            <w:pPr>
              <w:spacing w:after="0" w:line="20" w:lineRule="exact"/>
              <w:rPr>
                <w:sz w:val="1"/>
                <w:szCs w:val="1"/>
                <w:color w:val="auto"/>
              </w:rPr>
            </w:pPr>
          </w:p>
        </w:tc>
        <w:tc>
          <w:tcPr>
            <w:tcW w:w="240" w:type="dxa"/>
            <w:vAlign w:val="bottom"/>
            <w:shd w:val="clear" w:color="auto" w:fill="1F2668"/>
          </w:tcPr>
          <w:p>
            <w:pPr>
              <w:spacing w:after="0" w:line="20" w:lineRule="exact"/>
              <w:rPr>
                <w:sz w:val="1"/>
                <w:szCs w:val="1"/>
                <w:color w:val="auto"/>
              </w:rPr>
            </w:pPr>
          </w:p>
        </w:tc>
        <w:tc>
          <w:tcPr>
            <w:tcW w:w="760" w:type="dxa"/>
            <w:vAlign w:val="bottom"/>
            <w:shd w:val="clear" w:color="auto" w:fill="1F266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1F2668"/>
          </w:tcPr>
          <w:p>
            <w:pPr>
              <w:spacing w:after="0" w:line="20" w:lineRule="exact"/>
              <w:rPr>
                <w:sz w:val="1"/>
                <w:szCs w:val="1"/>
                <w:color w:val="auto"/>
              </w:rPr>
            </w:pPr>
          </w:p>
        </w:tc>
        <w:tc>
          <w:tcPr>
            <w:tcW w:w="160" w:type="dxa"/>
            <w:vAlign w:val="bottom"/>
            <w:tcBorders>
              <w:right w:val="single" w:sz="8" w:color="1F2668"/>
            </w:tcBorders>
            <w:shd w:val="clear" w:color="auto" w:fill="1F2668"/>
          </w:tcPr>
          <w:p>
            <w:pPr>
              <w:spacing w:after="0" w:line="20" w:lineRule="exact"/>
              <w:rPr>
                <w:sz w:val="1"/>
                <w:szCs w:val="1"/>
                <w:color w:val="auto"/>
              </w:rPr>
            </w:pPr>
          </w:p>
        </w:tc>
        <w:tc>
          <w:tcPr>
            <w:tcW w:w="660" w:type="dxa"/>
            <w:vAlign w:val="bottom"/>
            <w:shd w:val="clear" w:color="auto" w:fill="1F266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1F2668"/>
          </w:tcPr>
          <w:p>
            <w:pPr>
              <w:spacing w:after="0" w:line="20" w:lineRule="exact"/>
              <w:rPr>
                <w:sz w:val="1"/>
                <w:szCs w:val="1"/>
                <w:color w:val="auto"/>
              </w:rPr>
            </w:pPr>
          </w:p>
        </w:tc>
        <w:tc>
          <w:tcPr>
            <w:tcW w:w="100" w:type="dxa"/>
            <w:vAlign w:val="bottom"/>
            <w:shd w:val="clear" w:color="auto" w:fill="1F2668"/>
          </w:tcPr>
          <w:p>
            <w:pPr>
              <w:spacing w:after="0" w:line="20" w:lineRule="exact"/>
              <w:rPr>
                <w:sz w:val="1"/>
                <w:szCs w:val="1"/>
                <w:color w:val="auto"/>
              </w:rPr>
            </w:pPr>
          </w:p>
        </w:tc>
        <w:tc>
          <w:tcPr>
            <w:tcW w:w="100" w:type="dxa"/>
            <w:vAlign w:val="bottom"/>
            <w:shd w:val="clear" w:color="auto" w:fill="1F2668"/>
          </w:tcPr>
          <w:p>
            <w:pPr>
              <w:spacing w:after="0" w:line="20" w:lineRule="exact"/>
              <w:rPr>
                <w:sz w:val="1"/>
                <w:szCs w:val="1"/>
                <w:color w:val="auto"/>
              </w:rPr>
            </w:pPr>
          </w:p>
        </w:tc>
        <w:tc>
          <w:tcPr>
            <w:tcW w:w="64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1F2668"/>
          </w:tcPr>
          <w:p>
            <w:pPr>
              <w:spacing w:after="0" w:line="20" w:lineRule="exact"/>
              <w:rPr>
                <w:sz w:val="1"/>
                <w:szCs w:val="1"/>
                <w:color w:val="auto"/>
              </w:rPr>
            </w:pPr>
          </w:p>
        </w:tc>
        <w:tc>
          <w:tcPr>
            <w:tcW w:w="260" w:type="dxa"/>
            <w:vAlign w:val="bottom"/>
            <w:shd w:val="clear" w:color="auto" w:fill="1F2668"/>
          </w:tcPr>
          <w:p>
            <w:pPr>
              <w:spacing w:after="0" w:line="20" w:lineRule="exact"/>
              <w:rPr>
                <w:sz w:val="1"/>
                <w:szCs w:val="1"/>
                <w:color w:val="auto"/>
              </w:rPr>
            </w:pPr>
          </w:p>
        </w:tc>
        <w:tc>
          <w:tcPr>
            <w:tcW w:w="580" w:type="dxa"/>
            <w:vAlign w:val="bottom"/>
            <w:shd w:val="clear" w:color="auto" w:fill="1F266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08"/>
        </w:trPr>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1F2668"/>
              </w:rPr>
              <w:t>Termination</w:t>
            </w:r>
          </w:p>
        </w:tc>
        <w:tc>
          <w:tcPr>
            <w:tcW w:w="106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1F2668"/>
                <w:w w:val="99"/>
              </w:rPr>
              <w:t>Termination</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2"/>
        </w:trPr>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1F2668"/>
              </w:rPr>
              <w:t>without Cause or</w:t>
            </w:r>
          </w:p>
        </w:tc>
        <w:tc>
          <w:tcPr>
            <w:tcW w:w="106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1F2668"/>
                <w:w w:val="92"/>
              </w:rPr>
              <w:t>w/ Change in</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5"/>
        </w:trPr>
        <w:tc>
          <w:tcPr>
            <w:tcW w:w="80" w:type="dxa"/>
            <w:vAlign w:val="bottom"/>
          </w:tcPr>
          <w:p>
            <w:pPr>
              <w:spacing w:after="0"/>
              <w:rPr>
                <w:sz w:val="19"/>
                <w:szCs w:val="19"/>
                <w:color w:val="auto"/>
              </w:rPr>
            </w:pPr>
          </w:p>
        </w:tc>
        <w:tc>
          <w:tcPr>
            <w:tcW w:w="1580" w:type="dxa"/>
            <w:vAlign w:val="bottom"/>
            <w:gridSpan w:val="6"/>
          </w:tcPr>
          <w:p>
            <w:pPr>
              <w:ind w:left="160"/>
              <w:spacing w:after="0" w:line="225" w:lineRule="exact"/>
              <w:rPr>
                <w:sz w:val="20"/>
                <w:szCs w:val="20"/>
                <w:color w:val="auto"/>
              </w:rPr>
            </w:pPr>
            <w:r>
              <w:rPr>
                <w:rFonts w:ascii="Arial" w:cs="Arial" w:eastAsia="Arial" w:hAnsi="Arial"/>
                <w:sz w:val="26"/>
                <w:szCs w:val="26"/>
                <w:b w:val="1"/>
                <w:bCs w:val="1"/>
                <w:color w:val="1F2668"/>
                <w:vertAlign w:val="subscript"/>
              </w:rPr>
              <w:t>​​</w:t>
            </w:r>
            <w:r>
              <w:rPr>
                <w:rFonts w:ascii="Arial" w:cs="Arial" w:eastAsia="Arial" w:hAnsi="Arial"/>
                <w:sz w:val="14"/>
                <w:szCs w:val="14"/>
                <w:b w:val="1"/>
                <w:bCs w:val="1"/>
                <w:color w:val="1F2668"/>
              </w:rPr>
              <w:t xml:space="preserve">for Good Reason </w:t>
            </w:r>
            <w:r>
              <w:rPr>
                <w:rFonts w:ascii="Arial" w:cs="Arial" w:eastAsia="Arial" w:hAnsi="Arial"/>
                <w:sz w:val="26"/>
                <w:szCs w:val="26"/>
                <w:b w:val="1"/>
                <w:bCs w:val="1"/>
                <w:color w:val="1F2668"/>
                <w:vertAlign w:val="subscript"/>
              </w:rPr>
              <w:t>​​</w:t>
            </w:r>
          </w:p>
        </w:tc>
        <w:tc>
          <w:tcPr>
            <w:tcW w:w="1060" w:type="dxa"/>
            <w:vAlign w:val="bottom"/>
            <w:gridSpan w:val="5"/>
          </w:tcPr>
          <w:p>
            <w:pPr>
              <w:ind w:left="340"/>
              <w:spacing w:after="0" w:line="225" w:lineRule="exact"/>
              <w:rPr>
                <w:sz w:val="20"/>
                <w:szCs w:val="20"/>
                <w:color w:val="auto"/>
              </w:rPr>
            </w:pPr>
            <w:r>
              <w:rPr>
                <w:rFonts w:ascii="Arial" w:cs="Arial" w:eastAsia="Arial" w:hAnsi="Arial"/>
                <w:sz w:val="14"/>
                <w:szCs w:val="14"/>
                <w:b w:val="1"/>
                <w:bCs w:val="1"/>
                <w:color w:val="1F2668"/>
              </w:rPr>
              <w:t xml:space="preserve">Control </w:t>
            </w:r>
            <w:r>
              <w:rPr>
                <w:rFonts w:ascii="Arial" w:cs="Arial" w:eastAsia="Arial" w:hAnsi="Arial"/>
                <w:sz w:val="26"/>
                <w:szCs w:val="26"/>
                <w:b w:val="1"/>
                <w:bCs w:val="1"/>
                <w:color w:val="1F2668"/>
                <w:vertAlign w:val="subscript"/>
              </w:rPr>
              <w:t>​​</w:t>
            </w:r>
          </w:p>
        </w:tc>
        <w:tc>
          <w:tcPr>
            <w:tcW w:w="1100" w:type="dxa"/>
            <w:vAlign w:val="bottom"/>
            <w:gridSpan w:val="5"/>
          </w:tcPr>
          <w:p>
            <w:pPr>
              <w:jc w:val="center"/>
              <w:ind w:right="100"/>
              <w:spacing w:after="0" w:line="225" w:lineRule="exact"/>
              <w:rPr>
                <w:sz w:val="20"/>
                <w:szCs w:val="20"/>
                <w:color w:val="auto"/>
              </w:rPr>
            </w:pPr>
            <w:r>
              <w:rPr>
                <w:rFonts w:ascii="Arial" w:cs="Arial" w:eastAsia="Arial" w:hAnsi="Arial"/>
                <w:sz w:val="14"/>
                <w:szCs w:val="14"/>
                <w:b w:val="1"/>
                <w:bCs w:val="1"/>
                <w:color w:val="1F2668"/>
              </w:rPr>
              <w:t xml:space="preserve">Disability </w:t>
            </w:r>
            <w:r>
              <w:rPr>
                <w:rFonts w:ascii="Arial" w:cs="Arial" w:eastAsia="Arial" w:hAnsi="Arial"/>
                <w:sz w:val="26"/>
                <w:szCs w:val="26"/>
                <w:b w:val="1"/>
                <w:bCs w:val="1"/>
                <w:color w:val="1F2668"/>
                <w:vertAlign w:val="subscript"/>
              </w:rPr>
              <w:t>​​</w:t>
            </w:r>
          </w:p>
        </w:tc>
        <w:tc>
          <w:tcPr>
            <w:tcW w:w="640" w:type="dxa"/>
            <w:vAlign w:val="bottom"/>
            <w:gridSpan w:val="2"/>
          </w:tcPr>
          <w:p>
            <w:pPr>
              <w:jc w:val="right"/>
              <w:ind w:right="20"/>
              <w:spacing w:after="0" w:line="225" w:lineRule="exact"/>
              <w:rPr>
                <w:sz w:val="20"/>
                <w:szCs w:val="20"/>
                <w:color w:val="auto"/>
              </w:rPr>
            </w:pPr>
            <w:r>
              <w:rPr>
                <w:rFonts w:ascii="Arial" w:cs="Arial" w:eastAsia="Arial" w:hAnsi="Arial"/>
                <w:sz w:val="14"/>
                <w:szCs w:val="14"/>
                <w:b w:val="1"/>
                <w:bCs w:val="1"/>
                <w:color w:val="1F2668"/>
              </w:rPr>
              <w:t>Death</w:t>
            </w:r>
            <w:r>
              <w:rPr>
                <w:rFonts w:ascii="Arial" w:cs="Arial" w:eastAsia="Arial" w:hAnsi="Arial"/>
                <w:sz w:val="26"/>
                <w:szCs w:val="26"/>
                <w:b w:val="1"/>
                <w:bCs w:val="1"/>
                <w:color w:val="1F2668"/>
                <w:vertAlign w:val="subscript"/>
              </w:rPr>
              <w:t>​</w:t>
            </w:r>
          </w:p>
        </w:tc>
      </w:tr>
      <w:tr>
        <w:trPr>
          <w:trHeight w:val="20"/>
        </w:trPr>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1F2668"/>
          </w:tcPr>
          <w:p>
            <w:pPr>
              <w:spacing w:after="0" w:line="20" w:lineRule="exact"/>
              <w:rPr>
                <w:sz w:val="1"/>
                <w:szCs w:val="1"/>
                <w:color w:val="auto"/>
              </w:rPr>
            </w:pPr>
          </w:p>
        </w:tc>
        <w:tc>
          <w:tcPr>
            <w:tcW w:w="760" w:type="dxa"/>
            <w:vAlign w:val="bottom"/>
            <w:shd w:val="clear" w:color="auto" w:fill="1F2668"/>
          </w:tcPr>
          <w:p>
            <w:pPr>
              <w:spacing w:after="0" w:line="20" w:lineRule="exact"/>
              <w:rPr>
                <w:sz w:val="1"/>
                <w:szCs w:val="1"/>
                <w:color w:val="auto"/>
              </w:rPr>
            </w:pPr>
          </w:p>
        </w:tc>
        <w:tc>
          <w:tcPr>
            <w:tcW w:w="120" w:type="dxa"/>
            <w:vAlign w:val="bottom"/>
            <w:shd w:val="clear" w:color="auto" w:fill="1F2668"/>
          </w:tcPr>
          <w:p>
            <w:pPr>
              <w:spacing w:after="0" w:line="20" w:lineRule="exact"/>
              <w:rPr>
                <w:sz w:val="1"/>
                <w:szCs w:val="1"/>
                <w:color w:val="auto"/>
              </w:rPr>
            </w:pPr>
          </w:p>
        </w:tc>
        <w:tc>
          <w:tcPr>
            <w:tcW w:w="100" w:type="dxa"/>
            <w:vAlign w:val="bottom"/>
            <w:shd w:val="clear" w:color="auto" w:fill="1F2668"/>
          </w:tcPr>
          <w:p>
            <w:pPr>
              <w:spacing w:after="0" w:line="20" w:lineRule="exact"/>
              <w:rPr>
                <w:sz w:val="1"/>
                <w:szCs w:val="1"/>
                <w:color w:val="auto"/>
              </w:rPr>
            </w:pPr>
          </w:p>
        </w:tc>
        <w:tc>
          <w:tcPr>
            <w:tcW w:w="160" w:type="dxa"/>
            <w:vAlign w:val="bottom"/>
            <w:tcBorders>
              <w:right w:val="single" w:sz="8" w:color="1F2668"/>
            </w:tcBorders>
          </w:tcPr>
          <w:p>
            <w:pPr>
              <w:spacing w:after="0" w:line="20" w:lineRule="exact"/>
              <w:rPr>
                <w:sz w:val="1"/>
                <w:szCs w:val="1"/>
                <w:color w:val="auto"/>
              </w:rPr>
            </w:pPr>
          </w:p>
        </w:tc>
        <w:tc>
          <w:tcPr>
            <w:tcW w:w="660" w:type="dxa"/>
            <w:vAlign w:val="bottom"/>
            <w:shd w:val="clear" w:color="auto" w:fill="1F2668"/>
          </w:tcPr>
          <w:p>
            <w:pPr>
              <w:spacing w:after="0" w:line="20" w:lineRule="exact"/>
              <w:rPr>
                <w:sz w:val="1"/>
                <w:szCs w:val="1"/>
                <w:color w:val="auto"/>
              </w:rPr>
            </w:pPr>
          </w:p>
        </w:tc>
        <w:tc>
          <w:tcPr>
            <w:tcW w:w="120" w:type="dxa"/>
            <w:vAlign w:val="bottom"/>
            <w:shd w:val="clear" w:color="auto" w:fill="1F2668"/>
          </w:tcPr>
          <w:p>
            <w:pPr>
              <w:spacing w:after="0" w:line="20" w:lineRule="exact"/>
              <w:rPr>
                <w:sz w:val="1"/>
                <w:szCs w:val="1"/>
                <w:color w:val="auto"/>
              </w:rPr>
            </w:pPr>
          </w:p>
        </w:tc>
        <w:tc>
          <w:tcPr>
            <w:tcW w:w="8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1F2668"/>
          </w:tcPr>
          <w:p>
            <w:pPr>
              <w:spacing w:after="0" w:line="20" w:lineRule="exact"/>
              <w:rPr>
                <w:sz w:val="1"/>
                <w:szCs w:val="1"/>
                <w:color w:val="auto"/>
              </w:rPr>
            </w:pPr>
          </w:p>
        </w:tc>
        <w:tc>
          <w:tcPr>
            <w:tcW w:w="640" w:type="dxa"/>
            <w:vAlign w:val="bottom"/>
            <w:shd w:val="clear" w:color="auto" w:fill="1F2668"/>
          </w:tcPr>
          <w:p>
            <w:pPr>
              <w:spacing w:after="0" w:line="20" w:lineRule="exact"/>
              <w:rPr>
                <w:sz w:val="1"/>
                <w:szCs w:val="1"/>
                <w:color w:val="auto"/>
              </w:rPr>
            </w:pPr>
          </w:p>
        </w:tc>
        <w:tc>
          <w:tcPr>
            <w:tcW w:w="100" w:type="dxa"/>
            <w:vAlign w:val="bottom"/>
            <w:shd w:val="clear" w:color="auto" w:fill="1F266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1F2668"/>
          </w:tcPr>
          <w:p>
            <w:pPr>
              <w:spacing w:after="0" w:line="20" w:lineRule="exact"/>
              <w:rPr>
                <w:sz w:val="1"/>
                <w:szCs w:val="1"/>
                <w:color w:val="auto"/>
              </w:rPr>
            </w:pPr>
          </w:p>
        </w:tc>
        <w:tc>
          <w:tcPr>
            <w:tcW w:w="580" w:type="dxa"/>
            <w:vAlign w:val="bottom"/>
            <w:shd w:val="clear" w:color="auto" w:fill="1F266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ind w:left="580" w:hanging="370"/>
        <w:spacing w:after="0" w:line="201" w:lineRule="auto"/>
        <w:tabs>
          <w:tab w:leader="none" w:pos="580" w:val="left"/>
        </w:tabs>
        <w:numPr>
          <w:ilvl w:val="0"/>
          <w:numId w:val="100"/>
        </w:numPr>
        <w:rPr>
          <w:rFonts w:ascii="Arial" w:cs="Arial" w:eastAsia="Arial" w:hAnsi="Arial"/>
          <w:sz w:val="32"/>
          <w:szCs w:val="32"/>
          <w:color w:val="auto"/>
          <w:vertAlign w:val="subscript"/>
        </w:rPr>
      </w:pPr>
      <w:r>
        <w:rPr>
          <w:rFonts w:ascii="Arial" w:cs="Arial" w:eastAsia="Arial" w:hAnsi="Arial"/>
          <w:sz w:val="32"/>
          <w:szCs w:val="32"/>
          <w:color w:val="auto"/>
          <w:vertAlign w:val="subscript"/>
        </w:rPr>
        <w:t>​</w:t>
      </w:r>
      <w:r>
        <w:rPr>
          <w:rFonts w:ascii="Arial" w:cs="Arial" w:eastAsia="Arial" w:hAnsi="Arial"/>
          <w:sz w:val="16"/>
          <w:szCs w:val="16"/>
          <w:color w:val="auto"/>
        </w:rPr>
        <w:t>$ 1,666,667</w:t>
      </w:r>
      <w:r>
        <w:rPr>
          <w:rFonts w:ascii="Arial" w:cs="Arial" w:eastAsia="Arial" w:hAnsi="Arial"/>
          <w:sz w:val="32"/>
          <w:szCs w:val="32"/>
          <w:color w:val="auto"/>
          <w:vertAlign w:val="subscript"/>
        </w:rPr>
        <w:t>​​​ ​</w:t>
      </w:r>
      <w:r>
        <w:rPr>
          <w:rFonts w:ascii="Arial" w:cs="Arial" w:eastAsia="Arial" w:hAnsi="Arial"/>
          <w:sz w:val="16"/>
          <w:szCs w:val="16"/>
          <w:color w:val="auto"/>
        </w:rPr>
        <w:t>$ 1,666,667</w:t>
      </w:r>
      <w:r>
        <w:rPr>
          <w:rFonts w:ascii="Arial" w:cs="Arial" w:eastAsia="Arial" w:hAnsi="Arial"/>
          <w:sz w:val="32"/>
          <w:szCs w:val="32"/>
          <w:color w:val="auto"/>
          <w:vertAlign w:val="subscript"/>
        </w:rPr>
        <w:t>​​​​</w:t>
      </w:r>
      <w:r>
        <w:rPr>
          <w:rFonts w:ascii="Arial" w:cs="Arial" w:eastAsia="Arial" w:hAnsi="Arial"/>
          <w:sz w:val="16"/>
          <w:szCs w:val="16"/>
          <w:color w:val="auto"/>
        </w:rPr>
        <w:t>$1,666,667</w:t>
      </w:r>
      <w:r>
        <w:rPr>
          <w:rFonts w:ascii="Arial" w:cs="Arial" w:eastAsia="Arial" w:hAnsi="Arial"/>
          <w:sz w:val="32"/>
          <w:szCs w:val="32"/>
          <w:color w:val="auto"/>
          <w:vertAlign w:val="subscript"/>
        </w:rPr>
        <w:t>​​​​</w:t>
      </w:r>
      <w:r>
        <w:rPr>
          <w:rFonts w:ascii="Arial" w:cs="Arial" w:eastAsia="Arial" w:hAnsi="Arial"/>
          <w:sz w:val="16"/>
          <w:szCs w:val="16"/>
          <w:color w:val="auto"/>
        </w:rPr>
        <w:t>$1,666,667</w:t>
      </w:r>
      <w:r>
        <w:rPr>
          <w:rFonts w:ascii="Arial" w:cs="Arial" w:eastAsia="Arial" w:hAnsi="Arial"/>
          <w:sz w:val="32"/>
          <w:szCs w:val="32"/>
          <w:color w:val="auto"/>
          <w:vertAlign w:val="subscript"/>
        </w:rPr>
        <w:t>​</w:t>
      </w:r>
    </w:p>
    <w:p>
      <w:pPr>
        <w:ind w:left="580" w:hanging="370"/>
        <w:spacing w:after="0" w:line="193" w:lineRule="auto"/>
        <w:tabs>
          <w:tab w:leader="none" w:pos="580" w:val="left"/>
        </w:tabs>
        <w:numPr>
          <w:ilvl w:val="0"/>
          <w:numId w:val="100"/>
        </w:numPr>
        <w:rPr>
          <w:rFonts w:ascii="Arial" w:cs="Arial" w:eastAsia="Arial" w:hAnsi="Arial"/>
          <w:sz w:val="32"/>
          <w:szCs w:val="32"/>
          <w:color w:val="auto"/>
          <w:vertAlign w:val="subscript"/>
        </w:rPr>
      </w:pPr>
      <w:r>
        <w:rPr>
          <w:rFonts w:ascii="Arial" w:cs="Arial" w:eastAsia="Arial" w:hAnsi="Arial"/>
          <w:sz w:val="32"/>
          <w:szCs w:val="32"/>
          <w:color w:val="auto"/>
          <w:vertAlign w:val="subscript"/>
        </w:rPr>
        <w:t>​</w:t>
      </w:r>
      <w:r>
        <w:rPr>
          <w:rFonts w:ascii="Arial" w:cs="Arial" w:eastAsia="Arial" w:hAnsi="Arial"/>
          <w:sz w:val="16"/>
          <w:szCs w:val="16"/>
          <w:color w:val="auto"/>
        </w:rPr>
        <w:t>$ 3,666,667</w:t>
      </w:r>
      <w:r>
        <w:rPr>
          <w:rFonts w:ascii="Arial" w:cs="Arial" w:eastAsia="Arial" w:hAnsi="Arial"/>
          <w:sz w:val="32"/>
          <w:szCs w:val="32"/>
          <w:color w:val="auto"/>
          <w:vertAlign w:val="subscript"/>
        </w:rPr>
        <w:t>​​​ ​</w:t>
      </w:r>
      <w:r>
        <w:rPr>
          <w:rFonts w:ascii="Arial" w:cs="Arial" w:eastAsia="Arial" w:hAnsi="Arial"/>
          <w:sz w:val="16"/>
          <w:szCs w:val="16"/>
          <w:color w:val="auto"/>
        </w:rPr>
        <w:t>$ 5,933,333</w:t>
      </w:r>
      <w:r>
        <w:rPr>
          <w:rFonts w:ascii="Arial" w:cs="Arial" w:eastAsia="Arial" w:hAnsi="Arial"/>
          <w:sz w:val="32"/>
          <w:szCs w:val="32"/>
          <w:color w:val="auto"/>
          <w:vertAlign w:val="subscript"/>
        </w:rPr>
        <w:t>​​​​</w:t>
      </w:r>
      <w:r>
        <w:rPr>
          <w:rFonts w:ascii="Arial" w:cs="Arial" w:eastAsia="Arial" w:hAnsi="Arial"/>
          <w:sz w:val="16"/>
          <w:szCs w:val="16"/>
          <w:color w:val="auto"/>
        </w:rPr>
        <w:t>$3,666,667</w:t>
      </w:r>
      <w:r>
        <w:rPr>
          <w:rFonts w:ascii="Arial" w:cs="Arial" w:eastAsia="Arial" w:hAnsi="Arial"/>
          <w:sz w:val="32"/>
          <w:szCs w:val="32"/>
          <w:color w:val="auto"/>
          <w:vertAlign w:val="subscript"/>
        </w:rPr>
        <w:t>​​​​</w:t>
      </w:r>
      <w:r>
        <w:rPr>
          <w:rFonts w:ascii="Arial" w:cs="Arial" w:eastAsia="Arial" w:hAnsi="Arial"/>
          <w:sz w:val="16"/>
          <w:szCs w:val="16"/>
          <w:color w:val="auto"/>
        </w:rPr>
        <w:t>$1,400,000</w:t>
      </w:r>
      <w:r>
        <w:rPr>
          <w:rFonts w:ascii="Arial" w:cs="Arial" w:eastAsia="Arial" w:hAnsi="Arial"/>
          <w:sz w:val="32"/>
          <w:szCs w:val="32"/>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-14605</wp:posOffset>
            </wp:positionV>
            <wp:extent cx="261493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2614930" cy="8255"/>
                    </a:xfrm>
                    <a:prstGeom prst="rect">
                      <a:avLst/>
                    </a:prstGeom>
                    <a:noFill/>
                  </pic:spPr>
                </pic:pic>
              </a:graphicData>
            </a:graphic>
          </wp:anchor>
        </w:drawing>
        <w:drawing>
          <wp:anchor simplePos="0" relativeHeight="251657728" behindDoc="1" locked="0" layoutInCell="0" allowOverlap="1">
            <wp:simplePos x="0" y="0"/>
            <wp:positionH relativeFrom="column">
              <wp:posOffset>183515</wp:posOffset>
            </wp:positionH>
            <wp:positionV relativeFrom="paragraph">
              <wp:posOffset>-203200</wp:posOffset>
            </wp:positionV>
            <wp:extent cx="261493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2614930" cy="8890"/>
                    </a:xfrm>
                    <a:prstGeom prst="rect">
                      <a:avLst/>
                    </a:prstGeom>
                    <a:noFill/>
                  </pic:spPr>
                </pic:pic>
              </a:graphicData>
            </a:graphic>
          </wp:anchor>
        </w:drawing>
      </w:r>
    </w:p>
    <w:p>
      <w:pPr>
        <w:spacing w:after="0" w:line="9" w:lineRule="exact"/>
        <w:rPr>
          <w:sz w:val="20"/>
          <w:szCs w:val="20"/>
          <w:color w:val="auto"/>
        </w:rPr>
      </w:pPr>
    </w:p>
    <w:p>
      <w:pPr>
        <w:ind w:left="200"/>
        <w:spacing w:after="0"/>
        <w:tabs>
          <w:tab w:leader="none" w:pos="560" w:val="left"/>
          <w:tab w:leader="none" w:pos="1320" w:val="left"/>
          <w:tab w:leader="none" w:pos="2340" w:val="left"/>
          <w:tab w:leader="none" w:pos="3280" w:val="left"/>
          <w:tab w:leader="none" w:pos="42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 xml:space="preserve">​ </w:t>
      </w:r>
      <w:r>
        <w:rPr>
          <w:rFonts w:ascii="Arial" w:cs="Arial" w:eastAsia="Arial" w:hAnsi="Arial"/>
          <w:sz w:val="32"/>
          <w:szCs w:val="32"/>
          <w:color w:val="auto"/>
          <w:vertAlign w:val="superscript"/>
        </w:rPr>
        <w:t>​</w:t>
      </w:r>
      <w:r>
        <w:rPr>
          <w:sz w:val="20"/>
          <w:szCs w:val="20"/>
          <w:color w:val="auto"/>
        </w:rPr>
        <w:tab/>
      </w:r>
      <w:r>
        <w:rPr>
          <w:rFonts w:ascii="Arial" w:cs="Arial" w:eastAsia="Arial" w:hAnsi="Arial"/>
          <w:sz w:val="32"/>
          <w:szCs w:val="32"/>
          <w:color w:val="auto"/>
          <w:vertAlign w:val="superscript"/>
        </w:rPr>
        <w:t>—</w:t>
      </w:r>
      <w:r>
        <w:rPr>
          <w:rFonts w:ascii="Arial" w:cs="Arial" w:eastAsia="Arial" w:hAnsi="Arial"/>
          <w:sz w:val="32"/>
          <w:szCs w:val="32"/>
          <w:color w:val="auto"/>
        </w:rPr>
        <w:t xml:space="preserve">​​​ ​ </w:t>
      </w:r>
      <w:r>
        <w:rPr>
          <w:rFonts w:ascii="Arial" w:cs="Arial" w:eastAsia="Arial" w:hAnsi="Arial"/>
          <w:sz w:val="32"/>
          <w:szCs w:val="32"/>
          <w:color w:val="auto"/>
          <w:vertAlign w:val="superscript"/>
        </w:rPr>
        <w:t>​</w:t>
      </w:r>
      <w:r>
        <w:rPr>
          <w:sz w:val="20"/>
          <w:szCs w:val="20"/>
          <w:color w:val="auto"/>
        </w:rPr>
        <w:tab/>
      </w:r>
      <w:r>
        <w:rPr>
          <w:rFonts w:ascii="Arial" w:cs="Arial" w:eastAsia="Arial" w:hAnsi="Arial"/>
          <w:sz w:val="32"/>
          <w:szCs w:val="32"/>
          <w:color w:val="auto"/>
          <w:vertAlign w:val="superscript"/>
        </w:rPr>
        <w:t>—</w:t>
      </w:r>
      <w:r>
        <w:rPr>
          <w:rFonts w:ascii="Arial" w:cs="Arial" w:eastAsia="Arial" w:hAnsi="Arial"/>
          <w:sz w:val="32"/>
          <w:szCs w:val="32"/>
          <w:color w:val="auto"/>
        </w:rPr>
        <w:t xml:space="preserve">​​​​ </w:t>
      </w:r>
      <w:r>
        <w:rPr>
          <w:rFonts w:ascii="Arial" w:cs="Arial" w:eastAsia="Arial" w:hAnsi="Arial"/>
          <w:sz w:val="32"/>
          <w:szCs w:val="32"/>
          <w:color w:val="auto"/>
          <w:vertAlign w:val="superscript"/>
        </w:rPr>
        <w:t>​</w:t>
      </w:r>
      <w:r>
        <w:rPr>
          <w:rFonts w:ascii="Arial" w:cs="Arial" w:eastAsia="Arial" w:hAnsi="Arial"/>
          <w:sz w:val="32"/>
          <w:szCs w:val="32"/>
          <w:color w:val="auto"/>
        </w:rPr>
        <w:tab/>
      </w:r>
      <w:r>
        <w:rPr>
          <w:rFonts w:ascii="Arial" w:cs="Arial" w:eastAsia="Arial" w:hAnsi="Arial"/>
          <w:sz w:val="32"/>
          <w:szCs w:val="32"/>
          <w:color w:val="auto"/>
          <w:vertAlign w:val="superscript"/>
        </w:rPr>
        <w:t>—</w:t>
      </w:r>
      <w:r>
        <w:rPr>
          <w:rFonts w:ascii="Arial" w:cs="Arial" w:eastAsia="Arial" w:hAnsi="Arial"/>
          <w:sz w:val="32"/>
          <w:szCs w:val="32"/>
          <w:color w:val="auto"/>
        </w:rPr>
        <w:t xml:space="preserve">​​​​ </w:t>
      </w:r>
      <w:r>
        <w:rPr>
          <w:rFonts w:ascii="Arial" w:cs="Arial" w:eastAsia="Arial" w:hAnsi="Arial"/>
          <w:sz w:val="32"/>
          <w:szCs w:val="32"/>
          <w:color w:val="auto"/>
          <w:vertAlign w:val="superscript"/>
        </w:rPr>
        <w:t>​</w:t>
      </w:r>
      <w:r>
        <w:rPr>
          <w:rFonts w:ascii="Arial" w:cs="Arial" w:eastAsia="Arial" w:hAnsi="Arial"/>
          <w:sz w:val="32"/>
          <w:szCs w:val="32"/>
          <w:color w:val="auto"/>
        </w:rPr>
        <w:tab/>
      </w:r>
      <w:r>
        <w:rPr>
          <w:rFonts w:ascii="Arial" w:cs="Arial" w:eastAsia="Arial" w:hAnsi="Arial"/>
          <w:sz w:val="32"/>
          <w:szCs w:val="32"/>
          <w:color w:val="auto"/>
          <w:vertAlign w:val="superscript"/>
        </w:rPr>
        <w:t>—</w:t>
      </w:r>
      <w:r>
        <w:rPr>
          <w:rFonts w:ascii="Arial" w:cs="Arial" w:eastAsia="Arial" w:hAnsi="Arial"/>
          <w:sz w:val="32"/>
          <w:szCs w:val="3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-60325</wp:posOffset>
            </wp:positionV>
            <wp:extent cx="261493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ind w:left="580" w:hanging="370"/>
        <w:spacing w:after="0" w:line="181" w:lineRule="auto"/>
        <w:tabs>
          <w:tab w:leader="none" w:pos="580" w:val="left"/>
        </w:tabs>
        <w:numPr>
          <w:ilvl w:val="0"/>
          <w:numId w:val="101"/>
        </w:numPr>
        <w:rPr>
          <w:rFonts w:ascii="Arial" w:cs="Arial" w:eastAsia="Arial" w:hAnsi="Arial"/>
          <w:sz w:val="29"/>
          <w:szCs w:val="29"/>
          <w:color w:val="auto"/>
          <w:vertAlign w:val="subscript"/>
        </w:rPr>
      </w:pPr>
      <w:r>
        <w:rPr>
          <w:rFonts w:ascii="Arial" w:cs="Arial" w:eastAsia="Arial" w:hAnsi="Arial"/>
          <w:sz w:val="29"/>
          <w:szCs w:val="29"/>
          <w:color w:val="auto"/>
          <w:vertAlign w:val="subscript"/>
        </w:rPr>
        <w:t>​</w:t>
      </w:r>
      <w:r>
        <w:rPr>
          <w:rFonts w:ascii="Arial" w:cs="Arial" w:eastAsia="Arial" w:hAnsi="Arial"/>
          <w:sz w:val="15"/>
          <w:szCs w:val="15"/>
          <w:color w:val="auto"/>
        </w:rPr>
        <w:t>$ 4,592,999</w:t>
      </w:r>
      <w:r>
        <w:rPr>
          <w:rFonts w:ascii="Arial" w:cs="Arial" w:eastAsia="Arial" w:hAnsi="Arial"/>
          <w:sz w:val="29"/>
          <w:szCs w:val="29"/>
          <w:color w:val="auto"/>
          <w:vertAlign w:val="subscript"/>
        </w:rPr>
        <w:t>​​​ ​</w:t>
      </w:r>
      <w:r>
        <w:rPr>
          <w:rFonts w:ascii="Arial" w:cs="Arial" w:eastAsia="Arial" w:hAnsi="Arial"/>
          <w:sz w:val="15"/>
          <w:szCs w:val="15"/>
          <w:color w:val="auto"/>
        </w:rPr>
        <w:t>$ 7,919,744</w:t>
      </w:r>
      <w:r>
        <w:rPr>
          <w:rFonts w:ascii="Arial" w:cs="Arial" w:eastAsia="Arial" w:hAnsi="Arial"/>
          <w:sz w:val="29"/>
          <w:szCs w:val="29"/>
          <w:color w:val="auto"/>
          <w:vertAlign w:val="subscript"/>
        </w:rPr>
        <w:t>​​​​</w:t>
      </w:r>
      <w:r>
        <w:rPr>
          <w:rFonts w:ascii="Arial" w:cs="Arial" w:eastAsia="Arial" w:hAnsi="Arial"/>
          <w:sz w:val="15"/>
          <w:szCs w:val="15"/>
          <w:color w:val="auto"/>
        </w:rPr>
        <w:t>$4,592,999</w:t>
      </w:r>
      <w:r>
        <w:rPr>
          <w:rFonts w:ascii="Arial" w:cs="Arial" w:eastAsia="Arial" w:hAnsi="Arial"/>
          <w:sz w:val="29"/>
          <w:szCs w:val="29"/>
          <w:color w:val="auto"/>
          <w:vertAlign w:val="subscript"/>
        </w:rPr>
        <w:t>​​​​</w:t>
      </w:r>
      <w:r>
        <w:rPr>
          <w:rFonts w:ascii="Arial" w:cs="Arial" w:eastAsia="Arial" w:hAnsi="Arial"/>
          <w:sz w:val="15"/>
          <w:szCs w:val="15"/>
          <w:color w:val="auto"/>
        </w:rPr>
        <w:t>$4,592,999</w:t>
      </w:r>
      <w:r>
        <w:rPr>
          <w:rFonts w:ascii="Arial" w:cs="Arial" w:eastAsia="Arial" w:hAnsi="Arial"/>
          <w:sz w:val="29"/>
          <w:szCs w:val="29"/>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-14605</wp:posOffset>
            </wp:positionV>
            <wp:extent cx="261493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tbl>
      <w:tblPr>
        <w:tblLayout w:type="fixed"/>
        <w:tblInd w:w="200" w:type="dxa"/>
        <w:tblCellMar>
          <w:top w:w="0" w:type="dxa"/>
          <w:left w:w="0" w:type="dxa"/>
          <w:bottom w:w="0" w:type="dxa"/>
          <w:right w:w="0" w:type="dxa"/>
        </w:tblCellMar>
      </w:tblPr>
      <w:tr>
        <w:trPr>
          <w:trHeight w:val="300"/>
        </w:trPr>
        <w:tc>
          <w:tcPr>
            <w:tcW w:w="240" w:type="dxa"/>
            <w:vAlign w:val="bottom"/>
            <w:gridSpan w:val="2"/>
          </w:tcPr>
          <w:p>
            <w:pPr>
              <w:spacing w:after="0"/>
              <w:rPr>
                <w:sz w:val="20"/>
                <w:szCs w:val="20"/>
                <w:color w:val="auto"/>
              </w:rPr>
            </w:pPr>
            <w:r>
              <w:rPr>
                <w:rFonts w:ascii="Arial" w:cs="Arial" w:eastAsia="Arial" w:hAnsi="Arial"/>
                <w:sz w:val="16"/>
                <w:szCs w:val="16"/>
                <w:color w:val="auto"/>
              </w:rPr>
              <w:t>​​</w:t>
            </w:r>
          </w:p>
        </w:tc>
        <w:tc>
          <w:tcPr>
            <w:tcW w:w="300" w:type="dxa"/>
            <w:vAlign w:val="bottom"/>
          </w:tcPr>
          <w:p>
            <w:pPr>
              <w:ind w:left="140"/>
              <w:spacing w:after="0" w:line="299"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900" w:type="dxa"/>
            <w:vAlign w:val="bottom"/>
            <w:gridSpan w:val="2"/>
          </w:tcPr>
          <w:p>
            <w:pPr>
              <w:jc w:val="right"/>
              <w:ind w:right="20"/>
              <w:spacing w:after="0" w:line="299" w:lineRule="exact"/>
              <w:rPr>
                <w:sz w:val="20"/>
                <w:szCs w:val="20"/>
                <w:color w:val="auto"/>
              </w:rPr>
            </w:pPr>
            <w:r>
              <w:rPr>
                <w:rFonts w:ascii="Arial" w:cs="Arial" w:eastAsia="Arial" w:hAnsi="Arial"/>
                <w:sz w:val="16"/>
                <w:szCs w:val="16"/>
                <w:color w:val="auto"/>
              </w:rPr>
              <w:t>53,821</w:t>
            </w:r>
            <w:r>
              <w:rPr>
                <w:rFonts w:ascii="Arial" w:cs="Arial" w:eastAsia="Arial" w:hAnsi="Arial"/>
                <w:sz w:val="32"/>
                <w:szCs w:val="32"/>
                <w:color w:val="auto"/>
                <w:vertAlign w:val="subscript"/>
              </w:rPr>
              <w:t>​​​</w:t>
            </w:r>
          </w:p>
        </w:tc>
        <w:tc>
          <w:tcPr>
            <w:tcW w:w="1160" w:type="dxa"/>
            <w:vAlign w:val="bottom"/>
            <w:gridSpan w:val="4"/>
          </w:tcPr>
          <w:p>
            <w:pPr>
              <w:spacing w:after="0" w:line="299"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  107,641</w:t>
            </w:r>
            <w:r>
              <w:rPr>
                <w:rFonts w:ascii="Arial" w:cs="Arial" w:eastAsia="Arial" w:hAnsi="Arial"/>
                <w:sz w:val="32"/>
                <w:szCs w:val="32"/>
                <w:color w:val="auto"/>
                <w:vertAlign w:val="subscript"/>
              </w:rPr>
              <w:t>​​​​</w:t>
            </w:r>
            <w:r>
              <w:rPr>
                <w:rFonts w:ascii="Arial" w:cs="Arial" w:eastAsia="Arial" w:hAnsi="Arial"/>
                <w:sz w:val="16"/>
                <w:szCs w:val="16"/>
                <w:color w:val="auto"/>
              </w:rPr>
              <w:t>$</w:t>
            </w:r>
          </w:p>
        </w:tc>
        <w:tc>
          <w:tcPr>
            <w:tcW w:w="980" w:type="dxa"/>
            <w:vAlign w:val="bottom"/>
            <w:gridSpan w:val="3"/>
          </w:tcPr>
          <w:p>
            <w:pPr>
              <w:jc w:val="right"/>
              <w:ind w:right="60"/>
              <w:spacing w:after="0" w:line="299" w:lineRule="exact"/>
              <w:rPr>
                <w:sz w:val="20"/>
                <w:szCs w:val="20"/>
                <w:color w:val="auto"/>
              </w:rPr>
            </w:pPr>
            <w:r>
              <w:rPr>
                <w:rFonts w:ascii="Arial" w:cs="Arial" w:eastAsia="Arial" w:hAnsi="Arial"/>
                <w:sz w:val="16"/>
                <w:szCs w:val="16"/>
                <w:color w:val="auto"/>
              </w:rPr>
              <w:t>161,462</w:t>
            </w:r>
            <w:r>
              <w:rPr>
                <w:rFonts w:ascii="Arial" w:cs="Arial" w:eastAsia="Arial" w:hAnsi="Arial"/>
                <w:sz w:val="32"/>
                <w:szCs w:val="32"/>
                <w:color w:val="auto"/>
                <w:vertAlign w:val="subscript"/>
              </w:rPr>
              <w:t>​​​​</w:t>
            </w:r>
            <w:r>
              <w:rPr>
                <w:rFonts w:ascii="Arial" w:cs="Arial" w:eastAsia="Arial" w:hAnsi="Arial"/>
                <w:sz w:val="16"/>
                <w:szCs w:val="16"/>
                <w:color w:val="auto"/>
              </w:rPr>
              <w:t xml:space="preserve"> ​</w:t>
            </w:r>
          </w:p>
        </w:tc>
        <w:tc>
          <w:tcPr>
            <w:tcW w:w="680" w:type="dxa"/>
            <w:vAlign w:val="bottom"/>
            <w:gridSpan w:val="3"/>
          </w:tcPr>
          <w:p>
            <w:pPr>
              <w:jc w:val="right"/>
              <w:spacing w:after="0" w:line="299"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w:t>
            </w:r>
          </w:p>
        </w:tc>
      </w:tr>
      <w:tr>
        <w:trPr>
          <w:trHeight w:val="808"/>
        </w:trPr>
        <w:tc>
          <w:tcPr>
            <w:tcW w:w="80" w:type="dxa"/>
            <w:vAlign w:val="bottom"/>
          </w:tcPr>
          <w:p>
            <w:pPr>
              <w:spacing w:after="0"/>
              <w:rPr>
                <w:sz w:val="24"/>
                <w:szCs w:val="24"/>
                <w:color w:val="auto"/>
              </w:rPr>
            </w:pPr>
          </w:p>
        </w:tc>
        <w:tc>
          <w:tcPr>
            <w:tcW w:w="160" w:type="dxa"/>
            <w:vAlign w:val="bottom"/>
            <w:tcBorders>
              <w:top w:val="single" w:sz="8" w:color="1F2668"/>
            </w:tcBorders>
          </w:tcPr>
          <w:p>
            <w:pPr>
              <w:spacing w:after="0"/>
              <w:rPr>
                <w:sz w:val="24"/>
                <w:szCs w:val="24"/>
                <w:color w:val="auto"/>
              </w:rPr>
            </w:pPr>
          </w:p>
        </w:tc>
        <w:tc>
          <w:tcPr>
            <w:tcW w:w="1060" w:type="dxa"/>
            <w:vAlign w:val="bottom"/>
            <w:tcBorders>
              <w:top w:val="single" w:sz="8" w:color="1F2668"/>
            </w:tcBorders>
            <w:gridSpan w:val="2"/>
          </w:tcPr>
          <w:p>
            <w:pPr>
              <w:ind w:left="200"/>
              <w:spacing w:after="0"/>
              <w:rPr>
                <w:sz w:val="20"/>
                <w:szCs w:val="20"/>
                <w:color w:val="auto"/>
              </w:rPr>
            </w:pPr>
            <w:r>
              <w:rPr>
                <w:rFonts w:ascii="Arial" w:cs="Arial" w:eastAsia="Arial" w:hAnsi="Arial"/>
                <w:sz w:val="14"/>
                <w:szCs w:val="14"/>
                <w:b w:val="1"/>
                <w:bCs w:val="1"/>
                <w:color w:val="1F2668"/>
              </w:rPr>
              <w:t>Termination</w:t>
            </w:r>
          </w:p>
        </w:tc>
        <w:tc>
          <w:tcPr>
            <w:tcW w:w="140" w:type="dxa"/>
            <w:vAlign w:val="bottom"/>
          </w:tcPr>
          <w:p>
            <w:pPr>
              <w:spacing w:after="0"/>
              <w:rPr>
                <w:sz w:val="24"/>
                <w:szCs w:val="24"/>
                <w:color w:val="auto"/>
              </w:rPr>
            </w:pPr>
          </w:p>
        </w:tc>
        <w:tc>
          <w:tcPr>
            <w:tcW w:w="880" w:type="dxa"/>
            <w:vAlign w:val="bottom"/>
            <w:tcBorders>
              <w:top w:val="single" w:sz="8" w:color="1F2668"/>
            </w:tcBorders>
            <w:gridSpan w:val="2"/>
          </w:tcPr>
          <w:p>
            <w:pPr>
              <w:jc w:val="right"/>
              <w:spacing w:after="0"/>
              <w:rPr>
                <w:sz w:val="20"/>
                <w:szCs w:val="20"/>
                <w:color w:val="auto"/>
              </w:rPr>
            </w:pPr>
            <w:r>
              <w:rPr>
                <w:rFonts w:ascii="Arial" w:cs="Arial" w:eastAsia="Arial" w:hAnsi="Arial"/>
                <w:sz w:val="14"/>
                <w:szCs w:val="14"/>
                <w:b w:val="1"/>
                <w:bCs w:val="1"/>
                <w:color w:val="1F2668"/>
              </w:rPr>
              <w:t>Termination</w:t>
            </w:r>
          </w:p>
        </w:tc>
        <w:tc>
          <w:tcPr>
            <w:tcW w:w="100" w:type="dxa"/>
            <w:vAlign w:val="bottom"/>
          </w:tcPr>
          <w:p>
            <w:pPr>
              <w:spacing w:after="0"/>
              <w:rPr>
                <w:sz w:val="24"/>
                <w:szCs w:val="24"/>
                <w:color w:val="auto"/>
              </w:rPr>
            </w:pPr>
          </w:p>
        </w:tc>
        <w:tc>
          <w:tcPr>
            <w:tcW w:w="180" w:type="dxa"/>
            <w:vAlign w:val="bottom"/>
            <w:tcBorders>
              <w:top w:val="single" w:sz="8" w:color="1F2668"/>
            </w:tcBorders>
          </w:tcPr>
          <w:p>
            <w:pPr>
              <w:spacing w:after="0"/>
              <w:rPr>
                <w:sz w:val="24"/>
                <w:szCs w:val="24"/>
                <w:color w:val="auto"/>
              </w:rPr>
            </w:pPr>
          </w:p>
        </w:tc>
        <w:tc>
          <w:tcPr>
            <w:tcW w:w="660" w:type="dxa"/>
            <w:vAlign w:val="bottom"/>
            <w:tcBorders>
              <w:top w:val="single" w:sz="8" w:color="1F2668"/>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1F2668"/>
            </w:tcBorders>
          </w:tcPr>
          <w:p>
            <w:pPr>
              <w:spacing w:after="0"/>
              <w:rPr>
                <w:sz w:val="24"/>
                <w:szCs w:val="24"/>
                <w:color w:val="auto"/>
              </w:rPr>
            </w:pPr>
          </w:p>
        </w:tc>
        <w:tc>
          <w:tcPr>
            <w:tcW w:w="620" w:type="dxa"/>
            <w:vAlign w:val="bottom"/>
            <w:tcBorders>
              <w:top w:val="single" w:sz="8" w:color="1F2668"/>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80" w:type="dxa"/>
            <w:vAlign w:val="bottom"/>
          </w:tcPr>
          <w:p>
            <w:pPr>
              <w:spacing w:after="0"/>
              <w:rPr>
                <w:sz w:val="14"/>
                <w:szCs w:val="14"/>
                <w:color w:val="auto"/>
              </w:rPr>
            </w:pPr>
          </w:p>
        </w:tc>
        <w:tc>
          <w:tcPr>
            <w:tcW w:w="2520" w:type="dxa"/>
            <w:vAlign w:val="bottom"/>
            <w:gridSpan w:val="8"/>
          </w:tcPr>
          <w:p>
            <w:pPr>
              <w:jc w:val="right"/>
              <w:ind w:right="320"/>
              <w:spacing w:after="0"/>
              <w:rPr>
                <w:sz w:val="20"/>
                <w:szCs w:val="20"/>
                <w:color w:val="auto"/>
              </w:rPr>
            </w:pPr>
            <w:r>
              <w:rPr>
                <w:rFonts w:ascii="Arial" w:cs="Arial" w:eastAsia="Arial" w:hAnsi="Arial"/>
                <w:sz w:val="14"/>
                <w:szCs w:val="14"/>
                <w:b w:val="1"/>
                <w:bCs w:val="1"/>
                <w:color w:val="1F2668"/>
              </w:rPr>
              <w:t>without Cause or  w/ Change in</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25"/>
        </w:trPr>
        <w:tc>
          <w:tcPr>
            <w:tcW w:w="1440" w:type="dxa"/>
            <w:vAlign w:val="bottom"/>
            <w:gridSpan w:val="5"/>
          </w:tcPr>
          <w:p>
            <w:pPr>
              <w:ind w:left="40"/>
              <w:spacing w:after="0" w:line="225" w:lineRule="exact"/>
              <w:rPr>
                <w:sz w:val="20"/>
                <w:szCs w:val="20"/>
                <w:color w:val="auto"/>
              </w:rPr>
            </w:pPr>
            <w:r>
              <w:rPr>
                <w:rFonts w:ascii="Arial" w:cs="Arial" w:eastAsia="Arial" w:hAnsi="Arial"/>
                <w:sz w:val="26"/>
                <w:szCs w:val="26"/>
                <w:b w:val="1"/>
                <w:bCs w:val="1"/>
                <w:color w:val="1F2668"/>
                <w:vertAlign w:val="subscript"/>
              </w:rPr>
              <w:t>​​</w:t>
            </w:r>
            <w:r>
              <w:rPr>
                <w:rFonts w:ascii="Arial" w:cs="Arial" w:eastAsia="Arial" w:hAnsi="Arial"/>
                <w:sz w:val="14"/>
                <w:szCs w:val="14"/>
                <w:b w:val="1"/>
                <w:bCs w:val="1"/>
                <w:color w:val="1F2668"/>
              </w:rPr>
              <w:t xml:space="preserve">for Good Reason </w:t>
            </w:r>
            <w:r>
              <w:rPr>
                <w:rFonts w:ascii="Arial" w:cs="Arial" w:eastAsia="Arial" w:hAnsi="Arial"/>
                <w:sz w:val="26"/>
                <w:szCs w:val="26"/>
                <w:b w:val="1"/>
                <w:bCs w:val="1"/>
                <w:color w:val="1F2668"/>
                <w:vertAlign w:val="subscript"/>
              </w:rPr>
              <w:t>​​</w:t>
            </w:r>
          </w:p>
        </w:tc>
        <w:tc>
          <w:tcPr>
            <w:tcW w:w="220" w:type="dxa"/>
            <w:vAlign w:val="bottom"/>
          </w:tcPr>
          <w:p>
            <w:pPr>
              <w:spacing w:after="0"/>
              <w:rPr>
                <w:sz w:val="19"/>
                <w:szCs w:val="19"/>
                <w:color w:val="auto"/>
              </w:rPr>
            </w:pPr>
          </w:p>
        </w:tc>
        <w:tc>
          <w:tcPr>
            <w:tcW w:w="940" w:type="dxa"/>
            <w:vAlign w:val="bottom"/>
            <w:gridSpan w:val="3"/>
          </w:tcPr>
          <w:p>
            <w:pPr>
              <w:jc w:val="center"/>
              <w:spacing w:after="0" w:line="225" w:lineRule="exact"/>
              <w:rPr>
                <w:sz w:val="20"/>
                <w:szCs w:val="20"/>
                <w:color w:val="auto"/>
              </w:rPr>
            </w:pPr>
            <w:r>
              <w:rPr>
                <w:rFonts w:ascii="Arial" w:cs="Arial" w:eastAsia="Arial" w:hAnsi="Arial"/>
                <w:sz w:val="14"/>
                <w:szCs w:val="14"/>
                <w:b w:val="1"/>
                <w:bCs w:val="1"/>
                <w:color w:val="1F2668"/>
              </w:rPr>
              <w:t xml:space="preserve">Control </w:t>
            </w:r>
            <w:r>
              <w:rPr>
                <w:rFonts w:ascii="Arial" w:cs="Arial" w:eastAsia="Arial" w:hAnsi="Arial"/>
                <w:sz w:val="26"/>
                <w:szCs w:val="26"/>
                <w:b w:val="1"/>
                <w:bCs w:val="1"/>
                <w:color w:val="1F2668"/>
                <w:vertAlign w:val="subscript"/>
              </w:rPr>
              <w:t>​​</w:t>
            </w:r>
          </w:p>
        </w:tc>
        <w:tc>
          <w:tcPr>
            <w:tcW w:w="980" w:type="dxa"/>
            <w:vAlign w:val="bottom"/>
            <w:gridSpan w:val="3"/>
          </w:tcPr>
          <w:p>
            <w:pPr>
              <w:jc w:val="right"/>
              <w:ind w:right="160"/>
              <w:spacing w:after="0" w:line="225" w:lineRule="exact"/>
              <w:rPr>
                <w:sz w:val="20"/>
                <w:szCs w:val="20"/>
                <w:color w:val="auto"/>
              </w:rPr>
            </w:pPr>
            <w:r>
              <w:rPr>
                <w:rFonts w:ascii="Arial" w:cs="Arial" w:eastAsia="Arial" w:hAnsi="Arial"/>
                <w:sz w:val="14"/>
                <w:szCs w:val="14"/>
                <w:b w:val="1"/>
                <w:bCs w:val="1"/>
                <w:color w:val="1F2668"/>
              </w:rPr>
              <w:t xml:space="preserve">Disability </w:t>
            </w:r>
            <w:r>
              <w:rPr>
                <w:rFonts w:ascii="Arial" w:cs="Arial" w:eastAsia="Arial" w:hAnsi="Arial"/>
                <w:sz w:val="26"/>
                <w:szCs w:val="26"/>
                <w:b w:val="1"/>
                <w:bCs w:val="1"/>
                <w:color w:val="1F2668"/>
                <w:vertAlign w:val="subscript"/>
              </w:rPr>
              <w:t>​​</w:t>
            </w:r>
          </w:p>
        </w:tc>
        <w:tc>
          <w:tcPr>
            <w:tcW w:w="680" w:type="dxa"/>
            <w:vAlign w:val="bottom"/>
            <w:gridSpan w:val="3"/>
          </w:tcPr>
          <w:p>
            <w:pPr>
              <w:jc w:val="right"/>
              <w:ind w:right="20"/>
              <w:spacing w:after="0" w:line="225" w:lineRule="exact"/>
              <w:rPr>
                <w:sz w:val="20"/>
                <w:szCs w:val="20"/>
                <w:color w:val="auto"/>
              </w:rPr>
            </w:pPr>
            <w:r>
              <w:rPr>
                <w:rFonts w:ascii="Arial" w:cs="Arial" w:eastAsia="Arial" w:hAnsi="Arial"/>
                <w:sz w:val="14"/>
                <w:szCs w:val="14"/>
                <w:b w:val="1"/>
                <w:bCs w:val="1"/>
                <w:color w:val="1F2668"/>
              </w:rPr>
              <w:t>Death</w:t>
            </w:r>
            <w:r>
              <w:rPr>
                <w:rFonts w:ascii="Arial" w:cs="Arial" w:eastAsia="Arial" w:hAnsi="Arial"/>
                <w:sz w:val="26"/>
                <w:szCs w:val="26"/>
                <w:b w:val="1"/>
                <w:bCs w:val="1"/>
                <w:color w:val="1F2668"/>
                <w:vertAlign w:val="subscript"/>
              </w:rPr>
              <w:t>​</w:t>
            </w:r>
          </w:p>
        </w:tc>
      </w:tr>
      <w:tr>
        <w:trPr>
          <w:trHeight w:val="20"/>
        </w:trPr>
        <w:tc>
          <w:tcPr>
            <w:tcW w:w="80" w:type="dxa"/>
            <w:vAlign w:val="bottom"/>
          </w:tcPr>
          <w:p>
            <w:pPr>
              <w:spacing w:after="0" w:line="20" w:lineRule="exact"/>
              <w:rPr>
                <w:sz w:val="1"/>
                <w:szCs w:val="1"/>
                <w:color w:val="auto"/>
              </w:rPr>
            </w:pPr>
          </w:p>
        </w:tc>
        <w:tc>
          <w:tcPr>
            <w:tcW w:w="160" w:type="dxa"/>
            <w:vAlign w:val="bottom"/>
            <w:shd w:val="clear" w:color="auto" w:fill="1F2668"/>
          </w:tcPr>
          <w:p>
            <w:pPr>
              <w:spacing w:after="0" w:line="20" w:lineRule="exact"/>
              <w:rPr>
                <w:sz w:val="1"/>
                <w:szCs w:val="1"/>
                <w:color w:val="auto"/>
              </w:rPr>
            </w:pPr>
          </w:p>
        </w:tc>
        <w:tc>
          <w:tcPr>
            <w:tcW w:w="300" w:type="dxa"/>
            <w:vAlign w:val="bottom"/>
            <w:shd w:val="clear" w:color="auto" w:fill="1F2668"/>
          </w:tcPr>
          <w:p>
            <w:pPr>
              <w:spacing w:after="0" w:line="20" w:lineRule="exact"/>
              <w:rPr>
                <w:sz w:val="1"/>
                <w:szCs w:val="1"/>
                <w:color w:val="auto"/>
              </w:rPr>
            </w:pPr>
          </w:p>
        </w:tc>
        <w:tc>
          <w:tcPr>
            <w:tcW w:w="760" w:type="dxa"/>
            <w:vAlign w:val="bottom"/>
            <w:shd w:val="clear" w:color="auto" w:fill="1F2668"/>
          </w:tcPr>
          <w:p>
            <w:pPr>
              <w:spacing w:after="0" w:line="20" w:lineRule="exact"/>
              <w:rPr>
                <w:sz w:val="1"/>
                <w:szCs w:val="1"/>
                <w:color w:val="auto"/>
              </w:rPr>
            </w:pPr>
          </w:p>
        </w:tc>
        <w:tc>
          <w:tcPr>
            <w:tcW w:w="140" w:type="dxa"/>
            <w:vAlign w:val="bottom"/>
            <w:tcBorders>
              <w:right w:val="single" w:sz="8" w:color="1F2668"/>
            </w:tcBorders>
          </w:tcPr>
          <w:p>
            <w:pPr>
              <w:spacing w:after="0" w:line="20" w:lineRule="exact"/>
              <w:rPr>
                <w:sz w:val="1"/>
                <w:szCs w:val="1"/>
                <w:color w:val="auto"/>
              </w:rPr>
            </w:pPr>
          </w:p>
        </w:tc>
        <w:tc>
          <w:tcPr>
            <w:tcW w:w="220" w:type="dxa"/>
            <w:vAlign w:val="bottom"/>
            <w:shd w:val="clear" w:color="auto" w:fill="1F2668"/>
          </w:tcPr>
          <w:p>
            <w:pPr>
              <w:spacing w:after="0" w:line="20" w:lineRule="exact"/>
              <w:rPr>
                <w:sz w:val="1"/>
                <w:szCs w:val="1"/>
                <w:color w:val="auto"/>
              </w:rPr>
            </w:pPr>
          </w:p>
        </w:tc>
        <w:tc>
          <w:tcPr>
            <w:tcW w:w="66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1F2668"/>
          </w:tcPr>
          <w:p>
            <w:pPr>
              <w:spacing w:after="0" w:line="20" w:lineRule="exact"/>
              <w:rPr>
                <w:sz w:val="1"/>
                <w:szCs w:val="1"/>
                <w:color w:val="auto"/>
              </w:rPr>
            </w:pPr>
          </w:p>
        </w:tc>
        <w:tc>
          <w:tcPr>
            <w:tcW w:w="66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1F2668"/>
          </w:tcPr>
          <w:p>
            <w:pPr>
              <w:spacing w:after="0" w:line="20" w:lineRule="exact"/>
              <w:rPr>
                <w:sz w:val="1"/>
                <w:szCs w:val="1"/>
                <w:color w:val="auto"/>
              </w:rPr>
            </w:pPr>
          </w:p>
        </w:tc>
        <w:tc>
          <w:tcPr>
            <w:tcW w:w="620" w:type="dxa"/>
            <w:vAlign w:val="bottom"/>
            <w:shd w:val="clear" w:color="auto" w:fill="1F266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77"/>
        </w:trPr>
        <w:tc>
          <w:tcPr>
            <w:tcW w:w="240" w:type="dxa"/>
            <w:vAlign w:val="bottom"/>
            <w:gridSpan w:val="2"/>
          </w:tcPr>
          <w:p>
            <w:pPr>
              <w:spacing w:after="0"/>
              <w:rPr>
                <w:sz w:val="20"/>
                <w:szCs w:val="20"/>
                <w:color w:val="auto"/>
              </w:rPr>
            </w:pPr>
            <w:r>
              <w:rPr>
                <w:rFonts w:ascii="Arial" w:cs="Arial" w:eastAsia="Arial" w:hAnsi="Arial"/>
                <w:sz w:val="16"/>
                <w:szCs w:val="16"/>
                <w:color w:val="auto"/>
              </w:rPr>
              <w:t>​​</w:t>
            </w:r>
          </w:p>
        </w:tc>
        <w:tc>
          <w:tcPr>
            <w:tcW w:w="300" w:type="dxa"/>
            <w:vAlign w:val="bottom"/>
          </w:tcPr>
          <w:p>
            <w:pPr>
              <w:ind w:left="14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w:t>
            </w:r>
          </w:p>
        </w:tc>
        <w:tc>
          <w:tcPr>
            <w:tcW w:w="900" w:type="dxa"/>
            <w:vAlign w:val="bottom"/>
            <w:gridSpan w:val="2"/>
          </w:tcPr>
          <w:p>
            <w:pPr>
              <w:jc w:val="right"/>
              <w:ind w:right="20"/>
              <w:spacing w:after="0" w:line="276" w:lineRule="exact"/>
              <w:rPr>
                <w:sz w:val="20"/>
                <w:szCs w:val="20"/>
                <w:color w:val="auto"/>
              </w:rPr>
            </w:pPr>
            <w:r>
              <w:rPr>
                <w:rFonts w:ascii="Arial" w:cs="Arial" w:eastAsia="Arial" w:hAnsi="Arial"/>
                <w:sz w:val="16"/>
                <w:szCs w:val="16"/>
                <w:color w:val="auto"/>
              </w:rPr>
              <w:t>925,000</w:t>
            </w:r>
            <w:r>
              <w:rPr>
                <w:rFonts w:ascii="Arial" w:cs="Arial" w:eastAsia="Arial" w:hAnsi="Arial"/>
                <w:sz w:val="32"/>
                <w:szCs w:val="32"/>
                <w:color w:val="auto"/>
                <w:vertAlign w:val="subscript"/>
              </w:rPr>
              <w:t>​​​</w:t>
            </w:r>
          </w:p>
        </w:tc>
        <w:tc>
          <w:tcPr>
            <w:tcW w:w="220" w:type="dxa"/>
            <w:vAlign w:val="bottom"/>
          </w:tcPr>
          <w:p>
            <w:pPr>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w:t>
            </w:r>
          </w:p>
        </w:tc>
        <w:tc>
          <w:tcPr>
            <w:tcW w:w="940" w:type="dxa"/>
            <w:vAlign w:val="bottom"/>
            <w:gridSpan w:val="3"/>
          </w:tcPr>
          <w:p>
            <w:pPr>
              <w:jc w:val="center"/>
              <w:spacing w:after="0" w:line="276" w:lineRule="exact"/>
              <w:rPr>
                <w:sz w:val="20"/>
                <w:szCs w:val="20"/>
                <w:color w:val="auto"/>
              </w:rPr>
            </w:pPr>
            <w:r>
              <w:rPr>
                <w:rFonts w:ascii="Arial" w:cs="Arial" w:eastAsia="Arial" w:hAnsi="Arial"/>
                <w:sz w:val="16"/>
                <w:szCs w:val="16"/>
                <w:color w:val="auto"/>
              </w:rPr>
              <w:t>925,000</w:t>
            </w:r>
            <w:r>
              <w:rPr>
                <w:rFonts w:ascii="Arial" w:cs="Arial" w:eastAsia="Arial" w:hAnsi="Arial"/>
                <w:sz w:val="32"/>
                <w:szCs w:val="32"/>
                <w:color w:val="auto"/>
                <w:vertAlign w:val="subscript"/>
              </w:rPr>
              <w:t>​​​​</w:t>
            </w:r>
            <w:r>
              <w:rPr>
                <w:rFonts w:ascii="Arial" w:cs="Arial" w:eastAsia="Arial" w:hAnsi="Arial"/>
                <w:sz w:val="16"/>
                <w:szCs w:val="16"/>
                <w:color w:val="auto"/>
              </w:rPr>
              <w:t>$</w:t>
            </w:r>
          </w:p>
        </w:tc>
        <w:tc>
          <w:tcPr>
            <w:tcW w:w="980" w:type="dxa"/>
            <w:vAlign w:val="bottom"/>
            <w:gridSpan w:val="3"/>
          </w:tcPr>
          <w:p>
            <w:pPr>
              <w:jc w:val="right"/>
              <w:ind w:right="100"/>
              <w:spacing w:after="0" w:line="276" w:lineRule="exact"/>
              <w:rPr>
                <w:sz w:val="20"/>
                <w:szCs w:val="20"/>
                <w:color w:val="auto"/>
              </w:rPr>
            </w:pPr>
            <w:r>
              <w:rPr>
                <w:rFonts w:ascii="Arial" w:cs="Arial" w:eastAsia="Arial" w:hAnsi="Arial"/>
                <w:sz w:val="16"/>
                <w:szCs w:val="16"/>
                <w:color w:val="auto"/>
              </w:rPr>
              <w:t>925,000</w:t>
            </w:r>
            <w:r>
              <w:rPr>
                <w:rFonts w:ascii="Arial" w:cs="Arial" w:eastAsia="Arial" w:hAnsi="Arial"/>
                <w:sz w:val="32"/>
                <w:szCs w:val="32"/>
                <w:color w:val="auto"/>
                <w:vertAlign w:val="subscript"/>
              </w:rPr>
              <w:t>​​​​</w:t>
            </w:r>
            <w:r>
              <w:rPr>
                <w:rFonts w:ascii="Arial" w:cs="Arial" w:eastAsia="Arial" w:hAnsi="Arial"/>
                <w:sz w:val="16"/>
                <w:szCs w:val="16"/>
                <w:color w:val="auto"/>
              </w:rPr>
              <w:t>$</w:t>
            </w:r>
          </w:p>
        </w:tc>
        <w:tc>
          <w:tcPr>
            <w:tcW w:w="680" w:type="dxa"/>
            <w:vAlign w:val="bottom"/>
            <w:gridSpan w:val="3"/>
          </w:tcPr>
          <w:p>
            <w:pPr>
              <w:jc w:val="right"/>
              <w:spacing w:after="0" w:line="276" w:lineRule="exact"/>
              <w:rPr>
                <w:sz w:val="20"/>
                <w:szCs w:val="20"/>
                <w:color w:val="auto"/>
              </w:rPr>
            </w:pPr>
            <w:r>
              <w:rPr>
                <w:rFonts w:ascii="Arial" w:cs="Arial" w:eastAsia="Arial" w:hAnsi="Arial"/>
                <w:sz w:val="16"/>
                <w:szCs w:val="16"/>
                <w:color w:val="auto"/>
              </w:rPr>
              <w:t>925,000</w:t>
            </w:r>
            <w:r>
              <w:rPr>
                <w:rFonts w:ascii="Arial" w:cs="Arial" w:eastAsia="Arial" w:hAnsi="Arial"/>
                <w:sz w:val="32"/>
                <w:szCs w:val="32"/>
                <w:color w:val="auto"/>
                <w:vertAlign w:val="subscript"/>
              </w:rPr>
              <w:t>​</w:t>
            </w:r>
          </w:p>
        </w:tc>
      </w:tr>
      <w:tr>
        <w:trPr>
          <w:trHeight w:val="20"/>
        </w:trPr>
        <w:tc>
          <w:tcPr>
            <w:tcW w:w="80" w:type="dxa"/>
            <w:vAlign w:val="bottom"/>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300" w:type="dxa"/>
            <w:vAlign w:val="bottom"/>
            <w:shd w:val="clear" w:color="auto" w:fill="4B5088"/>
          </w:tcPr>
          <w:p>
            <w:pPr>
              <w:spacing w:after="0" w:line="20" w:lineRule="exact"/>
              <w:rPr>
                <w:sz w:val="1"/>
                <w:szCs w:val="1"/>
                <w:color w:val="auto"/>
              </w:rPr>
            </w:pPr>
          </w:p>
        </w:tc>
        <w:tc>
          <w:tcPr>
            <w:tcW w:w="760" w:type="dxa"/>
            <w:vAlign w:val="bottom"/>
            <w:shd w:val="clear" w:color="auto" w:fill="4B5088"/>
          </w:tcPr>
          <w:p>
            <w:pPr>
              <w:spacing w:after="0" w:line="20" w:lineRule="exact"/>
              <w:rPr>
                <w:sz w:val="1"/>
                <w:szCs w:val="1"/>
                <w:color w:val="auto"/>
              </w:rPr>
            </w:pPr>
          </w:p>
        </w:tc>
        <w:tc>
          <w:tcPr>
            <w:tcW w:w="140" w:type="dxa"/>
            <w:vAlign w:val="bottom"/>
            <w:tcBorders>
              <w:right w:val="single" w:sz="8" w:color="4B5088"/>
            </w:tcBorders>
          </w:tcPr>
          <w:p>
            <w:pPr>
              <w:spacing w:after="0" w:line="20" w:lineRule="exact"/>
              <w:rPr>
                <w:sz w:val="1"/>
                <w:szCs w:val="1"/>
                <w:color w:val="auto"/>
              </w:rPr>
            </w:pPr>
          </w:p>
        </w:tc>
        <w:tc>
          <w:tcPr>
            <w:tcW w:w="880" w:type="dxa"/>
            <w:vAlign w:val="bottom"/>
            <w:gridSpan w:val="2"/>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4B5088"/>
          </w:tcPr>
          <w:p>
            <w:pPr>
              <w:spacing w:after="0" w:line="20" w:lineRule="exact"/>
              <w:rPr>
                <w:sz w:val="1"/>
                <w:szCs w:val="1"/>
                <w:color w:val="auto"/>
              </w:rPr>
            </w:pPr>
          </w:p>
        </w:tc>
        <w:tc>
          <w:tcPr>
            <w:tcW w:w="640" w:type="dxa"/>
            <w:vAlign w:val="bottom"/>
            <w:gridSpan w:val="2"/>
            <w:shd w:val="clear" w:color="auto" w:fill="4B508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240" w:type="dxa"/>
            <w:vAlign w:val="bottom"/>
            <w:gridSpan w:val="2"/>
          </w:tcPr>
          <w:p>
            <w:pPr>
              <w:spacing w:after="0"/>
              <w:rPr>
                <w:sz w:val="20"/>
                <w:szCs w:val="20"/>
                <w:color w:val="auto"/>
              </w:rPr>
            </w:pPr>
            <w:r>
              <w:rPr>
                <w:rFonts w:ascii="Arial" w:cs="Arial" w:eastAsia="Arial" w:hAnsi="Arial"/>
                <w:sz w:val="16"/>
                <w:szCs w:val="16"/>
                <w:color w:val="auto"/>
              </w:rPr>
              <w:t>​​</w:t>
            </w:r>
          </w:p>
        </w:tc>
        <w:tc>
          <w:tcPr>
            <w:tcW w:w="300" w:type="dxa"/>
            <w:vAlign w:val="bottom"/>
          </w:tcPr>
          <w:p>
            <w:pPr>
              <w:ind w:left="140"/>
              <w:spacing w:after="0" w:line="276"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900" w:type="dxa"/>
            <w:vAlign w:val="bottom"/>
            <w:gridSpan w:val="2"/>
          </w:tcPr>
          <w:p>
            <w:pPr>
              <w:jc w:val="right"/>
              <w:ind w:right="20"/>
              <w:spacing w:after="0" w:line="276" w:lineRule="exact"/>
              <w:rPr>
                <w:sz w:val="20"/>
                <w:szCs w:val="20"/>
                <w:color w:val="auto"/>
              </w:rPr>
            </w:pPr>
            <w:r>
              <w:rPr>
                <w:rFonts w:ascii="Arial" w:cs="Arial" w:eastAsia="Arial" w:hAnsi="Arial"/>
                <w:sz w:val="16"/>
                <w:szCs w:val="16"/>
                <w:color w:val="auto"/>
              </w:rPr>
              <w:t>1,505,000</w:t>
            </w:r>
            <w:r>
              <w:rPr>
                <w:rFonts w:ascii="Arial" w:cs="Arial" w:eastAsia="Arial" w:hAnsi="Arial"/>
                <w:sz w:val="32"/>
                <w:szCs w:val="32"/>
                <w:color w:val="auto"/>
                <w:vertAlign w:val="subscript"/>
              </w:rPr>
              <w:t>​​​</w:t>
            </w:r>
          </w:p>
        </w:tc>
        <w:tc>
          <w:tcPr>
            <w:tcW w:w="2140" w:type="dxa"/>
            <w:vAlign w:val="bottom"/>
            <w:gridSpan w:val="7"/>
          </w:tcPr>
          <w:p>
            <w:pPr>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$ 3,010,000</w:t>
            </w:r>
            <w:r>
              <w:rPr>
                <w:rFonts w:ascii="Arial" w:cs="Arial" w:eastAsia="Arial" w:hAnsi="Arial"/>
                <w:sz w:val="32"/>
                <w:szCs w:val="32"/>
                <w:color w:val="auto"/>
                <w:vertAlign w:val="subscript"/>
              </w:rPr>
              <w:t>​​​​</w:t>
            </w:r>
            <w:r>
              <w:rPr>
                <w:rFonts w:ascii="Arial" w:cs="Arial" w:eastAsia="Arial" w:hAnsi="Arial"/>
                <w:sz w:val="16"/>
                <w:szCs w:val="16"/>
                <w:color w:val="auto"/>
              </w:rPr>
              <w:t>$1,505,000</w:t>
            </w:r>
            <w:r>
              <w:rPr>
                <w:rFonts w:ascii="Arial" w:cs="Arial" w:eastAsia="Arial" w:hAnsi="Arial"/>
                <w:sz w:val="32"/>
                <w:szCs w:val="32"/>
                <w:color w:val="auto"/>
                <w:vertAlign w:val="subscript"/>
              </w:rPr>
              <w:t>​​​​</w:t>
            </w:r>
            <w:r>
              <w:rPr>
                <w:rFonts w:ascii="Arial" w:cs="Arial" w:eastAsia="Arial" w:hAnsi="Arial"/>
                <w:sz w:val="16"/>
                <w:szCs w:val="16"/>
                <w:color w:val="auto"/>
              </w:rPr>
              <w:t xml:space="preserve"> ​</w:t>
            </w:r>
          </w:p>
        </w:tc>
        <w:tc>
          <w:tcPr>
            <w:tcW w:w="680" w:type="dxa"/>
            <w:vAlign w:val="bottom"/>
            <w:gridSpan w:val="3"/>
          </w:tcPr>
          <w:p>
            <w:pPr>
              <w:jc w:val="right"/>
              <w:spacing w:after="0" w:line="276"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w:t>
            </w:r>
          </w:p>
        </w:tc>
      </w:tr>
      <w:tr>
        <w:trPr>
          <w:trHeight w:val="20"/>
        </w:trPr>
        <w:tc>
          <w:tcPr>
            <w:tcW w:w="80" w:type="dxa"/>
            <w:vAlign w:val="bottom"/>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300" w:type="dxa"/>
            <w:vAlign w:val="bottom"/>
            <w:shd w:val="clear" w:color="auto" w:fill="4B5088"/>
          </w:tcPr>
          <w:p>
            <w:pPr>
              <w:spacing w:after="0" w:line="20" w:lineRule="exact"/>
              <w:rPr>
                <w:sz w:val="1"/>
                <w:szCs w:val="1"/>
                <w:color w:val="auto"/>
              </w:rPr>
            </w:pPr>
          </w:p>
        </w:tc>
        <w:tc>
          <w:tcPr>
            <w:tcW w:w="760" w:type="dxa"/>
            <w:vAlign w:val="bottom"/>
            <w:shd w:val="clear" w:color="auto" w:fill="4B5088"/>
          </w:tcPr>
          <w:p>
            <w:pPr>
              <w:spacing w:after="0" w:line="20" w:lineRule="exact"/>
              <w:rPr>
                <w:sz w:val="1"/>
                <w:szCs w:val="1"/>
                <w:color w:val="auto"/>
              </w:rPr>
            </w:pPr>
          </w:p>
        </w:tc>
        <w:tc>
          <w:tcPr>
            <w:tcW w:w="140" w:type="dxa"/>
            <w:vAlign w:val="bottom"/>
            <w:tcBorders>
              <w:right w:val="single" w:sz="8" w:color="4B5088"/>
            </w:tcBorders>
          </w:tcPr>
          <w:p>
            <w:pPr>
              <w:spacing w:after="0" w:line="20" w:lineRule="exact"/>
              <w:rPr>
                <w:sz w:val="1"/>
                <w:szCs w:val="1"/>
                <w:color w:val="auto"/>
              </w:rPr>
            </w:pPr>
          </w:p>
        </w:tc>
        <w:tc>
          <w:tcPr>
            <w:tcW w:w="220" w:type="dxa"/>
            <w:vAlign w:val="bottom"/>
            <w:shd w:val="clear" w:color="auto" w:fill="4B5088"/>
          </w:tcPr>
          <w:p>
            <w:pPr>
              <w:spacing w:after="0" w:line="20" w:lineRule="exact"/>
              <w:rPr>
                <w:sz w:val="1"/>
                <w:szCs w:val="1"/>
                <w:color w:val="auto"/>
              </w:rPr>
            </w:pPr>
          </w:p>
        </w:tc>
        <w:tc>
          <w:tcPr>
            <w:tcW w:w="66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4B5088"/>
          </w:tcPr>
          <w:p>
            <w:pPr>
              <w:spacing w:after="0" w:line="20" w:lineRule="exact"/>
              <w:rPr>
                <w:sz w:val="1"/>
                <w:szCs w:val="1"/>
                <w:color w:val="auto"/>
              </w:rPr>
            </w:pPr>
          </w:p>
        </w:tc>
        <w:tc>
          <w:tcPr>
            <w:tcW w:w="66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4B5088"/>
          </w:tcPr>
          <w:p>
            <w:pPr>
              <w:spacing w:after="0" w:line="20" w:lineRule="exact"/>
              <w:rPr>
                <w:sz w:val="1"/>
                <w:szCs w:val="1"/>
                <w:color w:val="auto"/>
              </w:rPr>
            </w:pPr>
          </w:p>
        </w:tc>
        <w:tc>
          <w:tcPr>
            <w:tcW w:w="640" w:type="dxa"/>
            <w:vAlign w:val="bottom"/>
            <w:gridSpan w:val="2"/>
            <w:shd w:val="clear" w:color="auto" w:fill="4B5088"/>
          </w:tcPr>
          <w:p>
            <w:pPr>
              <w:spacing w:after="0" w:line="20" w:lineRule="exact"/>
              <w:rPr>
                <w:sz w:val="1"/>
                <w:szCs w:val="1"/>
                <w:color w:val="auto"/>
              </w:rPr>
            </w:pPr>
          </w:p>
        </w:tc>
        <w:tc>
          <w:tcPr>
            <w:tcW w:w="40" w:type="dxa"/>
            <w:vAlign w:val="bottom"/>
            <w:tcBorders>
              <w:left w:val="single" w:sz="8" w:color="4B5088"/>
            </w:tcBorders>
          </w:tcPr>
          <w:p>
            <w:pPr>
              <w:spacing w:after="0" w:line="20" w:lineRule="exact"/>
              <w:rPr>
                <w:sz w:val="1"/>
                <w:szCs w:val="1"/>
                <w:color w:val="auto"/>
              </w:rPr>
            </w:pPr>
          </w:p>
        </w:tc>
      </w:tr>
      <w:tr>
        <w:trPr>
          <w:trHeight w:val="304"/>
        </w:trPr>
        <w:tc>
          <w:tcPr>
            <w:tcW w:w="240" w:type="dxa"/>
            <w:vAlign w:val="bottom"/>
            <w:gridSpan w:val="2"/>
          </w:tcPr>
          <w:p>
            <w:pPr>
              <w:spacing w:after="0"/>
              <w:rPr>
                <w:sz w:val="20"/>
                <w:szCs w:val="20"/>
                <w:color w:val="auto"/>
              </w:rPr>
            </w:pPr>
            <w:r>
              <w:rPr>
                <w:rFonts w:ascii="Arial" w:cs="Arial" w:eastAsia="Arial" w:hAnsi="Arial"/>
                <w:sz w:val="16"/>
                <w:szCs w:val="16"/>
                <w:color w:val="auto"/>
              </w:rPr>
              <w:t>​​</w:t>
            </w:r>
          </w:p>
        </w:tc>
        <w:tc>
          <w:tcPr>
            <w:tcW w:w="300" w:type="dxa"/>
            <w:vAlign w:val="bottom"/>
          </w:tcPr>
          <w:p>
            <w:pPr>
              <w:ind w:left="140"/>
              <w:spacing w:after="0" w:line="30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2"/>
                <w:szCs w:val="32"/>
                <w:color w:val="auto"/>
                <w:vertAlign w:val="superscript"/>
              </w:rPr>
              <w:t>​</w:t>
            </w:r>
          </w:p>
        </w:tc>
        <w:tc>
          <w:tcPr>
            <w:tcW w:w="900" w:type="dxa"/>
            <w:vAlign w:val="bottom"/>
            <w:gridSpan w:val="2"/>
          </w:tcPr>
          <w:p>
            <w:pPr>
              <w:jc w:val="right"/>
              <w:ind w:right="20"/>
              <w:spacing w:after="0" w:line="304"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w:t>
            </w:r>
          </w:p>
        </w:tc>
        <w:tc>
          <w:tcPr>
            <w:tcW w:w="220" w:type="dxa"/>
            <w:vAlign w:val="bottom"/>
          </w:tcPr>
          <w:p>
            <w:pPr>
              <w:spacing w:after="0" w:line="30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2"/>
                <w:szCs w:val="32"/>
                <w:color w:val="auto"/>
                <w:vertAlign w:val="superscript"/>
              </w:rPr>
              <w:t>​</w:t>
            </w:r>
          </w:p>
        </w:tc>
        <w:tc>
          <w:tcPr>
            <w:tcW w:w="940" w:type="dxa"/>
            <w:vAlign w:val="bottom"/>
            <w:gridSpan w:val="3"/>
          </w:tcPr>
          <w:p>
            <w:pPr>
              <w:ind w:left="500"/>
              <w:spacing w:after="0" w:line="304"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w:t>
            </w:r>
            <w:r>
              <w:rPr>
                <w:rFonts w:ascii="Arial" w:cs="Arial" w:eastAsia="Arial" w:hAnsi="Arial"/>
                <w:sz w:val="32"/>
                <w:szCs w:val="32"/>
                <w:color w:val="auto"/>
                <w:vertAlign w:val="superscript"/>
              </w:rPr>
              <w:t>​</w:t>
            </w:r>
          </w:p>
        </w:tc>
        <w:tc>
          <w:tcPr>
            <w:tcW w:w="980" w:type="dxa"/>
            <w:vAlign w:val="bottom"/>
            <w:gridSpan w:val="3"/>
          </w:tcPr>
          <w:p>
            <w:pPr>
              <w:jc w:val="right"/>
              <w:ind w:right="60"/>
              <w:spacing w:after="0" w:line="304"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w:t>
            </w:r>
            <w:r>
              <w:rPr>
                <w:rFonts w:ascii="Arial" w:cs="Arial" w:eastAsia="Arial" w:hAnsi="Arial"/>
                <w:sz w:val="32"/>
                <w:szCs w:val="32"/>
                <w:color w:val="auto"/>
                <w:vertAlign w:val="superscript"/>
              </w:rPr>
              <w:t>​</w:t>
            </w:r>
          </w:p>
        </w:tc>
        <w:tc>
          <w:tcPr>
            <w:tcW w:w="680" w:type="dxa"/>
            <w:vAlign w:val="bottom"/>
            <w:gridSpan w:val="3"/>
          </w:tcPr>
          <w:p>
            <w:pPr>
              <w:jc w:val="right"/>
              <w:spacing w:after="0" w:line="304"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w:t>
            </w:r>
          </w:p>
        </w:tc>
      </w:tr>
      <w:tr>
        <w:trPr>
          <w:trHeight w:val="20"/>
        </w:trPr>
        <w:tc>
          <w:tcPr>
            <w:tcW w:w="80" w:type="dxa"/>
            <w:vAlign w:val="bottom"/>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300" w:type="dxa"/>
            <w:vAlign w:val="bottom"/>
            <w:shd w:val="clear" w:color="auto" w:fill="4B5088"/>
          </w:tcPr>
          <w:p>
            <w:pPr>
              <w:spacing w:after="0" w:line="20" w:lineRule="exact"/>
              <w:rPr>
                <w:sz w:val="1"/>
                <w:szCs w:val="1"/>
                <w:color w:val="auto"/>
              </w:rPr>
            </w:pPr>
          </w:p>
        </w:tc>
        <w:tc>
          <w:tcPr>
            <w:tcW w:w="760" w:type="dxa"/>
            <w:vAlign w:val="bottom"/>
            <w:shd w:val="clear" w:color="auto" w:fill="4B5088"/>
          </w:tcPr>
          <w:p>
            <w:pPr>
              <w:spacing w:after="0" w:line="20" w:lineRule="exact"/>
              <w:rPr>
                <w:sz w:val="1"/>
                <w:szCs w:val="1"/>
                <w:color w:val="auto"/>
              </w:rPr>
            </w:pPr>
          </w:p>
        </w:tc>
        <w:tc>
          <w:tcPr>
            <w:tcW w:w="140" w:type="dxa"/>
            <w:vAlign w:val="bottom"/>
            <w:tcBorders>
              <w:right w:val="single" w:sz="8" w:color="4B5088"/>
            </w:tcBorders>
          </w:tcPr>
          <w:p>
            <w:pPr>
              <w:spacing w:after="0" w:line="20" w:lineRule="exact"/>
              <w:rPr>
                <w:sz w:val="1"/>
                <w:szCs w:val="1"/>
                <w:color w:val="auto"/>
              </w:rPr>
            </w:pPr>
          </w:p>
        </w:tc>
        <w:tc>
          <w:tcPr>
            <w:tcW w:w="220" w:type="dxa"/>
            <w:vAlign w:val="bottom"/>
            <w:shd w:val="clear" w:color="auto" w:fill="4B5088"/>
          </w:tcPr>
          <w:p>
            <w:pPr>
              <w:spacing w:after="0" w:line="20" w:lineRule="exact"/>
              <w:rPr>
                <w:sz w:val="1"/>
                <w:szCs w:val="1"/>
                <w:color w:val="auto"/>
              </w:rPr>
            </w:pPr>
          </w:p>
        </w:tc>
        <w:tc>
          <w:tcPr>
            <w:tcW w:w="66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4B5088"/>
          </w:tcPr>
          <w:p>
            <w:pPr>
              <w:spacing w:after="0" w:line="20" w:lineRule="exact"/>
              <w:rPr>
                <w:sz w:val="1"/>
                <w:szCs w:val="1"/>
                <w:color w:val="auto"/>
              </w:rPr>
            </w:pPr>
          </w:p>
        </w:tc>
        <w:tc>
          <w:tcPr>
            <w:tcW w:w="66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4B5088"/>
          </w:tcPr>
          <w:p>
            <w:pPr>
              <w:spacing w:after="0" w:line="20" w:lineRule="exact"/>
              <w:rPr>
                <w:sz w:val="1"/>
                <w:szCs w:val="1"/>
                <w:color w:val="auto"/>
              </w:rPr>
            </w:pPr>
          </w:p>
        </w:tc>
        <w:tc>
          <w:tcPr>
            <w:tcW w:w="620" w:type="dxa"/>
            <w:vAlign w:val="bottom"/>
            <w:shd w:val="clear" w:color="auto" w:fill="4B5088"/>
          </w:tcPr>
          <w:p>
            <w:pPr>
              <w:spacing w:after="0" w:line="20" w:lineRule="exact"/>
              <w:rPr>
                <w:sz w:val="1"/>
                <w:szCs w:val="1"/>
                <w:color w:val="auto"/>
              </w:rPr>
            </w:pPr>
          </w:p>
        </w:tc>
        <w:tc>
          <w:tcPr>
            <w:tcW w:w="20" w:type="dxa"/>
            <w:vAlign w:val="bottom"/>
            <w:shd w:val="clear" w:color="auto" w:fill="4B5088"/>
          </w:tcPr>
          <w:p>
            <w:pPr>
              <w:spacing w:after="0" w:line="20" w:lineRule="exact"/>
              <w:rPr>
                <w:sz w:val="1"/>
                <w:szCs w:val="1"/>
                <w:color w:val="auto"/>
              </w:rPr>
            </w:pPr>
          </w:p>
        </w:tc>
        <w:tc>
          <w:tcPr>
            <w:tcW w:w="40" w:type="dxa"/>
            <w:vAlign w:val="bottom"/>
            <w:tcBorders>
              <w:left w:val="single" w:sz="8" w:color="4B5088"/>
            </w:tcBorders>
          </w:tcPr>
          <w:p>
            <w:pPr>
              <w:spacing w:after="0" w:line="20" w:lineRule="exact"/>
              <w:rPr>
                <w:sz w:val="1"/>
                <w:szCs w:val="1"/>
                <w:color w:val="auto"/>
              </w:rPr>
            </w:pPr>
          </w:p>
        </w:tc>
      </w:tr>
    </w:tbl>
    <w:p>
      <w:pPr>
        <w:ind w:left="580" w:hanging="370"/>
        <w:spacing w:after="0" w:line="218" w:lineRule="auto"/>
        <w:tabs>
          <w:tab w:leader="none" w:pos="580" w:val="left"/>
        </w:tabs>
        <w:numPr>
          <w:ilvl w:val="0"/>
          <w:numId w:val="102"/>
        </w:numPr>
        <w:rPr>
          <w:rFonts w:ascii="Arial" w:cs="Arial" w:eastAsia="Arial" w:hAnsi="Arial"/>
          <w:sz w:val="32"/>
          <w:szCs w:val="32"/>
          <w:color w:val="auto"/>
          <w:vertAlign w:val="subscript"/>
        </w:rPr>
      </w:pPr>
      <w:r>
        <w:rPr>
          <w:rFonts w:ascii="Arial" w:cs="Arial" w:eastAsia="Arial" w:hAnsi="Arial"/>
          <w:sz w:val="32"/>
          <w:szCs w:val="32"/>
          <w:color w:val="auto"/>
          <w:vertAlign w:val="subscript"/>
        </w:rPr>
        <w:t>​</w:t>
      </w:r>
      <w:r>
        <w:rPr>
          <w:rFonts w:ascii="Arial" w:cs="Arial" w:eastAsia="Arial" w:hAnsi="Arial"/>
          <w:sz w:val="16"/>
          <w:szCs w:val="16"/>
          <w:color w:val="auto"/>
        </w:rPr>
        <w:t>$ 4,242,328</w:t>
      </w:r>
      <w:r>
        <w:rPr>
          <w:rFonts w:ascii="Arial" w:cs="Arial" w:eastAsia="Arial" w:hAnsi="Arial"/>
          <w:sz w:val="32"/>
          <w:szCs w:val="32"/>
          <w:color w:val="auto"/>
          <w:vertAlign w:val="subscript"/>
        </w:rPr>
        <w:t>​​​ ​</w:t>
      </w:r>
      <w:r>
        <w:rPr>
          <w:rFonts w:ascii="Arial" w:cs="Arial" w:eastAsia="Arial" w:hAnsi="Arial"/>
          <w:sz w:val="16"/>
          <w:szCs w:val="16"/>
          <w:color w:val="auto"/>
        </w:rPr>
        <w:t>$ 7,569,073</w:t>
      </w:r>
      <w:r>
        <w:rPr>
          <w:rFonts w:ascii="Arial" w:cs="Arial" w:eastAsia="Arial" w:hAnsi="Arial"/>
          <w:sz w:val="32"/>
          <w:szCs w:val="32"/>
          <w:color w:val="auto"/>
          <w:vertAlign w:val="subscript"/>
        </w:rPr>
        <w:t>​​​​</w:t>
      </w:r>
      <w:r>
        <w:rPr>
          <w:rFonts w:ascii="Arial" w:cs="Arial" w:eastAsia="Arial" w:hAnsi="Arial"/>
          <w:sz w:val="16"/>
          <w:szCs w:val="16"/>
          <w:color w:val="auto"/>
        </w:rPr>
        <w:t>$4,242,328</w:t>
      </w:r>
      <w:r>
        <w:rPr>
          <w:rFonts w:ascii="Arial" w:cs="Arial" w:eastAsia="Arial" w:hAnsi="Arial"/>
          <w:sz w:val="32"/>
          <w:szCs w:val="32"/>
          <w:color w:val="auto"/>
          <w:vertAlign w:val="subscript"/>
        </w:rPr>
        <w:t>​​​​</w:t>
      </w:r>
      <w:r>
        <w:rPr>
          <w:rFonts w:ascii="Arial" w:cs="Arial" w:eastAsia="Arial" w:hAnsi="Arial"/>
          <w:sz w:val="16"/>
          <w:szCs w:val="16"/>
          <w:color w:val="auto"/>
        </w:rPr>
        <w:t>$4,242,328</w:t>
      </w:r>
      <w:r>
        <w:rPr>
          <w:rFonts w:ascii="Arial" w:cs="Arial" w:eastAsia="Arial" w:hAnsi="Arial"/>
          <w:sz w:val="32"/>
          <w:szCs w:val="32"/>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-14605</wp:posOffset>
            </wp:positionV>
            <wp:extent cx="261493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ind w:left="200"/>
        <w:spacing w:after="0" w:line="212" w:lineRule="auto"/>
        <w:tabs>
          <w:tab w:leader="none" w:pos="560" w:val="left"/>
          <w:tab w:leader="none" w:pos="980" w:val="left"/>
          <w:tab w:leader="none" w:pos="1920" w:val="left"/>
          <w:tab w:leader="none" w:pos="2860" w:val="left"/>
          <w:tab w:leader="none" w:pos="4220" w:val="left"/>
        </w:tabs>
        <w:rPr>
          <w:sz w:val="20"/>
          <w:szCs w:val="20"/>
          <w:color w:val="auto"/>
        </w:rPr>
      </w:pPr>
      <w:r>
        <w:rPr>
          <w:rFonts w:ascii="Arial" w:cs="Arial" w:eastAsia="Arial" w:hAnsi="Arial"/>
          <w:sz w:val="32"/>
          <w:szCs w:val="32"/>
          <w:color w:val="auto"/>
          <w:vertAlign w:val="subscript"/>
        </w:rPr>
        <w:t>​​</w:t>
      </w:r>
      <w:r>
        <w:rPr>
          <w:sz w:val="20"/>
          <w:szCs w:val="20"/>
          <w:color w:val="auto"/>
        </w:rPr>
        <w:tab/>
      </w:r>
      <w:r>
        <w:rPr>
          <w:rFonts w:ascii="Arial" w:cs="Arial" w:eastAsia="Arial" w:hAnsi="Arial"/>
          <w:sz w:val="32"/>
          <w:szCs w:val="32"/>
          <w:color w:val="auto"/>
          <w:vertAlign w:val="subscript"/>
        </w:rPr>
        <w:t>​</w:t>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51,623</w:t>
      </w:r>
      <w:r>
        <w:rPr>
          <w:rFonts w:ascii="Arial" w:cs="Arial" w:eastAsia="Arial" w:hAnsi="Arial"/>
          <w:sz w:val="32"/>
          <w:szCs w:val="32"/>
          <w:color w:val="auto"/>
          <w:vertAlign w:val="subscript"/>
        </w:rPr>
        <w:t>​​​ ​</w:t>
      </w:r>
      <w:r>
        <w:rPr>
          <w:rFonts w:ascii="Arial" w:cs="Arial" w:eastAsia="Arial" w:hAnsi="Arial"/>
          <w:sz w:val="16"/>
          <w:szCs w:val="16"/>
          <w:color w:val="auto"/>
        </w:rPr>
        <w:t>$</w:t>
        <w:tab/>
        <w:t>103,246</w:t>
      </w:r>
      <w:r>
        <w:rPr>
          <w:rFonts w:ascii="Arial" w:cs="Arial" w:eastAsia="Arial" w:hAnsi="Arial"/>
          <w:sz w:val="32"/>
          <w:szCs w:val="32"/>
          <w:color w:val="auto"/>
          <w:vertAlign w:val="subscript"/>
        </w:rPr>
        <w:t>​​​​</w:t>
      </w:r>
      <w:r>
        <w:rPr>
          <w:rFonts w:ascii="Arial" w:cs="Arial" w:eastAsia="Arial" w:hAnsi="Arial"/>
          <w:sz w:val="16"/>
          <w:szCs w:val="16"/>
          <w:color w:val="auto"/>
        </w:rPr>
        <w:t>$</w:t>
        <w:tab/>
        <w:t>154,869</w:t>
      </w:r>
      <w:r>
        <w:rPr>
          <w:rFonts w:ascii="Arial" w:cs="Arial" w:eastAsia="Arial" w:hAnsi="Arial"/>
          <w:sz w:val="32"/>
          <w:szCs w:val="32"/>
          <w:color w:val="auto"/>
          <w:vertAlign w:val="subscript"/>
        </w:rPr>
        <w:t>​​​​</w:t>
      </w:r>
      <w:r>
        <w:rPr>
          <w:rFonts w:ascii="Arial" w:cs="Arial" w:eastAsia="Arial" w:hAnsi="Arial"/>
          <w:sz w:val="16"/>
          <w:szCs w:val="16"/>
          <w:color w:val="auto"/>
        </w:rPr>
        <w:t xml:space="preserve"> ​</w:t>
      </w:r>
      <w:r>
        <w:rPr>
          <w:sz w:val="20"/>
          <w:szCs w:val="20"/>
          <w:color w:val="auto"/>
        </w:rPr>
        <w:tab/>
      </w:r>
      <w:r>
        <w:rPr>
          <w:rFonts w:ascii="Arial" w:cs="Arial" w:eastAsia="Arial" w:hAnsi="Arial"/>
          <w:sz w:val="16"/>
          <w:szCs w:val="16"/>
          <w:color w:val="auto"/>
        </w:rPr>
        <w:t>—</w:t>
      </w:r>
      <w:r>
        <w:rPr>
          <w:rFonts w:ascii="Arial" w:cs="Arial" w:eastAsia="Arial" w:hAnsi="Arial"/>
          <w:sz w:val="32"/>
          <w:szCs w:val="32"/>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-15240</wp:posOffset>
            </wp:positionV>
            <wp:extent cx="261493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2614930" cy="8890"/>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4760" w:space="720"/>
            <w:col w:w="4460"/>
          </w:cols>
          <w:pgMar w:left="580" w:top="97" w:right="1379" w:bottom="1440" w:gutter="0" w:footer="0" w:header="0"/>
          <w:type w:val="continuous"/>
        </w:sectPr>
      </w:pPr>
    </w:p>
    <w:p>
      <w:pPr>
        <w:ind w:left="1180" w:right="180" w:hanging="364"/>
        <w:spacing w:after="0" w:line="283" w:lineRule="auto"/>
        <w:tabs>
          <w:tab w:leader="none" w:pos="11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As we maintained life insurance policies for the benefit of the beneficiaries of Mr. Holliday in the amount of $10 million, as of December 31, 2024, the amount of the payments and benefits to be received by Mr. Holliday in the event of a termination upon death will be reduced by these amounts in accordance with his employment agreement.</w:t>
      </w:r>
    </w:p>
    <w:p>
      <w:pPr>
        <w:spacing w:after="0" w:line="37" w:lineRule="exact"/>
        <w:rPr>
          <w:rFonts w:ascii="Arial" w:cs="Arial" w:eastAsia="Arial" w:hAnsi="Arial"/>
          <w:sz w:val="14"/>
          <w:szCs w:val="14"/>
          <w:color w:val="auto"/>
        </w:rPr>
      </w:pPr>
    </w:p>
    <w:p>
      <w:pPr>
        <w:ind w:left="1180" w:right="220" w:hanging="364"/>
        <w:spacing w:after="0" w:line="282" w:lineRule="auto"/>
        <w:tabs>
          <w:tab w:leader="none" w:pos="11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Represents the value of the stock options or Class O LTIP units, if any, that would vest. Assumes that the per share value of the stock options or Class O LTIP units that vest equals (i) $67.92 per share, which was the closing price on the NYSE of one share of our common stock on December 31, 2024, less (ii) the exercise price per share of such stock options or the conversion threshold of such Class O LTIP units.</w:t>
      </w:r>
    </w:p>
    <w:p>
      <w:pPr>
        <w:spacing w:after="0" w:line="26" w:lineRule="exact"/>
        <w:rPr>
          <w:rFonts w:ascii="Arial" w:cs="Arial" w:eastAsia="Arial" w:hAnsi="Arial"/>
          <w:sz w:val="14"/>
          <w:szCs w:val="14"/>
          <w:color w:val="auto"/>
        </w:rPr>
      </w:pPr>
    </w:p>
    <w:p>
      <w:pPr>
        <w:ind w:left="1180" w:right="80" w:hanging="364"/>
        <w:spacing w:after="0" w:line="282" w:lineRule="auto"/>
        <w:tabs>
          <w:tab w:leader="none" w:pos="11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Represents the value of the LTIP units, if any, that would vest based on a price of $67.92 per unit, which was the closing price on the NYSE of one share of our common stock on December 31, 2024. Assumes that the value of LTIP units on a per unit basis is equal to the per share value of our common stock. Does not include performance-based LTIP units that would only vest to the extent earned based on the achievement of performance-based vesting criteria through the end of the performance period. Based on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61595</wp:posOffset>
            </wp:positionV>
            <wp:extent cx="6831965"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p>
      <w:pPr>
        <w:ind w:left="820"/>
        <w:spacing w:after="0"/>
        <w:tabs>
          <w:tab w:leader="none" w:pos="1440" w:val="left"/>
          <w:tab w:leader="none" w:pos="9860" w:val="left"/>
        </w:tabs>
        <w:rPr>
          <w:sz w:val="20"/>
          <w:szCs w:val="20"/>
          <w:color w:val="auto"/>
        </w:rPr>
      </w:pPr>
      <w:r>
        <w:rPr>
          <w:rFonts w:ascii="Arial" w:cs="Arial" w:eastAsia="Arial" w:hAnsi="Arial"/>
          <w:sz w:val="22"/>
          <w:szCs w:val="22"/>
          <w:b w:val="1"/>
          <w:bCs w:val="1"/>
          <w:color w:val="1F2668"/>
        </w:rPr>
        <w:t>​76</w:t>
      </w:r>
      <w:r>
        <w:rPr>
          <w:sz w:val="20"/>
          <w:szCs w:val="20"/>
          <w:color w:val="auto"/>
        </w:rPr>
        <w:tab/>
      </w:r>
      <w:r>
        <w:rPr>
          <w:rFonts w:ascii="Arial" w:cs="Arial" w:eastAsia="Arial" w:hAnsi="Arial"/>
          <w:sz w:val="22"/>
          <w:szCs w:val="22"/>
          <w:b w:val="1"/>
          <w:bCs w:val="1"/>
          <w:color w:val="1F2668"/>
        </w:rPr>
        <w:t xml:space="preserve">​ ​ </w:t>
      </w:r>
      <w:r>
        <w:rPr>
          <w:rFonts w:ascii="Arial" w:cs="Arial" w:eastAsia="Arial" w:hAnsi="Arial"/>
          <w:sz w:val="14"/>
          <w:szCs w:val="14"/>
          <w:b w:val="1"/>
          <w:bCs w:val="1"/>
          <w:color w:val="1F2668"/>
        </w:rPr>
        <w:t>SL GREEN REALTY CORP. 2025 PROXY STATEMENT</w:t>
      </w:r>
      <w:r>
        <w:rPr>
          <w:sz w:val="20"/>
          <w:szCs w:val="20"/>
          <w:color w:val="auto"/>
        </w:rPr>
        <w:tab/>
      </w:r>
      <w:r>
        <w:rPr>
          <w:rFonts w:ascii="Arial" w:cs="Arial" w:eastAsia="Arial" w:hAnsi="Arial"/>
          <w:sz w:val="22"/>
          <w:szCs w:val="22"/>
          <w:b w:val="1"/>
          <w:bCs w:val="1"/>
          <w:color w:val="1F2668"/>
        </w:rPr>
        <w:t>​</w:t>
      </w:r>
    </w:p>
    <w:p>
      <w:pPr>
        <w:spacing w:after="0" w:line="200" w:lineRule="exact"/>
        <w:rPr>
          <w:sz w:val="20"/>
          <w:szCs w:val="20"/>
          <w:color w:val="auto"/>
        </w:rPr>
      </w:pPr>
    </w:p>
    <w:p>
      <w:pPr>
        <w:spacing w:after="0" w:line="309" w:lineRule="exact"/>
        <w:rPr>
          <w:sz w:val="20"/>
          <w:szCs w:val="20"/>
          <w:color w:val="auto"/>
        </w:rPr>
      </w:pPr>
    </w:p>
    <w:p>
      <w:pPr>
        <w:ind w:left="1180" w:right="180"/>
        <w:spacing w:after="0" w:line="296" w:lineRule="auto"/>
        <w:rPr>
          <w:sz w:val="20"/>
          <w:szCs w:val="20"/>
          <w:color w:val="auto"/>
        </w:rPr>
      </w:pPr>
      <w:r>
        <w:rPr>
          <w:rFonts w:ascii="Arial" w:cs="Arial" w:eastAsia="Arial" w:hAnsi="Arial"/>
          <w:sz w:val="14"/>
          <w:szCs w:val="14"/>
          <w:color w:val="auto"/>
        </w:rPr>
        <w:t>performance as of December 31, 2023, our named executive officers would have (i) earned a portion of the performance-based LTIP units granted in 2023 and 2024 subject to operational performance hurdles and (ii) earned all of the performance-based LTIP units granted in 2023 and 2024 subject to relative TSR performance. See “—Compensation Discussion and Analysis—Other Compensation Policies and Information—Outstanding Annual Equity Award Performance Summary (2022-2024).”</w:t>
      </w:r>
    </w:p>
    <w:p>
      <w:pPr>
        <w:spacing w:after="0" w:line="29" w:lineRule="exact"/>
        <w:rPr>
          <w:sz w:val="20"/>
          <w:szCs w:val="20"/>
          <w:color w:val="auto"/>
        </w:rPr>
      </w:pPr>
    </w:p>
    <w:p>
      <w:pPr>
        <w:ind w:left="1180" w:right="160" w:hanging="364"/>
        <w:spacing w:after="0" w:line="325" w:lineRule="auto"/>
        <w:tabs>
          <w:tab w:leader="none" w:pos="118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Benefits continuation amounts are based on the actual expense for financial reporting purposes for the year ended December 31, 2024 for covering an employee under each of our group health plans during the applicable severance period.</w:t>
      </w:r>
    </w:p>
    <w:p>
      <w:pPr>
        <w:spacing w:after="0" w:line="86" w:lineRule="exact"/>
        <w:rPr>
          <w:sz w:val="20"/>
          <w:szCs w:val="20"/>
          <w:color w:val="auto"/>
        </w:rPr>
      </w:pPr>
    </w:p>
    <w:p>
      <w:pPr>
        <w:ind w:left="820" w:right="60"/>
        <w:spacing w:after="0" w:line="296" w:lineRule="auto"/>
        <w:rPr>
          <w:sz w:val="20"/>
          <w:szCs w:val="20"/>
          <w:color w:val="auto"/>
        </w:rPr>
      </w:pPr>
      <w:r>
        <w:rPr>
          <w:rFonts w:ascii="Arial" w:cs="Arial" w:eastAsia="Arial" w:hAnsi="Arial"/>
          <w:sz w:val="16"/>
          <w:szCs w:val="16"/>
          <w:color w:val="auto"/>
        </w:rPr>
        <w:t>In the event a change in control had occurred on December 31, 2024 without the termination of the employment of our named executive officers, Messrs. Holliday, DiLiberto and Levine would have been entitled to the pro-rata bonus payments set forth in the table above. In addition, TSR performance would have been measured pursuant to the Annual Performance-Based Awards, which would have resulted in all of the awards granted in 2023 and 2024 subject to both the absolute TSR modifier and relative TSR performance being earned, which earned awards would have remained subject to vesting based on continued employment, as described above. The aggregate number of LTIP units earned in such event is as follows: Mr. Holliday—490,554; Mr. DiLiberto —36,338; and Mr. Levine—36,338. Upon earning these additional LTIP units, each of our named executive officers would have been entitled to cash payments and distributions with respect to the following number of such LTIP units equal to (i) $6.2363 per unit granted in 2023: Mr. Holliday—276,137; Mr. DiLiberto—20,454; and Mr. Levine—20,454 and (ii) $3.0075 per unit granted in 2024: Mr. Holliday—214,417; Mr. DiLiberto—15,884; and Mr. Levine—15,884. In each case, these amounts equal the amounts that would have been received if such LTIP units had been entitled to receive full distributions from the beginning of the applicable performance period.</w:t>
      </w:r>
    </w:p>
    <w:p>
      <w:pPr>
        <w:spacing w:after="0" w:line="112" w:lineRule="exact"/>
        <w:rPr>
          <w:sz w:val="20"/>
          <w:szCs w:val="20"/>
          <w:color w:val="auto"/>
        </w:rPr>
      </w:pPr>
    </w:p>
    <w:p>
      <w:pPr>
        <w:ind w:left="820" w:right="120"/>
        <w:spacing w:after="0" w:line="319" w:lineRule="auto"/>
        <w:rPr>
          <w:sz w:val="20"/>
          <w:szCs w:val="20"/>
          <w:color w:val="auto"/>
        </w:rPr>
      </w:pPr>
      <w:r>
        <w:rPr>
          <w:rFonts w:ascii="Arial" w:cs="Arial" w:eastAsia="Arial" w:hAnsi="Arial"/>
          <w:sz w:val="15"/>
          <w:szCs w:val="15"/>
          <w:color w:val="auto"/>
        </w:rPr>
        <w:t>The amounts described above do not include payments and benefits to the extent they have been earned prior to the termination of employment or change in control or are provided on a non-discriminatory basis to salaried employees upon termination of employment. These include: accrued salary and vacation pay; earned and accrued, but unpaid, bonuses; distribution of plan balances under our 401(k) plan; life insurance proceeds in the event of death; and disability insurance payouts in the event of disability. All of the cash severance payments described below are to be made as lump sum payments at the time of termination; provided that, to the extent necessary to avoid the imposition of an additional tax under Section 409A of the IRC, the payments are to be delayed until six months after termination, during which time the payments will accrue interest at the rate of 5% per annum. As a result of provisions in the named executive officers’ employment agreements, in the event that any payment or benefit to be paid or provided to an executive set forth above would have been subject to the excise tax under Sections 280G of the IRC, the payments and benefits to such executive would have been reduced to the extent necessary to avoid the imposition of such excise tax, but only if such reduction would result in a greater after-tax benefit to the executive. The amounts set forth in the table above have not been adjusted to reflect any such reduction that might be applicable.</w:t>
      </w:r>
    </w:p>
    <w:p>
      <w:pPr>
        <w:spacing w:after="0" w:line="254"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Compensation Committee Interlocks and Insider Participation</w:t>
      </w:r>
    </w:p>
    <w:p>
      <w:pPr>
        <w:spacing w:after="0" w:line="133" w:lineRule="exact"/>
        <w:rPr>
          <w:sz w:val="20"/>
          <w:szCs w:val="20"/>
          <w:color w:val="auto"/>
        </w:rPr>
      </w:pPr>
    </w:p>
    <w:p>
      <w:pPr>
        <w:ind w:left="820" w:right="60"/>
        <w:spacing w:after="0" w:line="310" w:lineRule="auto"/>
        <w:rPr>
          <w:sz w:val="20"/>
          <w:szCs w:val="20"/>
          <w:color w:val="auto"/>
        </w:rPr>
      </w:pPr>
      <w:r>
        <w:rPr>
          <w:rFonts w:ascii="Arial" w:cs="Arial" w:eastAsia="Arial" w:hAnsi="Arial"/>
          <w:sz w:val="16"/>
          <w:szCs w:val="16"/>
          <w:color w:val="auto"/>
        </w:rPr>
        <w:t>Lauren B. Dillard (Interim Chair), John H. Alschuler, Carol N. Brown and Edwin T. Burton, III, a former director, each served on the Compensation Committee during 2024. There are no Compensation Committee interlocks and none of our employees is a member of our Compensation Committee.</w:t>
      </w:r>
    </w:p>
    <w:p>
      <w:pPr>
        <w:spacing w:after="0" w:line="267"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Pay Ratio Disclosure Rule</w:t>
      </w:r>
    </w:p>
    <w:p>
      <w:pPr>
        <w:spacing w:after="0" w:line="133" w:lineRule="exact"/>
        <w:rPr>
          <w:sz w:val="20"/>
          <w:szCs w:val="20"/>
          <w:color w:val="auto"/>
        </w:rPr>
      </w:pPr>
    </w:p>
    <w:p>
      <w:pPr>
        <w:ind w:left="820" w:right="300"/>
        <w:spacing w:after="0" w:line="310" w:lineRule="auto"/>
        <w:rPr>
          <w:sz w:val="20"/>
          <w:szCs w:val="20"/>
          <w:color w:val="auto"/>
        </w:rPr>
      </w:pPr>
      <w:r>
        <w:rPr>
          <w:rFonts w:ascii="Arial" w:cs="Arial" w:eastAsia="Arial" w:hAnsi="Arial"/>
          <w:sz w:val="16"/>
          <w:szCs w:val="16"/>
          <w:color w:val="auto"/>
        </w:rPr>
        <w:t>Pursuant to a mandate of the Dodd-Frank Wall Street Reform and Consumer Protection Act, the SEC adopted a rule requiring annual disclosure of the ratio of the median employee’s annual total compensation to the total annual compensation of the principal executive officer, or PEO. The PEO of our Company is Mr. Holliday.</w:t>
      </w:r>
    </w:p>
    <w:p>
      <w:pPr>
        <w:spacing w:after="0" w:line="111" w:lineRule="exact"/>
        <w:rPr>
          <w:sz w:val="20"/>
          <w:szCs w:val="20"/>
          <w:color w:val="auto"/>
        </w:rPr>
      </w:pPr>
    </w:p>
    <w:p>
      <w:pPr>
        <w:ind w:left="820" w:right="100"/>
        <w:spacing w:after="0" w:line="324" w:lineRule="auto"/>
        <w:rPr>
          <w:sz w:val="20"/>
          <w:szCs w:val="20"/>
          <w:color w:val="auto"/>
        </w:rPr>
      </w:pPr>
      <w:r>
        <w:rPr>
          <w:rFonts w:ascii="Arial" w:cs="Arial" w:eastAsia="Arial" w:hAnsi="Arial"/>
          <w:sz w:val="15"/>
          <w:szCs w:val="15"/>
          <w:color w:val="auto"/>
        </w:rPr>
        <w:t>For 2024, the annual total compensation of Mr. Holliday, our PEO, of $20,685,756 as shown in the Summary Compensation Table above, was approximately 330 times the annual total compensation of $62,678 of a median employee calculated in the same manner. We identified the median employee using the annual base salary and target annual cash incentive compensation, as of December 31, 2024, plus any long-term equity incentive awards granted in 2024 for all individuals (excluding our PEO) who were employed by us on December 31, 2024, the last day of our payroll year, whether employed on a full-time or part-time basis.</w:t>
      </w:r>
    </w:p>
    <w:p>
      <w:pPr>
        <w:spacing w:after="0" w:line="105" w:lineRule="exact"/>
        <w:rPr>
          <w:sz w:val="20"/>
          <w:szCs w:val="20"/>
          <w:color w:val="auto"/>
        </w:rPr>
      </w:pPr>
    </w:p>
    <w:p>
      <w:pPr>
        <w:ind w:left="820" w:right="200"/>
        <w:spacing w:after="0" w:line="306" w:lineRule="auto"/>
        <w:rPr>
          <w:sz w:val="20"/>
          <w:szCs w:val="20"/>
          <w:color w:val="auto"/>
        </w:rPr>
      </w:pPr>
      <w:r>
        <w:rPr>
          <w:rFonts w:ascii="Arial" w:cs="Arial" w:eastAsia="Arial" w:hAnsi="Arial"/>
          <w:sz w:val="16"/>
          <w:szCs w:val="16"/>
          <w:color w:val="auto"/>
        </w:rPr>
        <w:t>As of December 31, 2024, 908 of our 1,221 employees were hourly-paid employees involved in building operations, most of whom are subject to collective bargaining agreements. If these employees were not included for purposes of identifying our median employee, the annual total compensation of a median employee would be $174,271 and the annual total compensation of our PEO would be approximately 119 times such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6831965"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5100" w:type="dxa"/>
            <w:vAlign w:val="bottom"/>
          </w:tcPr>
          <w:p>
            <w:pPr>
              <w:spacing w:after="0"/>
              <w:rPr>
                <w:sz w:val="20"/>
                <w:szCs w:val="20"/>
                <w:color w:val="auto"/>
              </w:rPr>
            </w:pPr>
            <w:r>
              <w:rPr>
                <w:rFonts w:ascii="Arial" w:cs="Arial" w:eastAsia="Arial" w:hAnsi="Arial"/>
                <w:sz w:val="14"/>
                <w:szCs w:val="14"/>
                <w:b w:val="1"/>
                <w:bCs w:val="1"/>
                <w:color w:val="auto"/>
              </w:rPr>
              <w:t>​</w:t>
            </w:r>
          </w:p>
        </w:tc>
        <w:tc>
          <w:tcPr>
            <w:tcW w:w="3480" w:type="dxa"/>
            <w:vAlign w:val="bottom"/>
          </w:tcPr>
          <w:p>
            <w:pPr>
              <w:ind w:left="3100"/>
              <w:spacing w:after="0"/>
              <w:rPr>
                <w:sz w:val="20"/>
                <w:szCs w:val="20"/>
                <w:color w:val="auto"/>
              </w:rPr>
            </w:pPr>
            <w:r>
              <w:rPr>
                <w:rFonts w:ascii="Arial" w:cs="Arial" w:eastAsia="Arial" w:hAnsi="Arial"/>
                <w:sz w:val="14"/>
                <w:szCs w:val="14"/>
                <w:b w:val="1"/>
                <w:bCs w:val="1"/>
                <w:color w:val="auto"/>
              </w:rPr>
              <w:t>​ ​</w:t>
            </w:r>
          </w:p>
        </w:tc>
        <w:tc>
          <w:tcPr>
            <w:tcW w:w="480" w:type="dxa"/>
            <w:vAlign w:val="bottom"/>
            <w:vMerge w:val="restart"/>
          </w:tcPr>
          <w:p>
            <w:pPr>
              <w:jc w:val="right"/>
              <w:spacing w:after="0"/>
              <w:rPr>
                <w:sz w:val="20"/>
                <w:szCs w:val="20"/>
                <w:color w:val="auto"/>
              </w:rPr>
            </w:pPr>
            <w:r>
              <w:rPr>
                <w:rFonts w:ascii="Arial" w:cs="Arial" w:eastAsia="Arial" w:hAnsi="Arial"/>
                <w:sz w:val="22"/>
                <w:szCs w:val="22"/>
                <w:b w:val="1"/>
                <w:bCs w:val="1"/>
                <w:color w:val="1F2668"/>
              </w:rPr>
              <w:t>77</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5100" w:type="dxa"/>
            <w:vAlign w:val="bottom"/>
          </w:tcPr>
          <w:p>
            <w:pPr>
              <w:spacing w:after="0"/>
              <w:rPr>
                <w:sz w:val="20"/>
                <w:szCs w:val="20"/>
                <w:color w:val="auto"/>
              </w:rPr>
            </w:pPr>
            <w:r>
              <w:rPr>
                <w:rFonts w:ascii="Arial" w:cs="Arial" w:eastAsia="Arial" w:hAnsi="Arial"/>
                <w:sz w:val="14"/>
                <w:szCs w:val="14"/>
                <w:b w:val="1"/>
                <w:bCs w:val="1"/>
                <w:color w:val="auto"/>
              </w:rPr>
              <w:t>EXECUTIVE COMPENSATION</w:t>
            </w:r>
          </w:p>
        </w:tc>
        <w:tc>
          <w:tcPr>
            <w:tcW w:w="348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38"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Pay Versus Performance</w:t>
      </w:r>
    </w:p>
    <w:p>
      <w:pPr>
        <w:spacing w:after="0" w:line="133" w:lineRule="exact"/>
        <w:rPr>
          <w:sz w:val="20"/>
          <w:szCs w:val="20"/>
          <w:color w:val="auto"/>
        </w:rPr>
      </w:pPr>
    </w:p>
    <w:p>
      <w:pPr>
        <w:ind w:left="820" w:right="260"/>
        <w:spacing w:after="0" w:line="319" w:lineRule="auto"/>
        <w:rPr>
          <w:sz w:val="20"/>
          <w:szCs w:val="20"/>
          <w:color w:val="auto"/>
        </w:rPr>
      </w:pPr>
      <w:r>
        <w:rPr>
          <w:rFonts w:ascii="Arial" w:cs="Arial" w:eastAsia="Arial" w:hAnsi="Arial"/>
          <w:sz w:val="16"/>
          <w:szCs w:val="16"/>
          <w:color w:val="auto"/>
        </w:rPr>
        <w:t>The information below presents the relationship between the compensation of our named executive officer and certain performance measures in accordance with Item 402(v) of Regulation S-K. For a discussion of our compensation programs and pay for performance philosophy, please refer to the section captioned “Compensation Discussion and Analysis,” above.</w:t>
      </w:r>
    </w:p>
    <w:p>
      <w:pPr>
        <w:spacing w:after="0" w:line="215"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83AD40"/>
        </w:rPr>
        <w:t>Pay Versus Performance Table</w:t>
      </w:r>
    </w:p>
    <w:p>
      <w:pPr>
        <w:spacing w:after="0" w:line="162" w:lineRule="exact"/>
        <w:rPr>
          <w:sz w:val="20"/>
          <w:szCs w:val="20"/>
          <w:color w:val="auto"/>
        </w:rPr>
      </w:pPr>
    </w:p>
    <w:tbl>
      <w:tblPr>
        <w:tblLayout w:type="fixed"/>
        <w:tblInd w:w="820" w:type="dxa"/>
        <w:tblCellMar>
          <w:top w:w="0" w:type="dxa"/>
          <w:left w:w="0" w:type="dxa"/>
          <w:bottom w:w="0" w:type="dxa"/>
          <w:right w:w="0" w:type="dxa"/>
        </w:tblCellMar>
      </w:tblPr>
      <w:tr>
        <w:trPr>
          <w:trHeight w:val="176"/>
        </w:trPr>
        <w:tc>
          <w:tcPr>
            <w:tcW w:w="1040" w:type="dxa"/>
            <w:vAlign w:val="bottom"/>
          </w:tcPr>
          <w:p>
            <w:pPr>
              <w:spacing w:after="0"/>
              <w:rPr>
                <w:sz w:val="20"/>
                <w:szCs w:val="20"/>
                <w:color w:val="auto"/>
              </w:rPr>
            </w:pPr>
            <w:r>
              <w:rPr>
                <w:rFonts w:ascii="Arial" w:cs="Arial" w:eastAsia="Arial" w:hAnsi="Arial"/>
                <w:sz w:val="14"/>
                <w:szCs w:val="14"/>
                <w:color w:val="1F2668"/>
              </w:rPr>
              <w:t>​</w:t>
            </w:r>
          </w:p>
        </w:tc>
        <w:tc>
          <w:tcPr>
            <w:tcW w:w="180" w:type="dxa"/>
            <w:vAlign w:val="bottom"/>
            <w:gridSpan w:val="2"/>
          </w:tcPr>
          <w:p>
            <w:pPr>
              <w:jc w:val="center"/>
              <w:spacing w:after="0"/>
              <w:rPr>
                <w:sz w:val="20"/>
                <w:szCs w:val="20"/>
                <w:color w:val="auto"/>
              </w:rPr>
            </w:pPr>
            <w:r>
              <w:rPr>
                <w:rFonts w:ascii="Arial" w:cs="Arial" w:eastAsia="Arial" w:hAnsi="Arial"/>
                <w:sz w:val="14"/>
                <w:szCs w:val="14"/>
                <w:color w:val="1F2668"/>
              </w:rPr>
              <w:t>​</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1F2668"/>
              </w:rPr>
              <w:t>Average</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4"/>
                <w:szCs w:val="14"/>
                <w:color w:val="1F2668"/>
              </w:rPr>
              <w:t>​</w:t>
            </w:r>
          </w:p>
        </w:tc>
        <w:tc>
          <w:tcPr>
            <w:tcW w:w="3260" w:type="dxa"/>
            <w:vAlign w:val="bottom"/>
            <w:gridSpan w:val="11"/>
          </w:tcPr>
          <w:p>
            <w:pPr>
              <w:ind w:left="60"/>
              <w:spacing w:after="0"/>
              <w:rPr>
                <w:sz w:val="20"/>
                <w:szCs w:val="20"/>
                <w:color w:val="auto"/>
              </w:rPr>
            </w:pPr>
            <w:r>
              <w:rPr>
                <w:rFonts w:ascii="Arial" w:cs="Arial" w:eastAsia="Arial" w:hAnsi="Arial"/>
                <w:sz w:val="14"/>
                <w:szCs w:val="14"/>
                <w:color w:val="1F2668"/>
              </w:rPr>
              <w:t>Value of Initial Fixed $100 Investment Based On:</w:t>
            </w:r>
          </w:p>
        </w:tc>
        <w:tc>
          <w:tcPr>
            <w:tcW w:w="60" w:type="dxa"/>
            <w:vAlign w:val="bottom"/>
          </w:tcPr>
          <w:p>
            <w:pPr>
              <w:jc w:val="right"/>
              <w:spacing w:after="0"/>
              <w:rPr>
                <w:sz w:val="20"/>
                <w:szCs w:val="20"/>
                <w:color w:val="auto"/>
              </w:rPr>
            </w:pPr>
            <w:r>
              <w:rPr>
                <w:rFonts w:ascii="Arial" w:cs="Arial" w:eastAsia="Arial" w:hAnsi="Arial"/>
                <w:sz w:val="14"/>
                <w:szCs w:val="14"/>
                <w:color w:val="1F2668"/>
              </w:rPr>
              <w:t>​</w:t>
            </w:r>
          </w:p>
        </w:tc>
        <w:tc>
          <w:tcPr>
            <w:tcW w:w="0" w:type="dxa"/>
            <w:vAlign w:val="bottom"/>
          </w:tcPr>
          <w:p>
            <w:pPr>
              <w:spacing w:after="0"/>
              <w:rPr>
                <w:sz w:val="1"/>
                <w:szCs w:val="1"/>
                <w:color w:val="auto"/>
              </w:rPr>
            </w:pPr>
          </w:p>
        </w:tc>
      </w:tr>
      <w:tr>
        <w:trPr>
          <w:trHeight w:val="63"/>
        </w:trPr>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vMerge w:val="restart"/>
          </w:tcPr>
          <w:p>
            <w:pPr>
              <w:jc w:val="right"/>
              <w:spacing w:after="0" w:line="148" w:lineRule="exact"/>
              <w:rPr>
                <w:sz w:val="20"/>
                <w:szCs w:val="20"/>
                <w:color w:val="auto"/>
              </w:rPr>
            </w:pPr>
            <w:r>
              <w:rPr>
                <w:rFonts w:ascii="Arial" w:cs="Arial" w:eastAsia="Arial" w:hAnsi="Arial"/>
                <w:sz w:val="14"/>
                <w:szCs w:val="14"/>
                <w:color w:val="1F2668"/>
              </w:rPr>
              <w:t>Summary</w:t>
            </w: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Borders>
              <w:bottom w:val="single" w:sz="8" w:color="1F2668"/>
            </w:tcBorders>
          </w:tcPr>
          <w:p>
            <w:pPr>
              <w:spacing w:after="0"/>
              <w:rPr>
                <w:sz w:val="5"/>
                <w:szCs w:val="5"/>
                <w:color w:val="auto"/>
              </w:rPr>
            </w:pPr>
          </w:p>
        </w:tc>
        <w:tc>
          <w:tcPr>
            <w:tcW w:w="720" w:type="dxa"/>
            <w:vAlign w:val="bottom"/>
            <w:tcBorders>
              <w:bottom w:val="single" w:sz="8" w:color="1F2668"/>
            </w:tcBorders>
          </w:tcPr>
          <w:p>
            <w:pPr>
              <w:spacing w:after="0"/>
              <w:rPr>
                <w:sz w:val="5"/>
                <w:szCs w:val="5"/>
                <w:color w:val="auto"/>
              </w:rPr>
            </w:pPr>
          </w:p>
        </w:tc>
        <w:tc>
          <w:tcPr>
            <w:tcW w:w="80" w:type="dxa"/>
            <w:vAlign w:val="bottom"/>
            <w:tcBorders>
              <w:bottom w:val="single" w:sz="8" w:color="1F2668"/>
            </w:tcBorders>
          </w:tcPr>
          <w:p>
            <w:pPr>
              <w:spacing w:after="0"/>
              <w:rPr>
                <w:sz w:val="5"/>
                <w:szCs w:val="5"/>
                <w:color w:val="auto"/>
              </w:rPr>
            </w:pPr>
          </w:p>
        </w:tc>
        <w:tc>
          <w:tcPr>
            <w:tcW w:w="180" w:type="dxa"/>
            <w:vAlign w:val="bottom"/>
            <w:tcBorders>
              <w:bottom w:val="single" w:sz="8" w:color="1F2668"/>
            </w:tcBorders>
          </w:tcPr>
          <w:p>
            <w:pPr>
              <w:spacing w:after="0"/>
              <w:rPr>
                <w:sz w:val="5"/>
                <w:szCs w:val="5"/>
                <w:color w:val="auto"/>
              </w:rPr>
            </w:pPr>
          </w:p>
        </w:tc>
        <w:tc>
          <w:tcPr>
            <w:tcW w:w="620" w:type="dxa"/>
            <w:vAlign w:val="bottom"/>
            <w:tcBorders>
              <w:bottom w:val="single" w:sz="8" w:color="1F2668"/>
            </w:tcBorders>
          </w:tcPr>
          <w:p>
            <w:pPr>
              <w:spacing w:after="0"/>
              <w:rPr>
                <w:sz w:val="5"/>
                <w:szCs w:val="5"/>
                <w:color w:val="auto"/>
              </w:rPr>
            </w:pPr>
          </w:p>
        </w:tc>
        <w:tc>
          <w:tcPr>
            <w:tcW w:w="80" w:type="dxa"/>
            <w:vAlign w:val="bottom"/>
            <w:tcBorders>
              <w:bottom w:val="single" w:sz="8" w:color="1F2668"/>
            </w:tcBorders>
          </w:tcPr>
          <w:p>
            <w:pPr>
              <w:spacing w:after="0"/>
              <w:rPr>
                <w:sz w:val="5"/>
                <w:szCs w:val="5"/>
                <w:color w:val="auto"/>
              </w:rPr>
            </w:pPr>
          </w:p>
        </w:tc>
        <w:tc>
          <w:tcPr>
            <w:tcW w:w="160" w:type="dxa"/>
            <w:vAlign w:val="bottom"/>
            <w:tcBorders>
              <w:bottom w:val="single" w:sz="8" w:color="1F2668"/>
            </w:tcBorders>
          </w:tcPr>
          <w:p>
            <w:pPr>
              <w:spacing w:after="0"/>
              <w:rPr>
                <w:sz w:val="5"/>
                <w:szCs w:val="5"/>
                <w:color w:val="auto"/>
              </w:rPr>
            </w:pPr>
          </w:p>
        </w:tc>
        <w:tc>
          <w:tcPr>
            <w:tcW w:w="540" w:type="dxa"/>
            <w:vAlign w:val="bottom"/>
            <w:tcBorders>
              <w:bottom w:val="single" w:sz="8" w:color="1F2668"/>
            </w:tcBorders>
          </w:tcPr>
          <w:p>
            <w:pPr>
              <w:spacing w:after="0"/>
              <w:rPr>
                <w:sz w:val="5"/>
                <w:szCs w:val="5"/>
                <w:color w:val="auto"/>
              </w:rPr>
            </w:pPr>
          </w:p>
        </w:tc>
        <w:tc>
          <w:tcPr>
            <w:tcW w:w="20" w:type="dxa"/>
            <w:vAlign w:val="bottom"/>
            <w:tcBorders>
              <w:bottom w:val="single" w:sz="8" w:color="1F2668"/>
            </w:tcBorders>
          </w:tcPr>
          <w:p>
            <w:pPr>
              <w:spacing w:after="0"/>
              <w:rPr>
                <w:sz w:val="5"/>
                <w:szCs w:val="5"/>
                <w:color w:val="auto"/>
              </w:rPr>
            </w:pPr>
          </w:p>
        </w:tc>
        <w:tc>
          <w:tcPr>
            <w:tcW w:w="60" w:type="dxa"/>
            <w:vAlign w:val="bottom"/>
            <w:tcBorders>
              <w:bottom w:val="single" w:sz="8" w:color="1F2668"/>
            </w:tcBorders>
          </w:tcPr>
          <w:p>
            <w:pPr>
              <w:spacing w:after="0"/>
              <w:rPr>
                <w:sz w:val="5"/>
                <w:szCs w:val="5"/>
                <w:color w:val="auto"/>
              </w:rPr>
            </w:pPr>
          </w:p>
        </w:tc>
        <w:tc>
          <w:tcPr>
            <w:tcW w:w="140" w:type="dxa"/>
            <w:vAlign w:val="bottom"/>
            <w:tcBorders>
              <w:bottom w:val="single" w:sz="8" w:color="1F2668"/>
            </w:tcBorders>
          </w:tcPr>
          <w:p>
            <w:pPr>
              <w:spacing w:after="0"/>
              <w:rPr>
                <w:sz w:val="5"/>
                <w:szCs w:val="5"/>
                <w:color w:val="auto"/>
              </w:rPr>
            </w:pPr>
          </w:p>
        </w:tc>
        <w:tc>
          <w:tcPr>
            <w:tcW w:w="660" w:type="dxa"/>
            <w:vAlign w:val="bottom"/>
            <w:tcBorders>
              <w:bottom w:val="single" w:sz="8" w:color="1F2668"/>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1F2668"/>
              </w:rPr>
              <w:t>Summary</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1F2668"/>
                <w:w w:val="99"/>
              </w:rPr>
              <w:t>Compensation</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2"/>
          </w:tcPr>
          <w:p>
            <w:pPr>
              <w:jc w:val="right"/>
              <w:ind w:right="174"/>
              <w:spacing w:after="0"/>
              <w:rPr>
                <w:sz w:val="20"/>
                <w:szCs w:val="20"/>
                <w:color w:val="auto"/>
              </w:rPr>
            </w:pPr>
            <w:r>
              <w:rPr>
                <w:rFonts w:ascii="Arial" w:cs="Arial" w:eastAsia="Arial" w:hAnsi="Arial"/>
                <w:sz w:val="14"/>
                <w:szCs w:val="14"/>
                <w:color w:val="1F2668"/>
              </w:rPr>
              <w:t>Average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1F2668"/>
              </w:rPr>
              <w:t>Peer Group</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1F2668"/>
                <w:w w:val="99"/>
              </w:rPr>
              <w:t>Compensation</w:t>
            </w:r>
          </w:p>
        </w:tc>
        <w:tc>
          <w:tcPr>
            <w:tcW w:w="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1F2668"/>
                <w:w w:val="99"/>
              </w:rPr>
              <w:t>Compensation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1F2668"/>
              </w:rPr>
              <w:t>Table Total</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3"/>
          </w:tcPr>
          <w:p>
            <w:pPr>
              <w:jc w:val="right"/>
              <w:ind w:right="174"/>
              <w:spacing w:after="0"/>
              <w:rPr>
                <w:sz w:val="20"/>
                <w:szCs w:val="20"/>
                <w:color w:val="auto"/>
              </w:rPr>
            </w:pPr>
            <w:r>
              <w:rPr>
                <w:rFonts w:ascii="Arial" w:cs="Arial" w:eastAsia="Arial" w:hAnsi="Arial"/>
                <w:sz w:val="14"/>
                <w:szCs w:val="14"/>
                <w:color w:val="1F2668"/>
              </w:rPr>
              <w:t>Compensation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F2668"/>
              </w:rPr>
              <w:t>Total</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1F2668"/>
              </w:rPr>
              <w:t>Total</w:t>
            </w:r>
          </w:p>
        </w:tc>
        <w:tc>
          <w:tcPr>
            <w:tcW w:w="80" w:type="dxa"/>
            <w:vAlign w:val="bottom"/>
          </w:tcPr>
          <w:p>
            <w:pPr>
              <w:spacing w:after="0"/>
              <w:rPr>
                <w:sz w:val="14"/>
                <w:szCs w:val="14"/>
                <w:color w:val="auto"/>
              </w:rPr>
            </w:pPr>
          </w:p>
        </w:tc>
        <w:tc>
          <w:tcPr>
            <w:tcW w:w="1580" w:type="dxa"/>
            <w:vAlign w:val="bottom"/>
            <w:gridSpan w:val="6"/>
          </w:tcPr>
          <w:p>
            <w:pPr>
              <w:ind w:left="20"/>
              <w:spacing w:after="0"/>
              <w:rPr>
                <w:sz w:val="20"/>
                <w:szCs w:val="20"/>
                <w:color w:val="auto"/>
              </w:rPr>
            </w:pPr>
            <w:r>
              <w:rPr>
                <w:rFonts w:ascii="Arial" w:cs="Arial" w:eastAsia="Arial" w:hAnsi="Arial"/>
                <w:sz w:val="14"/>
                <w:szCs w:val="14"/>
                <w:color w:val="1F2668"/>
              </w:rPr>
              <w:t>Net (Loss)  Normalized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1F2668"/>
              </w:rPr>
              <w:t>Table Total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1F2668"/>
              </w:rPr>
              <w:t>Actually Paid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1F2668"/>
              </w:rPr>
              <w:t>for Non-PEO</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3"/>
          </w:tcPr>
          <w:p>
            <w:pPr>
              <w:jc w:val="right"/>
              <w:ind w:right="174"/>
              <w:spacing w:after="0"/>
              <w:rPr>
                <w:sz w:val="20"/>
                <w:szCs w:val="20"/>
                <w:color w:val="auto"/>
              </w:rPr>
            </w:pPr>
            <w:r>
              <w:rPr>
                <w:rFonts w:ascii="Arial" w:cs="Arial" w:eastAsia="Arial" w:hAnsi="Arial"/>
                <w:sz w:val="14"/>
                <w:szCs w:val="14"/>
                <w:color w:val="1F2668"/>
              </w:rPr>
              <w:t>Actually Paid to</w:t>
            </w: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1F2668"/>
              </w:rPr>
              <w:t>Stockholder</w:t>
            </w:r>
          </w:p>
        </w:tc>
        <w:tc>
          <w:tcPr>
            <w:tcW w:w="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1F2668"/>
              </w:rPr>
              <w:t>Stockholder</w:t>
            </w:r>
          </w:p>
        </w:tc>
        <w:tc>
          <w:tcPr>
            <w:tcW w:w="8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color w:val="1F2668"/>
              </w:rPr>
              <w:t>Income, in</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1F2668"/>
              </w:rPr>
              <w:t>FFO per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1F2668"/>
              </w:rPr>
              <w:t>for PEO</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1F2668"/>
              </w:rPr>
              <w:t>to PEO</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1F2668"/>
              </w:rPr>
              <w:t>NEOs</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3"/>
          </w:tcPr>
          <w:p>
            <w:pPr>
              <w:jc w:val="right"/>
              <w:ind w:right="174"/>
              <w:spacing w:after="0"/>
              <w:rPr>
                <w:sz w:val="20"/>
                <w:szCs w:val="20"/>
                <w:color w:val="auto"/>
              </w:rPr>
            </w:pPr>
            <w:r>
              <w:rPr>
                <w:rFonts w:ascii="Arial" w:cs="Arial" w:eastAsia="Arial" w:hAnsi="Arial"/>
                <w:sz w:val="14"/>
                <w:szCs w:val="14"/>
                <w:color w:val="1F2668"/>
              </w:rPr>
              <w:t>Non-PEO NEOs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F2668"/>
              </w:rPr>
              <w:t>Return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1F2668"/>
              </w:rPr>
              <w:t>Return</w:t>
            </w:r>
          </w:p>
        </w:tc>
        <w:tc>
          <w:tcPr>
            <w:tcW w:w="8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color w:val="1F2668"/>
              </w:rPr>
              <w:t>thousands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1F2668"/>
              </w:rPr>
              <w:t>Share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1040" w:type="dxa"/>
            <w:vAlign w:val="bottom"/>
          </w:tcPr>
          <w:p>
            <w:pPr>
              <w:spacing w:after="0"/>
              <w:rPr>
                <w:sz w:val="20"/>
                <w:szCs w:val="20"/>
                <w:color w:val="auto"/>
              </w:rPr>
            </w:pPr>
            <w:r>
              <w:rPr>
                <w:rFonts w:ascii="Arial" w:cs="Arial" w:eastAsia="Arial" w:hAnsi="Arial"/>
                <w:sz w:val="14"/>
                <w:szCs w:val="14"/>
                <w:color w:val="1F2668"/>
              </w:rPr>
              <w:t>Year</w:t>
            </w:r>
          </w:p>
        </w:tc>
        <w:tc>
          <w:tcPr>
            <w:tcW w:w="180" w:type="dxa"/>
            <w:vAlign w:val="bottom"/>
            <w:gridSpan w:val="2"/>
          </w:tcPr>
          <w:p>
            <w:pPr>
              <w:ind w:left="40"/>
              <w:spacing w:after="0"/>
              <w:rPr>
                <w:sz w:val="20"/>
                <w:szCs w:val="20"/>
                <w:color w:val="auto"/>
              </w:rPr>
            </w:pPr>
            <w:r>
              <w:rPr>
                <w:rFonts w:ascii="Arial" w:cs="Arial" w:eastAsia="Arial" w:hAnsi="Arial"/>
                <w:sz w:val="14"/>
                <w:szCs w:val="14"/>
                <w:color w:val="1F2668"/>
              </w:rPr>
              <w:t>​​</w:t>
            </w:r>
          </w:p>
        </w:tc>
        <w:tc>
          <w:tcPr>
            <w:tcW w:w="1020" w:type="dxa"/>
            <w:vAlign w:val="bottom"/>
            <w:gridSpan w:val="3"/>
          </w:tcPr>
          <w:p>
            <w:pPr>
              <w:jc w:val="right"/>
              <w:spacing w:after="0" w:line="225" w:lineRule="exact"/>
              <w:rPr>
                <w:sz w:val="20"/>
                <w:szCs w:val="20"/>
                <w:color w:val="auto"/>
              </w:rPr>
            </w:pPr>
            <w:r>
              <w:rPr>
                <w:rFonts w:ascii="Arial" w:cs="Arial" w:eastAsia="Arial" w:hAnsi="Arial"/>
                <w:sz w:val="14"/>
                <w:szCs w:val="14"/>
                <w:color w:val="1F2668"/>
              </w:rPr>
              <w:t xml:space="preserve">($) </w:t>
            </w:r>
            <w:r>
              <w:rPr>
                <w:rFonts w:ascii="Arial" w:cs="Arial" w:eastAsia="Arial" w:hAnsi="Arial"/>
                <w:sz w:val="26"/>
                <w:szCs w:val="26"/>
                <w:color w:val="1F2668"/>
                <w:vertAlign w:val="subscript"/>
              </w:rPr>
              <w:t>​​</w:t>
            </w:r>
          </w:p>
        </w:tc>
        <w:tc>
          <w:tcPr>
            <w:tcW w:w="880" w:type="dxa"/>
            <w:vAlign w:val="bottom"/>
          </w:tcPr>
          <w:p>
            <w:pPr>
              <w:ind w:left="600"/>
              <w:spacing w:after="0"/>
              <w:rPr>
                <w:sz w:val="20"/>
                <w:szCs w:val="20"/>
                <w:color w:val="auto"/>
              </w:rPr>
            </w:pPr>
            <w:r>
              <w:rPr>
                <w:rFonts w:ascii="Arial" w:cs="Arial" w:eastAsia="Arial" w:hAnsi="Arial"/>
                <w:sz w:val="14"/>
                <w:szCs w:val="14"/>
                <w:color w:val="1F2668"/>
                <w:w w:val="83"/>
              </w:rPr>
              <w:t>($)</w:t>
            </w:r>
            <w:r>
              <w:rPr>
                <w:rFonts w:ascii="Arial" w:cs="Arial" w:eastAsia="Arial" w:hAnsi="Arial"/>
                <w:sz w:val="17"/>
                <w:szCs w:val="17"/>
                <w:b w:val="1"/>
                <w:bCs w:val="1"/>
                <w:color w:val="1F2668"/>
                <w:w w:val="83"/>
                <w:vertAlign w:val="superscript"/>
              </w:rPr>
              <w:t>(1)</w:t>
            </w:r>
          </w:p>
        </w:tc>
        <w:tc>
          <w:tcPr>
            <w:tcW w:w="160" w:type="dxa"/>
            <w:vAlign w:val="bottom"/>
            <w:gridSpan w:val="2"/>
          </w:tcPr>
          <w:p>
            <w:pPr>
              <w:jc w:val="right"/>
              <w:spacing w:after="0"/>
              <w:rPr>
                <w:sz w:val="20"/>
                <w:szCs w:val="20"/>
                <w:color w:val="auto"/>
              </w:rPr>
            </w:pPr>
            <w:r>
              <w:rPr>
                <w:rFonts w:ascii="Arial" w:cs="Arial" w:eastAsia="Arial" w:hAnsi="Arial"/>
                <w:sz w:val="14"/>
                <w:szCs w:val="14"/>
                <w:color w:val="1F2668"/>
              </w:rPr>
              <w:t>​​</w:t>
            </w:r>
          </w:p>
        </w:tc>
        <w:tc>
          <w:tcPr>
            <w:tcW w:w="880" w:type="dxa"/>
            <w:vAlign w:val="bottom"/>
          </w:tcPr>
          <w:p>
            <w:pPr>
              <w:ind w:left="700"/>
              <w:spacing w:after="0"/>
              <w:rPr>
                <w:sz w:val="20"/>
                <w:szCs w:val="20"/>
                <w:color w:val="auto"/>
              </w:rPr>
            </w:pPr>
            <w:r>
              <w:rPr>
                <w:rFonts w:ascii="Arial" w:cs="Arial" w:eastAsia="Arial" w:hAnsi="Arial"/>
                <w:sz w:val="14"/>
                <w:szCs w:val="14"/>
                <w:color w:val="1F2668"/>
                <w:w w:val="93"/>
              </w:rPr>
              <w:t>($)</w:t>
            </w:r>
          </w:p>
        </w:tc>
        <w:tc>
          <w:tcPr>
            <w:tcW w:w="160" w:type="dxa"/>
            <w:vAlign w:val="bottom"/>
          </w:tcPr>
          <w:p>
            <w:pPr>
              <w:ind w:left="120"/>
              <w:spacing w:after="0"/>
              <w:rPr>
                <w:sz w:val="20"/>
                <w:szCs w:val="20"/>
                <w:color w:val="auto"/>
              </w:rPr>
            </w:pPr>
            <w:r>
              <w:rPr>
                <w:rFonts w:ascii="Arial" w:cs="Arial" w:eastAsia="Arial" w:hAnsi="Arial"/>
                <w:sz w:val="14"/>
                <w:szCs w:val="14"/>
                <w:color w:val="1F2668"/>
              </w:rPr>
              <w:t>​</w:t>
            </w:r>
          </w:p>
        </w:tc>
        <w:tc>
          <w:tcPr>
            <w:tcW w:w="6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4"/>
                <w:szCs w:val="14"/>
                <w:color w:val="1F2668"/>
              </w:rPr>
              <w:t>​</w:t>
            </w:r>
          </w:p>
        </w:tc>
        <w:tc>
          <w:tcPr>
            <w:tcW w:w="940" w:type="dxa"/>
            <w:vAlign w:val="bottom"/>
            <w:gridSpan w:val="2"/>
          </w:tcPr>
          <w:p>
            <w:pPr>
              <w:jc w:val="right"/>
              <w:spacing w:after="0" w:line="225" w:lineRule="exact"/>
              <w:rPr>
                <w:sz w:val="20"/>
                <w:szCs w:val="20"/>
                <w:color w:val="auto"/>
              </w:rPr>
            </w:pPr>
            <w:r>
              <w:rPr>
                <w:rFonts w:ascii="Arial" w:cs="Arial" w:eastAsia="Arial" w:hAnsi="Arial"/>
                <w:sz w:val="14"/>
                <w:szCs w:val="14"/>
                <w:color w:val="1F2668"/>
              </w:rPr>
              <w:t>($)</w:t>
            </w:r>
            <w:r>
              <w:rPr>
                <w:rFonts w:ascii="Arial" w:cs="Arial" w:eastAsia="Arial" w:hAnsi="Arial"/>
                <w:sz w:val="16"/>
                <w:szCs w:val="16"/>
                <w:b w:val="1"/>
                <w:bCs w:val="1"/>
                <w:color w:val="1F2668"/>
                <w:vertAlign w:val="superscript"/>
              </w:rPr>
              <w:t>(2)</w:t>
            </w:r>
            <w:r>
              <w:rPr>
                <w:rFonts w:ascii="Arial" w:cs="Arial" w:eastAsia="Arial" w:hAnsi="Arial"/>
                <w:sz w:val="14"/>
                <w:szCs w:val="14"/>
                <w:color w:val="1F2668"/>
              </w:rPr>
              <w:t xml:space="preserve">   </w:t>
            </w:r>
            <w:r>
              <w:rPr>
                <w:rFonts w:ascii="Arial" w:cs="Arial" w:eastAsia="Arial" w:hAnsi="Arial"/>
                <w:sz w:val="26"/>
                <w:szCs w:val="26"/>
                <w:color w:val="1F2668"/>
                <w:vertAlign w:val="subscript"/>
              </w:rPr>
              <w:t>​</w:t>
            </w:r>
          </w:p>
        </w:tc>
        <w:tc>
          <w:tcPr>
            <w:tcW w:w="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4"/>
                <w:szCs w:val="14"/>
                <w:color w:val="1F2668"/>
              </w:rPr>
              <w:t>​</w:t>
            </w:r>
          </w:p>
        </w:tc>
        <w:tc>
          <w:tcPr>
            <w:tcW w:w="720" w:type="dxa"/>
            <w:vAlign w:val="bottom"/>
          </w:tcPr>
          <w:p>
            <w:pPr>
              <w:ind w:left="420"/>
              <w:spacing w:after="0"/>
              <w:rPr>
                <w:sz w:val="20"/>
                <w:szCs w:val="20"/>
                <w:color w:val="auto"/>
              </w:rPr>
            </w:pPr>
            <w:r>
              <w:rPr>
                <w:rFonts w:ascii="Arial" w:cs="Arial" w:eastAsia="Arial" w:hAnsi="Arial"/>
                <w:sz w:val="14"/>
                <w:szCs w:val="14"/>
                <w:color w:val="1F2668"/>
                <w:w w:val="90"/>
              </w:rPr>
              <w:t>($)</w:t>
            </w:r>
            <w:r>
              <w:rPr>
                <w:rFonts w:ascii="Arial" w:cs="Arial" w:eastAsia="Arial" w:hAnsi="Arial"/>
                <w:sz w:val="17"/>
                <w:szCs w:val="17"/>
                <w:b w:val="1"/>
                <w:bCs w:val="1"/>
                <w:color w:val="1F2668"/>
                <w:w w:val="90"/>
                <w:vertAlign w:val="superscript"/>
              </w:rPr>
              <w:t>(3)</w:t>
            </w:r>
          </w:p>
        </w:tc>
        <w:tc>
          <w:tcPr>
            <w:tcW w:w="260" w:type="dxa"/>
            <w:vAlign w:val="bottom"/>
            <w:gridSpan w:val="2"/>
          </w:tcPr>
          <w:p>
            <w:pPr>
              <w:jc w:val="right"/>
              <w:ind w:right="68"/>
              <w:spacing w:after="0"/>
              <w:rPr>
                <w:sz w:val="20"/>
                <w:szCs w:val="20"/>
                <w:color w:val="auto"/>
              </w:rPr>
            </w:pPr>
            <w:r>
              <w:rPr>
                <w:rFonts w:ascii="Arial" w:cs="Arial" w:eastAsia="Arial" w:hAnsi="Arial"/>
                <w:sz w:val="14"/>
                <w:szCs w:val="14"/>
                <w:color w:val="1F2668"/>
              </w:rPr>
              <w:t>​​</w:t>
            </w:r>
          </w:p>
        </w:tc>
        <w:tc>
          <w:tcPr>
            <w:tcW w:w="620" w:type="dxa"/>
            <w:vAlign w:val="bottom"/>
          </w:tcPr>
          <w:p>
            <w:pPr>
              <w:ind w:left="340"/>
              <w:spacing w:after="0"/>
              <w:rPr>
                <w:sz w:val="20"/>
                <w:szCs w:val="20"/>
                <w:color w:val="auto"/>
              </w:rPr>
            </w:pPr>
            <w:r>
              <w:rPr>
                <w:rFonts w:ascii="Arial" w:cs="Arial" w:eastAsia="Arial" w:hAnsi="Arial"/>
                <w:sz w:val="14"/>
                <w:szCs w:val="14"/>
                <w:color w:val="1F2668"/>
                <w:w w:val="83"/>
              </w:rPr>
              <w:t>($)</w:t>
            </w:r>
            <w:r>
              <w:rPr>
                <w:rFonts w:ascii="Arial" w:cs="Arial" w:eastAsia="Arial" w:hAnsi="Arial"/>
                <w:sz w:val="17"/>
                <w:szCs w:val="17"/>
                <w:b w:val="1"/>
                <w:bCs w:val="1"/>
                <w:color w:val="1F2668"/>
                <w:w w:val="83"/>
                <w:vertAlign w:val="superscript"/>
              </w:rPr>
              <w:t>(4)</w:t>
            </w:r>
          </w:p>
        </w:tc>
        <w:tc>
          <w:tcPr>
            <w:tcW w:w="240" w:type="dxa"/>
            <w:vAlign w:val="bottom"/>
            <w:gridSpan w:val="2"/>
          </w:tcPr>
          <w:p>
            <w:pPr>
              <w:jc w:val="right"/>
              <w:ind w:right="42"/>
              <w:spacing w:after="0"/>
              <w:rPr>
                <w:sz w:val="20"/>
                <w:szCs w:val="20"/>
                <w:color w:val="auto"/>
              </w:rPr>
            </w:pPr>
            <w:r>
              <w:rPr>
                <w:rFonts w:ascii="Arial" w:cs="Arial" w:eastAsia="Arial" w:hAnsi="Arial"/>
                <w:sz w:val="14"/>
                <w:szCs w:val="14"/>
                <w:color w:val="1F2668"/>
              </w:rPr>
              <w:t>​​</w:t>
            </w:r>
          </w:p>
        </w:tc>
        <w:tc>
          <w:tcPr>
            <w:tcW w:w="760" w:type="dxa"/>
            <w:vAlign w:val="bottom"/>
            <w:gridSpan w:val="4"/>
          </w:tcPr>
          <w:p>
            <w:pPr>
              <w:jc w:val="right"/>
              <w:ind w:right="80"/>
              <w:spacing w:after="0" w:line="225" w:lineRule="exact"/>
              <w:rPr>
                <w:sz w:val="20"/>
                <w:szCs w:val="20"/>
                <w:color w:val="auto"/>
              </w:rPr>
            </w:pPr>
            <w:r>
              <w:rPr>
                <w:rFonts w:ascii="Arial" w:cs="Arial" w:eastAsia="Arial" w:hAnsi="Arial"/>
                <w:sz w:val="14"/>
                <w:szCs w:val="14"/>
                <w:color w:val="1F2668"/>
              </w:rPr>
              <w:t xml:space="preserve">($) </w:t>
            </w:r>
            <w:r>
              <w:rPr>
                <w:rFonts w:ascii="Arial" w:cs="Arial" w:eastAsia="Arial" w:hAnsi="Arial"/>
                <w:sz w:val="26"/>
                <w:szCs w:val="26"/>
                <w:color w:val="1F2668"/>
                <w:vertAlign w:val="subscript"/>
              </w:rPr>
              <w:t>​​</w:t>
            </w:r>
          </w:p>
        </w:tc>
        <w:tc>
          <w:tcPr>
            <w:tcW w:w="720" w:type="dxa"/>
            <w:vAlign w:val="bottom"/>
            <w:gridSpan w:val="2"/>
          </w:tcPr>
          <w:p>
            <w:pPr>
              <w:jc w:val="right"/>
              <w:spacing w:after="0" w:line="225" w:lineRule="exact"/>
              <w:rPr>
                <w:sz w:val="20"/>
                <w:szCs w:val="20"/>
                <w:color w:val="auto"/>
              </w:rPr>
            </w:pPr>
            <w:r>
              <w:rPr>
                <w:rFonts w:ascii="Arial" w:cs="Arial" w:eastAsia="Arial" w:hAnsi="Arial"/>
                <w:sz w:val="14"/>
                <w:szCs w:val="14"/>
                <w:color w:val="1F2668"/>
              </w:rPr>
              <w:t>($)</w:t>
            </w:r>
            <w:r>
              <w:rPr>
                <w:rFonts w:ascii="Arial" w:cs="Arial" w:eastAsia="Arial" w:hAnsi="Arial"/>
                <w:sz w:val="16"/>
                <w:szCs w:val="16"/>
                <w:b w:val="1"/>
                <w:bCs w:val="1"/>
                <w:color w:val="1F2668"/>
                <w:vertAlign w:val="superscript"/>
              </w:rPr>
              <w:t>(5)</w:t>
            </w:r>
            <w:r>
              <w:rPr>
                <w:rFonts w:ascii="Arial" w:cs="Arial" w:eastAsia="Arial" w:hAnsi="Arial"/>
                <w:sz w:val="14"/>
                <w:szCs w:val="14"/>
                <w:color w:val="1F2668"/>
              </w:rPr>
              <w:t xml:space="preserve"> </w:t>
            </w:r>
            <w:r>
              <w:rPr>
                <w:rFonts w:ascii="Arial" w:cs="Arial" w:eastAsia="Arial" w:hAnsi="Arial"/>
                <w:sz w:val="26"/>
                <w:szCs w:val="26"/>
                <w:color w:val="1F2668"/>
                <w:vertAlign w:val="subscript"/>
              </w:rPr>
              <w:t>​</w:t>
            </w:r>
          </w:p>
        </w:tc>
        <w:tc>
          <w:tcPr>
            <w:tcW w:w="0" w:type="dxa"/>
            <w:vAlign w:val="bottom"/>
          </w:tcPr>
          <w:p>
            <w:pPr>
              <w:spacing w:after="0"/>
              <w:rPr>
                <w:sz w:val="1"/>
                <w:szCs w:val="1"/>
                <w:color w:val="auto"/>
              </w:rPr>
            </w:pPr>
          </w:p>
        </w:tc>
      </w:tr>
      <w:tr>
        <w:trPr>
          <w:trHeight w:val="20"/>
        </w:trPr>
        <w:tc>
          <w:tcPr>
            <w:tcW w:w="1040" w:type="dxa"/>
            <w:vAlign w:val="bottom"/>
            <w:shd w:val="clear" w:color="auto" w:fill="1F266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1F2668"/>
          </w:tcPr>
          <w:p>
            <w:pPr>
              <w:spacing w:after="0" w:line="20" w:lineRule="exact"/>
              <w:rPr>
                <w:sz w:val="1"/>
                <w:szCs w:val="1"/>
                <w:color w:val="auto"/>
              </w:rPr>
            </w:pPr>
          </w:p>
        </w:tc>
        <w:tc>
          <w:tcPr>
            <w:tcW w:w="860" w:type="dxa"/>
            <w:vAlign w:val="bottom"/>
            <w:shd w:val="clear" w:color="auto" w:fill="1F266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1F2668"/>
          </w:tcPr>
          <w:p>
            <w:pPr>
              <w:spacing w:after="0" w:line="20" w:lineRule="exact"/>
              <w:rPr>
                <w:sz w:val="1"/>
                <w:szCs w:val="1"/>
                <w:color w:val="auto"/>
              </w:rPr>
            </w:pPr>
          </w:p>
        </w:tc>
        <w:tc>
          <w:tcPr>
            <w:tcW w:w="880" w:type="dxa"/>
            <w:vAlign w:val="bottom"/>
            <w:shd w:val="clear" w:color="auto" w:fill="1F266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1F2668"/>
          </w:tcPr>
          <w:p>
            <w:pPr>
              <w:spacing w:after="0" w:line="20" w:lineRule="exact"/>
              <w:rPr>
                <w:sz w:val="1"/>
                <w:szCs w:val="1"/>
                <w:color w:val="auto"/>
              </w:rPr>
            </w:pPr>
          </w:p>
        </w:tc>
        <w:tc>
          <w:tcPr>
            <w:tcW w:w="880" w:type="dxa"/>
            <w:vAlign w:val="bottom"/>
            <w:shd w:val="clear" w:color="auto" w:fill="1F266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1F2668"/>
          </w:tcPr>
          <w:p>
            <w:pPr>
              <w:spacing w:after="0" w:line="20" w:lineRule="exact"/>
              <w:rPr>
                <w:sz w:val="1"/>
                <w:szCs w:val="1"/>
                <w:color w:val="auto"/>
              </w:rPr>
            </w:pPr>
          </w:p>
        </w:tc>
        <w:tc>
          <w:tcPr>
            <w:tcW w:w="760" w:type="dxa"/>
            <w:vAlign w:val="bottom"/>
            <w:shd w:val="clear" w:color="auto" w:fill="1F266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1F2668"/>
          </w:tcPr>
          <w:p>
            <w:pPr>
              <w:spacing w:after="0" w:line="20" w:lineRule="exact"/>
              <w:rPr>
                <w:sz w:val="1"/>
                <w:szCs w:val="1"/>
                <w:color w:val="auto"/>
              </w:rPr>
            </w:pPr>
          </w:p>
        </w:tc>
        <w:tc>
          <w:tcPr>
            <w:tcW w:w="720" w:type="dxa"/>
            <w:vAlign w:val="bottom"/>
            <w:shd w:val="clear" w:color="auto" w:fill="1F266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1F2668"/>
          </w:tcPr>
          <w:p>
            <w:pPr>
              <w:spacing w:after="0" w:line="20" w:lineRule="exact"/>
              <w:rPr>
                <w:sz w:val="1"/>
                <w:szCs w:val="1"/>
                <w:color w:val="auto"/>
              </w:rPr>
            </w:pPr>
          </w:p>
        </w:tc>
        <w:tc>
          <w:tcPr>
            <w:tcW w:w="620" w:type="dxa"/>
            <w:vAlign w:val="bottom"/>
            <w:shd w:val="clear" w:color="auto" w:fill="1F266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1F2668"/>
          </w:tcPr>
          <w:p>
            <w:pPr>
              <w:spacing w:after="0" w:line="20" w:lineRule="exact"/>
              <w:rPr>
                <w:sz w:val="1"/>
                <w:szCs w:val="1"/>
                <w:color w:val="auto"/>
              </w:rPr>
            </w:pPr>
          </w:p>
        </w:tc>
        <w:tc>
          <w:tcPr>
            <w:tcW w:w="540" w:type="dxa"/>
            <w:vAlign w:val="bottom"/>
            <w:shd w:val="clear" w:color="auto" w:fill="1F266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1F2668"/>
          </w:tcPr>
          <w:p>
            <w:pPr>
              <w:spacing w:after="0" w:line="20" w:lineRule="exact"/>
              <w:rPr>
                <w:sz w:val="1"/>
                <w:szCs w:val="1"/>
                <w:color w:val="auto"/>
              </w:rPr>
            </w:pPr>
          </w:p>
        </w:tc>
        <w:tc>
          <w:tcPr>
            <w:tcW w:w="660" w:type="dxa"/>
            <w:vAlign w:val="bottom"/>
            <w:shd w:val="clear" w:color="auto" w:fill="1F266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6"/>
                <w:szCs w:val="16"/>
                <w:b w:val="1"/>
                <w:bCs w:val="1"/>
                <w:color w:val="1F2668"/>
              </w:rPr>
              <w:t>2024</w:t>
            </w:r>
          </w:p>
        </w:tc>
        <w:tc>
          <w:tcPr>
            <w:tcW w:w="180" w:type="dxa"/>
            <w:vAlign w:val="bottom"/>
            <w:gridSpan w:val="2"/>
            <w:vMerge w:val="restart"/>
          </w:tcPr>
          <w:p>
            <w:pPr>
              <w:jc w:val="center"/>
              <w:spacing w:after="0"/>
              <w:rPr>
                <w:sz w:val="20"/>
                <w:szCs w:val="20"/>
                <w:color w:val="auto"/>
              </w:rPr>
            </w:pPr>
            <w:r>
              <w:rPr>
                <w:rFonts w:ascii="Arial" w:cs="Arial" w:eastAsia="Arial" w:hAnsi="Arial"/>
                <w:sz w:val="16"/>
                <w:szCs w:val="16"/>
                <w:color w:val="auto"/>
              </w:rPr>
              <w:t>​​</w:t>
            </w:r>
          </w:p>
        </w:tc>
        <w:tc>
          <w:tcPr>
            <w:tcW w:w="860" w:type="dxa"/>
            <w:vAlign w:val="bottom"/>
          </w:tcPr>
          <w:p>
            <w:pPr>
              <w:ind w:left="40"/>
              <w:spacing w:after="0"/>
              <w:rPr>
                <w:sz w:val="20"/>
                <w:szCs w:val="20"/>
                <w:color w:val="auto"/>
              </w:rPr>
            </w:pPr>
            <w:r>
              <w:rPr>
                <w:rFonts w:ascii="Arial" w:cs="Arial" w:eastAsia="Arial" w:hAnsi="Arial"/>
                <w:sz w:val="16"/>
                <w:szCs w:val="16"/>
                <w:color w:val="auto"/>
                <w:w w:val="99"/>
              </w:rPr>
              <w:t>​20,685,756</w:t>
            </w:r>
          </w:p>
        </w:tc>
        <w:tc>
          <w:tcPr>
            <w:tcW w:w="1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ind w:left="20"/>
              <w:spacing w:after="0"/>
              <w:rPr>
                <w:sz w:val="20"/>
                <w:szCs w:val="20"/>
                <w:color w:val="auto"/>
              </w:rPr>
            </w:pPr>
            <w:r>
              <w:rPr>
                <w:rFonts w:ascii="Arial" w:cs="Arial" w:eastAsia="Arial" w:hAnsi="Arial"/>
                <w:sz w:val="16"/>
                <w:szCs w:val="16"/>
                <w:color w:val="auto"/>
              </w:rPr>
              <w:t>​48,597,262</w:t>
            </w:r>
          </w:p>
        </w:tc>
        <w:tc>
          <w:tcPr>
            <w:tcW w:w="1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ind w:left="160"/>
              <w:spacing w:after="0" w:line="210" w:lineRule="exact"/>
              <w:rPr>
                <w:sz w:val="20"/>
                <w:szCs w:val="20"/>
                <w:color w:val="auto"/>
              </w:rPr>
            </w:pPr>
            <w:r>
              <w:rPr>
                <w:rFonts w:ascii="Arial" w:cs="Arial" w:eastAsia="Arial" w:hAnsi="Arial"/>
                <w:sz w:val="16"/>
                <w:szCs w:val="16"/>
                <w:color w:val="auto"/>
                <w:w w:val="99"/>
              </w:rPr>
              <w:t>​3,550,244</w:t>
            </w:r>
            <w:r>
              <w:rPr>
                <w:rFonts w:ascii="Arial" w:cs="Arial" w:eastAsia="Arial" w:hAnsi="Arial"/>
                <w:sz w:val="19"/>
                <w:szCs w:val="19"/>
                <w:color w:val="auto"/>
                <w:w w:val="99"/>
                <w:vertAlign w:val="superscript"/>
              </w:rPr>
              <w:t>(6)</w:t>
            </w:r>
          </w:p>
        </w:tc>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320" w:type="dxa"/>
            <w:vAlign w:val="bottom"/>
          </w:tcPr>
          <w:p>
            <w:pPr>
              <w:ind w:lef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4"/>
              <w:spacing w:after="0" w:line="210" w:lineRule="exact"/>
              <w:rPr>
                <w:sz w:val="20"/>
                <w:szCs w:val="20"/>
                <w:color w:val="auto"/>
              </w:rPr>
            </w:pPr>
            <w:r>
              <w:rPr>
                <w:rFonts w:ascii="Arial" w:cs="Arial" w:eastAsia="Arial" w:hAnsi="Arial"/>
                <w:sz w:val="16"/>
                <w:szCs w:val="16"/>
                <w:color w:val="auto"/>
                <w:w w:val="99"/>
              </w:rPr>
              <w:t>6,761,944</w:t>
            </w:r>
            <w:r>
              <w:rPr>
                <w:rFonts w:ascii="Arial" w:cs="Arial" w:eastAsia="Arial" w:hAnsi="Arial"/>
                <w:sz w:val="19"/>
                <w:szCs w:val="19"/>
                <w:color w:val="auto"/>
                <w:w w:val="99"/>
                <w:vertAlign w:val="superscript"/>
              </w:rPr>
              <w:t>(6)</w:t>
            </w:r>
          </w:p>
        </w:tc>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6"/>
                <w:szCs w:val="16"/>
                <w:color w:val="auto"/>
                <w:w w:val="97"/>
              </w:rPr>
              <w:t>​104</w:t>
            </w:r>
          </w:p>
        </w:tc>
        <w:tc>
          <w:tcPr>
            <w:tcW w:w="260" w:type="dxa"/>
            <w:vAlign w:val="bottom"/>
            <w:gridSpan w:val="2"/>
            <w:vMerge w:val="restart"/>
          </w:tcPr>
          <w:p>
            <w:pPr>
              <w:jc w:val="right"/>
              <w:ind w:right="88"/>
              <w:spacing w:after="0"/>
              <w:rPr>
                <w:sz w:val="20"/>
                <w:szCs w:val="20"/>
                <w:color w:val="auto"/>
              </w:rPr>
            </w:pPr>
            <w:r>
              <w:rPr>
                <w:rFonts w:ascii="Arial" w:cs="Arial" w:eastAsia="Arial" w:hAnsi="Arial"/>
                <w:sz w:val="16"/>
                <w:szCs w:val="16"/>
                <w:color w:val="auto"/>
              </w:rPr>
              <w:t>​​​</w:t>
            </w:r>
          </w:p>
        </w:tc>
        <w:tc>
          <w:tcPr>
            <w:tcW w:w="620" w:type="dxa"/>
            <w:vAlign w:val="bottom"/>
          </w:tcPr>
          <w:p>
            <w:pPr>
              <w:ind w:left="340"/>
              <w:spacing w:after="0"/>
              <w:rPr>
                <w:sz w:val="20"/>
                <w:szCs w:val="20"/>
                <w:color w:val="auto"/>
              </w:rPr>
            </w:pPr>
            <w:r>
              <w:rPr>
                <w:rFonts w:ascii="Arial" w:cs="Arial" w:eastAsia="Arial" w:hAnsi="Arial"/>
                <w:sz w:val="16"/>
                <w:szCs w:val="16"/>
                <w:color w:val="auto"/>
              </w:rPr>
              <w:t>​ 68</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30,222</w:t>
            </w:r>
          </w:p>
        </w:tc>
        <w:tc>
          <w:tcPr>
            <w:tcW w:w="20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tcPr>
          <w:p>
            <w:pPr>
              <w:ind w:left="340"/>
              <w:spacing w:after="0"/>
              <w:rPr>
                <w:sz w:val="20"/>
                <w:szCs w:val="20"/>
                <w:color w:val="auto"/>
              </w:rPr>
            </w:pPr>
            <w:r>
              <w:rPr>
                <w:rFonts w:ascii="Arial" w:cs="Arial" w:eastAsia="Arial" w:hAnsi="Arial"/>
                <w:sz w:val="16"/>
                <w:szCs w:val="16"/>
                <w:color w:val="auto"/>
                <w:w w:val="96"/>
              </w:rPr>
              <w:t>​5.24</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104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860" w:type="dxa"/>
            <w:vAlign w:val="bottom"/>
          </w:tcPr>
          <w:p>
            <w:pPr>
              <w:ind w:left="40"/>
              <w:spacing w:after="0" w:line="81" w:lineRule="exact"/>
              <w:rPr>
                <w:sz w:val="20"/>
                <w:szCs w:val="20"/>
                <w:color w:val="auto"/>
              </w:rPr>
            </w:pPr>
            <w:r>
              <w:rPr>
                <w:rFonts w:ascii="Arial" w:cs="Arial" w:eastAsia="Arial" w:hAnsi="Arial"/>
                <w:sz w:val="9"/>
                <w:szCs w:val="9"/>
                <w:color w:val="auto"/>
              </w:rPr>
              <w:t>​</w:t>
            </w:r>
          </w:p>
        </w:tc>
        <w:tc>
          <w:tcPr>
            <w:tcW w:w="160" w:type="dxa"/>
            <w:vAlign w:val="bottom"/>
            <w:gridSpan w:val="2"/>
            <w:vMerge w:val="continue"/>
          </w:tcPr>
          <w:p>
            <w:pPr>
              <w:spacing w:after="0"/>
              <w:rPr>
                <w:sz w:val="7"/>
                <w:szCs w:val="7"/>
                <w:color w:val="auto"/>
              </w:rPr>
            </w:pPr>
          </w:p>
        </w:tc>
        <w:tc>
          <w:tcPr>
            <w:tcW w:w="880" w:type="dxa"/>
            <w:vAlign w:val="bottom"/>
          </w:tcPr>
          <w:p>
            <w:pPr>
              <w:ind w:left="20"/>
              <w:spacing w:after="0" w:line="81" w:lineRule="exact"/>
              <w:rPr>
                <w:sz w:val="20"/>
                <w:szCs w:val="20"/>
                <w:color w:val="auto"/>
              </w:rPr>
            </w:pPr>
            <w:r>
              <w:rPr>
                <w:rFonts w:ascii="Arial" w:cs="Arial" w:eastAsia="Arial" w:hAnsi="Arial"/>
                <w:sz w:val="9"/>
                <w:szCs w:val="9"/>
                <w:color w:val="auto"/>
              </w:rPr>
              <w:t>​</w:t>
            </w:r>
          </w:p>
        </w:tc>
        <w:tc>
          <w:tcPr>
            <w:tcW w:w="160" w:type="dxa"/>
            <w:vAlign w:val="bottom"/>
            <w:gridSpan w:val="2"/>
            <w:vMerge w:val="continue"/>
          </w:tcPr>
          <w:p>
            <w:pPr>
              <w:spacing w:after="0"/>
              <w:rPr>
                <w:sz w:val="7"/>
                <w:szCs w:val="7"/>
                <w:color w:val="auto"/>
              </w:rPr>
            </w:pPr>
          </w:p>
        </w:tc>
        <w:tc>
          <w:tcPr>
            <w:tcW w:w="880" w:type="dxa"/>
            <w:vAlign w:val="bottom"/>
          </w:tcPr>
          <w:p>
            <w:pPr>
              <w:ind w:left="160"/>
              <w:spacing w:after="0" w:line="81" w:lineRule="exact"/>
              <w:rPr>
                <w:sz w:val="20"/>
                <w:szCs w:val="20"/>
                <w:color w:val="auto"/>
              </w:rPr>
            </w:pPr>
            <w:r>
              <w:rPr>
                <w:rFonts w:ascii="Arial" w:cs="Arial" w:eastAsia="Arial" w:hAnsi="Arial"/>
                <w:sz w:val="9"/>
                <w:szCs w:val="9"/>
                <w:color w:val="auto"/>
              </w:rPr>
              <w:t>​</w:t>
            </w:r>
          </w:p>
        </w:tc>
        <w:tc>
          <w:tcPr>
            <w:tcW w:w="160" w:type="dxa"/>
            <w:vAlign w:val="bottom"/>
          </w:tcPr>
          <w:p>
            <w:pPr>
              <w:spacing w:after="0" w:line="81" w:lineRule="exact"/>
              <w:rPr>
                <w:sz w:val="20"/>
                <w:szCs w:val="20"/>
                <w:color w:val="auto"/>
              </w:rPr>
            </w:pPr>
            <w:r>
              <w:rPr>
                <w:rFonts w:ascii="Arial" w:cs="Arial" w:eastAsia="Arial" w:hAnsi="Arial"/>
                <w:sz w:val="9"/>
                <w:szCs w:val="9"/>
                <w:color w:val="auto"/>
              </w:rPr>
              <w:t>​​</w:t>
            </w:r>
          </w:p>
        </w:tc>
        <w:tc>
          <w:tcPr>
            <w:tcW w:w="60" w:type="dxa"/>
            <w:vAlign w:val="bottom"/>
            <w:vMerge w:val="continue"/>
          </w:tcPr>
          <w:p>
            <w:pPr>
              <w:spacing w:after="0"/>
              <w:rPr>
                <w:sz w:val="7"/>
                <w:szCs w:val="7"/>
                <w:color w:val="auto"/>
              </w:rPr>
            </w:pPr>
          </w:p>
        </w:tc>
        <w:tc>
          <w:tcPr>
            <w:tcW w:w="320" w:type="dxa"/>
            <w:vAlign w:val="bottom"/>
          </w:tcPr>
          <w:p>
            <w:pPr>
              <w:ind w:left="220"/>
              <w:spacing w:after="0" w:line="81" w:lineRule="exact"/>
              <w:rPr>
                <w:sz w:val="20"/>
                <w:szCs w:val="20"/>
                <w:color w:val="auto"/>
              </w:rPr>
            </w:pPr>
            <w:r>
              <w:rPr>
                <w:rFonts w:ascii="Arial" w:cs="Arial" w:eastAsia="Arial" w:hAnsi="Arial"/>
                <w:sz w:val="9"/>
                <w:szCs w:val="9"/>
                <w:color w:val="auto"/>
              </w:rPr>
              <w:t>​</w:t>
            </w:r>
          </w:p>
        </w:tc>
        <w:tc>
          <w:tcPr>
            <w:tcW w:w="760" w:type="dxa"/>
            <w:vAlign w:val="bottom"/>
          </w:tcPr>
          <w:p>
            <w:pPr>
              <w:spacing w:after="0"/>
              <w:rPr>
                <w:sz w:val="7"/>
                <w:szCs w:val="7"/>
                <w:color w:val="auto"/>
              </w:rPr>
            </w:pPr>
          </w:p>
        </w:tc>
        <w:tc>
          <w:tcPr>
            <w:tcW w:w="180" w:type="dxa"/>
            <w:vAlign w:val="bottom"/>
          </w:tcPr>
          <w:p>
            <w:pPr>
              <w:jc w:val="right"/>
              <w:ind w:right="34"/>
              <w:spacing w:after="0" w:line="81" w:lineRule="exact"/>
              <w:rPr>
                <w:sz w:val="20"/>
                <w:szCs w:val="20"/>
                <w:color w:val="auto"/>
              </w:rPr>
            </w:pPr>
            <w:r>
              <w:rPr>
                <w:rFonts w:ascii="Arial" w:cs="Arial" w:eastAsia="Arial" w:hAnsi="Arial"/>
                <w:sz w:val="9"/>
                <w:szCs w:val="9"/>
                <w:color w:val="auto"/>
              </w:rPr>
              <w:t>​​</w:t>
            </w:r>
          </w:p>
        </w:tc>
        <w:tc>
          <w:tcPr>
            <w:tcW w:w="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ind w:left="420"/>
              <w:spacing w:after="0" w:line="81" w:lineRule="exact"/>
              <w:rPr>
                <w:sz w:val="20"/>
                <w:szCs w:val="20"/>
                <w:color w:val="auto"/>
              </w:rPr>
            </w:pPr>
            <w:r>
              <w:rPr>
                <w:rFonts w:ascii="Arial" w:cs="Arial" w:eastAsia="Arial" w:hAnsi="Arial"/>
                <w:sz w:val="9"/>
                <w:szCs w:val="9"/>
                <w:color w:val="auto"/>
              </w:rPr>
              <w:t>​</w:t>
            </w:r>
          </w:p>
        </w:tc>
        <w:tc>
          <w:tcPr>
            <w:tcW w:w="260" w:type="dxa"/>
            <w:vAlign w:val="bottom"/>
            <w:gridSpan w:val="2"/>
            <w:vMerge w:val="continue"/>
          </w:tcPr>
          <w:p>
            <w:pPr>
              <w:spacing w:after="0"/>
              <w:rPr>
                <w:sz w:val="7"/>
                <w:szCs w:val="7"/>
                <w:color w:val="auto"/>
              </w:rPr>
            </w:pPr>
          </w:p>
        </w:tc>
        <w:tc>
          <w:tcPr>
            <w:tcW w:w="620" w:type="dxa"/>
            <w:vAlign w:val="bottom"/>
          </w:tcPr>
          <w:p>
            <w:pPr>
              <w:ind w:left="340"/>
              <w:spacing w:after="0" w:line="81" w:lineRule="exact"/>
              <w:rPr>
                <w:sz w:val="20"/>
                <w:szCs w:val="20"/>
                <w:color w:val="auto"/>
              </w:rPr>
            </w:pPr>
            <w:r>
              <w:rPr>
                <w:rFonts w:ascii="Arial" w:cs="Arial" w:eastAsia="Arial" w:hAnsi="Arial"/>
                <w:sz w:val="9"/>
                <w:szCs w:val="9"/>
                <w:color w:val="auto"/>
              </w:rPr>
              <w:t>​</w:t>
            </w:r>
          </w:p>
        </w:tc>
        <w:tc>
          <w:tcPr>
            <w:tcW w:w="240" w:type="dxa"/>
            <w:vAlign w:val="bottom"/>
            <w:gridSpan w:val="2"/>
          </w:tcPr>
          <w:p>
            <w:pPr>
              <w:jc w:val="right"/>
              <w:ind w:right="2"/>
              <w:spacing w:after="0" w:line="81" w:lineRule="exact"/>
              <w:rPr>
                <w:sz w:val="20"/>
                <w:szCs w:val="20"/>
                <w:color w:val="auto"/>
              </w:rPr>
            </w:pPr>
            <w:r>
              <w:rPr>
                <w:rFonts w:ascii="Arial" w:cs="Arial" w:eastAsia="Arial" w:hAnsi="Arial"/>
                <w:sz w:val="9"/>
                <w:szCs w:val="9"/>
                <w:color w:val="auto"/>
              </w:rPr>
              <w:t>​​​​</w:t>
            </w: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660" w:type="dxa"/>
            <w:vAlign w:val="bottom"/>
          </w:tcPr>
          <w:p>
            <w:pPr>
              <w:ind w:left="320"/>
              <w:spacing w:after="0" w:line="81" w:lineRule="exact"/>
              <w:rPr>
                <w:sz w:val="20"/>
                <w:szCs w:val="20"/>
                <w:color w:val="auto"/>
              </w:rPr>
            </w:pPr>
            <w:r>
              <w:rPr>
                <w:rFonts w:ascii="Arial" w:cs="Arial" w:eastAsia="Arial" w:hAnsi="Arial"/>
                <w:sz w:val="9"/>
                <w:szCs w:val="9"/>
                <w:color w:val="auto"/>
              </w:rPr>
              <w:t>​</w:t>
            </w: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4B50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860" w:type="dxa"/>
            <w:vAlign w:val="bottom"/>
            <w:shd w:val="clear" w:color="auto" w:fill="4B50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880" w:type="dxa"/>
            <w:vAlign w:val="bottom"/>
            <w:shd w:val="clear" w:color="auto" w:fill="4B50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880" w:type="dxa"/>
            <w:vAlign w:val="bottom"/>
            <w:shd w:val="clear" w:color="auto" w:fill="4B50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2"/>
            <w:shd w:val="clear" w:color="auto" w:fill="4B508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720" w:type="dxa"/>
            <w:vAlign w:val="bottom"/>
            <w:shd w:val="clear" w:color="auto" w:fill="4B50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4B5088"/>
          </w:tcPr>
          <w:p>
            <w:pPr>
              <w:spacing w:after="0" w:line="20" w:lineRule="exact"/>
              <w:rPr>
                <w:sz w:val="1"/>
                <w:szCs w:val="1"/>
                <w:color w:val="auto"/>
              </w:rPr>
            </w:pPr>
          </w:p>
        </w:tc>
        <w:tc>
          <w:tcPr>
            <w:tcW w:w="620" w:type="dxa"/>
            <w:vAlign w:val="bottom"/>
            <w:shd w:val="clear" w:color="auto" w:fill="4B50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shd w:val="clear" w:color="auto" w:fill="4B508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660" w:type="dxa"/>
            <w:vAlign w:val="bottom"/>
            <w:shd w:val="clear" w:color="auto" w:fill="4B50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20"/>
                <w:szCs w:val="20"/>
                <w:color w:val="auto"/>
              </w:rPr>
            </w:pPr>
            <w:r>
              <w:rPr>
                <w:rFonts w:ascii="Arial" w:cs="Arial" w:eastAsia="Arial" w:hAnsi="Arial"/>
                <w:sz w:val="16"/>
                <w:szCs w:val="16"/>
                <w:b w:val="1"/>
                <w:bCs w:val="1"/>
                <w:color w:val="1F2668"/>
              </w:rPr>
              <w:t>2023</w:t>
            </w:r>
          </w:p>
        </w:tc>
        <w:tc>
          <w:tcPr>
            <w:tcW w:w="180" w:type="dxa"/>
            <w:vAlign w:val="bottom"/>
            <w:gridSpan w:val="2"/>
            <w:vMerge w:val="restart"/>
          </w:tcPr>
          <w:p>
            <w:pPr>
              <w:jc w:val="center"/>
              <w:spacing w:after="0"/>
              <w:rPr>
                <w:sz w:val="20"/>
                <w:szCs w:val="20"/>
                <w:color w:val="auto"/>
              </w:rPr>
            </w:pPr>
            <w:r>
              <w:rPr>
                <w:rFonts w:ascii="Arial" w:cs="Arial" w:eastAsia="Arial" w:hAnsi="Arial"/>
                <w:sz w:val="16"/>
                <w:szCs w:val="16"/>
                <w:color w:val="auto"/>
              </w:rPr>
              <w:t>​​</w:t>
            </w:r>
          </w:p>
        </w:tc>
        <w:tc>
          <w:tcPr>
            <w:tcW w:w="860" w:type="dxa"/>
            <w:vAlign w:val="bottom"/>
          </w:tcPr>
          <w:p>
            <w:pPr>
              <w:ind w:left="40"/>
              <w:spacing w:after="0"/>
              <w:rPr>
                <w:sz w:val="20"/>
                <w:szCs w:val="20"/>
                <w:color w:val="auto"/>
              </w:rPr>
            </w:pPr>
            <w:r>
              <w:rPr>
                <w:rFonts w:ascii="Arial" w:cs="Arial" w:eastAsia="Arial" w:hAnsi="Arial"/>
                <w:sz w:val="16"/>
                <w:szCs w:val="16"/>
                <w:color w:val="auto"/>
                <w:w w:val="99"/>
              </w:rPr>
              <w:t>​18,508,171</w:t>
            </w:r>
          </w:p>
        </w:tc>
        <w:tc>
          <w:tcPr>
            <w:tcW w:w="1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ind w:left="20"/>
              <w:spacing w:after="0"/>
              <w:rPr>
                <w:sz w:val="20"/>
                <w:szCs w:val="20"/>
                <w:color w:val="auto"/>
              </w:rPr>
            </w:pPr>
            <w:r>
              <w:rPr>
                <w:rFonts w:ascii="Arial" w:cs="Arial" w:eastAsia="Arial" w:hAnsi="Arial"/>
                <w:sz w:val="16"/>
                <w:szCs w:val="16"/>
                <w:color w:val="auto"/>
              </w:rPr>
              <w:t>​30,796,068</w:t>
            </w:r>
          </w:p>
        </w:tc>
        <w:tc>
          <w:tcPr>
            <w:tcW w:w="1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ind w:left="160"/>
              <w:spacing w:after="0" w:line="196" w:lineRule="exact"/>
              <w:rPr>
                <w:sz w:val="20"/>
                <w:szCs w:val="20"/>
                <w:color w:val="auto"/>
              </w:rPr>
            </w:pPr>
            <w:r>
              <w:rPr>
                <w:rFonts w:ascii="Arial" w:cs="Arial" w:eastAsia="Arial" w:hAnsi="Arial"/>
                <w:sz w:val="16"/>
                <w:szCs w:val="16"/>
                <w:color w:val="auto"/>
                <w:w w:val="99"/>
              </w:rPr>
              <w:t>​6,439,504</w:t>
            </w:r>
            <w:r>
              <w:rPr>
                <w:rFonts w:ascii="Arial" w:cs="Arial" w:eastAsia="Arial" w:hAnsi="Arial"/>
                <w:sz w:val="19"/>
                <w:szCs w:val="19"/>
                <w:color w:val="auto"/>
                <w:w w:val="99"/>
                <w:vertAlign w:val="superscript"/>
              </w:rPr>
              <w:t>(6)</w:t>
            </w:r>
          </w:p>
        </w:tc>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1260" w:type="dxa"/>
            <w:vAlign w:val="bottom"/>
            <w:gridSpan w:val="3"/>
          </w:tcPr>
          <w:p>
            <w:pPr>
              <w:ind w:left="220"/>
              <w:spacing w:after="0" w:line="196" w:lineRule="exact"/>
              <w:rPr>
                <w:sz w:val="20"/>
                <w:szCs w:val="20"/>
                <w:color w:val="auto"/>
              </w:rPr>
            </w:pPr>
            <w:r>
              <w:rPr>
                <w:rFonts w:ascii="Arial" w:cs="Arial" w:eastAsia="Arial" w:hAnsi="Arial"/>
                <w:sz w:val="16"/>
                <w:szCs w:val="16"/>
                <w:color w:val="auto"/>
              </w:rPr>
              <w:t>​10,630,597</w:t>
            </w:r>
            <w:r>
              <w:rPr>
                <w:rFonts w:ascii="Arial" w:cs="Arial" w:eastAsia="Arial" w:hAnsi="Arial"/>
                <w:sz w:val="19"/>
                <w:szCs w:val="19"/>
                <w:color w:val="auto"/>
                <w:vertAlign w:val="superscript"/>
              </w:rPr>
              <w:t>(6)</w:t>
            </w:r>
          </w:p>
        </w:tc>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20" w:type="dxa"/>
            <w:vAlign w:val="bottom"/>
          </w:tcPr>
          <w:p>
            <w:pPr>
              <w:ind w:left="440"/>
              <w:spacing w:after="0"/>
              <w:rPr>
                <w:sz w:val="20"/>
                <w:szCs w:val="20"/>
                <w:color w:val="auto"/>
              </w:rPr>
            </w:pPr>
            <w:r>
              <w:rPr>
                <w:rFonts w:ascii="Arial" w:cs="Arial" w:eastAsia="Arial" w:hAnsi="Arial"/>
                <w:sz w:val="16"/>
                <w:szCs w:val="16"/>
                <w:color w:val="auto"/>
              </w:rPr>
              <w:t>​ 66</w:t>
            </w:r>
          </w:p>
        </w:tc>
        <w:tc>
          <w:tcPr>
            <w:tcW w:w="260" w:type="dxa"/>
            <w:vAlign w:val="bottom"/>
            <w:gridSpan w:val="2"/>
            <w:vMerge w:val="restart"/>
          </w:tcPr>
          <w:p>
            <w:pPr>
              <w:jc w:val="right"/>
              <w:ind w:right="88"/>
              <w:spacing w:after="0"/>
              <w:rPr>
                <w:sz w:val="20"/>
                <w:szCs w:val="20"/>
                <w:color w:val="auto"/>
              </w:rPr>
            </w:pPr>
            <w:r>
              <w:rPr>
                <w:rFonts w:ascii="Arial" w:cs="Arial" w:eastAsia="Arial" w:hAnsi="Arial"/>
                <w:sz w:val="16"/>
                <w:szCs w:val="16"/>
                <w:color w:val="auto"/>
              </w:rPr>
              <w:t>​​​</w:t>
            </w:r>
          </w:p>
        </w:tc>
        <w:tc>
          <w:tcPr>
            <w:tcW w:w="620" w:type="dxa"/>
            <w:vAlign w:val="bottom"/>
          </w:tcPr>
          <w:p>
            <w:pPr>
              <w:ind w:left="340"/>
              <w:spacing w:after="0"/>
              <w:rPr>
                <w:sz w:val="20"/>
                <w:szCs w:val="20"/>
                <w:color w:val="auto"/>
              </w:rPr>
            </w:pPr>
            <w:r>
              <w:rPr>
                <w:rFonts w:ascii="Arial" w:cs="Arial" w:eastAsia="Arial" w:hAnsi="Arial"/>
                <w:sz w:val="16"/>
                <w:szCs w:val="16"/>
                <w:color w:val="auto"/>
              </w:rPr>
              <w:t>​ 71</w:t>
            </w:r>
          </w:p>
        </w:tc>
        <w:tc>
          <w:tcPr>
            <w:tcW w:w="80" w:type="dxa"/>
            <w:vAlign w:val="bottom"/>
          </w:tcPr>
          <w:p>
            <w:pPr>
              <w:spacing w:after="0"/>
              <w:rPr>
                <w:sz w:val="17"/>
                <w:szCs w:val="17"/>
                <w:color w:val="auto"/>
              </w:rPr>
            </w:pPr>
          </w:p>
        </w:tc>
        <w:tc>
          <w:tcPr>
            <w:tcW w:w="920" w:type="dxa"/>
            <w:vAlign w:val="bottom"/>
            <w:gridSpan w:val="5"/>
          </w:tcPr>
          <w:p>
            <w:pPr>
              <w:jc w:val="right"/>
              <w:ind w:right="160"/>
              <w:spacing w:after="0"/>
              <w:rPr>
                <w:sz w:val="20"/>
                <w:szCs w:val="20"/>
                <w:color w:val="auto"/>
              </w:rPr>
            </w:pPr>
            <w:r>
              <w:rPr>
                <w:rFonts w:ascii="Arial" w:cs="Arial" w:eastAsia="Arial" w:hAnsi="Arial"/>
                <w:sz w:val="16"/>
                <w:szCs w:val="16"/>
                <w:color w:val="auto"/>
              </w:rPr>
              <w:t>​(599,337)</w:t>
            </w:r>
          </w:p>
        </w:tc>
        <w:tc>
          <w:tcPr>
            <w:tcW w:w="660" w:type="dxa"/>
            <w:vAlign w:val="bottom"/>
          </w:tcPr>
          <w:p>
            <w:pPr>
              <w:ind w:left="340"/>
              <w:spacing w:after="0"/>
              <w:rPr>
                <w:sz w:val="20"/>
                <w:szCs w:val="20"/>
                <w:color w:val="auto"/>
              </w:rPr>
            </w:pPr>
            <w:r>
              <w:rPr>
                <w:rFonts w:ascii="Arial" w:cs="Arial" w:eastAsia="Arial" w:hAnsi="Arial"/>
                <w:sz w:val="16"/>
                <w:szCs w:val="16"/>
                <w:color w:val="auto"/>
                <w:w w:val="96"/>
              </w:rPr>
              <w:t>​5.48</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104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860" w:type="dxa"/>
            <w:vAlign w:val="bottom"/>
          </w:tcPr>
          <w:p>
            <w:pPr>
              <w:ind w:left="40"/>
              <w:spacing w:after="0" w:line="81" w:lineRule="exact"/>
              <w:rPr>
                <w:sz w:val="20"/>
                <w:szCs w:val="20"/>
                <w:color w:val="auto"/>
              </w:rPr>
            </w:pPr>
            <w:r>
              <w:rPr>
                <w:rFonts w:ascii="Arial" w:cs="Arial" w:eastAsia="Arial" w:hAnsi="Arial"/>
                <w:sz w:val="9"/>
                <w:szCs w:val="9"/>
                <w:color w:val="auto"/>
              </w:rPr>
              <w:t>​</w:t>
            </w:r>
          </w:p>
        </w:tc>
        <w:tc>
          <w:tcPr>
            <w:tcW w:w="160" w:type="dxa"/>
            <w:vAlign w:val="bottom"/>
            <w:gridSpan w:val="2"/>
            <w:vMerge w:val="continue"/>
          </w:tcPr>
          <w:p>
            <w:pPr>
              <w:spacing w:after="0"/>
              <w:rPr>
                <w:sz w:val="7"/>
                <w:szCs w:val="7"/>
                <w:color w:val="auto"/>
              </w:rPr>
            </w:pPr>
          </w:p>
        </w:tc>
        <w:tc>
          <w:tcPr>
            <w:tcW w:w="880" w:type="dxa"/>
            <w:vAlign w:val="bottom"/>
          </w:tcPr>
          <w:p>
            <w:pPr>
              <w:ind w:left="20"/>
              <w:spacing w:after="0" w:line="81" w:lineRule="exact"/>
              <w:rPr>
                <w:sz w:val="20"/>
                <w:szCs w:val="20"/>
                <w:color w:val="auto"/>
              </w:rPr>
            </w:pPr>
            <w:r>
              <w:rPr>
                <w:rFonts w:ascii="Arial" w:cs="Arial" w:eastAsia="Arial" w:hAnsi="Arial"/>
                <w:sz w:val="9"/>
                <w:szCs w:val="9"/>
                <w:color w:val="auto"/>
              </w:rPr>
              <w:t>​</w:t>
            </w:r>
          </w:p>
        </w:tc>
        <w:tc>
          <w:tcPr>
            <w:tcW w:w="160" w:type="dxa"/>
            <w:vAlign w:val="bottom"/>
            <w:gridSpan w:val="2"/>
            <w:vMerge w:val="continue"/>
          </w:tcPr>
          <w:p>
            <w:pPr>
              <w:spacing w:after="0"/>
              <w:rPr>
                <w:sz w:val="7"/>
                <w:szCs w:val="7"/>
                <w:color w:val="auto"/>
              </w:rPr>
            </w:pPr>
          </w:p>
        </w:tc>
        <w:tc>
          <w:tcPr>
            <w:tcW w:w="880" w:type="dxa"/>
            <w:vAlign w:val="bottom"/>
          </w:tcPr>
          <w:p>
            <w:pPr>
              <w:ind w:left="160"/>
              <w:spacing w:after="0" w:line="81" w:lineRule="exact"/>
              <w:rPr>
                <w:sz w:val="20"/>
                <w:szCs w:val="20"/>
                <w:color w:val="auto"/>
              </w:rPr>
            </w:pPr>
            <w:r>
              <w:rPr>
                <w:rFonts w:ascii="Arial" w:cs="Arial" w:eastAsia="Arial" w:hAnsi="Arial"/>
                <w:sz w:val="9"/>
                <w:szCs w:val="9"/>
                <w:color w:val="auto"/>
              </w:rPr>
              <w:t>​</w:t>
            </w:r>
          </w:p>
        </w:tc>
        <w:tc>
          <w:tcPr>
            <w:tcW w:w="160" w:type="dxa"/>
            <w:vAlign w:val="bottom"/>
          </w:tcPr>
          <w:p>
            <w:pPr>
              <w:spacing w:after="0" w:line="81" w:lineRule="exact"/>
              <w:rPr>
                <w:sz w:val="20"/>
                <w:szCs w:val="20"/>
                <w:color w:val="auto"/>
              </w:rPr>
            </w:pPr>
            <w:r>
              <w:rPr>
                <w:rFonts w:ascii="Arial" w:cs="Arial" w:eastAsia="Arial" w:hAnsi="Arial"/>
                <w:sz w:val="9"/>
                <w:szCs w:val="9"/>
                <w:color w:val="auto"/>
              </w:rPr>
              <w:t>​​</w:t>
            </w:r>
          </w:p>
        </w:tc>
        <w:tc>
          <w:tcPr>
            <w:tcW w:w="60" w:type="dxa"/>
            <w:vAlign w:val="bottom"/>
            <w:vMerge w:val="continue"/>
          </w:tcPr>
          <w:p>
            <w:pPr>
              <w:spacing w:after="0"/>
              <w:rPr>
                <w:sz w:val="7"/>
                <w:szCs w:val="7"/>
                <w:color w:val="auto"/>
              </w:rPr>
            </w:pPr>
          </w:p>
        </w:tc>
        <w:tc>
          <w:tcPr>
            <w:tcW w:w="320" w:type="dxa"/>
            <w:vAlign w:val="bottom"/>
          </w:tcPr>
          <w:p>
            <w:pPr>
              <w:ind w:left="220"/>
              <w:spacing w:after="0" w:line="81" w:lineRule="exact"/>
              <w:rPr>
                <w:sz w:val="20"/>
                <w:szCs w:val="20"/>
                <w:color w:val="auto"/>
              </w:rPr>
            </w:pPr>
            <w:r>
              <w:rPr>
                <w:rFonts w:ascii="Arial" w:cs="Arial" w:eastAsia="Arial" w:hAnsi="Arial"/>
                <w:sz w:val="9"/>
                <w:szCs w:val="9"/>
                <w:color w:val="auto"/>
              </w:rPr>
              <w:t>​</w:t>
            </w:r>
          </w:p>
        </w:tc>
        <w:tc>
          <w:tcPr>
            <w:tcW w:w="760" w:type="dxa"/>
            <w:vAlign w:val="bottom"/>
          </w:tcPr>
          <w:p>
            <w:pPr>
              <w:spacing w:after="0"/>
              <w:rPr>
                <w:sz w:val="7"/>
                <w:szCs w:val="7"/>
                <w:color w:val="auto"/>
              </w:rPr>
            </w:pPr>
          </w:p>
        </w:tc>
        <w:tc>
          <w:tcPr>
            <w:tcW w:w="180" w:type="dxa"/>
            <w:vAlign w:val="bottom"/>
          </w:tcPr>
          <w:p>
            <w:pPr>
              <w:jc w:val="right"/>
              <w:ind w:right="34"/>
              <w:spacing w:after="0" w:line="81" w:lineRule="exact"/>
              <w:rPr>
                <w:sz w:val="20"/>
                <w:szCs w:val="20"/>
                <w:color w:val="auto"/>
              </w:rPr>
            </w:pPr>
            <w:r>
              <w:rPr>
                <w:rFonts w:ascii="Arial" w:cs="Arial" w:eastAsia="Arial" w:hAnsi="Arial"/>
                <w:sz w:val="9"/>
                <w:szCs w:val="9"/>
                <w:color w:val="auto"/>
              </w:rPr>
              <w:t>​​</w:t>
            </w:r>
          </w:p>
        </w:tc>
        <w:tc>
          <w:tcPr>
            <w:tcW w:w="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ind w:left="420"/>
              <w:spacing w:after="0" w:line="81" w:lineRule="exact"/>
              <w:rPr>
                <w:sz w:val="20"/>
                <w:szCs w:val="20"/>
                <w:color w:val="auto"/>
              </w:rPr>
            </w:pPr>
            <w:r>
              <w:rPr>
                <w:rFonts w:ascii="Arial" w:cs="Arial" w:eastAsia="Arial" w:hAnsi="Arial"/>
                <w:sz w:val="9"/>
                <w:szCs w:val="9"/>
                <w:color w:val="auto"/>
              </w:rPr>
              <w:t>​</w:t>
            </w:r>
          </w:p>
        </w:tc>
        <w:tc>
          <w:tcPr>
            <w:tcW w:w="260" w:type="dxa"/>
            <w:vAlign w:val="bottom"/>
            <w:gridSpan w:val="2"/>
            <w:vMerge w:val="continue"/>
          </w:tcPr>
          <w:p>
            <w:pPr>
              <w:spacing w:after="0"/>
              <w:rPr>
                <w:sz w:val="7"/>
                <w:szCs w:val="7"/>
                <w:color w:val="auto"/>
              </w:rPr>
            </w:pPr>
          </w:p>
        </w:tc>
        <w:tc>
          <w:tcPr>
            <w:tcW w:w="620" w:type="dxa"/>
            <w:vAlign w:val="bottom"/>
          </w:tcPr>
          <w:p>
            <w:pPr>
              <w:ind w:left="340"/>
              <w:spacing w:after="0" w:line="81" w:lineRule="exact"/>
              <w:rPr>
                <w:sz w:val="20"/>
                <w:szCs w:val="20"/>
                <w:color w:val="auto"/>
              </w:rPr>
            </w:pPr>
            <w:r>
              <w:rPr>
                <w:rFonts w:ascii="Arial" w:cs="Arial" w:eastAsia="Arial" w:hAnsi="Arial"/>
                <w:sz w:val="9"/>
                <w:szCs w:val="9"/>
                <w:color w:val="auto"/>
              </w:rPr>
              <w:t>​</w:t>
            </w:r>
          </w:p>
        </w:tc>
        <w:tc>
          <w:tcPr>
            <w:tcW w:w="240" w:type="dxa"/>
            <w:vAlign w:val="bottom"/>
            <w:gridSpan w:val="2"/>
          </w:tcPr>
          <w:p>
            <w:pPr>
              <w:jc w:val="right"/>
              <w:ind w:right="2"/>
              <w:spacing w:after="0" w:line="81" w:lineRule="exact"/>
              <w:rPr>
                <w:sz w:val="20"/>
                <w:szCs w:val="20"/>
                <w:color w:val="auto"/>
              </w:rPr>
            </w:pPr>
            <w:r>
              <w:rPr>
                <w:rFonts w:ascii="Arial" w:cs="Arial" w:eastAsia="Arial" w:hAnsi="Arial"/>
                <w:sz w:val="9"/>
                <w:szCs w:val="9"/>
                <w:color w:val="auto"/>
              </w:rPr>
              <w:t>​​​​</w:t>
            </w: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gridSpan w:val="2"/>
          </w:tcPr>
          <w:p>
            <w:pPr>
              <w:jc w:val="right"/>
              <w:ind w:right="100"/>
              <w:spacing w:after="0" w:line="81" w:lineRule="exact"/>
              <w:rPr>
                <w:sz w:val="20"/>
                <w:szCs w:val="20"/>
                <w:color w:val="auto"/>
              </w:rPr>
            </w:pPr>
            <w:r>
              <w:rPr>
                <w:rFonts w:ascii="Arial" w:cs="Arial" w:eastAsia="Arial" w:hAnsi="Arial"/>
                <w:sz w:val="9"/>
                <w:szCs w:val="9"/>
                <w:color w:val="auto"/>
              </w:rPr>
              <w:t>​​​</w:t>
            </w:r>
          </w:p>
        </w:tc>
        <w:tc>
          <w:tcPr>
            <w:tcW w:w="660" w:type="dxa"/>
            <w:vAlign w:val="bottom"/>
          </w:tcPr>
          <w:p>
            <w:pPr>
              <w:ind w:left="320"/>
              <w:spacing w:after="0" w:line="81" w:lineRule="exact"/>
              <w:rPr>
                <w:sz w:val="20"/>
                <w:szCs w:val="20"/>
                <w:color w:val="auto"/>
              </w:rPr>
            </w:pPr>
            <w:r>
              <w:rPr>
                <w:rFonts w:ascii="Arial" w:cs="Arial" w:eastAsia="Arial" w:hAnsi="Arial"/>
                <w:sz w:val="9"/>
                <w:szCs w:val="9"/>
                <w:color w:val="auto"/>
              </w:rPr>
              <w:t>​</w:t>
            </w: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4B50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860" w:type="dxa"/>
            <w:vAlign w:val="bottom"/>
            <w:shd w:val="clear" w:color="auto" w:fill="4B50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880" w:type="dxa"/>
            <w:vAlign w:val="bottom"/>
            <w:shd w:val="clear" w:color="auto" w:fill="4B50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880" w:type="dxa"/>
            <w:vAlign w:val="bottom"/>
            <w:shd w:val="clear" w:color="auto" w:fill="4B50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2"/>
            <w:shd w:val="clear" w:color="auto" w:fill="4B508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720" w:type="dxa"/>
            <w:vAlign w:val="bottom"/>
            <w:shd w:val="clear" w:color="auto" w:fill="4B50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4B5088"/>
          </w:tcPr>
          <w:p>
            <w:pPr>
              <w:spacing w:after="0" w:line="20" w:lineRule="exact"/>
              <w:rPr>
                <w:sz w:val="1"/>
                <w:szCs w:val="1"/>
                <w:color w:val="auto"/>
              </w:rPr>
            </w:pPr>
          </w:p>
        </w:tc>
        <w:tc>
          <w:tcPr>
            <w:tcW w:w="620" w:type="dxa"/>
            <w:vAlign w:val="bottom"/>
            <w:shd w:val="clear" w:color="auto" w:fill="4B50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shd w:val="clear" w:color="auto" w:fill="4B508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660" w:type="dxa"/>
            <w:vAlign w:val="bottom"/>
            <w:shd w:val="clear" w:color="auto" w:fill="4B50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20"/>
                <w:szCs w:val="20"/>
                <w:color w:val="auto"/>
              </w:rPr>
            </w:pPr>
            <w:r>
              <w:rPr>
                <w:rFonts w:ascii="Arial" w:cs="Arial" w:eastAsia="Arial" w:hAnsi="Arial"/>
                <w:sz w:val="16"/>
                <w:szCs w:val="16"/>
                <w:b w:val="1"/>
                <w:bCs w:val="1"/>
                <w:color w:val="1F2668"/>
              </w:rPr>
              <w:t>2022</w:t>
            </w:r>
          </w:p>
        </w:tc>
        <w:tc>
          <w:tcPr>
            <w:tcW w:w="180" w:type="dxa"/>
            <w:vAlign w:val="bottom"/>
            <w:gridSpan w:val="2"/>
            <w:vMerge w:val="restart"/>
          </w:tcPr>
          <w:p>
            <w:pPr>
              <w:jc w:val="center"/>
              <w:spacing w:after="0"/>
              <w:rPr>
                <w:sz w:val="20"/>
                <w:szCs w:val="20"/>
                <w:color w:val="auto"/>
              </w:rPr>
            </w:pPr>
            <w:r>
              <w:rPr>
                <w:rFonts w:ascii="Arial" w:cs="Arial" w:eastAsia="Arial" w:hAnsi="Arial"/>
                <w:sz w:val="16"/>
                <w:szCs w:val="16"/>
                <w:color w:val="auto"/>
              </w:rPr>
              <w:t>​​</w:t>
            </w:r>
          </w:p>
        </w:tc>
        <w:tc>
          <w:tcPr>
            <w:tcW w:w="860" w:type="dxa"/>
            <w:vAlign w:val="bottom"/>
          </w:tcPr>
          <w:p>
            <w:pPr>
              <w:ind w:left="40"/>
              <w:spacing w:after="0"/>
              <w:rPr>
                <w:sz w:val="20"/>
                <w:szCs w:val="20"/>
                <w:color w:val="auto"/>
              </w:rPr>
            </w:pPr>
            <w:r>
              <w:rPr>
                <w:rFonts w:ascii="Arial" w:cs="Arial" w:eastAsia="Arial" w:hAnsi="Arial"/>
                <w:sz w:val="16"/>
                <w:szCs w:val="16"/>
                <w:color w:val="auto"/>
                <w:w w:val="99"/>
              </w:rPr>
              <w:t>​16,660,855</w:t>
            </w:r>
          </w:p>
        </w:tc>
        <w:tc>
          <w:tcPr>
            <w:tcW w:w="1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3"/>
          </w:tcPr>
          <w:p>
            <w:pPr>
              <w:ind w:left="20"/>
              <w:spacing w:after="0"/>
              <w:rPr>
                <w:sz w:val="20"/>
                <w:szCs w:val="20"/>
                <w:color w:val="auto"/>
              </w:rPr>
            </w:pPr>
            <w:r>
              <w:rPr>
                <w:rFonts w:ascii="Arial" w:cs="Arial" w:eastAsia="Arial" w:hAnsi="Arial"/>
                <w:sz w:val="16"/>
                <w:szCs w:val="16"/>
                <w:color w:val="auto"/>
              </w:rPr>
              <w:t>​(11,758,654)</w:t>
            </w:r>
          </w:p>
        </w:tc>
        <w:tc>
          <w:tcPr>
            <w:tcW w:w="1040" w:type="dxa"/>
            <w:vAlign w:val="bottom"/>
            <w:gridSpan w:val="2"/>
          </w:tcPr>
          <w:p>
            <w:pPr>
              <w:ind w:left="160"/>
              <w:spacing w:after="0" w:line="196" w:lineRule="exact"/>
              <w:rPr>
                <w:sz w:val="20"/>
                <w:szCs w:val="20"/>
                <w:color w:val="auto"/>
              </w:rPr>
            </w:pPr>
            <w:r>
              <w:rPr>
                <w:rFonts w:ascii="Arial" w:cs="Arial" w:eastAsia="Arial" w:hAnsi="Arial"/>
                <w:sz w:val="16"/>
                <w:szCs w:val="16"/>
                <w:color w:val="auto"/>
                <w:w w:val="99"/>
              </w:rPr>
              <w:t>​7,006,710</w:t>
            </w:r>
            <w:r>
              <w:rPr>
                <w:rFonts w:ascii="Arial" w:cs="Arial" w:eastAsia="Arial" w:hAnsi="Arial"/>
                <w:sz w:val="19"/>
                <w:szCs w:val="19"/>
                <w:color w:val="auto"/>
                <w:w w:val="99"/>
                <w:vertAlign w:val="superscript"/>
              </w:rPr>
              <w:t>(6)</w:t>
            </w:r>
          </w:p>
        </w:tc>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1260" w:type="dxa"/>
            <w:vAlign w:val="bottom"/>
            <w:gridSpan w:val="3"/>
          </w:tcPr>
          <w:p>
            <w:pPr>
              <w:ind w:left="220"/>
              <w:spacing w:after="0" w:line="196" w:lineRule="exact"/>
              <w:rPr>
                <w:sz w:val="20"/>
                <w:szCs w:val="20"/>
                <w:color w:val="auto"/>
              </w:rPr>
            </w:pPr>
            <w:r>
              <w:rPr>
                <w:rFonts w:ascii="Arial" w:cs="Arial" w:eastAsia="Arial" w:hAnsi="Arial"/>
                <w:sz w:val="16"/>
                <w:szCs w:val="16"/>
                <w:color w:val="auto"/>
              </w:rPr>
              <w:t>​ (2,389,306)</w:t>
            </w:r>
            <w:r>
              <w:rPr>
                <w:rFonts w:ascii="Arial" w:cs="Arial" w:eastAsia="Arial" w:hAnsi="Arial"/>
                <w:sz w:val="19"/>
                <w:szCs w:val="19"/>
                <w:color w:val="auto"/>
                <w:vertAlign w:val="superscript"/>
              </w:rPr>
              <w:t>(6)</w:t>
            </w:r>
          </w:p>
        </w:tc>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20" w:type="dxa"/>
            <w:vAlign w:val="bottom"/>
          </w:tcPr>
          <w:p>
            <w:pPr>
              <w:ind w:left="440"/>
              <w:spacing w:after="0"/>
              <w:rPr>
                <w:sz w:val="20"/>
                <w:szCs w:val="20"/>
                <w:color w:val="auto"/>
              </w:rPr>
            </w:pPr>
            <w:r>
              <w:rPr>
                <w:rFonts w:ascii="Arial" w:cs="Arial" w:eastAsia="Arial" w:hAnsi="Arial"/>
                <w:sz w:val="16"/>
                <w:szCs w:val="16"/>
                <w:color w:val="auto"/>
              </w:rPr>
              <w:t>​ 44</w:t>
            </w:r>
          </w:p>
        </w:tc>
        <w:tc>
          <w:tcPr>
            <w:tcW w:w="260" w:type="dxa"/>
            <w:vAlign w:val="bottom"/>
            <w:gridSpan w:val="2"/>
            <w:vMerge w:val="restart"/>
          </w:tcPr>
          <w:p>
            <w:pPr>
              <w:jc w:val="right"/>
              <w:ind w:right="88"/>
              <w:spacing w:after="0"/>
              <w:rPr>
                <w:sz w:val="20"/>
                <w:szCs w:val="20"/>
                <w:color w:val="auto"/>
              </w:rPr>
            </w:pPr>
            <w:r>
              <w:rPr>
                <w:rFonts w:ascii="Arial" w:cs="Arial" w:eastAsia="Arial" w:hAnsi="Arial"/>
                <w:sz w:val="16"/>
                <w:szCs w:val="16"/>
                <w:color w:val="auto"/>
              </w:rPr>
              <w:t>​​​</w:t>
            </w:r>
          </w:p>
        </w:tc>
        <w:tc>
          <w:tcPr>
            <w:tcW w:w="620" w:type="dxa"/>
            <w:vAlign w:val="bottom"/>
          </w:tcPr>
          <w:p>
            <w:pPr>
              <w:ind w:left="340"/>
              <w:spacing w:after="0"/>
              <w:rPr>
                <w:sz w:val="20"/>
                <w:szCs w:val="20"/>
                <w:color w:val="auto"/>
              </w:rPr>
            </w:pPr>
            <w:r>
              <w:rPr>
                <w:rFonts w:ascii="Arial" w:cs="Arial" w:eastAsia="Arial" w:hAnsi="Arial"/>
                <w:sz w:val="16"/>
                <w:szCs w:val="16"/>
                <w:color w:val="auto"/>
              </w:rPr>
              <w:t>​ 68</w:t>
            </w:r>
          </w:p>
        </w:tc>
        <w:tc>
          <w:tcPr>
            <w:tcW w:w="80" w:type="dxa"/>
            <w:vAlign w:val="bottom"/>
          </w:tcPr>
          <w:p>
            <w:pPr>
              <w:spacing w:after="0"/>
              <w:rPr>
                <w:sz w:val="17"/>
                <w:szCs w:val="17"/>
                <w:color w:val="auto"/>
              </w:rPr>
            </w:pPr>
          </w:p>
        </w:tc>
        <w:tc>
          <w:tcPr>
            <w:tcW w:w="920" w:type="dxa"/>
            <w:vAlign w:val="bottom"/>
            <w:gridSpan w:val="5"/>
          </w:tcPr>
          <w:p>
            <w:pPr>
              <w:jc w:val="right"/>
              <w:ind w:right="160"/>
              <w:spacing w:after="0"/>
              <w:rPr>
                <w:sz w:val="20"/>
                <w:szCs w:val="20"/>
                <w:color w:val="auto"/>
              </w:rPr>
            </w:pPr>
            <w:r>
              <w:rPr>
                <w:rFonts w:ascii="Arial" w:cs="Arial" w:eastAsia="Arial" w:hAnsi="Arial"/>
                <w:sz w:val="16"/>
                <w:szCs w:val="16"/>
                <w:color w:val="auto"/>
              </w:rPr>
              <w:t>​ (76,303)</w:t>
            </w:r>
          </w:p>
        </w:tc>
        <w:tc>
          <w:tcPr>
            <w:tcW w:w="660" w:type="dxa"/>
            <w:vAlign w:val="bottom"/>
          </w:tcPr>
          <w:p>
            <w:pPr>
              <w:ind w:left="340"/>
              <w:spacing w:after="0"/>
              <w:rPr>
                <w:sz w:val="20"/>
                <w:szCs w:val="20"/>
                <w:color w:val="auto"/>
              </w:rPr>
            </w:pPr>
            <w:r>
              <w:rPr>
                <w:rFonts w:ascii="Arial" w:cs="Arial" w:eastAsia="Arial" w:hAnsi="Arial"/>
                <w:sz w:val="16"/>
                <w:szCs w:val="16"/>
                <w:color w:val="auto"/>
                <w:w w:val="96"/>
              </w:rPr>
              <w:t>​6.76</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104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860" w:type="dxa"/>
            <w:vAlign w:val="bottom"/>
          </w:tcPr>
          <w:p>
            <w:pPr>
              <w:ind w:left="40"/>
              <w:spacing w:after="0" w:line="81" w:lineRule="exact"/>
              <w:rPr>
                <w:sz w:val="20"/>
                <w:szCs w:val="20"/>
                <w:color w:val="auto"/>
              </w:rPr>
            </w:pPr>
            <w:r>
              <w:rPr>
                <w:rFonts w:ascii="Arial" w:cs="Arial" w:eastAsia="Arial" w:hAnsi="Arial"/>
                <w:sz w:val="9"/>
                <w:szCs w:val="9"/>
                <w:color w:val="auto"/>
              </w:rPr>
              <w:t>​</w:t>
            </w:r>
          </w:p>
        </w:tc>
        <w:tc>
          <w:tcPr>
            <w:tcW w:w="160" w:type="dxa"/>
            <w:vAlign w:val="bottom"/>
            <w:gridSpan w:val="2"/>
            <w:vMerge w:val="continue"/>
          </w:tcPr>
          <w:p>
            <w:pPr>
              <w:spacing w:after="0"/>
              <w:rPr>
                <w:sz w:val="7"/>
                <w:szCs w:val="7"/>
                <w:color w:val="auto"/>
              </w:rPr>
            </w:pPr>
          </w:p>
        </w:tc>
        <w:tc>
          <w:tcPr>
            <w:tcW w:w="880" w:type="dxa"/>
            <w:vAlign w:val="bottom"/>
          </w:tcPr>
          <w:p>
            <w:pPr>
              <w:ind w:left="20"/>
              <w:spacing w:after="0" w:line="81" w:lineRule="exact"/>
              <w:rPr>
                <w:sz w:val="20"/>
                <w:szCs w:val="20"/>
                <w:color w:val="auto"/>
              </w:rPr>
            </w:pPr>
            <w:r>
              <w:rPr>
                <w:rFonts w:ascii="Arial" w:cs="Arial" w:eastAsia="Arial" w:hAnsi="Arial"/>
                <w:sz w:val="9"/>
                <w:szCs w:val="9"/>
                <w:color w:val="auto"/>
              </w:rPr>
              <w:t>​</w:t>
            </w:r>
          </w:p>
        </w:tc>
        <w:tc>
          <w:tcPr>
            <w:tcW w:w="160" w:type="dxa"/>
            <w:vAlign w:val="bottom"/>
            <w:gridSpan w:val="2"/>
          </w:tcPr>
          <w:p>
            <w:pPr>
              <w:jc w:val="right"/>
              <w:spacing w:after="0" w:line="81" w:lineRule="exact"/>
              <w:rPr>
                <w:sz w:val="20"/>
                <w:szCs w:val="20"/>
                <w:color w:val="auto"/>
              </w:rPr>
            </w:pPr>
            <w:r>
              <w:rPr>
                <w:rFonts w:ascii="Arial" w:cs="Arial" w:eastAsia="Arial" w:hAnsi="Arial"/>
                <w:sz w:val="9"/>
                <w:szCs w:val="9"/>
                <w:color w:val="auto"/>
              </w:rPr>
              <w:t>​​​</w:t>
            </w:r>
          </w:p>
        </w:tc>
        <w:tc>
          <w:tcPr>
            <w:tcW w:w="880" w:type="dxa"/>
            <w:vAlign w:val="bottom"/>
          </w:tcPr>
          <w:p>
            <w:pPr>
              <w:ind w:left="160"/>
              <w:spacing w:after="0" w:line="81" w:lineRule="exact"/>
              <w:rPr>
                <w:sz w:val="20"/>
                <w:szCs w:val="20"/>
                <w:color w:val="auto"/>
              </w:rPr>
            </w:pPr>
            <w:r>
              <w:rPr>
                <w:rFonts w:ascii="Arial" w:cs="Arial" w:eastAsia="Arial" w:hAnsi="Arial"/>
                <w:sz w:val="9"/>
                <w:szCs w:val="9"/>
                <w:color w:val="auto"/>
              </w:rPr>
              <w:t>​</w:t>
            </w:r>
          </w:p>
        </w:tc>
        <w:tc>
          <w:tcPr>
            <w:tcW w:w="160" w:type="dxa"/>
            <w:vAlign w:val="bottom"/>
          </w:tcPr>
          <w:p>
            <w:pPr>
              <w:spacing w:after="0" w:line="81" w:lineRule="exact"/>
              <w:rPr>
                <w:sz w:val="20"/>
                <w:szCs w:val="20"/>
                <w:color w:val="auto"/>
              </w:rPr>
            </w:pPr>
            <w:r>
              <w:rPr>
                <w:rFonts w:ascii="Arial" w:cs="Arial" w:eastAsia="Arial" w:hAnsi="Arial"/>
                <w:sz w:val="9"/>
                <w:szCs w:val="9"/>
                <w:color w:val="auto"/>
              </w:rPr>
              <w:t>​​</w:t>
            </w:r>
          </w:p>
        </w:tc>
        <w:tc>
          <w:tcPr>
            <w:tcW w:w="60" w:type="dxa"/>
            <w:vAlign w:val="bottom"/>
            <w:vMerge w:val="continue"/>
          </w:tcPr>
          <w:p>
            <w:pPr>
              <w:spacing w:after="0"/>
              <w:rPr>
                <w:sz w:val="7"/>
                <w:szCs w:val="7"/>
                <w:color w:val="auto"/>
              </w:rPr>
            </w:pPr>
          </w:p>
        </w:tc>
        <w:tc>
          <w:tcPr>
            <w:tcW w:w="320" w:type="dxa"/>
            <w:vAlign w:val="bottom"/>
          </w:tcPr>
          <w:p>
            <w:pPr>
              <w:ind w:left="220"/>
              <w:spacing w:after="0" w:line="81" w:lineRule="exact"/>
              <w:rPr>
                <w:sz w:val="20"/>
                <w:szCs w:val="20"/>
                <w:color w:val="auto"/>
              </w:rPr>
            </w:pPr>
            <w:r>
              <w:rPr>
                <w:rFonts w:ascii="Arial" w:cs="Arial" w:eastAsia="Arial" w:hAnsi="Arial"/>
                <w:sz w:val="9"/>
                <w:szCs w:val="9"/>
                <w:color w:val="auto"/>
              </w:rPr>
              <w:t>​</w:t>
            </w:r>
          </w:p>
        </w:tc>
        <w:tc>
          <w:tcPr>
            <w:tcW w:w="760" w:type="dxa"/>
            <w:vAlign w:val="bottom"/>
          </w:tcPr>
          <w:p>
            <w:pPr>
              <w:spacing w:after="0"/>
              <w:rPr>
                <w:sz w:val="7"/>
                <w:szCs w:val="7"/>
                <w:color w:val="auto"/>
              </w:rPr>
            </w:pPr>
          </w:p>
        </w:tc>
        <w:tc>
          <w:tcPr>
            <w:tcW w:w="180" w:type="dxa"/>
            <w:vAlign w:val="bottom"/>
          </w:tcPr>
          <w:p>
            <w:pPr>
              <w:jc w:val="right"/>
              <w:ind w:right="34"/>
              <w:spacing w:after="0" w:line="81" w:lineRule="exact"/>
              <w:rPr>
                <w:sz w:val="20"/>
                <w:szCs w:val="20"/>
                <w:color w:val="auto"/>
              </w:rPr>
            </w:pPr>
            <w:r>
              <w:rPr>
                <w:rFonts w:ascii="Arial" w:cs="Arial" w:eastAsia="Arial" w:hAnsi="Arial"/>
                <w:sz w:val="9"/>
                <w:szCs w:val="9"/>
                <w:color w:val="auto"/>
              </w:rPr>
              <w:t>​​</w:t>
            </w:r>
          </w:p>
        </w:tc>
        <w:tc>
          <w:tcPr>
            <w:tcW w:w="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ind w:left="420"/>
              <w:spacing w:after="0" w:line="81" w:lineRule="exact"/>
              <w:rPr>
                <w:sz w:val="20"/>
                <w:szCs w:val="20"/>
                <w:color w:val="auto"/>
              </w:rPr>
            </w:pPr>
            <w:r>
              <w:rPr>
                <w:rFonts w:ascii="Arial" w:cs="Arial" w:eastAsia="Arial" w:hAnsi="Arial"/>
                <w:sz w:val="9"/>
                <w:szCs w:val="9"/>
                <w:color w:val="auto"/>
              </w:rPr>
              <w:t>​</w:t>
            </w:r>
          </w:p>
        </w:tc>
        <w:tc>
          <w:tcPr>
            <w:tcW w:w="260" w:type="dxa"/>
            <w:vAlign w:val="bottom"/>
            <w:gridSpan w:val="2"/>
            <w:vMerge w:val="continue"/>
          </w:tcPr>
          <w:p>
            <w:pPr>
              <w:spacing w:after="0"/>
              <w:rPr>
                <w:sz w:val="7"/>
                <w:szCs w:val="7"/>
                <w:color w:val="auto"/>
              </w:rPr>
            </w:pPr>
          </w:p>
        </w:tc>
        <w:tc>
          <w:tcPr>
            <w:tcW w:w="620" w:type="dxa"/>
            <w:vAlign w:val="bottom"/>
          </w:tcPr>
          <w:p>
            <w:pPr>
              <w:ind w:left="340"/>
              <w:spacing w:after="0" w:line="81" w:lineRule="exact"/>
              <w:rPr>
                <w:sz w:val="20"/>
                <w:szCs w:val="20"/>
                <w:color w:val="auto"/>
              </w:rPr>
            </w:pPr>
            <w:r>
              <w:rPr>
                <w:rFonts w:ascii="Arial" w:cs="Arial" w:eastAsia="Arial" w:hAnsi="Arial"/>
                <w:sz w:val="9"/>
                <w:szCs w:val="9"/>
                <w:color w:val="auto"/>
              </w:rPr>
              <w:t>​</w:t>
            </w:r>
          </w:p>
        </w:tc>
        <w:tc>
          <w:tcPr>
            <w:tcW w:w="240" w:type="dxa"/>
            <w:vAlign w:val="bottom"/>
            <w:gridSpan w:val="2"/>
          </w:tcPr>
          <w:p>
            <w:pPr>
              <w:jc w:val="right"/>
              <w:ind w:right="2"/>
              <w:spacing w:after="0" w:line="81" w:lineRule="exact"/>
              <w:rPr>
                <w:sz w:val="20"/>
                <w:szCs w:val="20"/>
                <w:color w:val="auto"/>
              </w:rPr>
            </w:pPr>
            <w:r>
              <w:rPr>
                <w:rFonts w:ascii="Arial" w:cs="Arial" w:eastAsia="Arial" w:hAnsi="Arial"/>
                <w:sz w:val="9"/>
                <w:szCs w:val="9"/>
                <w:color w:val="auto"/>
              </w:rPr>
              <w:t>​​​​</w:t>
            </w: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gridSpan w:val="2"/>
          </w:tcPr>
          <w:p>
            <w:pPr>
              <w:jc w:val="right"/>
              <w:ind w:right="100"/>
              <w:spacing w:after="0" w:line="81" w:lineRule="exact"/>
              <w:rPr>
                <w:sz w:val="20"/>
                <w:szCs w:val="20"/>
                <w:color w:val="auto"/>
              </w:rPr>
            </w:pPr>
            <w:r>
              <w:rPr>
                <w:rFonts w:ascii="Arial" w:cs="Arial" w:eastAsia="Arial" w:hAnsi="Arial"/>
                <w:sz w:val="9"/>
                <w:szCs w:val="9"/>
                <w:color w:val="auto"/>
              </w:rPr>
              <w:t>​​​</w:t>
            </w:r>
          </w:p>
        </w:tc>
        <w:tc>
          <w:tcPr>
            <w:tcW w:w="660" w:type="dxa"/>
            <w:vAlign w:val="bottom"/>
          </w:tcPr>
          <w:p>
            <w:pPr>
              <w:ind w:left="320"/>
              <w:spacing w:after="0" w:line="81" w:lineRule="exact"/>
              <w:rPr>
                <w:sz w:val="20"/>
                <w:szCs w:val="20"/>
                <w:color w:val="auto"/>
              </w:rPr>
            </w:pPr>
            <w:r>
              <w:rPr>
                <w:rFonts w:ascii="Arial" w:cs="Arial" w:eastAsia="Arial" w:hAnsi="Arial"/>
                <w:sz w:val="9"/>
                <w:szCs w:val="9"/>
                <w:color w:val="auto"/>
              </w:rPr>
              <w:t>​</w:t>
            </w: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4B50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860" w:type="dxa"/>
            <w:vAlign w:val="bottom"/>
            <w:shd w:val="clear" w:color="auto" w:fill="4B50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880" w:type="dxa"/>
            <w:vAlign w:val="bottom"/>
            <w:shd w:val="clear" w:color="auto" w:fill="4B50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880" w:type="dxa"/>
            <w:vAlign w:val="bottom"/>
            <w:shd w:val="clear" w:color="auto" w:fill="4B50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2"/>
            <w:shd w:val="clear" w:color="auto" w:fill="4B508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720" w:type="dxa"/>
            <w:vAlign w:val="bottom"/>
            <w:shd w:val="clear" w:color="auto" w:fill="4B50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4B5088"/>
          </w:tcPr>
          <w:p>
            <w:pPr>
              <w:spacing w:after="0" w:line="20" w:lineRule="exact"/>
              <w:rPr>
                <w:sz w:val="1"/>
                <w:szCs w:val="1"/>
                <w:color w:val="auto"/>
              </w:rPr>
            </w:pPr>
          </w:p>
        </w:tc>
        <w:tc>
          <w:tcPr>
            <w:tcW w:w="620" w:type="dxa"/>
            <w:vAlign w:val="bottom"/>
            <w:shd w:val="clear" w:color="auto" w:fill="4B50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shd w:val="clear" w:color="auto" w:fill="4B50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660" w:type="dxa"/>
            <w:vAlign w:val="bottom"/>
            <w:shd w:val="clear" w:color="auto" w:fill="4B50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20"/>
                <w:szCs w:val="20"/>
                <w:color w:val="auto"/>
              </w:rPr>
            </w:pPr>
            <w:r>
              <w:rPr>
                <w:rFonts w:ascii="Arial" w:cs="Arial" w:eastAsia="Arial" w:hAnsi="Arial"/>
                <w:sz w:val="16"/>
                <w:szCs w:val="16"/>
                <w:b w:val="1"/>
                <w:bCs w:val="1"/>
                <w:color w:val="1F2668"/>
              </w:rPr>
              <w:t>2021</w:t>
            </w:r>
          </w:p>
        </w:tc>
        <w:tc>
          <w:tcPr>
            <w:tcW w:w="180" w:type="dxa"/>
            <w:vAlign w:val="bottom"/>
            <w:gridSpan w:val="2"/>
            <w:vMerge w:val="restart"/>
          </w:tcPr>
          <w:p>
            <w:pPr>
              <w:jc w:val="center"/>
              <w:spacing w:after="0"/>
              <w:rPr>
                <w:sz w:val="20"/>
                <w:szCs w:val="20"/>
                <w:color w:val="auto"/>
              </w:rPr>
            </w:pPr>
            <w:r>
              <w:rPr>
                <w:rFonts w:ascii="Arial" w:cs="Arial" w:eastAsia="Arial" w:hAnsi="Arial"/>
                <w:sz w:val="16"/>
                <w:szCs w:val="16"/>
                <w:color w:val="auto"/>
              </w:rPr>
              <w:t>​​</w:t>
            </w:r>
          </w:p>
        </w:tc>
        <w:tc>
          <w:tcPr>
            <w:tcW w:w="860" w:type="dxa"/>
            <w:vAlign w:val="bottom"/>
          </w:tcPr>
          <w:p>
            <w:pPr>
              <w:ind w:left="40"/>
              <w:spacing w:after="0"/>
              <w:rPr>
                <w:sz w:val="20"/>
                <w:szCs w:val="20"/>
                <w:color w:val="auto"/>
              </w:rPr>
            </w:pPr>
            <w:r>
              <w:rPr>
                <w:rFonts w:ascii="Arial" w:cs="Arial" w:eastAsia="Arial" w:hAnsi="Arial"/>
                <w:sz w:val="16"/>
                <w:szCs w:val="16"/>
                <w:color w:val="auto"/>
                <w:w w:val="99"/>
              </w:rPr>
              <w:t>​21,088,057</w:t>
            </w:r>
          </w:p>
        </w:tc>
        <w:tc>
          <w:tcPr>
            <w:tcW w:w="1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ind w:left="20"/>
              <w:spacing w:after="0"/>
              <w:rPr>
                <w:sz w:val="20"/>
                <w:szCs w:val="20"/>
                <w:color w:val="auto"/>
              </w:rPr>
            </w:pPr>
            <w:r>
              <w:rPr>
                <w:rFonts w:ascii="Arial" w:cs="Arial" w:eastAsia="Arial" w:hAnsi="Arial"/>
                <w:sz w:val="16"/>
                <w:szCs w:val="16"/>
                <w:color w:val="auto"/>
              </w:rPr>
              <w:t>​32,642,206</w:t>
            </w:r>
          </w:p>
        </w:tc>
        <w:tc>
          <w:tcPr>
            <w:tcW w:w="1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ind w:left="160"/>
              <w:spacing w:after="0" w:line="196" w:lineRule="exact"/>
              <w:rPr>
                <w:sz w:val="20"/>
                <w:szCs w:val="20"/>
                <w:color w:val="auto"/>
              </w:rPr>
            </w:pPr>
            <w:r>
              <w:rPr>
                <w:rFonts w:ascii="Arial" w:cs="Arial" w:eastAsia="Arial" w:hAnsi="Arial"/>
                <w:sz w:val="16"/>
                <w:szCs w:val="16"/>
                <w:color w:val="auto"/>
                <w:w w:val="99"/>
              </w:rPr>
              <w:t>​7,711,773</w:t>
            </w:r>
            <w:r>
              <w:rPr>
                <w:rFonts w:ascii="Arial" w:cs="Arial" w:eastAsia="Arial" w:hAnsi="Arial"/>
                <w:sz w:val="19"/>
                <w:szCs w:val="19"/>
                <w:color w:val="auto"/>
                <w:w w:val="99"/>
                <w:vertAlign w:val="superscript"/>
              </w:rPr>
              <w:t>(6)</w:t>
            </w:r>
          </w:p>
        </w:tc>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1260" w:type="dxa"/>
            <w:vAlign w:val="bottom"/>
            <w:gridSpan w:val="3"/>
          </w:tcPr>
          <w:p>
            <w:pPr>
              <w:ind w:left="220"/>
              <w:spacing w:after="0" w:line="196" w:lineRule="exact"/>
              <w:rPr>
                <w:sz w:val="20"/>
                <w:szCs w:val="20"/>
                <w:color w:val="auto"/>
              </w:rPr>
            </w:pPr>
            <w:r>
              <w:rPr>
                <w:rFonts w:ascii="Arial" w:cs="Arial" w:eastAsia="Arial" w:hAnsi="Arial"/>
                <w:sz w:val="16"/>
                <w:szCs w:val="16"/>
                <w:color w:val="auto"/>
              </w:rPr>
              <w:t>​11,565,039</w:t>
            </w:r>
            <w:r>
              <w:rPr>
                <w:rFonts w:ascii="Arial" w:cs="Arial" w:eastAsia="Arial" w:hAnsi="Arial"/>
                <w:sz w:val="19"/>
                <w:szCs w:val="19"/>
                <w:color w:val="auto"/>
                <w:vertAlign w:val="superscript"/>
              </w:rPr>
              <w:t>(6)</w:t>
            </w:r>
          </w:p>
        </w:tc>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20" w:type="dxa"/>
            <w:vAlign w:val="bottom"/>
          </w:tcPr>
          <w:p>
            <w:pPr>
              <w:ind w:left="440"/>
              <w:spacing w:after="0"/>
              <w:rPr>
                <w:sz w:val="20"/>
                <w:szCs w:val="20"/>
                <w:color w:val="auto"/>
              </w:rPr>
            </w:pPr>
            <w:r>
              <w:rPr>
                <w:rFonts w:ascii="Arial" w:cs="Arial" w:eastAsia="Arial" w:hAnsi="Arial"/>
                <w:sz w:val="16"/>
                <w:szCs w:val="16"/>
                <w:color w:val="auto"/>
              </w:rPr>
              <w:t>​ 90</w:t>
            </w:r>
          </w:p>
        </w:tc>
        <w:tc>
          <w:tcPr>
            <w:tcW w:w="260" w:type="dxa"/>
            <w:vAlign w:val="bottom"/>
            <w:gridSpan w:val="2"/>
            <w:vMerge w:val="restart"/>
          </w:tcPr>
          <w:p>
            <w:pPr>
              <w:jc w:val="right"/>
              <w:ind w:right="88"/>
              <w:spacing w:after="0"/>
              <w:rPr>
                <w:sz w:val="20"/>
                <w:szCs w:val="20"/>
                <w:color w:val="auto"/>
              </w:rPr>
            </w:pPr>
            <w:r>
              <w:rPr>
                <w:rFonts w:ascii="Arial" w:cs="Arial" w:eastAsia="Arial" w:hAnsi="Arial"/>
                <w:sz w:val="16"/>
                <w:szCs w:val="16"/>
                <w:color w:val="auto"/>
              </w:rPr>
              <w:t>​​​</w:t>
            </w:r>
          </w:p>
        </w:tc>
        <w:tc>
          <w:tcPr>
            <w:tcW w:w="620" w:type="dxa"/>
            <w:vAlign w:val="bottom"/>
          </w:tcPr>
          <w:p>
            <w:pPr>
              <w:ind w:left="340"/>
              <w:spacing w:after="0"/>
              <w:rPr>
                <w:sz w:val="20"/>
                <w:szCs w:val="20"/>
                <w:color w:val="auto"/>
              </w:rPr>
            </w:pPr>
            <w:r>
              <w:rPr>
                <w:rFonts w:ascii="Arial" w:cs="Arial" w:eastAsia="Arial" w:hAnsi="Arial"/>
                <w:sz w:val="16"/>
                <w:szCs w:val="16"/>
                <w:color w:val="auto"/>
                <w:w w:val="97"/>
              </w:rPr>
              <w:t>​103</w:t>
            </w:r>
          </w:p>
        </w:tc>
        <w:tc>
          <w:tcPr>
            <w:tcW w:w="80" w:type="dxa"/>
            <w:vAlign w:val="bottom"/>
          </w:tcPr>
          <w:p>
            <w:pPr>
              <w:spacing w:after="0"/>
              <w:rPr>
                <w:sz w:val="17"/>
                <w:szCs w:val="17"/>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 480,632</w:t>
            </w:r>
          </w:p>
        </w:tc>
        <w:tc>
          <w:tcPr>
            <w:tcW w:w="20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tcPr>
          <w:p>
            <w:pPr>
              <w:ind w:left="340"/>
              <w:spacing w:after="0"/>
              <w:rPr>
                <w:sz w:val="20"/>
                <w:szCs w:val="20"/>
                <w:color w:val="auto"/>
              </w:rPr>
            </w:pPr>
            <w:r>
              <w:rPr>
                <w:rFonts w:ascii="Arial" w:cs="Arial" w:eastAsia="Arial" w:hAnsi="Arial"/>
                <w:sz w:val="16"/>
                <w:szCs w:val="16"/>
                <w:color w:val="auto"/>
                <w:w w:val="96"/>
              </w:rPr>
              <w:t>​6.58</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104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860" w:type="dxa"/>
            <w:vAlign w:val="bottom"/>
          </w:tcPr>
          <w:p>
            <w:pPr>
              <w:ind w:left="40"/>
              <w:spacing w:after="0" w:line="81" w:lineRule="exact"/>
              <w:rPr>
                <w:sz w:val="20"/>
                <w:szCs w:val="20"/>
                <w:color w:val="auto"/>
              </w:rPr>
            </w:pPr>
            <w:r>
              <w:rPr>
                <w:rFonts w:ascii="Arial" w:cs="Arial" w:eastAsia="Arial" w:hAnsi="Arial"/>
                <w:sz w:val="9"/>
                <w:szCs w:val="9"/>
                <w:color w:val="auto"/>
              </w:rPr>
              <w:t>​</w:t>
            </w:r>
          </w:p>
        </w:tc>
        <w:tc>
          <w:tcPr>
            <w:tcW w:w="160" w:type="dxa"/>
            <w:vAlign w:val="bottom"/>
            <w:gridSpan w:val="2"/>
            <w:vMerge w:val="continue"/>
          </w:tcPr>
          <w:p>
            <w:pPr>
              <w:spacing w:after="0"/>
              <w:rPr>
                <w:sz w:val="7"/>
                <w:szCs w:val="7"/>
                <w:color w:val="auto"/>
              </w:rPr>
            </w:pPr>
          </w:p>
        </w:tc>
        <w:tc>
          <w:tcPr>
            <w:tcW w:w="880" w:type="dxa"/>
            <w:vAlign w:val="bottom"/>
          </w:tcPr>
          <w:p>
            <w:pPr>
              <w:ind w:left="20"/>
              <w:spacing w:after="0" w:line="81" w:lineRule="exact"/>
              <w:rPr>
                <w:sz w:val="20"/>
                <w:szCs w:val="20"/>
                <w:color w:val="auto"/>
              </w:rPr>
            </w:pPr>
            <w:r>
              <w:rPr>
                <w:rFonts w:ascii="Arial" w:cs="Arial" w:eastAsia="Arial" w:hAnsi="Arial"/>
                <w:sz w:val="9"/>
                <w:szCs w:val="9"/>
                <w:color w:val="auto"/>
              </w:rPr>
              <w:t>​</w:t>
            </w:r>
          </w:p>
        </w:tc>
        <w:tc>
          <w:tcPr>
            <w:tcW w:w="160" w:type="dxa"/>
            <w:vAlign w:val="bottom"/>
            <w:gridSpan w:val="2"/>
            <w:vMerge w:val="continue"/>
          </w:tcPr>
          <w:p>
            <w:pPr>
              <w:spacing w:after="0"/>
              <w:rPr>
                <w:sz w:val="7"/>
                <w:szCs w:val="7"/>
                <w:color w:val="auto"/>
              </w:rPr>
            </w:pPr>
          </w:p>
        </w:tc>
        <w:tc>
          <w:tcPr>
            <w:tcW w:w="880" w:type="dxa"/>
            <w:vAlign w:val="bottom"/>
          </w:tcPr>
          <w:p>
            <w:pPr>
              <w:ind w:left="160"/>
              <w:spacing w:after="0" w:line="81" w:lineRule="exact"/>
              <w:rPr>
                <w:sz w:val="20"/>
                <w:szCs w:val="20"/>
                <w:color w:val="auto"/>
              </w:rPr>
            </w:pPr>
            <w:r>
              <w:rPr>
                <w:rFonts w:ascii="Arial" w:cs="Arial" w:eastAsia="Arial" w:hAnsi="Arial"/>
                <w:sz w:val="9"/>
                <w:szCs w:val="9"/>
                <w:color w:val="auto"/>
              </w:rPr>
              <w:t>​</w:t>
            </w:r>
          </w:p>
        </w:tc>
        <w:tc>
          <w:tcPr>
            <w:tcW w:w="160" w:type="dxa"/>
            <w:vAlign w:val="bottom"/>
          </w:tcPr>
          <w:p>
            <w:pPr>
              <w:spacing w:after="0" w:line="81" w:lineRule="exact"/>
              <w:rPr>
                <w:sz w:val="20"/>
                <w:szCs w:val="20"/>
                <w:color w:val="auto"/>
              </w:rPr>
            </w:pPr>
            <w:r>
              <w:rPr>
                <w:rFonts w:ascii="Arial" w:cs="Arial" w:eastAsia="Arial" w:hAnsi="Arial"/>
                <w:sz w:val="9"/>
                <w:szCs w:val="9"/>
                <w:color w:val="auto"/>
              </w:rPr>
              <w:t>​​</w:t>
            </w:r>
          </w:p>
        </w:tc>
        <w:tc>
          <w:tcPr>
            <w:tcW w:w="60" w:type="dxa"/>
            <w:vAlign w:val="bottom"/>
            <w:vMerge w:val="continue"/>
          </w:tcPr>
          <w:p>
            <w:pPr>
              <w:spacing w:after="0"/>
              <w:rPr>
                <w:sz w:val="7"/>
                <w:szCs w:val="7"/>
                <w:color w:val="auto"/>
              </w:rPr>
            </w:pPr>
          </w:p>
        </w:tc>
        <w:tc>
          <w:tcPr>
            <w:tcW w:w="320" w:type="dxa"/>
            <w:vAlign w:val="bottom"/>
          </w:tcPr>
          <w:p>
            <w:pPr>
              <w:ind w:left="220"/>
              <w:spacing w:after="0" w:line="81" w:lineRule="exact"/>
              <w:rPr>
                <w:sz w:val="20"/>
                <w:szCs w:val="20"/>
                <w:color w:val="auto"/>
              </w:rPr>
            </w:pPr>
            <w:r>
              <w:rPr>
                <w:rFonts w:ascii="Arial" w:cs="Arial" w:eastAsia="Arial" w:hAnsi="Arial"/>
                <w:sz w:val="9"/>
                <w:szCs w:val="9"/>
                <w:color w:val="auto"/>
              </w:rPr>
              <w:t>​</w:t>
            </w:r>
          </w:p>
        </w:tc>
        <w:tc>
          <w:tcPr>
            <w:tcW w:w="760" w:type="dxa"/>
            <w:vAlign w:val="bottom"/>
          </w:tcPr>
          <w:p>
            <w:pPr>
              <w:spacing w:after="0"/>
              <w:rPr>
                <w:sz w:val="7"/>
                <w:szCs w:val="7"/>
                <w:color w:val="auto"/>
              </w:rPr>
            </w:pPr>
          </w:p>
        </w:tc>
        <w:tc>
          <w:tcPr>
            <w:tcW w:w="180" w:type="dxa"/>
            <w:vAlign w:val="bottom"/>
          </w:tcPr>
          <w:p>
            <w:pPr>
              <w:jc w:val="right"/>
              <w:ind w:right="34"/>
              <w:spacing w:after="0" w:line="81" w:lineRule="exact"/>
              <w:rPr>
                <w:sz w:val="20"/>
                <w:szCs w:val="20"/>
                <w:color w:val="auto"/>
              </w:rPr>
            </w:pPr>
            <w:r>
              <w:rPr>
                <w:rFonts w:ascii="Arial" w:cs="Arial" w:eastAsia="Arial" w:hAnsi="Arial"/>
                <w:sz w:val="9"/>
                <w:szCs w:val="9"/>
                <w:color w:val="auto"/>
              </w:rPr>
              <w:t>​​</w:t>
            </w:r>
          </w:p>
        </w:tc>
        <w:tc>
          <w:tcPr>
            <w:tcW w:w="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ind w:left="420"/>
              <w:spacing w:after="0" w:line="81" w:lineRule="exact"/>
              <w:rPr>
                <w:sz w:val="20"/>
                <w:szCs w:val="20"/>
                <w:color w:val="auto"/>
              </w:rPr>
            </w:pPr>
            <w:r>
              <w:rPr>
                <w:rFonts w:ascii="Arial" w:cs="Arial" w:eastAsia="Arial" w:hAnsi="Arial"/>
                <w:sz w:val="9"/>
                <w:szCs w:val="9"/>
                <w:color w:val="auto"/>
              </w:rPr>
              <w:t>​</w:t>
            </w:r>
          </w:p>
        </w:tc>
        <w:tc>
          <w:tcPr>
            <w:tcW w:w="260" w:type="dxa"/>
            <w:vAlign w:val="bottom"/>
            <w:gridSpan w:val="2"/>
            <w:vMerge w:val="continue"/>
          </w:tcPr>
          <w:p>
            <w:pPr>
              <w:spacing w:after="0"/>
              <w:rPr>
                <w:sz w:val="7"/>
                <w:szCs w:val="7"/>
                <w:color w:val="auto"/>
              </w:rPr>
            </w:pPr>
          </w:p>
        </w:tc>
        <w:tc>
          <w:tcPr>
            <w:tcW w:w="620" w:type="dxa"/>
            <w:vAlign w:val="bottom"/>
          </w:tcPr>
          <w:p>
            <w:pPr>
              <w:ind w:left="340"/>
              <w:spacing w:after="0" w:line="81" w:lineRule="exact"/>
              <w:rPr>
                <w:sz w:val="20"/>
                <w:szCs w:val="20"/>
                <w:color w:val="auto"/>
              </w:rPr>
            </w:pPr>
            <w:r>
              <w:rPr>
                <w:rFonts w:ascii="Arial" w:cs="Arial" w:eastAsia="Arial" w:hAnsi="Arial"/>
                <w:sz w:val="9"/>
                <w:szCs w:val="9"/>
                <w:color w:val="auto"/>
              </w:rPr>
              <w:t>​</w:t>
            </w:r>
          </w:p>
        </w:tc>
        <w:tc>
          <w:tcPr>
            <w:tcW w:w="240" w:type="dxa"/>
            <w:vAlign w:val="bottom"/>
            <w:gridSpan w:val="2"/>
          </w:tcPr>
          <w:p>
            <w:pPr>
              <w:jc w:val="right"/>
              <w:ind w:right="2"/>
              <w:spacing w:after="0" w:line="81" w:lineRule="exact"/>
              <w:rPr>
                <w:sz w:val="20"/>
                <w:szCs w:val="20"/>
                <w:color w:val="auto"/>
              </w:rPr>
            </w:pPr>
            <w:r>
              <w:rPr>
                <w:rFonts w:ascii="Arial" w:cs="Arial" w:eastAsia="Arial" w:hAnsi="Arial"/>
                <w:sz w:val="9"/>
                <w:szCs w:val="9"/>
                <w:color w:val="auto"/>
              </w:rPr>
              <w:t>​​​​</w:t>
            </w: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660" w:type="dxa"/>
            <w:vAlign w:val="bottom"/>
          </w:tcPr>
          <w:p>
            <w:pPr>
              <w:ind w:left="320"/>
              <w:spacing w:after="0" w:line="81" w:lineRule="exact"/>
              <w:rPr>
                <w:sz w:val="20"/>
                <w:szCs w:val="20"/>
                <w:color w:val="auto"/>
              </w:rPr>
            </w:pPr>
            <w:r>
              <w:rPr>
                <w:rFonts w:ascii="Arial" w:cs="Arial" w:eastAsia="Arial" w:hAnsi="Arial"/>
                <w:sz w:val="9"/>
                <w:szCs w:val="9"/>
                <w:color w:val="auto"/>
              </w:rPr>
              <w:t>​</w:t>
            </w: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4B50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860" w:type="dxa"/>
            <w:vAlign w:val="bottom"/>
            <w:shd w:val="clear" w:color="auto" w:fill="4B50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880" w:type="dxa"/>
            <w:vAlign w:val="bottom"/>
            <w:shd w:val="clear" w:color="auto" w:fill="4B50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880" w:type="dxa"/>
            <w:vAlign w:val="bottom"/>
            <w:shd w:val="clear" w:color="auto" w:fill="4B50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4B5088"/>
          </w:tcPr>
          <w:p>
            <w:pPr>
              <w:spacing w:after="0" w:line="20" w:lineRule="exact"/>
              <w:rPr>
                <w:sz w:val="1"/>
                <w:szCs w:val="1"/>
                <w:color w:val="auto"/>
              </w:rPr>
            </w:pPr>
          </w:p>
        </w:tc>
        <w:tc>
          <w:tcPr>
            <w:tcW w:w="760" w:type="dxa"/>
            <w:vAlign w:val="bottom"/>
            <w:shd w:val="clear" w:color="auto" w:fill="4B508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720" w:type="dxa"/>
            <w:vAlign w:val="bottom"/>
            <w:shd w:val="clear" w:color="auto" w:fill="4B50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4B5088"/>
          </w:tcPr>
          <w:p>
            <w:pPr>
              <w:spacing w:after="0" w:line="20" w:lineRule="exact"/>
              <w:rPr>
                <w:sz w:val="1"/>
                <w:szCs w:val="1"/>
                <w:color w:val="auto"/>
              </w:rPr>
            </w:pPr>
          </w:p>
        </w:tc>
        <w:tc>
          <w:tcPr>
            <w:tcW w:w="620" w:type="dxa"/>
            <w:vAlign w:val="bottom"/>
            <w:shd w:val="clear" w:color="auto" w:fill="4B50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shd w:val="clear" w:color="auto" w:fill="4B50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660" w:type="dxa"/>
            <w:vAlign w:val="bottom"/>
            <w:shd w:val="clear" w:color="auto" w:fill="4B50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20"/>
                <w:szCs w:val="20"/>
                <w:color w:val="auto"/>
              </w:rPr>
            </w:pPr>
            <w:r>
              <w:rPr>
                <w:rFonts w:ascii="Arial" w:cs="Arial" w:eastAsia="Arial" w:hAnsi="Arial"/>
                <w:sz w:val="16"/>
                <w:szCs w:val="16"/>
                <w:b w:val="1"/>
                <w:bCs w:val="1"/>
                <w:color w:val="1F2668"/>
              </w:rPr>
              <w:t>2020</w:t>
            </w:r>
          </w:p>
        </w:tc>
        <w:tc>
          <w:tcPr>
            <w:tcW w:w="180" w:type="dxa"/>
            <w:vAlign w:val="bottom"/>
            <w:gridSpan w:val="2"/>
            <w:vMerge w:val="restart"/>
          </w:tcPr>
          <w:p>
            <w:pPr>
              <w:jc w:val="center"/>
              <w:spacing w:after="0"/>
              <w:rPr>
                <w:sz w:val="20"/>
                <w:szCs w:val="20"/>
                <w:color w:val="auto"/>
              </w:rPr>
            </w:pPr>
            <w:r>
              <w:rPr>
                <w:rFonts w:ascii="Arial" w:cs="Arial" w:eastAsia="Arial" w:hAnsi="Arial"/>
                <w:sz w:val="16"/>
                <w:szCs w:val="16"/>
                <w:color w:val="auto"/>
              </w:rPr>
              <w:t>​​</w:t>
            </w:r>
          </w:p>
        </w:tc>
        <w:tc>
          <w:tcPr>
            <w:tcW w:w="860" w:type="dxa"/>
            <w:vAlign w:val="bottom"/>
          </w:tcPr>
          <w:p>
            <w:pPr>
              <w:ind w:left="40"/>
              <w:spacing w:after="0"/>
              <w:rPr>
                <w:sz w:val="20"/>
                <w:szCs w:val="20"/>
                <w:color w:val="auto"/>
              </w:rPr>
            </w:pPr>
            <w:r>
              <w:rPr>
                <w:rFonts w:ascii="Arial" w:cs="Arial" w:eastAsia="Arial" w:hAnsi="Arial"/>
                <w:sz w:val="16"/>
                <w:szCs w:val="16"/>
                <w:color w:val="auto"/>
                <w:w w:val="99"/>
              </w:rPr>
              <w:t>​15,194,726</w:t>
            </w:r>
          </w:p>
        </w:tc>
        <w:tc>
          <w:tcPr>
            <w:tcW w:w="1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ind w:left="20"/>
              <w:spacing w:after="0"/>
              <w:rPr>
                <w:sz w:val="20"/>
                <w:szCs w:val="20"/>
                <w:color w:val="auto"/>
              </w:rPr>
            </w:pPr>
            <w:r>
              <w:rPr>
                <w:rFonts w:ascii="Arial" w:cs="Arial" w:eastAsia="Arial" w:hAnsi="Arial"/>
                <w:sz w:val="16"/>
                <w:szCs w:val="16"/>
                <w:color w:val="auto"/>
              </w:rPr>
              <w:t>​ 9,617,334</w:t>
            </w:r>
          </w:p>
        </w:tc>
        <w:tc>
          <w:tcPr>
            <w:tcW w:w="1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ind w:left="160"/>
              <w:spacing w:after="0" w:line="196" w:lineRule="exact"/>
              <w:rPr>
                <w:sz w:val="20"/>
                <w:szCs w:val="20"/>
                <w:color w:val="auto"/>
              </w:rPr>
            </w:pPr>
            <w:r>
              <w:rPr>
                <w:rFonts w:ascii="Arial" w:cs="Arial" w:eastAsia="Arial" w:hAnsi="Arial"/>
                <w:sz w:val="16"/>
                <w:szCs w:val="16"/>
                <w:color w:val="auto"/>
                <w:w w:val="99"/>
              </w:rPr>
              <w:t>​6,741,540</w:t>
            </w:r>
            <w:r>
              <w:rPr>
                <w:rFonts w:ascii="Arial" w:cs="Arial" w:eastAsia="Arial" w:hAnsi="Arial"/>
                <w:sz w:val="19"/>
                <w:szCs w:val="19"/>
                <w:color w:val="auto"/>
                <w:w w:val="99"/>
                <w:vertAlign w:val="superscript"/>
              </w:rPr>
              <w:t>(6)</w:t>
            </w:r>
          </w:p>
        </w:tc>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320" w:type="dxa"/>
            <w:vAlign w:val="bottom"/>
          </w:tcPr>
          <w:p>
            <w:pPr>
              <w:ind w:lef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4"/>
              <w:spacing w:after="0" w:line="196" w:lineRule="exact"/>
              <w:rPr>
                <w:sz w:val="20"/>
                <w:szCs w:val="20"/>
                <w:color w:val="auto"/>
              </w:rPr>
            </w:pPr>
            <w:r>
              <w:rPr>
                <w:rFonts w:ascii="Arial" w:cs="Arial" w:eastAsia="Arial" w:hAnsi="Arial"/>
                <w:sz w:val="16"/>
                <w:szCs w:val="16"/>
                <w:color w:val="auto"/>
                <w:w w:val="99"/>
              </w:rPr>
              <w:t>4,723,677</w:t>
            </w:r>
            <w:r>
              <w:rPr>
                <w:rFonts w:ascii="Arial" w:cs="Arial" w:eastAsia="Arial" w:hAnsi="Arial"/>
                <w:sz w:val="19"/>
                <w:szCs w:val="19"/>
                <w:color w:val="auto"/>
                <w:w w:val="99"/>
                <w:vertAlign w:val="superscript"/>
              </w:rPr>
              <w:t>(6)</w:t>
            </w:r>
          </w:p>
        </w:tc>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20" w:type="dxa"/>
            <w:vAlign w:val="bottom"/>
          </w:tcPr>
          <w:p>
            <w:pPr>
              <w:ind w:left="440"/>
              <w:spacing w:after="0"/>
              <w:rPr>
                <w:sz w:val="20"/>
                <w:szCs w:val="20"/>
                <w:color w:val="auto"/>
              </w:rPr>
            </w:pPr>
            <w:r>
              <w:rPr>
                <w:rFonts w:ascii="Arial" w:cs="Arial" w:eastAsia="Arial" w:hAnsi="Arial"/>
                <w:sz w:val="16"/>
                <w:szCs w:val="16"/>
                <w:color w:val="auto"/>
              </w:rPr>
              <w:t>​ 71</w:t>
            </w:r>
          </w:p>
        </w:tc>
        <w:tc>
          <w:tcPr>
            <w:tcW w:w="260" w:type="dxa"/>
            <w:vAlign w:val="bottom"/>
            <w:gridSpan w:val="2"/>
            <w:vMerge w:val="restart"/>
          </w:tcPr>
          <w:p>
            <w:pPr>
              <w:jc w:val="right"/>
              <w:ind w:right="88"/>
              <w:spacing w:after="0"/>
              <w:rPr>
                <w:sz w:val="20"/>
                <w:szCs w:val="20"/>
                <w:color w:val="auto"/>
              </w:rPr>
            </w:pPr>
            <w:r>
              <w:rPr>
                <w:rFonts w:ascii="Arial" w:cs="Arial" w:eastAsia="Arial" w:hAnsi="Arial"/>
                <w:sz w:val="16"/>
                <w:szCs w:val="16"/>
                <w:color w:val="auto"/>
              </w:rPr>
              <w:t>​​​</w:t>
            </w:r>
          </w:p>
        </w:tc>
        <w:tc>
          <w:tcPr>
            <w:tcW w:w="620" w:type="dxa"/>
            <w:vAlign w:val="bottom"/>
          </w:tcPr>
          <w:p>
            <w:pPr>
              <w:ind w:left="340"/>
              <w:spacing w:after="0"/>
              <w:rPr>
                <w:sz w:val="20"/>
                <w:szCs w:val="20"/>
                <w:color w:val="auto"/>
              </w:rPr>
            </w:pPr>
            <w:r>
              <w:rPr>
                <w:rFonts w:ascii="Arial" w:cs="Arial" w:eastAsia="Arial" w:hAnsi="Arial"/>
                <w:sz w:val="16"/>
                <w:szCs w:val="16"/>
                <w:color w:val="auto"/>
              </w:rPr>
              <w:t>​ 78</w:t>
            </w:r>
          </w:p>
        </w:tc>
        <w:tc>
          <w:tcPr>
            <w:tcW w:w="80" w:type="dxa"/>
            <w:vAlign w:val="bottom"/>
          </w:tcPr>
          <w:p>
            <w:pPr>
              <w:spacing w:after="0"/>
              <w:rPr>
                <w:sz w:val="17"/>
                <w:szCs w:val="17"/>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 414,758</w:t>
            </w:r>
          </w:p>
        </w:tc>
        <w:tc>
          <w:tcPr>
            <w:tcW w:w="20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tcPr>
          <w:p>
            <w:pPr>
              <w:ind w:left="340"/>
              <w:spacing w:after="0"/>
              <w:rPr>
                <w:sz w:val="20"/>
                <w:szCs w:val="20"/>
                <w:color w:val="auto"/>
              </w:rPr>
            </w:pPr>
            <w:r>
              <w:rPr>
                <w:rFonts w:ascii="Arial" w:cs="Arial" w:eastAsia="Arial" w:hAnsi="Arial"/>
                <w:sz w:val="16"/>
                <w:szCs w:val="16"/>
                <w:color w:val="auto"/>
                <w:w w:val="96"/>
              </w:rPr>
              <w:t>​6.85</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104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860" w:type="dxa"/>
            <w:vAlign w:val="bottom"/>
          </w:tcPr>
          <w:p>
            <w:pPr>
              <w:ind w:left="40"/>
              <w:spacing w:after="0" w:line="81" w:lineRule="exact"/>
              <w:rPr>
                <w:sz w:val="20"/>
                <w:szCs w:val="20"/>
                <w:color w:val="auto"/>
              </w:rPr>
            </w:pPr>
            <w:r>
              <w:rPr>
                <w:rFonts w:ascii="Arial" w:cs="Arial" w:eastAsia="Arial" w:hAnsi="Arial"/>
                <w:sz w:val="9"/>
                <w:szCs w:val="9"/>
                <w:color w:val="auto"/>
              </w:rPr>
              <w:t>​</w:t>
            </w:r>
          </w:p>
        </w:tc>
        <w:tc>
          <w:tcPr>
            <w:tcW w:w="160" w:type="dxa"/>
            <w:vAlign w:val="bottom"/>
            <w:gridSpan w:val="2"/>
            <w:vMerge w:val="continue"/>
          </w:tcPr>
          <w:p>
            <w:pPr>
              <w:spacing w:after="0"/>
              <w:rPr>
                <w:sz w:val="7"/>
                <w:szCs w:val="7"/>
                <w:color w:val="auto"/>
              </w:rPr>
            </w:pPr>
          </w:p>
        </w:tc>
        <w:tc>
          <w:tcPr>
            <w:tcW w:w="880" w:type="dxa"/>
            <w:vAlign w:val="bottom"/>
          </w:tcPr>
          <w:p>
            <w:pPr>
              <w:ind w:left="20"/>
              <w:spacing w:after="0" w:line="81" w:lineRule="exact"/>
              <w:rPr>
                <w:sz w:val="20"/>
                <w:szCs w:val="20"/>
                <w:color w:val="auto"/>
              </w:rPr>
            </w:pPr>
            <w:r>
              <w:rPr>
                <w:rFonts w:ascii="Arial" w:cs="Arial" w:eastAsia="Arial" w:hAnsi="Arial"/>
                <w:sz w:val="9"/>
                <w:szCs w:val="9"/>
                <w:color w:val="auto"/>
              </w:rPr>
              <w:t>​</w:t>
            </w:r>
          </w:p>
        </w:tc>
        <w:tc>
          <w:tcPr>
            <w:tcW w:w="160" w:type="dxa"/>
            <w:vAlign w:val="bottom"/>
            <w:gridSpan w:val="2"/>
            <w:vMerge w:val="continue"/>
          </w:tcPr>
          <w:p>
            <w:pPr>
              <w:spacing w:after="0"/>
              <w:rPr>
                <w:sz w:val="7"/>
                <w:szCs w:val="7"/>
                <w:color w:val="auto"/>
              </w:rPr>
            </w:pPr>
          </w:p>
        </w:tc>
        <w:tc>
          <w:tcPr>
            <w:tcW w:w="880" w:type="dxa"/>
            <w:vAlign w:val="bottom"/>
          </w:tcPr>
          <w:p>
            <w:pPr>
              <w:ind w:left="160"/>
              <w:spacing w:after="0" w:line="81" w:lineRule="exact"/>
              <w:rPr>
                <w:sz w:val="20"/>
                <w:szCs w:val="20"/>
                <w:color w:val="auto"/>
              </w:rPr>
            </w:pPr>
            <w:r>
              <w:rPr>
                <w:rFonts w:ascii="Arial" w:cs="Arial" w:eastAsia="Arial" w:hAnsi="Arial"/>
                <w:sz w:val="9"/>
                <w:szCs w:val="9"/>
                <w:color w:val="auto"/>
              </w:rPr>
              <w:t>​</w:t>
            </w:r>
          </w:p>
        </w:tc>
        <w:tc>
          <w:tcPr>
            <w:tcW w:w="160" w:type="dxa"/>
            <w:vAlign w:val="bottom"/>
          </w:tcPr>
          <w:p>
            <w:pPr>
              <w:spacing w:after="0" w:line="81" w:lineRule="exact"/>
              <w:rPr>
                <w:sz w:val="20"/>
                <w:szCs w:val="20"/>
                <w:color w:val="auto"/>
              </w:rPr>
            </w:pPr>
            <w:r>
              <w:rPr>
                <w:rFonts w:ascii="Arial" w:cs="Arial" w:eastAsia="Arial" w:hAnsi="Arial"/>
                <w:sz w:val="9"/>
                <w:szCs w:val="9"/>
                <w:color w:val="auto"/>
              </w:rPr>
              <w:t>​​</w:t>
            </w:r>
          </w:p>
        </w:tc>
        <w:tc>
          <w:tcPr>
            <w:tcW w:w="60" w:type="dxa"/>
            <w:vAlign w:val="bottom"/>
            <w:vMerge w:val="continue"/>
          </w:tcPr>
          <w:p>
            <w:pPr>
              <w:spacing w:after="0"/>
              <w:rPr>
                <w:sz w:val="7"/>
                <w:szCs w:val="7"/>
                <w:color w:val="auto"/>
              </w:rPr>
            </w:pPr>
          </w:p>
        </w:tc>
        <w:tc>
          <w:tcPr>
            <w:tcW w:w="320" w:type="dxa"/>
            <w:vAlign w:val="bottom"/>
          </w:tcPr>
          <w:p>
            <w:pPr>
              <w:ind w:left="220"/>
              <w:spacing w:after="0" w:line="81" w:lineRule="exact"/>
              <w:rPr>
                <w:sz w:val="20"/>
                <w:szCs w:val="20"/>
                <w:color w:val="auto"/>
              </w:rPr>
            </w:pPr>
            <w:r>
              <w:rPr>
                <w:rFonts w:ascii="Arial" w:cs="Arial" w:eastAsia="Arial" w:hAnsi="Arial"/>
                <w:sz w:val="9"/>
                <w:szCs w:val="9"/>
                <w:color w:val="auto"/>
              </w:rPr>
              <w:t>​</w:t>
            </w:r>
          </w:p>
        </w:tc>
        <w:tc>
          <w:tcPr>
            <w:tcW w:w="760" w:type="dxa"/>
            <w:vAlign w:val="bottom"/>
          </w:tcPr>
          <w:p>
            <w:pPr>
              <w:spacing w:after="0"/>
              <w:rPr>
                <w:sz w:val="7"/>
                <w:szCs w:val="7"/>
                <w:color w:val="auto"/>
              </w:rPr>
            </w:pPr>
          </w:p>
        </w:tc>
        <w:tc>
          <w:tcPr>
            <w:tcW w:w="180" w:type="dxa"/>
            <w:vAlign w:val="bottom"/>
          </w:tcPr>
          <w:p>
            <w:pPr>
              <w:jc w:val="right"/>
              <w:ind w:right="34"/>
              <w:spacing w:after="0" w:line="81" w:lineRule="exact"/>
              <w:rPr>
                <w:sz w:val="20"/>
                <w:szCs w:val="20"/>
                <w:color w:val="auto"/>
              </w:rPr>
            </w:pPr>
            <w:r>
              <w:rPr>
                <w:rFonts w:ascii="Arial" w:cs="Arial" w:eastAsia="Arial" w:hAnsi="Arial"/>
                <w:sz w:val="9"/>
                <w:szCs w:val="9"/>
                <w:color w:val="auto"/>
              </w:rPr>
              <w:t>​​</w:t>
            </w:r>
          </w:p>
        </w:tc>
        <w:tc>
          <w:tcPr>
            <w:tcW w:w="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ind w:left="420"/>
              <w:spacing w:after="0" w:line="81" w:lineRule="exact"/>
              <w:rPr>
                <w:sz w:val="20"/>
                <w:szCs w:val="20"/>
                <w:color w:val="auto"/>
              </w:rPr>
            </w:pPr>
            <w:r>
              <w:rPr>
                <w:rFonts w:ascii="Arial" w:cs="Arial" w:eastAsia="Arial" w:hAnsi="Arial"/>
                <w:sz w:val="9"/>
                <w:szCs w:val="9"/>
                <w:color w:val="auto"/>
              </w:rPr>
              <w:t>​</w:t>
            </w:r>
          </w:p>
        </w:tc>
        <w:tc>
          <w:tcPr>
            <w:tcW w:w="260" w:type="dxa"/>
            <w:vAlign w:val="bottom"/>
            <w:gridSpan w:val="2"/>
            <w:vMerge w:val="continue"/>
          </w:tcPr>
          <w:p>
            <w:pPr>
              <w:spacing w:after="0"/>
              <w:rPr>
                <w:sz w:val="7"/>
                <w:szCs w:val="7"/>
                <w:color w:val="auto"/>
              </w:rPr>
            </w:pPr>
          </w:p>
        </w:tc>
        <w:tc>
          <w:tcPr>
            <w:tcW w:w="620" w:type="dxa"/>
            <w:vAlign w:val="bottom"/>
          </w:tcPr>
          <w:p>
            <w:pPr>
              <w:ind w:left="340"/>
              <w:spacing w:after="0" w:line="81" w:lineRule="exact"/>
              <w:rPr>
                <w:sz w:val="20"/>
                <w:szCs w:val="20"/>
                <w:color w:val="auto"/>
              </w:rPr>
            </w:pPr>
            <w:r>
              <w:rPr>
                <w:rFonts w:ascii="Arial" w:cs="Arial" w:eastAsia="Arial" w:hAnsi="Arial"/>
                <w:sz w:val="9"/>
                <w:szCs w:val="9"/>
                <w:color w:val="auto"/>
              </w:rPr>
              <w:t>​</w:t>
            </w:r>
          </w:p>
        </w:tc>
        <w:tc>
          <w:tcPr>
            <w:tcW w:w="240" w:type="dxa"/>
            <w:vAlign w:val="bottom"/>
            <w:gridSpan w:val="2"/>
          </w:tcPr>
          <w:p>
            <w:pPr>
              <w:jc w:val="right"/>
              <w:ind w:right="2"/>
              <w:spacing w:after="0" w:line="81" w:lineRule="exact"/>
              <w:rPr>
                <w:sz w:val="20"/>
                <w:szCs w:val="20"/>
                <w:color w:val="auto"/>
              </w:rPr>
            </w:pPr>
            <w:r>
              <w:rPr>
                <w:rFonts w:ascii="Arial" w:cs="Arial" w:eastAsia="Arial" w:hAnsi="Arial"/>
                <w:sz w:val="9"/>
                <w:szCs w:val="9"/>
                <w:color w:val="auto"/>
              </w:rPr>
              <w:t>​​​​</w:t>
            </w: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660" w:type="dxa"/>
            <w:vAlign w:val="bottom"/>
          </w:tcPr>
          <w:p>
            <w:pPr>
              <w:ind w:left="320"/>
              <w:spacing w:after="0" w:line="81" w:lineRule="exact"/>
              <w:rPr>
                <w:sz w:val="20"/>
                <w:szCs w:val="20"/>
                <w:color w:val="auto"/>
              </w:rPr>
            </w:pPr>
            <w:r>
              <w:rPr>
                <w:rFonts w:ascii="Arial" w:cs="Arial" w:eastAsia="Arial" w:hAnsi="Arial"/>
                <w:sz w:val="9"/>
                <w:szCs w:val="9"/>
                <w:color w:val="auto"/>
              </w:rPr>
              <w:t>​</w:t>
            </w: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1F266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1F2668"/>
          </w:tcPr>
          <w:p>
            <w:pPr>
              <w:spacing w:after="0" w:line="20" w:lineRule="exact"/>
              <w:rPr>
                <w:sz w:val="1"/>
                <w:szCs w:val="1"/>
                <w:color w:val="auto"/>
              </w:rPr>
            </w:pPr>
          </w:p>
        </w:tc>
        <w:tc>
          <w:tcPr>
            <w:tcW w:w="860" w:type="dxa"/>
            <w:vAlign w:val="bottom"/>
            <w:shd w:val="clear" w:color="auto" w:fill="1F266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1F2668"/>
          </w:tcPr>
          <w:p>
            <w:pPr>
              <w:spacing w:after="0" w:line="20" w:lineRule="exact"/>
              <w:rPr>
                <w:sz w:val="1"/>
                <w:szCs w:val="1"/>
                <w:color w:val="auto"/>
              </w:rPr>
            </w:pPr>
          </w:p>
        </w:tc>
        <w:tc>
          <w:tcPr>
            <w:tcW w:w="880" w:type="dxa"/>
            <w:vAlign w:val="bottom"/>
            <w:shd w:val="clear" w:color="auto" w:fill="1F266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1F2668"/>
          </w:tcPr>
          <w:p>
            <w:pPr>
              <w:spacing w:after="0" w:line="20" w:lineRule="exact"/>
              <w:rPr>
                <w:sz w:val="1"/>
                <w:szCs w:val="1"/>
                <w:color w:val="auto"/>
              </w:rPr>
            </w:pPr>
          </w:p>
        </w:tc>
        <w:tc>
          <w:tcPr>
            <w:tcW w:w="880" w:type="dxa"/>
            <w:vAlign w:val="bottom"/>
            <w:shd w:val="clear" w:color="auto" w:fill="1F266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1F2668"/>
          </w:tcPr>
          <w:p>
            <w:pPr>
              <w:spacing w:after="0" w:line="20" w:lineRule="exact"/>
              <w:rPr>
                <w:sz w:val="1"/>
                <w:szCs w:val="1"/>
                <w:color w:val="auto"/>
              </w:rPr>
            </w:pPr>
          </w:p>
        </w:tc>
        <w:tc>
          <w:tcPr>
            <w:tcW w:w="760" w:type="dxa"/>
            <w:vAlign w:val="bottom"/>
            <w:shd w:val="clear" w:color="auto" w:fill="1F266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1F2668"/>
          </w:tcPr>
          <w:p>
            <w:pPr>
              <w:spacing w:after="0" w:line="20" w:lineRule="exact"/>
              <w:rPr>
                <w:sz w:val="1"/>
                <w:szCs w:val="1"/>
                <w:color w:val="auto"/>
              </w:rPr>
            </w:pPr>
          </w:p>
        </w:tc>
        <w:tc>
          <w:tcPr>
            <w:tcW w:w="720" w:type="dxa"/>
            <w:vAlign w:val="bottom"/>
            <w:shd w:val="clear" w:color="auto" w:fill="1F266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1F2668"/>
          </w:tcPr>
          <w:p>
            <w:pPr>
              <w:spacing w:after="0" w:line="20" w:lineRule="exact"/>
              <w:rPr>
                <w:sz w:val="1"/>
                <w:szCs w:val="1"/>
                <w:color w:val="auto"/>
              </w:rPr>
            </w:pPr>
          </w:p>
        </w:tc>
        <w:tc>
          <w:tcPr>
            <w:tcW w:w="620" w:type="dxa"/>
            <w:vAlign w:val="bottom"/>
            <w:shd w:val="clear" w:color="auto" w:fill="1F266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1F2668"/>
          </w:tcPr>
          <w:p>
            <w:pPr>
              <w:spacing w:after="0" w:line="20" w:lineRule="exact"/>
              <w:rPr>
                <w:sz w:val="1"/>
                <w:szCs w:val="1"/>
                <w:color w:val="auto"/>
              </w:rPr>
            </w:pPr>
          </w:p>
        </w:tc>
        <w:tc>
          <w:tcPr>
            <w:tcW w:w="540" w:type="dxa"/>
            <w:vAlign w:val="bottom"/>
            <w:shd w:val="clear" w:color="auto" w:fill="1F266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1F2668"/>
          </w:tcPr>
          <w:p>
            <w:pPr>
              <w:spacing w:after="0" w:line="20" w:lineRule="exact"/>
              <w:rPr>
                <w:sz w:val="1"/>
                <w:szCs w:val="1"/>
                <w:color w:val="auto"/>
              </w:rPr>
            </w:pPr>
          </w:p>
        </w:tc>
        <w:tc>
          <w:tcPr>
            <w:tcW w:w="660" w:type="dxa"/>
            <w:vAlign w:val="bottom"/>
            <w:shd w:val="clear" w:color="auto" w:fill="1F266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1180" w:right="100" w:hanging="364"/>
        <w:spacing w:after="0" w:line="282" w:lineRule="auto"/>
        <w:tabs>
          <w:tab w:leader="none" w:pos="118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Represents amounts of “compensation actually paid” as computed in accordance with Item 402(v) of Regulation S-K, not the actual amount of compensation earned by or paid to Mr. Holliday during each year. The table below reflects the adjustments made from the amounts reported in the “Total” column of the Summary Compensation Table for each year to calculate the amounts set forth in “Compensation Actually Paid to PEO” column in the table above.</w:t>
      </w:r>
    </w:p>
    <w:p>
      <w:pPr>
        <w:spacing w:after="0" w:line="125" w:lineRule="exact"/>
        <w:rPr>
          <w:sz w:val="20"/>
          <w:szCs w:val="20"/>
          <w:color w:val="auto"/>
        </w:rPr>
      </w:pPr>
    </w:p>
    <w:tbl>
      <w:tblPr>
        <w:tblLayout w:type="fixed"/>
        <w:tblInd w:w="1180" w:type="dxa"/>
        <w:tblCellMar>
          <w:top w:w="0" w:type="dxa"/>
          <w:left w:w="0" w:type="dxa"/>
          <w:bottom w:w="0" w:type="dxa"/>
          <w:right w:w="0" w:type="dxa"/>
        </w:tblCellMar>
      </w:tblPr>
      <w:tr>
        <w:trPr>
          <w:trHeight w:val="149"/>
        </w:trPr>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1F2668"/>
              </w:rPr>
              <w:t>Summary</w:t>
            </w:r>
          </w:p>
        </w:tc>
        <w:tc>
          <w:tcPr>
            <w:tcW w:w="160" w:type="dxa"/>
            <w:vAlign w:val="bottom"/>
          </w:tcPr>
          <w:p>
            <w:pPr>
              <w:spacing w:after="0"/>
              <w:rPr>
                <w:sz w:val="12"/>
                <w:szCs w:val="12"/>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1F2668"/>
                <w:w w:val="88"/>
              </w:rPr>
              <w:t>Less Summary</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restart"/>
          </w:tcPr>
          <w:p>
            <w:pPr>
              <w:jc w:val="right"/>
              <w:ind w:right="2"/>
              <w:spacing w:after="0"/>
              <w:rPr>
                <w:sz w:val="20"/>
                <w:szCs w:val="20"/>
                <w:color w:val="auto"/>
              </w:rPr>
            </w:pPr>
            <w:r>
              <w:rPr>
                <w:rFonts w:ascii="Arial" w:cs="Arial" w:eastAsia="Arial" w:hAnsi="Arial"/>
                <w:sz w:val="13"/>
                <w:szCs w:val="13"/>
                <w:b w:val="1"/>
                <w:bCs w:val="1"/>
                <w:color w:val="1F2668"/>
                <w:w w:val="89"/>
              </w:rPr>
              <w:t>Fair Value of</w:t>
            </w:r>
          </w:p>
        </w:tc>
        <w:tc>
          <w:tcPr>
            <w:tcW w:w="100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1F2668"/>
              </w:rPr>
              <w:t>Compensation</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000" w:type="dxa"/>
            <w:vAlign w:val="bottom"/>
            <w:gridSpan w:val="3"/>
          </w:tcPr>
          <w:p>
            <w:pPr>
              <w:jc w:val="right"/>
              <w:spacing w:after="0" w:line="135" w:lineRule="exact"/>
              <w:rPr>
                <w:sz w:val="20"/>
                <w:szCs w:val="20"/>
                <w:color w:val="auto"/>
              </w:rPr>
            </w:pPr>
            <w:r>
              <w:rPr>
                <w:rFonts w:ascii="Arial" w:cs="Arial" w:eastAsia="Arial" w:hAnsi="Arial"/>
                <w:sz w:val="13"/>
                <w:szCs w:val="13"/>
                <w:b w:val="1"/>
                <w:bCs w:val="1"/>
                <w:color w:val="1F2668"/>
              </w:rPr>
              <w:t>Compensation</w:t>
            </w:r>
          </w:p>
        </w:tc>
        <w:tc>
          <w:tcPr>
            <w:tcW w:w="160" w:type="dxa"/>
            <w:vAlign w:val="bottom"/>
          </w:tcPr>
          <w:p>
            <w:pPr>
              <w:spacing w:after="0"/>
              <w:rPr>
                <w:sz w:val="11"/>
                <w:szCs w:val="11"/>
                <w:color w:val="auto"/>
              </w:rPr>
            </w:pPr>
          </w:p>
        </w:tc>
        <w:tc>
          <w:tcPr>
            <w:tcW w:w="940" w:type="dxa"/>
            <w:vAlign w:val="bottom"/>
            <w:gridSpan w:val="3"/>
          </w:tcPr>
          <w:p>
            <w:pPr>
              <w:jc w:val="right"/>
              <w:ind w:right="100"/>
              <w:spacing w:after="0" w:line="135" w:lineRule="exact"/>
              <w:rPr>
                <w:sz w:val="20"/>
                <w:szCs w:val="20"/>
                <w:color w:val="auto"/>
              </w:rPr>
            </w:pPr>
            <w:r>
              <w:rPr>
                <w:rFonts w:ascii="Arial" w:cs="Arial" w:eastAsia="Arial" w:hAnsi="Arial"/>
                <w:sz w:val="13"/>
                <w:szCs w:val="13"/>
                <w:b w:val="1"/>
                <w:bCs w:val="1"/>
                <w:color w:val="1F2668"/>
                <w:w w:val="90"/>
              </w:rPr>
              <w:t>Compensation</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b w:val="1"/>
                <w:bCs w:val="1"/>
                <w:color w:val="1F2668"/>
              </w:rPr>
              <w:t>Table Total</w:t>
            </w:r>
          </w:p>
        </w:tc>
        <w:tc>
          <w:tcPr>
            <w:tcW w:w="160" w:type="dxa"/>
            <w:vAlign w:val="bottom"/>
          </w:tcPr>
          <w:p>
            <w:pPr>
              <w:spacing w:after="0"/>
              <w:rPr>
                <w:sz w:val="11"/>
                <w:szCs w:val="11"/>
                <w:color w:val="auto"/>
              </w:rPr>
            </w:pPr>
          </w:p>
        </w:tc>
        <w:tc>
          <w:tcPr>
            <w:tcW w:w="9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1F2668"/>
              </w:rPr>
              <w:t>Table Value of</w:t>
            </w:r>
          </w:p>
        </w:tc>
        <w:tc>
          <w:tcPr>
            <w:tcW w:w="60" w:type="dxa"/>
            <w:vAlign w:val="bottom"/>
          </w:tcPr>
          <w:p>
            <w:pPr>
              <w:spacing w:after="0"/>
              <w:rPr>
                <w:sz w:val="11"/>
                <w:szCs w:val="11"/>
                <w:color w:val="auto"/>
              </w:rPr>
            </w:pPr>
          </w:p>
        </w:tc>
        <w:tc>
          <w:tcPr>
            <w:tcW w:w="840" w:type="dxa"/>
            <w:vAlign w:val="bottom"/>
            <w:gridSpan w:val="2"/>
          </w:tcPr>
          <w:p>
            <w:pPr>
              <w:jc w:val="right"/>
              <w:ind w:right="2"/>
              <w:spacing w:after="0" w:line="135" w:lineRule="exact"/>
              <w:rPr>
                <w:sz w:val="20"/>
                <w:szCs w:val="20"/>
                <w:color w:val="auto"/>
              </w:rPr>
            </w:pPr>
            <w:r>
              <w:rPr>
                <w:rFonts w:ascii="Arial" w:cs="Arial" w:eastAsia="Arial" w:hAnsi="Arial"/>
                <w:sz w:val="13"/>
                <w:szCs w:val="13"/>
                <w:b w:val="1"/>
                <w:bCs w:val="1"/>
                <w:color w:val="1F2668"/>
                <w:w w:val="91"/>
              </w:rPr>
              <w:t>Equity Award</w:t>
            </w:r>
          </w:p>
        </w:tc>
        <w:tc>
          <w:tcPr>
            <w:tcW w:w="140" w:type="dxa"/>
            <w:vAlign w:val="bottom"/>
          </w:tcPr>
          <w:p>
            <w:pPr>
              <w:spacing w:after="0"/>
              <w:rPr>
                <w:sz w:val="11"/>
                <w:szCs w:val="11"/>
                <w:color w:val="auto"/>
              </w:rPr>
            </w:pP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1F2668"/>
                <w:w w:val="97"/>
              </w:rPr>
              <w:t>Actually Paid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39" w:lineRule="exact"/>
              <w:rPr>
                <w:sz w:val="20"/>
                <w:szCs w:val="20"/>
                <w:color w:val="auto"/>
              </w:rPr>
            </w:pPr>
            <w:r>
              <w:rPr>
                <w:rFonts w:ascii="Arial" w:cs="Arial" w:eastAsia="Arial" w:hAnsi="Arial"/>
                <w:sz w:val="13"/>
                <w:szCs w:val="13"/>
                <w:b w:val="1"/>
                <w:bCs w:val="1"/>
                <w:color w:val="1F2668"/>
              </w:rPr>
              <w:t>for PEO</w:t>
            </w:r>
          </w:p>
        </w:tc>
        <w:tc>
          <w:tcPr>
            <w:tcW w:w="160" w:type="dxa"/>
            <w:vAlign w:val="bottom"/>
          </w:tcPr>
          <w:p>
            <w:pPr>
              <w:spacing w:after="0"/>
              <w:rPr>
                <w:sz w:val="12"/>
                <w:szCs w:val="12"/>
                <w:color w:val="auto"/>
              </w:rPr>
            </w:pPr>
          </w:p>
        </w:tc>
        <w:tc>
          <w:tcPr>
            <w:tcW w:w="940" w:type="dxa"/>
            <w:vAlign w:val="bottom"/>
            <w:gridSpan w:val="3"/>
          </w:tcPr>
          <w:p>
            <w:pPr>
              <w:jc w:val="right"/>
              <w:ind w:right="100"/>
              <w:spacing w:after="0" w:line="139" w:lineRule="exact"/>
              <w:rPr>
                <w:sz w:val="20"/>
                <w:szCs w:val="20"/>
                <w:color w:val="auto"/>
              </w:rPr>
            </w:pPr>
            <w:r>
              <w:rPr>
                <w:rFonts w:ascii="Arial" w:cs="Arial" w:eastAsia="Arial" w:hAnsi="Arial"/>
                <w:sz w:val="13"/>
                <w:szCs w:val="13"/>
                <w:b w:val="1"/>
                <w:bCs w:val="1"/>
                <w:color w:val="1F2668"/>
                <w:w w:val="90"/>
              </w:rPr>
              <w:t>Equity Awards</w:t>
            </w:r>
          </w:p>
        </w:tc>
        <w:tc>
          <w:tcPr>
            <w:tcW w:w="60" w:type="dxa"/>
            <w:vAlign w:val="bottom"/>
          </w:tcPr>
          <w:p>
            <w:pPr>
              <w:spacing w:after="0"/>
              <w:rPr>
                <w:sz w:val="12"/>
                <w:szCs w:val="12"/>
                <w:color w:val="auto"/>
              </w:rPr>
            </w:pPr>
          </w:p>
        </w:tc>
        <w:tc>
          <w:tcPr>
            <w:tcW w:w="840" w:type="dxa"/>
            <w:vAlign w:val="bottom"/>
            <w:gridSpan w:val="2"/>
          </w:tcPr>
          <w:p>
            <w:pPr>
              <w:jc w:val="right"/>
              <w:ind w:right="2"/>
              <w:spacing w:after="0" w:line="139" w:lineRule="exact"/>
              <w:rPr>
                <w:sz w:val="20"/>
                <w:szCs w:val="20"/>
                <w:color w:val="auto"/>
              </w:rPr>
            </w:pPr>
            <w:r>
              <w:rPr>
                <w:rFonts w:ascii="Arial" w:cs="Arial" w:eastAsia="Arial" w:hAnsi="Arial"/>
                <w:sz w:val="13"/>
                <w:szCs w:val="13"/>
                <w:b w:val="1"/>
                <w:bCs w:val="1"/>
                <w:color w:val="1F2668"/>
                <w:w w:val="96"/>
              </w:rPr>
              <w:t>Adjustments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39" w:lineRule="exact"/>
              <w:rPr>
                <w:sz w:val="20"/>
                <w:szCs w:val="20"/>
                <w:color w:val="auto"/>
              </w:rPr>
            </w:pPr>
            <w:r>
              <w:rPr>
                <w:rFonts w:ascii="Arial" w:cs="Arial" w:eastAsia="Arial" w:hAnsi="Arial"/>
                <w:sz w:val="13"/>
                <w:szCs w:val="13"/>
                <w:b w:val="1"/>
                <w:bCs w:val="1"/>
                <w:color w:val="1F2668"/>
              </w:rPr>
              <w:t>to PEO</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3"/>
                <w:szCs w:val="13"/>
                <w:b w:val="1"/>
                <w:bCs w:val="1"/>
                <w:color w:val="1F2668"/>
              </w:rPr>
              <w:t>Year</w:t>
            </w:r>
          </w:p>
        </w:tc>
        <w:tc>
          <w:tcPr>
            <w:tcW w:w="180" w:type="dxa"/>
            <w:vAlign w:val="bottom"/>
            <w:gridSpan w:val="2"/>
          </w:tcPr>
          <w:p>
            <w:pPr>
              <w:ind w:left="40"/>
              <w:spacing w:after="0"/>
              <w:rPr>
                <w:sz w:val="20"/>
                <w:szCs w:val="20"/>
                <w:color w:val="auto"/>
              </w:rPr>
            </w:pPr>
            <w:r>
              <w:rPr>
                <w:rFonts w:ascii="Arial" w:cs="Arial" w:eastAsia="Arial" w:hAnsi="Arial"/>
                <w:sz w:val="13"/>
                <w:szCs w:val="13"/>
                <w:b w:val="1"/>
                <w:bCs w:val="1"/>
                <w:color w:val="1F2668"/>
              </w:rPr>
              <w:t>​ ​</w:t>
            </w:r>
          </w:p>
        </w:tc>
        <w:tc>
          <w:tcPr>
            <w:tcW w:w="820" w:type="dxa"/>
            <w:vAlign w:val="bottom"/>
          </w:tcPr>
          <w:p>
            <w:pPr>
              <w:ind w:left="660"/>
              <w:spacing w:after="0"/>
              <w:rPr>
                <w:sz w:val="20"/>
                <w:szCs w:val="20"/>
                <w:color w:val="auto"/>
              </w:rPr>
            </w:pPr>
            <w:r>
              <w:rPr>
                <w:rFonts w:ascii="Arial" w:cs="Arial" w:eastAsia="Arial" w:hAnsi="Arial"/>
                <w:sz w:val="13"/>
                <w:szCs w:val="13"/>
                <w:b w:val="1"/>
                <w:bCs w:val="1"/>
                <w:color w:val="1F2668"/>
                <w:w w:val="87"/>
              </w:rPr>
              <w:t>($)</w:t>
            </w:r>
          </w:p>
        </w:tc>
        <w:tc>
          <w:tcPr>
            <w:tcW w:w="160" w:type="dxa"/>
            <w:vAlign w:val="bottom"/>
          </w:tcPr>
          <w:p>
            <w:pPr>
              <w:ind w:left="60"/>
              <w:spacing w:after="0"/>
              <w:rPr>
                <w:sz w:val="20"/>
                <w:szCs w:val="20"/>
                <w:color w:val="auto"/>
              </w:rPr>
            </w:pPr>
            <w:r>
              <w:rPr>
                <w:rFonts w:ascii="Arial" w:cs="Arial" w:eastAsia="Arial" w:hAnsi="Arial"/>
                <w:sz w:val="13"/>
                <w:szCs w:val="13"/>
                <w:b w:val="1"/>
                <w:bCs w:val="1"/>
                <w:color w:val="1F2668"/>
              </w:rPr>
              <w:t>​ ​</w:t>
            </w: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3"/>
                <w:szCs w:val="13"/>
                <w:b w:val="1"/>
                <w:bCs w:val="1"/>
                <w:color w:val="1F2668"/>
              </w:rPr>
              <w:t>($)</w:t>
            </w:r>
            <w:r>
              <w:rPr>
                <w:rFonts w:ascii="Arial" w:cs="Arial" w:eastAsia="Arial" w:hAnsi="Arial"/>
                <w:sz w:val="16"/>
                <w:szCs w:val="16"/>
                <w:b w:val="1"/>
                <w:bCs w:val="1"/>
                <w:color w:val="1F2668"/>
                <w:vertAlign w:val="superscript"/>
              </w:rPr>
              <w:t>(a)</w:t>
            </w:r>
          </w:p>
        </w:tc>
        <w:tc>
          <w:tcPr>
            <w:tcW w:w="120" w:type="dxa"/>
            <w:vAlign w:val="bottom"/>
            <w:gridSpan w:val="2"/>
          </w:tcPr>
          <w:p>
            <w:pPr>
              <w:jc w:val="right"/>
              <w:spacing w:after="0"/>
              <w:rPr>
                <w:sz w:val="20"/>
                <w:szCs w:val="20"/>
                <w:color w:val="auto"/>
              </w:rPr>
            </w:pPr>
            <w:r>
              <w:rPr>
                <w:rFonts w:ascii="Arial" w:cs="Arial" w:eastAsia="Arial" w:hAnsi="Arial"/>
                <w:sz w:val="13"/>
                <w:szCs w:val="13"/>
                <w:b w:val="1"/>
                <w:bCs w:val="1"/>
                <w:color w:val="1F2668"/>
              </w:rPr>
              <w:t>​ ​</w:t>
            </w:r>
          </w:p>
        </w:tc>
        <w:tc>
          <w:tcPr>
            <w:tcW w:w="780" w:type="dxa"/>
            <w:vAlign w:val="bottom"/>
          </w:tcPr>
          <w:p>
            <w:pPr>
              <w:jc w:val="right"/>
              <w:spacing w:after="0" w:line="216" w:lineRule="exact"/>
              <w:rPr>
                <w:sz w:val="20"/>
                <w:szCs w:val="20"/>
                <w:color w:val="auto"/>
              </w:rPr>
            </w:pPr>
            <w:r>
              <w:rPr>
                <w:rFonts w:ascii="Arial" w:cs="Arial" w:eastAsia="Arial" w:hAnsi="Arial"/>
                <w:sz w:val="25"/>
                <w:szCs w:val="25"/>
                <w:b w:val="1"/>
                <w:bCs w:val="1"/>
                <w:color w:val="1F2668"/>
                <w:vertAlign w:val="subscript"/>
              </w:rPr>
              <w:t>($)</w:t>
            </w:r>
            <w:r>
              <w:rPr>
                <w:rFonts w:ascii="Arial" w:cs="Arial" w:eastAsia="Arial" w:hAnsi="Arial"/>
                <w:sz w:val="8"/>
                <w:szCs w:val="8"/>
                <w:b w:val="1"/>
                <w:bCs w:val="1"/>
                <w:color w:val="1F2668"/>
              </w:rPr>
              <w:t>(b)</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1F2668"/>
              </w:rPr>
              <w:t>​ ​</w:t>
            </w:r>
          </w:p>
        </w:tc>
        <w:tc>
          <w:tcPr>
            <w:tcW w:w="100" w:type="dxa"/>
            <w:vAlign w:val="bottom"/>
          </w:tcPr>
          <w:p>
            <w:pPr>
              <w:spacing w:after="0"/>
              <w:rPr>
                <w:sz w:val="18"/>
                <w:szCs w:val="18"/>
                <w:color w:val="auto"/>
              </w:rPr>
            </w:pPr>
          </w:p>
        </w:tc>
        <w:tc>
          <w:tcPr>
            <w:tcW w:w="820" w:type="dxa"/>
            <w:vAlign w:val="bottom"/>
            <w:gridSpan w:val="2"/>
          </w:tcPr>
          <w:p>
            <w:pPr>
              <w:jc w:val="right"/>
              <w:spacing w:after="0" w:line="216" w:lineRule="exact"/>
              <w:rPr>
                <w:sz w:val="20"/>
                <w:szCs w:val="20"/>
                <w:color w:val="auto"/>
              </w:rPr>
            </w:pPr>
            <w:r>
              <w:rPr>
                <w:rFonts w:ascii="Arial" w:cs="Arial" w:eastAsia="Arial" w:hAnsi="Arial"/>
                <w:sz w:val="13"/>
                <w:szCs w:val="13"/>
                <w:b w:val="1"/>
                <w:bCs w:val="1"/>
                <w:color w:val="1F2668"/>
              </w:rPr>
              <w:t xml:space="preserve">($) </w:t>
            </w:r>
            <w:r>
              <w:rPr>
                <w:rFonts w:ascii="Arial" w:cs="Arial" w:eastAsia="Arial" w:hAnsi="Arial"/>
                <w:sz w:val="25"/>
                <w:szCs w:val="25"/>
                <w:b w:val="1"/>
                <w:bCs w:val="1"/>
                <w:color w:val="1F2668"/>
                <w:vertAlign w:val="subscript"/>
              </w:rPr>
              <w:t>​</w:t>
            </w:r>
          </w:p>
        </w:tc>
        <w:tc>
          <w:tcPr>
            <w:tcW w:w="0" w:type="dxa"/>
            <w:vAlign w:val="bottom"/>
          </w:tcPr>
          <w:p>
            <w:pPr>
              <w:spacing w:after="0"/>
              <w:rPr>
                <w:sz w:val="1"/>
                <w:szCs w:val="1"/>
                <w:color w:val="auto"/>
              </w:rPr>
            </w:pPr>
          </w:p>
        </w:tc>
      </w:tr>
      <w:tr>
        <w:trPr>
          <w:trHeight w:val="20"/>
        </w:trPr>
        <w:tc>
          <w:tcPr>
            <w:tcW w:w="470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1F2668"/>
          </w:tcPr>
          <w:p>
            <w:pPr>
              <w:spacing w:after="0" w:line="20" w:lineRule="exact"/>
              <w:rPr>
                <w:sz w:val="1"/>
                <w:szCs w:val="1"/>
                <w:color w:val="auto"/>
              </w:rPr>
            </w:pPr>
          </w:p>
        </w:tc>
        <w:tc>
          <w:tcPr>
            <w:tcW w:w="820" w:type="dxa"/>
            <w:vAlign w:val="bottom"/>
            <w:shd w:val="clear" w:color="auto" w:fill="1F2668"/>
          </w:tcPr>
          <w:p>
            <w:pPr>
              <w:spacing w:after="0" w:line="20" w:lineRule="exact"/>
              <w:rPr>
                <w:sz w:val="1"/>
                <w:szCs w:val="1"/>
                <w:color w:val="auto"/>
              </w:rPr>
            </w:pPr>
          </w:p>
        </w:tc>
        <w:tc>
          <w:tcPr>
            <w:tcW w:w="160" w:type="dxa"/>
            <w:vAlign w:val="bottom"/>
            <w:tcBorders>
              <w:right w:val="single" w:sz="8" w:color="1F2668"/>
            </w:tcBorders>
          </w:tcPr>
          <w:p>
            <w:pPr>
              <w:spacing w:after="0" w:line="20" w:lineRule="exact"/>
              <w:rPr>
                <w:sz w:val="1"/>
                <w:szCs w:val="1"/>
                <w:color w:val="auto"/>
              </w:rPr>
            </w:pPr>
          </w:p>
        </w:tc>
        <w:tc>
          <w:tcPr>
            <w:tcW w:w="100" w:type="dxa"/>
            <w:vAlign w:val="bottom"/>
            <w:shd w:val="clear" w:color="auto" w:fill="1F2668"/>
          </w:tcPr>
          <w:p>
            <w:pPr>
              <w:spacing w:after="0" w:line="20" w:lineRule="exact"/>
              <w:rPr>
                <w:sz w:val="1"/>
                <w:szCs w:val="1"/>
                <w:color w:val="auto"/>
              </w:rPr>
            </w:pPr>
          </w:p>
        </w:tc>
        <w:tc>
          <w:tcPr>
            <w:tcW w:w="780" w:type="dxa"/>
            <w:vAlign w:val="bottom"/>
            <w:shd w:val="clear" w:color="auto" w:fill="1F266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shd w:val="clear" w:color="auto" w:fill="1F2668"/>
          </w:tcPr>
          <w:p>
            <w:pPr>
              <w:spacing w:after="0" w:line="20" w:lineRule="exact"/>
              <w:rPr>
                <w:sz w:val="1"/>
                <w:szCs w:val="1"/>
                <w:color w:val="auto"/>
              </w:rPr>
            </w:pPr>
          </w:p>
        </w:tc>
        <w:tc>
          <w:tcPr>
            <w:tcW w:w="140" w:type="dxa"/>
            <w:vAlign w:val="bottom"/>
            <w:tcBorders>
              <w:right w:val="single" w:sz="8" w:color="1F2668"/>
            </w:tcBorders>
          </w:tcPr>
          <w:p>
            <w:pPr>
              <w:spacing w:after="0" w:line="20" w:lineRule="exact"/>
              <w:rPr>
                <w:sz w:val="1"/>
                <w:szCs w:val="1"/>
                <w:color w:val="auto"/>
              </w:rPr>
            </w:pPr>
          </w:p>
        </w:tc>
        <w:tc>
          <w:tcPr>
            <w:tcW w:w="100" w:type="dxa"/>
            <w:vAlign w:val="bottom"/>
            <w:shd w:val="clear" w:color="auto" w:fill="1F2668"/>
          </w:tcPr>
          <w:p>
            <w:pPr>
              <w:spacing w:after="0" w:line="20" w:lineRule="exact"/>
              <w:rPr>
                <w:sz w:val="1"/>
                <w:szCs w:val="1"/>
                <w:color w:val="auto"/>
              </w:rPr>
            </w:pPr>
          </w:p>
        </w:tc>
        <w:tc>
          <w:tcPr>
            <w:tcW w:w="760" w:type="dxa"/>
            <w:vAlign w:val="bottom"/>
            <w:shd w:val="clear" w:color="auto" w:fill="1F2668"/>
          </w:tcPr>
          <w:p>
            <w:pPr>
              <w:spacing w:after="0" w:line="20" w:lineRule="exact"/>
              <w:rPr>
                <w:sz w:val="1"/>
                <w:szCs w:val="1"/>
                <w:color w:val="auto"/>
              </w:rPr>
            </w:pPr>
          </w:p>
        </w:tc>
        <w:tc>
          <w:tcPr>
            <w:tcW w:w="60" w:type="dxa"/>
            <w:vAlign w:val="bottom"/>
            <w:tcBorders>
              <w:left w:val="single" w:sz="8" w:color="1F266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00" w:type="dxa"/>
            <w:vAlign w:val="bottom"/>
          </w:tcPr>
          <w:p>
            <w:pPr>
              <w:spacing w:after="0"/>
              <w:rPr>
                <w:sz w:val="20"/>
                <w:szCs w:val="20"/>
                <w:color w:val="auto"/>
              </w:rPr>
            </w:pPr>
            <w:r>
              <w:rPr>
                <w:rFonts w:ascii="Arial" w:cs="Arial" w:eastAsia="Arial" w:hAnsi="Arial"/>
                <w:sz w:val="14"/>
                <w:szCs w:val="14"/>
                <w:b w:val="1"/>
                <w:bCs w:val="1"/>
                <w:color w:val="1F2668"/>
              </w:rPr>
              <w:t>2024</w:t>
            </w:r>
          </w:p>
        </w:tc>
        <w:tc>
          <w:tcPr>
            <w:tcW w:w="18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ind w:left="40"/>
              <w:spacing w:after="0"/>
              <w:rPr>
                <w:sz w:val="20"/>
                <w:szCs w:val="20"/>
                <w:color w:val="auto"/>
              </w:rPr>
            </w:pPr>
            <w:r>
              <w:rPr>
                <w:rFonts w:ascii="Arial" w:cs="Arial" w:eastAsia="Arial" w:hAnsi="Arial"/>
                <w:sz w:val="14"/>
                <w:szCs w:val="14"/>
                <w:color w:val="auto"/>
              </w:rPr>
              <w:t>​ 20,685,756</w:t>
            </w:r>
          </w:p>
        </w:tc>
        <w:tc>
          <w:tcPr>
            <w:tcW w:w="160" w:type="dxa"/>
            <w:vAlign w:val="bottom"/>
            <w:vMerge w:val="restart"/>
          </w:tcPr>
          <w:p>
            <w:pPr>
              <w:spacing w:after="0"/>
              <w:rPr>
                <w:sz w:val="20"/>
                <w:szCs w:val="20"/>
                <w:color w:val="auto"/>
              </w:rPr>
            </w:pPr>
            <w:r>
              <w:rPr>
                <w:rFonts w:ascii="Arial" w:cs="Arial" w:eastAsia="Arial" w:hAnsi="Arial"/>
                <w:sz w:val="14"/>
                <w:szCs w:val="14"/>
                <w:color w:val="auto"/>
              </w:rPr>
              <w:t>​​​</w:t>
            </w:r>
          </w:p>
        </w:tc>
        <w:tc>
          <w:tcPr>
            <w:tcW w:w="10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(19,394,816)</w:t>
            </w:r>
          </w:p>
        </w:tc>
        <w:tc>
          <w:tcPr>
            <w:tcW w:w="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 47,306,322</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ind w:left="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48,597,262</w:t>
            </w:r>
          </w:p>
        </w:tc>
        <w:tc>
          <w:tcPr>
            <w:tcW w:w="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4700" w:type="dxa"/>
            <w:vAlign w:val="bottom"/>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820" w:type="dxa"/>
            <w:vAlign w:val="bottom"/>
          </w:tcPr>
          <w:p>
            <w:pPr>
              <w:ind w:left="20"/>
              <w:spacing w:after="0" w:line="95" w:lineRule="exact"/>
              <w:rPr>
                <w:sz w:val="20"/>
                <w:szCs w:val="20"/>
                <w:color w:val="auto"/>
              </w:rPr>
            </w:pPr>
            <w:r>
              <w:rPr>
                <w:rFonts w:ascii="Arial" w:cs="Arial" w:eastAsia="Arial" w:hAnsi="Arial"/>
                <w:sz w:val="10"/>
                <w:szCs w:val="10"/>
                <w:color w:val="auto"/>
              </w:rPr>
              <w:t>​</w:t>
            </w:r>
          </w:p>
        </w:tc>
        <w:tc>
          <w:tcPr>
            <w:tcW w:w="160" w:type="dxa"/>
            <w:vAlign w:val="bottom"/>
            <w:vMerge w:val="continue"/>
          </w:tcPr>
          <w:p>
            <w:pPr>
              <w:spacing w:after="0"/>
              <w:rPr>
                <w:sz w:val="8"/>
                <w:szCs w:val="8"/>
                <w:color w:val="auto"/>
              </w:rPr>
            </w:pPr>
          </w:p>
        </w:tc>
        <w:tc>
          <w:tcPr>
            <w:tcW w:w="100" w:type="dxa"/>
            <w:vAlign w:val="bottom"/>
          </w:tcPr>
          <w:p>
            <w:pPr>
              <w:ind w:left="20"/>
              <w:spacing w:after="0" w:line="95" w:lineRule="exact"/>
              <w:rPr>
                <w:sz w:val="20"/>
                <w:szCs w:val="20"/>
                <w:color w:val="auto"/>
              </w:rPr>
            </w:pPr>
            <w:r>
              <w:rPr>
                <w:rFonts w:ascii="Arial" w:cs="Arial" w:eastAsia="Arial" w:hAnsi="Arial"/>
                <w:sz w:val="10"/>
                <w:szCs w:val="10"/>
                <w:color w:val="auto"/>
              </w:rPr>
              <w:t>​</w:t>
            </w:r>
          </w:p>
        </w:tc>
        <w:tc>
          <w:tcPr>
            <w:tcW w:w="960" w:type="dxa"/>
            <w:vAlign w:val="bottom"/>
            <w:gridSpan w:val="4"/>
          </w:tcPr>
          <w:p>
            <w:pPr>
              <w:jc w:val="right"/>
              <w:spacing w:after="0" w:line="95" w:lineRule="exact"/>
              <w:rPr>
                <w:sz w:val="20"/>
                <w:szCs w:val="20"/>
                <w:color w:val="auto"/>
              </w:rPr>
            </w:pPr>
            <w:r>
              <w:rPr>
                <w:rFonts w:ascii="Arial" w:cs="Arial" w:eastAsia="Arial" w:hAnsi="Arial"/>
                <w:sz w:val="10"/>
                <w:szCs w:val="10"/>
                <w:color w:val="auto"/>
              </w:rPr>
              <w:t>​​​​</w:t>
            </w:r>
          </w:p>
        </w:tc>
        <w:tc>
          <w:tcPr>
            <w:tcW w:w="78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100" w:type="dxa"/>
            <w:vAlign w:val="bottom"/>
          </w:tcPr>
          <w:p>
            <w:pPr>
              <w:ind w:left="20"/>
              <w:spacing w:after="0" w:line="95" w:lineRule="exact"/>
              <w:rPr>
                <w:sz w:val="20"/>
                <w:szCs w:val="20"/>
                <w:color w:val="auto"/>
              </w:rPr>
            </w:pPr>
            <w:r>
              <w:rPr>
                <w:rFonts w:ascii="Arial" w:cs="Arial" w:eastAsia="Arial" w:hAnsi="Arial"/>
                <w:sz w:val="10"/>
                <w:szCs w:val="10"/>
                <w:color w:val="auto"/>
              </w:rPr>
              <w:t>​</w:t>
            </w:r>
          </w:p>
        </w:tc>
        <w:tc>
          <w:tcPr>
            <w:tcW w:w="76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70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820" w:type="dxa"/>
            <w:vAlign w:val="bottom"/>
            <w:shd w:val="clear" w:color="auto" w:fill="4B5088"/>
          </w:tcPr>
          <w:p>
            <w:pPr>
              <w:spacing w:after="0" w:line="20" w:lineRule="exact"/>
              <w:rPr>
                <w:sz w:val="1"/>
                <w:szCs w:val="1"/>
                <w:color w:val="auto"/>
              </w:rPr>
            </w:pPr>
          </w:p>
        </w:tc>
        <w:tc>
          <w:tcPr>
            <w:tcW w:w="160" w:type="dxa"/>
            <w:vAlign w:val="bottom"/>
            <w:tcBorders>
              <w:right w:val="single" w:sz="8" w:color="4B5088"/>
            </w:tcBorders>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780" w:type="dxa"/>
            <w:vAlign w:val="bottom"/>
            <w:shd w:val="clear" w:color="auto" w:fill="4B50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shd w:val="clear" w:color="auto" w:fill="4B5088"/>
          </w:tcPr>
          <w:p>
            <w:pPr>
              <w:spacing w:after="0" w:line="20" w:lineRule="exact"/>
              <w:rPr>
                <w:sz w:val="1"/>
                <w:szCs w:val="1"/>
                <w:color w:val="auto"/>
              </w:rPr>
            </w:pPr>
          </w:p>
        </w:tc>
        <w:tc>
          <w:tcPr>
            <w:tcW w:w="140" w:type="dxa"/>
            <w:vAlign w:val="bottom"/>
            <w:tcBorders>
              <w:right w:val="single" w:sz="8" w:color="4B5088"/>
            </w:tcBorders>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760" w:type="dxa"/>
            <w:vAlign w:val="bottom"/>
            <w:shd w:val="clear" w:color="auto" w:fill="4B5088"/>
          </w:tcPr>
          <w:p>
            <w:pPr>
              <w:spacing w:after="0" w:line="20" w:lineRule="exact"/>
              <w:rPr>
                <w:sz w:val="1"/>
                <w:szCs w:val="1"/>
                <w:color w:val="auto"/>
              </w:rPr>
            </w:pPr>
          </w:p>
        </w:tc>
        <w:tc>
          <w:tcPr>
            <w:tcW w:w="60" w:type="dxa"/>
            <w:vAlign w:val="bottom"/>
            <w:tcBorders>
              <w:left w:val="single" w:sz="8" w:color="4B50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700" w:type="dxa"/>
            <w:vAlign w:val="bottom"/>
          </w:tcPr>
          <w:p>
            <w:pPr>
              <w:spacing w:after="0"/>
              <w:rPr>
                <w:sz w:val="20"/>
                <w:szCs w:val="20"/>
                <w:color w:val="auto"/>
              </w:rPr>
            </w:pPr>
            <w:r>
              <w:rPr>
                <w:rFonts w:ascii="Arial" w:cs="Arial" w:eastAsia="Arial" w:hAnsi="Arial"/>
                <w:sz w:val="14"/>
                <w:szCs w:val="14"/>
                <w:b w:val="1"/>
                <w:bCs w:val="1"/>
                <w:color w:val="1F2668"/>
              </w:rPr>
              <w:t>2023</w:t>
            </w:r>
          </w:p>
        </w:tc>
        <w:tc>
          <w:tcPr>
            <w:tcW w:w="18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ind w:left="40"/>
              <w:spacing w:after="0"/>
              <w:rPr>
                <w:sz w:val="20"/>
                <w:szCs w:val="20"/>
                <w:color w:val="auto"/>
              </w:rPr>
            </w:pPr>
            <w:r>
              <w:rPr>
                <w:rFonts w:ascii="Arial" w:cs="Arial" w:eastAsia="Arial" w:hAnsi="Arial"/>
                <w:sz w:val="14"/>
                <w:szCs w:val="14"/>
                <w:color w:val="auto"/>
              </w:rPr>
              <w:t>​ 18,508,171</w:t>
            </w:r>
          </w:p>
        </w:tc>
        <w:tc>
          <w:tcPr>
            <w:tcW w:w="160" w:type="dxa"/>
            <w:vAlign w:val="bottom"/>
            <w:vMerge w:val="restart"/>
          </w:tcPr>
          <w:p>
            <w:pPr>
              <w:spacing w:after="0"/>
              <w:rPr>
                <w:sz w:val="20"/>
                <w:szCs w:val="20"/>
                <w:color w:val="auto"/>
              </w:rPr>
            </w:pPr>
            <w:r>
              <w:rPr>
                <w:rFonts w:ascii="Arial" w:cs="Arial" w:eastAsia="Arial" w:hAnsi="Arial"/>
                <w:sz w:val="14"/>
                <w:szCs w:val="14"/>
                <w:color w:val="auto"/>
              </w:rPr>
              <w:t>​​​</w:t>
            </w:r>
          </w:p>
        </w:tc>
        <w:tc>
          <w:tcPr>
            <w:tcW w:w="10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(15,767,540)</w:t>
            </w:r>
          </w:p>
        </w:tc>
        <w:tc>
          <w:tcPr>
            <w:tcW w:w="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 28,055,437</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ind w:left="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30,796,068</w:t>
            </w:r>
          </w:p>
        </w:tc>
        <w:tc>
          <w:tcPr>
            <w:tcW w:w="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4700" w:type="dxa"/>
            <w:vAlign w:val="bottom"/>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820" w:type="dxa"/>
            <w:vAlign w:val="bottom"/>
          </w:tcPr>
          <w:p>
            <w:pPr>
              <w:ind w:left="20"/>
              <w:spacing w:after="0" w:line="95" w:lineRule="exact"/>
              <w:rPr>
                <w:sz w:val="20"/>
                <w:szCs w:val="20"/>
                <w:color w:val="auto"/>
              </w:rPr>
            </w:pPr>
            <w:r>
              <w:rPr>
                <w:rFonts w:ascii="Arial" w:cs="Arial" w:eastAsia="Arial" w:hAnsi="Arial"/>
                <w:sz w:val="10"/>
                <w:szCs w:val="10"/>
                <w:color w:val="auto"/>
              </w:rPr>
              <w:t>​</w:t>
            </w:r>
          </w:p>
        </w:tc>
        <w:tc>
          <w:tcPr>
            <w:tcW w:w="160" w:type="dxa"/>
            <w:vAlign w:val="bottom"/>
            <w:vMerge w:val="continue"/>
          </w:tcPr>
          <w:p>
            <w:pPr>
              <w:spacing w:after="0"/>
              <w:rPr>
                <w:sz w:val="8"/>
                <w:szCs w:val="8"/>
                <w:color w:val="auto"/>
              </w:rPr>
            </w:pPr>
          </w:p>
        </w:tc>
        <w:tc>
          <w:tcPr>
            <w:tcW w:w="100" w:type="dxa"/>
            <w:vAlign w:val="bottom"/>
          </w:tcPr>
          <w:p>
            <w:pPr>
              <w:ind w:left="20"/>
              <w:spacing w:after="0" w:line="95" w:lineRule="exact"/>
              <w:rPr>
                <w:sz w:val="20"/>
                <w:szCs w:val="20"/>
                <w:color w:val="auto"/>
              </w:rPr>
            </w:pPr>
            <w:r>
              <w:rPr>
                <w:rFonts w:ascii="Arial" w:cs="Arial" w:eastAsia="Arial" w:hAnsi="Arial"/>
                <w:sz w:val="10"/>
                <w:szCs w:val="10"/>
                <w:color w:val="auto"/>
              </w:rPr>
              <w:t>​</w:t>
            </w:r>
          </w:p>
        </w:tc>
        <w:tc>
          <w:tcPr>
            <w:tcW w:w="960" w:type="dxa"/>
            <w:vAlign w:val="bottom"/>
            <w:gridSpan w:val="4"/>
          </w:tcPr>
          <w:p>
            <w:pPr>
              <w:jc w:val="right"/>
              <w:spacing w:after="0" w:line="95" w:lineRule="exact"/>
              <w:rPr>
                <w:sz w:val="20"/>
                <w:szCs w:val="20"/>
                <w:color w:val="auto"/>
              </w:rPr>
            </w:pPr>
            <w:r>
              <w:rPr>
                <w:rFonts w:ascii="Arial" w:cs="Arial" w:eastAsia="Arial" w:hAnsi="Arial"/>
                <w:sz w:val="10"/>
                <w:szCs w:val="10"/>
                <w:color w:val="auto"/>
              </w:rPr>
              <w:t>​​​​</w:t>
            </w:r>
          </w:p>
        </w:tc>
        <w:tc>
          <w:tcPr>
            <w:tcW w:w="78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100" w:type="dxa"/>
            <w:vAlign w:val="bottom"/>
          </w:tcPr>
          <w:p>
            <w:pPr>
              <w:ind w:left="20"/>
              <w:spacing w:after="0" w:line="95" w:lineRule="exact"/>
              <w:rPr>
                <w:sz w:val="20"/>
                <w:szCs w:val="20"/>
                <w:color w:val="auto"/>
              </w:rPr>
            </w:pPr>
            <w:r>
              <w:rPr>
                <w:rFonts w:ascii="Arial" w:cs="Arial" w:eastAsia="Arial" w:hAnsi="Arial"/>
                <w:sz w:val="10"/>
                <w:szCs w:val="10"/>
                <w:color w:val="auto"/>
              </w:rPr>
              <w:t>​</w:t>
            </w:r>
          </w:p>
        </w:tc>
        <w:tc>
          <w:tcPr>
            <w:tcW w:w="76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70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820" w:type="dxa"/>
            <w:vAlign w:val="bottom"/>
            <w:shd w:val="clear" w:color="auto" w:fill="4B5088"/>
          </w:tcPr>
          <w:p>
            <w:pPr>
              <w:spacing w:after="0" w:line="20" w:lineRule="exact"/>
              <w:rPr>
                <w:sz w:val="1"/>
                <w:szCs w:val="1"/>
                <w:color w:val="auto"/>
              </w:rPr>
            </w:pPr>
          </w:p>
        </w:tc>
        <w:tc>
          <w:tcPr>
            <w:tcW w:w="160" w:type="dxa"/>
            <w:vAlign w:val="bottom"/>
            <w:tcBorders>
              <w:right w:val="single" w:sz="8" w:color="4B5088"/>
            </w:tcBorders>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780" w:type="dxa"/>
            <w:vAlign w:val="bottom"/>
            <w:shd w:val="clear" w:color="auto" w:fill="4B50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shd w:val="clear" w:color="auto" w:fill="4B5088"/>
          </w:tcPr>
          <w:p>
            <w:pPr>
              <w:spacing w:after="0" w:line="20" w:lineRule="exact"/>
              <w:rPr>
                <w:sz w:val="1"/>
                <w:szCs w:val="1"/>
                <w:color w:val="auto"/>
              </w:rPr>
            </w:pPr>
          </w:p>
        </w:tc>
        <w:tc>
          <w:tcPr>
            <w:tcW w:w="140" w:type="dxa"/>
            <w:vAlign w:val="bottom"/>
            <w:tcBorders>
              <w:right w:val="single" w:sz="8" w:color="4B5088"/>
            </w:tcBorders>
          </w:tcPr>
          <w:p>
            <w:pPr>
              <w:spacing w:after="0" w:line="20" w:lineRule="exact"/>
              <w:rPr>
                <w:sz w:val="1"/>
                <w:szCs w:val="1"/>
                <w:color w:val="auto"/>
              </w:rPr>
            </w:pPr>
          </w:p>
        </w:tc>
        <w:tc>
          <w:tcPr>
            <w:tcW w:w="860" w:type="dxa"/>
            <w:vAlign w:val="bottom"/>
            <w:gridSpan w:val="2"/>
            <w:shd w:val="clear" w:color="auto" w:fill="4B50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00" w:type="dxa"/>
            <w:vAlign w:val="bottom"/>
          </w:tcPr>
          <w:p>
            <w:pPr>
              <w:spacing w:after="0"/>
              <w:rPr>
                <w:sz w:val="20"/>
                <w:szCs w:val="20"/>
                <w:color w:val="auto"/>
              </w:rPr>
            </w:pPr>
            <w:r>
              <w:rPr>
                <w:rFonts w:ascii="Arial" w:cs="Arial" w:eastAsia="Arial" w:hAnsi="Arial"/>
                <w:sz w:val="14"/>
                <w:szCs w:val="14"/>
                <w:b w:val="1"/>
                <w:bCs w:val="1"/>
                <w:color w:val="1F2668"/>
              </w:rPr>
              <w:t>2022</w:t>
            </w:r>
          </w:p>
        </w:tc>
        <w:tc>
          <w:tcPr>
            <w:tcW w:w="18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ind w:left="40"/>
              <w:spacing w:after="0"/>
              <w:rPr>
                <w:sz w:val="20"/>
                <w:szCs w:val="20"/>
                <w:color w:val="auto"/>
              </w:rPr>
            </w:pPr>
            <w:r>
              <w:rPr>
                <w:rFonts w:ascii="Arial" w:cs="Arial" w:eastAsia="Arial" w:hAnsi="Arial"/>
                <w:sz w:val="14"/>
                <w:szCs w:val="14"/>
                <w:color w:val="auto"/>
              </w:rPr>
              <w:t>​ 16,660,855</w:t>
            </w:r>
          </w:p>
        </w:tc>
        <w:tc>
          <w:tcPr>
            <w:tcW w:w="160" w:type="dxa"/>
            <w:vAlign w:val="bottom"/>
            <w:vMerge w:val="restart"/>
          </w:tcPr>
          <w:p>
            <w:pPr>
              <w:spacing w:after="0"/>
              <w:rPr>
                <w:sz w:val="20"/>
                <w:szCs w:val="20"/>
                <w:color w:val="auto"/>
              </w:rPr>
            </w:pPr>
            <w:r>
              <w:rPr>
                <w:rFonts w:ascii="Arial" w:cs="Arial" w:eastAsia="Arial" w:hAnsi="Arial"/>
                <w:sz w:val="14"/>
                <w:szCs w:val="14"/>
                <w:color w:val="auto"/>
              </w:rPr>
              <w:t>​​​</w:t>
            </w:r>
          </w:p>
        </w:tc>
        <w:tc>
          <w:tcPr>
            <w:tcW w:w="10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(14,284,701)</w:t>
            </w:r>
          </w:p>
        </w:tc>
        <w:tc>
          <w:tcPr>
            <w:tcW w:w="60" w:type="dxa"/>
            <w:vAlign w:val="bottom"/>
          </w:tcPr>
          <w:p>
            <w:pPr>
              <w:spacing w:after="0"/>
              <w:rPr>
                <w:sz w:val="15"/>
                <w:szCs w:val="15"/>
                <w:color w:val="auto"/>
              </w:rPr>
            </w:pPr>
          </w:p>
        </w:tc>
        <w:tc>
          <w:tcPr>
            <w:tcW w:w="980" w:type="dxa"/>
            <w:vAlign w:val="bottom"/>
            <w:gridSpan w:val="3"/>
          </w:tcPr>
          <w:p>
            <w:pPr>
              <w:jc w:val="right"/>
              <w:ind w:right="34"/>
              <w:spacing w:after="0"/>
              <w:rPr>
                <w:sz w:val="20"/>
                <w:szCs w:val="20"/>
                <w:color w:val="auto"/>
              </w:rPr>
            </w:pPr>
            <w:r>
              <w:rPr>
                <w:rFonts w:ascii="Arial" w:cs="Arial" w:eastAsia="Arial" w:hAnsi="Arial"/>
                <w:sz w:val="14"/>
                <w:szCs w:val="14"/>
                <w:color w:val="auto"/>
              </w:rPr>
              <w:t>​(14,134,808)</w:t>
            </w: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 (11,758,654)</w:t>
            </w:r>
          </w:p>
        </w:tc>
        <w:tc>
          <w:tcPr>
            <w:tcW w:w="0" w:type="dxa"/>
            <w:vAlign w:val="bottom"/>
          </w:tcPr>
          <w:p>
            <w:pPr>
              <w:spacing w:after="0"/>
              <w:rPr>
                <w:sz w:val="1"/>
                <w:szCs w:val="1"/>
                <w:color w:val="auto"/>
              </w:rPr>
            </w:pPr>
          </w:p>
        </w:tc>
      </w:tr>
      <w:tr>
        <w:trPr>
          <w:trHeight w:val="95"/>
        </w:trPr>
        <w:tc>
          <w:tcPr>
            <w:tcW w:w="4700" w:type="dxa"/>
            <w:vAlign w:val="bottom"/>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820" w:type="dxa"/>
            <w:vAlign w:val="bottom"/>
          </w:tcPr>
          <w:p>
            <w:pPr>
              <w:ind w:left="20"/>
              <w:spacing w:after="0" w:line="95" w:lineRule="exact"/>
              <w:rPr>
                <w:sz w:val="20"/>
                <w:szCs w:val="20"/>
                <w:color w:val="auto"/>
              </w:rPr>
            </w:pPr>
            <w:r>
              <w:rPr>
                <w:rFonts w:ascii="Arial" w:cs="Arial" w:eastAsia="Arial" w:hAnsi="Arial"/>
                <w:sz w:val="10"/>
                <w:szCs w:val="10"/>
                <w:color w:val="auto"/>
              </w:rPr>
              <w:t>​</w:t>
            </w:r>
          </w:p>
        </w:tc>
        <w:tc>
          <w:tcPr>
            <w:tcW w:w="160" w:type="dxa"/>
            <w:vAlign w:val="bottom"/>
            <w:vMerge w:val="continue"/>
          </w:tcPr>
          <w:p>
            <w:pPr>
              <w:spacing w:after="0"/>
              <w:rPr>
                <w:sz w:val="8"/>
                <w:szCs w:val="8"/>
                <w:color w:val="auto"/>
              </w:rPr>
            </w:pPr>
          </w:p>
        </w:tc>
        <w:tc>
          <w:tcPr>
            <w:tcW w:w="100" w:type="dxa"/>
            <w:vAlign w:val="bottom"/>
          </w:tcPr>
          <w:p>
            <w:pPr>
              <w:ind w:left="20"/>
              <w:spacing w:after="0" w:line="95" w:lineRule="exact"/>
              <w:rPr>
                <w:sz w:val="20"/>
                <w:szCs w:val="20"/>
                <w:color w:val="auto"/>
              </w:rPr>
            </w:pPr>
            <w:r>
              <w:rPr>
                <w:rFonts w:ascii="Arial" w:cs="Arial" w:eastAsia="Arial" w:hAnsi="Arial"/>
                <w:sz w:val="10"/>
                <w:szCs w:val="10"/>
                <w:color w:val="auto"/>
              </w:rPr>
              <w:t>​</w:t>
            </w:r>
          </w:p>
        </w:tc>
        <w:tc>
          <w:tcPr>
            <w:tcW w:w="960" w:type="dxa"/>
            <w:vAlign w:val="bottom"/>
            <w:gridSpan w:val="4"/>
          </w:tcPr>
          <w:p>
            <w:pPr>
              <w:jc w:val="right"/>
              <w:spacing w:after="0" w:line="95" w:lineRule="exact"/>
              <w:rPr>
                <w:sz w:val="20"/>
                <w:szCs w:val="20"/>
                <w:color w:val="auto"/>
              </w:rPr>
            </w:pPr>
            <w:r>
              <w:rPr>
                <w:rFonts w:ascii="Arial" w:cs="Arial" w:eastAsia="Arial" w:hAnsi="Arial"/>
                <w:sz w:val="10"/>
                <w:szCs w:val="10"/>
                <w:color w:val="auto"/>
              </w:rPr>
              <w:t>​​​​</w:t>
            </w:r>
          </w:p>
        </w:tc>
        <w:tc>
          <w:tcPr>
            <w:tcW w:w="780" w:type="dxa"/>
            <w:vAlign w:val="bottom"/>
          </w:tcPr>
          <w:p>
            <w:pPr>
              <w:spacing w:after="0"/>
              <w:rPr>
                <w:sz w:val="8"/>
                <w:szCs w:val="8"/>
                <w:color w:val="auto"/>
              </w:rPr>
            </w:pPr>
          </w:p>
        </w:tc>
        <w:tc>
          <w:tcPr>
            <w:tcW w:w="14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100" w:type="dxa"/>
            <w:vAlign w:val="bottom"/>
          </w:tcPr>
          <w:p>
            <w:pPr>
              <w:ind w:left="20"/>
              <w:spacing w:after="0" w:line="95" w:lineRule="exact"/>
              <w:rPr>
                <w:sz w:val="20"/>
                <w:szCs w:val="20"/>
                <w:color w:val="auto"/>
              </w:rPr>
            </w:pPr>
            <w:r>
              <w:rPr>
                <w:rFonts w:ascii="Arial" w:cs="Arial" w:eastAsia="Arial" w:hAnsi="Arial"/>
                <w:sz w:val="10"/>
                <w:szCs w:val="10"/>
                <w:color w:val="auto"/>
              </w:rPr>
              <w:t>​</w:t>
            </w:r>
          </w:p>
        </w:tc>
        <w:tc>
          <w:tcPr>
            <w:tcW w:w="760" w:type="dxa"/>
            <w:vAlign w:val="bottom"/>
          </w:tcPr>
          <w:p>
            <w:pPr>
              <w:spacing w:after="0"/>
              <w:rPr>
                <w:sz w:val="8"/>
                <w:szCs w:val="8"/>
                <w:color w:val="auto"/>
              </w:rPr>
            </w:pPr>
          </w:p>
        </w:tc>
        <w:tc>
          <w:tcPr>
            <w:tcW w:w="6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470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820" w:type="dxa"/>
            <w:vAlign w:val="bottom"/>
            <w:shd w:val="clear" w:color="auto" w:fill="4B5088"/>
          </w:tcPr>
          <w:p>
            <w:pPr>
              <w:spacing w:after="0" w:line="20" w:lineRule="exact"/>
              <w:rPr>
                <w:sz w:val="1"/>
                <w:szCs w:val="1"/>
                <w:color w:val="auto"/>
              </w:rPr>
            </w:pPr>
          </w:p>
        </w:tc>
        <w:tc>
          <w:tcPr>
            <w:tcW w:w="160" w:type="dxa"/>
            <w:vAlign w:val="bottom"/>
            <w:tcBorders>
              <w:right w:val="single" w:sz="8" w:color="4B5088"/>
            </w:tcBorders>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780" w:type="dxa"/>
            <w:vAlign w:val="bottom"/>
            <w:shd w:val="clear" w:color="auto" w:fill="4B50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shd w:val="clear" w:color="auto" w:fill="4B5088"/>
          </w:tcPr>
          <w:p>
            <w:pPr>
              <w:spacing w:after="0" w:line="20" w:lineRule="exact"/>
              <w:rPr>
                <w:sz w:val="1"/>
                <w:szCs w:val="1"/>
                <w:color w:val="auto"/>
              </w:rPr>
            </w:pPr>
          </w:p>
        </w:tc>
        <w:tc>
          <w:tcPr>
            <w:tcW w:w="140" w:type="dxa"/>
            <w:vAlign w:val="bottom"/>
            <w:tcBorders>
              <w:right w:val="single" w:sz="8" w:color="4B5088"/>
            </w:tcBorders>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760" w:type="dxa"/>
            <w:vAlign w:val="bottom"/>
            <w:shd w:val="clear" w:color="auto" w:fill="4B5088"/>
          </w:tcPr>
          <w:p>
            <w:pPr>
              <w:spacing w:after="0" w:line="20" w:lineRule="exact"/>
              <w:rPr>
                <w:sz w:val="1"/>
                <w:szCs w:val="1"/>
                <w:color w:val="auto"/>
              </w:rPr>
            </w:pPr>
          </w:p>
        </w:tc>
        <w:tc>
          <w:tcPr>
            <w:tcW w:w="60" w:type="dxa"/>
            <w:vAlign w:val="bottom"/>
            <w:tcBorders>
              <w:left w:val="single" w:sz="8" w:color="4B50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00" w:type="dxa"/>
            <w:vAlign w:val="bottom"/>
          </w:tcPr>
          <w:p>
            <w:pPr>
              <w:spacing w:after="0"/>
              <w:rPr>
                <w:sz w:val="20"/>
                <w:szCs w:val="20"/>
                <w:color w:val="auto"/>
              </w:rPr>
            </w:pPr>
            <w:r>
              <w:rPr>
                <w:rFonts w:ascii="Arial" w:cs="Arial" w:eastAsia="Arial" w:hAnsi="Arial"/>
                <w:sz w:val="14"/>
                <w:szCs w:val="14"/>
                <w:b w:val="1"/>
                <w:bCs w:val="1"/>
                <w:color w:val="1F2668"/>
              </w:rPr>
              <w:t>2021</w:t>
            </w:r>
          </w:p>
        </w:tc>
        <w:tc>
          <w:tcPr>
            <w:tcW w:w="18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ind w:left="40"/>
              <w:spacing w:after="0"/>
              <w:rPr>
                <w:sz w:val="20"/>
                <w:szCs w:val="20"/>
                <w:color w:val="auto"/>
              </w:rPr>
            </w:pPr>
            <w:r>
              <w:rPr>
                <w:rFonts w:ascii="Arial" w:cs="Arial" w:eastAsia="Arial" w:hAnsi="Arial"/>
                <w:sz w:val="14"/>
                <w:szCs w:val="14"/>
                <w:color w:val="auto"/>
              </w:rPr>
              <w:t>​ 21,088,057</w:t>
            </w:r>
          </w:p>
        </w:tc>
        <w:tc>
          <w:tcPr>
            <w:tcW w:w="160" w:type="dxa"/>
            <w:vAlign w:val="bottom"/>
            <w:vMerge w:val="restart"/>
          </w:tcPr>
          <w:p>
            <w:pPr>
              <w:spacing w:after="0"/>
              <w:rPr>
                <w:sz w:val="20"/>
                <w:szCs w:val="20"/>
                <w:color w:val="auto"/>
              </w:rPr>
            </w:pPr>
            <w:r>
              <w:rPr>
                <w:rFonts w:ascii="Arial" w:cs="Arial" w:eastAsia="Arial" w:hAnsi="Arial"/>
                <w:sz w:val="14"/>
                <w:szCs w:val="14"/>
                <w:color w:val="auto"/>
              </w:rPr>
              <w:t>​​​</w:t>
            </w:r>
          </w:p>
        </w:tc>
        <w:tc>
          <w:tcPr>
            <w:tcW w:w="10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(18,099,677)</w:t>
            </w:r>
          </w:p>
        </w:tc>
        <w:tc>
          <w:tcPr>
            <w:tcW w:w="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 29,653,826</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ind w:left="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32,642,206</w:t>
            </w:r>
          </w:p>
        </w:tc>
        <w:tc>
          <w:tcPr>
            <w:tcW w:w="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4700" w:type="dxa"/>
            <w:vAlign w:val="bottom"/>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820" w:type="dxa"/>
            <w:vAlign w:val="bottom"/>
          </w:tcPr>
          <w:p>
            <w:pPr>
              <w:ind w:left="20"/>
              <w:spacing w:after="0" w:line="95" w:lineRule="exact"/>
              <w:rPr>
                <w:sz w:val="20"/>
                <w:szCs w:val="20"/>
                <w:color w:val="auto"/>
              </w:rPr>
            </w:pPr>
            <w:r>
              <w:rPr>
                <w:rFonts w:ascii="Arial" w:cs="Arial" w:eastAsia="Arial" w:hAnsi="Arial"/>
                <w:sz w:val="10"/>
                <w:szCs w:val="10"/>
                <w:color w:val="auto"/>
              </w:rPr>
              <w:t>​</w:t>
            </w:r>
          </w:p>
        </w:tc>
        <w:tc>
          <w:tcPr>
            <w:tcW w:w="160" w:type="dxa"/>
            <w:vAlign w:val="bottom"/>
            <w:vMerge w:val="continue"/>
          </w:tcPr>
          <w:p>
            <w:pPr>
              <w:spacing w:after="0"/>
              <w:rPr>
                <w:sz w:val="8"/>
                <w:szCs w:val="8"/>
                <w:color w:val="auto"/>
              </w:rPr>
            </w:pPr>
          </w:p>
        </w:tc>
        <w:tc>
          <w:tcPr>
            <w:tcW w:w="100" w:type="dxa"/>
            <w:vAlign w:val="bottom"/>
          </w:tcPr>
          <w:p>
            <w:pPr>
              <w:ind w:left="20"/>
              <w:spacing w:after="0" w:line="95" w:lineRule="exact"/>
              <w:rPr>
                <w:sz w:val="20"/>
                <w:szCs w:val="20"/>
                <w:color w:val="auto"/>
              </w:rPr>
            </w:pPr>
            <w:r>
              <w:rPr>
                <w:rFonts w:ascii="Arial" w:cs="Arial" w:eastAsia="Arial" w:hAnsi="Arial"/>
                <w:sz w:val="10"/>
                <w:szCs w:val="10"/>
                <w:color w:val="auto"/>
              </w:rPr>
              <w:t>​</w:t>
            </w:r>
          </w:p>
        </w:tc>
        <w:tc>
          <w:tcPr>
            <w:tcW w:w="960" w:type="dxa"/>
            <w:vAlign w:val="bottom"/>
            <w:gridSpan w:val="4"/>
          </w:tcPr>
          <w:p>
            <w:pPr>
              <w:jc w:val="right"/>
              <w:spacing w:after="0" w:line="95" w:lineRule="exact"/>
              <w:rPr>
                <w:sz w:val="20"/>
                <w:szCs w:val="20"/>
                <w:color w:val="auto"/>
              </w:rPr>
            </w:pPr>
            <w:r>
              <w:rPr>
                <w:rFonts w:ascii="Arial" w:cs="Arial" w:eastAsia="Arial" w:hAnsi="Arial"/>
                <w:sz w:val="10"/>
                <w:szCs w:val="10"/>
                <w:color w:val="auto"/>
              </w:rPr>
              <w:t>​​​​</w:t>
            </w:r>
          </w:p>
        </w:tc>
        <w:tc>
          <w:tcPr>
            <w:tcW w:w="78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100" w:type="dxa"/>
            <w:vAlign w:val="bottom"/>
          </w:tcPr>
          <w:p>
            <w:pPr>
              <w:ind w:left="20"/>
              <w:spacing w:after="0" w:line="95" w:lineRule="exact"/>
              <w:rPr>
                <w:sz w:val="20"/>
                <w:szCs w:val="20"/>
                <w:color w:val="auto"/>
              </w:rPr>
            </w:pPr>
            <w:r>
              <w:rPr>
                <w:rFonts w:ascii="Arial" w:cs="Arial" w:eastAsia="Arial" w:hAnsi="Arial"/>
                <w:sz w:val="10"/>
                <w:szCs w:val="10"/>
                <w:color w:val="auto"/>
              </w:rPr>
              <w:t>​</w:t>
            </w:r>
          </w:p>
        </w:tc>
        <w:tc>
          <w:tcPr>
            <w:tcW w:w="76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70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820" w:type="dxa"/>
            <w:vAlign w:val="bottom"/>
            <w:shd w:val="clear" w:color="auto" w:fill="4B5088"/>
          </w:tcPr>
          <w:p>
            <w:pPr>
              <w:spacing w:after="0" w:line="20" w:lineRule="exact"/>
              <w:rPr>
                <w:sz w:val="1"/>
                <w:szCs w:val="1"/>
                <w:color w:val="auto"/>
              </w:rPr>
            </w:pPr>
          </w:p>
        </w:tc>
        <w:tc>
          <w:tcPr>
            <w:tcW w:w="160" w:type="dxa"/>
            <w:vAlign w:val="bottom"/>
            <w:tcBorders>
              <w:right w:val="single" w:sz="8" w:color="4B5088"/>
            </w:tcBorders>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780" w:type="dxa"/>
            <w:vAlign w:val="bottom"/>
            <w:shd w:val="clear" w:color="auto" w:fill="4B50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4B5088"/>
          </w:tcPr>
          <w:p>
            <w:pPr>
              <w:spacing w:after="0" w:line="20" w:lineRule="exact"/>
              <w:rPr>
                <w:sz w:val="1"/>
                <w:szCs w:val="1"/>
                <w:color w:val="auto"/>
              </w:rPr>
            </w:pPr>
          </w:p>
        </w:tc>
        <w:tc>
          <w:tcPr>
            <w:tcW w:w="780" w:type="dxa"/>
            <w:vAlign w:val="bottom"/>
            <w:shd w:val="clear" w:color="auto" w:fill="4B5088"/>
          </w:tcPr>
          <w:p>
            <w:pPr>
              <w:spacing w:after="0" w:line="20" w:lineRule="exact"/>
              <w:rPr>
                <w:sz w:val="1"/>
                <w:szCs w:val="1"/>
                <w:color w:val="auto"/>
              </w:rPr>
            </w:pPr>
          </w:p>
        </w:tc>
        <w:tc>
          <w:tcPr>
            <w:tcW w:w="140" w:type="dxa"/>
            <w:vAlign w:val="bottom"/>
            <w:tcBorders>
              <w:right w:val="single" w:sz="8" w:color="4B5088"/>
            </w:tcBorders>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760" w:type="dxa"/>
            <w:vAlign w:val="bottom"/>
            <w:shd w:val="clear" w:color="auto" w:fill="4B5088"/>
          </w:tcPr>
          <w:p>
            <w:pPr>
              <w:spacing w:after="0" w:line="20" w:lineRule="exact"/>
              <w:rPr>
                <w:sz w:val="1"/>
                <w:szCs w:val="1"/>
                <w:color w:val="auto"/>
              </w:rPr>
            </w:pPr>
          </w:p>
        </w:tc>
        <w:tc>
          <w:tcPr>
            <w:tcW w:w="60" w:type="dxa"/>
            <w:vAlign w:val="bottom"/>
            <w:tcBorders>
              <w:left w:val="single" w:sz="8" w:color="4B50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00" w:type="dxa"/>
            <w:vAlign w:val="bottom"/>
          </w:tcPr>
          <w:p>
            <w:pPr>
              <w:spacing w:after="0"/>
              <w:rPr>
                <w:sz w:val="20"/>
                <w:szCs w:val="20"/>
                <w:color w:val="auto"/>
              </w:rPr>
            </w:pPr>
            <w:r>
              <w:rPr>
                <w:rFonts w:ascii="Arial" w:cs="Arial" w:eastAsia="Arial" w:hAnsi="Arial"/>
                <w:sz w:val="14"/>
                <w:szCs w:val="14"/>
                <w:b w:val="1"/>
                <w:bCs w:val="1"/>
                <w:color w:val="1F2668"/>
              </w:rPr>
              <w:t>2020</w:t>
            </w:r>
          </w:p>
        </w:tc>
        <w:tc>
          <w:tcPr>
            <w:tcW w:w="18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ind w:left="40"/>
              <w:spacing w:after="0"/>
              <w:rPr>
                <w:sz w:val="20"/>
                <w:szCs w:val="20"/>
                <w:color w:val="auto"/>
              </w:rPr>
            </w:pPr>
            <w:r>
              <w:rPr>
                <w:rFonts w:ascii="Arial" w:cs="Arial" w:eastAsia="Arial" w:hAnsi="Arial"/>
                <w:sz w:val="14"/>
                <w:szCs w:val="14"/>
                <w:color w:val="auto"/>
              </w:rPr>
              <w:t>​ 15,194,726</w:t>
            </w:r>
          </w:p>
        </w:tc>
        <w:tc>
          <w:tcPr>
            <w:tcW w:w="160" w:type="dxa"/>
            <w:vAlign w:val="bottom"/>
            <w:vMerge w:val="restart"/>
          </w:tcPr>
          <w:p>
            <w:pPr>
              <w:spacing w:after="0"/>
              <w:rPr>
                <w:sz w:val="20"/>
                <w:szCs w:val="20"/>
                <w:color w:val="auto"/>
              </w:rPr>
            </w:pPr>
            <w:r>
              <w:rPr>
                <w:rFonts w:ascii="Arial" w:cs="Arial" w:eastAsia="Arial" w:hAnsi="Arial"/>
                <w:sz w:val="14"/>
                <w:szCs w:val="14"/>
                <w:color w:val="auto"/>
              </w:rPr>
              <w:t>​​​</w:t>
            </w:r>
          </w:p>
        </w:tc>
        <w:tc>
          <w:tcPr>
            <w:tcW w:w="10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(12,643,310)</w:t>
            </w:r>
          </w:p>
        </w:tc>
        <w:tc>
          <w:tcPr>
            <w:tcW w:w="6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7,065,918</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ind w:left="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9,617,334</w:t>
            </w:r>
          </w:p>
        </w:tc>
        <w:tc>
          <w:tcPr>
            <w:tcW w:w="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4700" w:type="dxa"/>
            <w:vAlign w:val="bottom"/>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820" w:type="dxa"/>
            <w:vAlign w:val="bottom"/>
          </w:tcPr>
          <w:p>
            <w:pPr>
              <w:ind w:left="20"/>
              <w:spacing w:after="0" w:line="95" w:lineRule="exact"/>
              <w:rPr>
                <w:sz w:val="20"/>
                <w:szCs w:val="20"/>
                <w:color w:val="auto"/>
              </w:rPr>
            </w:pPr>
            <w:r>
              <w:rPr>
                <w:rFonts w:ascii="Arial" w:cs="Arial" w:eastAsia="Arial" w:hAnsi="Arial"/>
                <w:sz w:val="10"/>
                <w:szCs w:val="10"/>
                <w:color w:val="auto"/>
              </w:rPr>
              <w:t>​</w:t>
            </w:r>
          </w:p>
        </w:tc>
        <w:tc>
          <w:tcPr>
            <w:tcW w:w="160" w:type="dxa"/>
            <w:vAlign w:val="bottom"/>
            <w:vMerge w:val="continue"/>
          </w:tcPr>
          <w:p>
            <w:pPr>
              <w:spacing w:after="0"/>
              <w:rPr>
                <w:sz w:val="8"/>
                <w:szCs w:val="8"/>
                <w:color w:val="auto"/>
              </w:rPr>
            </w:pPr>
          </w:p>
        </w:tc>
        <w:tc>
          <w:tcPr>
            <w:tcW w:w="100" w:type="dxa"/>
            <w:vAlign w:val="bottom"/>
          </w:tcPr>
          <w:p>
            <w:pPr>
              <w:ind w:left="20"/>
              <w:spacing w:after="0" w:line="95" w:lineRule="exact"/>
              <w:rPr>
                <w:sz w:val="20"/>
                <w:szCs w:val="20"/>
                <w:color w:val="auto"/>
              </w:rPr>
            </w:pPr>
            <w:r>
              <w:rPr>
                <w:rFonts w:ascii="Arial" w:cs="Arial" w:eastAsia="Arial" w:hAnsi="Arial"/>
                <w:sz w:val="10"/>
                <w:szCs w:val="10"/>
                <w:color w:val="auto"/>
              </w:rPr>
              <w:t>​</w:t>
            </w:r>
          </w:p>
        </w:tc>
        <w:tc>
          <w:tcPr>
            <w:tcW w:w="960" w:type="dxa"/>
            <w:vAlign w:val="bottom"/>
            <w:gridSpan w:val="4"/>
          </w:tcPr>
          <w:p>
            <w:pPr>
              <w:jc w:val="right"/>
              <w:spacing w:after="0" w:line="95" w:lineRule="exact"/>
              <w:rPr>
                <w:sz w:val="20"/>
                <w:szCs w:val="20"/>
                <w:color w:val="auto"/>
              </w:rPr>
            </w:pPr>
            <w:r>
              <w:rPr>
                <w:rFonts w:ascii="Arial" w:cs="Arial" w:eastAsia="Arial" w:hAnsi="Arial"/>
                <w:sz w:val="10"/>
                <w:szCs w:val="10"/>
                <w:color w:val="auto"/>
              </w:rPr>
              <w:t>​​​​</w:t>
            </w:r>
          </w:p>
        </w:tc>
        <w:tc>
          <w:tcPr>
            <w:tcW w:w="78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100" w:type="dxa"/>
            <w:vAlign w:val="bottom"/>
          </w:tcPr>
          <w:p>
            <w:pPr>
              <w:ind w:left="20"/>
              <w:spacing w:after="0" w:line="95" w:lineRule="exact"/>
              <w:rPr>
                <w:sz w:val="20"/>
                <w:szCs w:val="20"/>
                <w:color w:val="auto"/>
              </w:rPr>
            </w:pPr>
            <w:r>
              <w:rPr>
                <w:rFonts w:ascii="Arial" w:cs="Arial" w:eastAsia="Arial" w:hAnsi="Arial"/>
                <w:sz w:val="10"/>
                <w:szCs w:val="10"/>
                <w:color w:val="auto"/>
              </w:rPr>
              <w:t>​</w:t>
            </w:r>
          </w:p>
        </w:tc>
        <w:tc>
          <w:tcPr>
            <w:tcW w:w="76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70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1F2668"/>
          </w:tcPr>
          <w:p>
            <w:pPr>
              <w:spacing w:after="0" w:line="20" w:lineRule="exact"/>
              <w:rPr>
                <w:sz w:val="1"/>
                <w:szCs w:val="1"/>
                <w:color w:val="auto"/>
              </w:rPr>
            </w:pPr>
          </w:p>
        </w:tc>
        <w:tc>
          <w:tcPr>
            <w:tcW w:w="820" w:type="dxa"/>
            <w:vAlign w:val="bottom"/>
            <w:shd w:val="clear" w:color="auto" w:fill="1F2668"/>
          </w:tcPr>
          <w:p>
            <w:pPr>
              <w:spacing w:after="0" w:line="20" w:lineRule="exact"/>
              <w:rPr>
                <w:sz w:val="1"/>
                <w:szCs w:val="1"/>
                <w:color w:val="auto"/>
              </w:rPr>
            </w:pPr>
          </w:p>
        </w:tc>
        <w:tc>
          <w:tcPr>
            <w:tcW w:w="160" w:type="dxa"/>
            <w:vAlign w:val="bottom"/>
            <w:tcBorders>
              <w:right w:val="single" w:sz="8" w:color="1F2668"/>
            </w:tcBorders>
          </w:tcPr>
          <w:p>
            <w:pPr>
              <w:spacing w:after="0" w:line="20" w:lineRule="exact"/>
              <w:rPr>
                <w:sz w:val="1"/>
                <w:szCs w:val="1"/>
                <w:color w:val="auto"/>
              </w:rPr>
            </w:pPr>
          </w:p>
        </w:tc>
        <w:tc>
          <w:tcPr>
            <w:tcW w:w="100" w:type="dxa"/>
            <w:vAlign w:val="bottom"/>
            <w:shd w:val="clear" w:color="auto" w:fill="1F2668"/>
          </w:tcPr>
          <w:p>
            <w:pPr>
              <w:spacing w:after="0" w:line="20" w:lineRule="exact"/>
              <w:rPr>
                <w:sz w:val="1"/>
                <w:szCs w:val="1"/>
                <w:color w:val="auto"/>
              </w:rPr>
            </w:pPr>
          </w:p>
        </w:tc>
        <w:tc>
          <w:tcPr>
            <w:tcW w:w="780" w:type="dxa"/>
            <w:vAlign w:val="bottom"/>
            <w:shd w:val="clear" w:color="auto" w:fill="1F266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1F2668"/>
          </w:tcPr>
          <w:p>
            <w:pPr>
              <w:spacing w:after="0" w:line="20" w:lineRule="exact"/>
              <w:rPr>
                <w:sz w:val="1"/>
                <w:szCs w:val="1"/>
                <w:color w:val="auto"/>
              </w:rPr>
            </w:pPr>
          </w:p>
        </w:tc>
        <w:tc>
          <w:tcPr>
            <w:tcW w:w="780" w:type="dxa"/>
            <w:vAlign w:val="bottom"/>
            <w:shd w:val="clear" w:color="auto" w:fill="1F2668"/>
          </w:tcPr>
          <w:p>
            <w:pPr>
              <w:spacing w:after="0" w:line="20" w:lineRule="exact"/>
              <w:rPr>
                <w:sz w:val="1"/>
                <w:szCs w:val="1"/>
                <w:color w:val="auto"/>
              </w:rPr>
            </w:pPr>
          </w:p>
        </w:tc>
        <w:tc>
          <w:tcPr>
            <w:tcW w:w="140" w:type="dxa"/>
            <w:vAlign w:val="bottom"/>
            <w:tcBorders>
              <w:right w:val="single" w:sz="8" w:color="1F2668"/>
            </w:tcBorders>
          </w:tcPr>
          <w:p>
            <w:pPr>
              <w:spacing w:after="0" w:line="20" w:lineRule="exact"/>
              <w:rPr>
                <w:sz w:val="1"/>
                <w:szCs w:val="1"/>
                <w:color w:val="auto"/>
              </w:rPr>
            </w:pPr>
          </w:p>
        </w:tc>
        <w:tc>
          <w:tcPr>
            <w:tcW w:w="100" w:type="dxa"/>
            <w:vAlign w:val="bottom"/>
            <w:shd w:val="clear" w:color="auto" w:fill="1F2668"/>
          </w:tcPr>
          <w:p>
            <w:pPr>
              <w:spacing w:after="0" w:line="20" w:lineRule="exact"/>
              <w:rPr>
                <w:sz w:val="1"/>
                <w:szCs w:val="1"/>
                <w:color w:val="auto"/>
              </w:rPr>
            </w:pPr>
          </w:p>
        </w:tc>
        <w:tc>
          <w:tcPr>
            <w:tcW w:w="760" w:type="dxa"/>
            <w:vAlign w:val="bottom"/>
            <w:shd w:val="clear" w:color="auto" w:fill="1F266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1540" w:right="280" w:hanging="364"/>
        <w:spacing w:after="0" w:line="325" w:lineRule="auto"/>
        <w:tabs>
          <w:tab w:leader="none" w:pos="15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Represents the sum of the amounts reported in the “Stock Awards” column of the Summary Compensation Table for the applicable fiscal year.</w:t>
      </w:r>
    </w:p>
    <w:p>
      <w:pPr>
        <w:spacing w:after="0" w:line="22" w:lineRule="exact"/>
        <w:rPr>
          <w:rFonts w:ascii="Arial" w:cs="Arial" w:eastAsia="Arial" w:hAnsi="Arial"/>
          <w:sz w:val="14"/>
          <w:szCs w:val="14"/>
          <w:color w:val="auto"/>
        </w:rPr>
      </w:pPr>
    </w:p>
    <w:p>
      <w:pPr>
        <w:ind w:left="1540" w:right="60" w:hanging="364"/>
        <w:spacing w:after="0" w:line="273" w:lineRule="auto"/>
        <w:tabs>
          <w:tab w:leader="none" w:pos="15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The equity award adjustments for each fiscal year include the following: (i) the addition of the year-end fair value of any equity awards granted in the year that are outstanding and unvested as of the end of the year; (ii) for any awards granted in prior years that are outstanding and unvested as of the end of the fiscal year, the addition (or subtraction, if applicable) of the change in fair value of between the end of the prior fiscal year the end of the applicable fiscal year; (iii) for awards that are granted and vest in the same fiscal year, the addition of the fair value of such awards as of the vesting date; (iv) for awards granted in prior years that vest during the fiscal year, the addition (or subtraction, if applicable) of the change in fair value between the end of the prior fiscal year and the vesting date of such awards; (v) for awards granted in prior years that fail to meet the applicable vesting conditions during the fiscal year, the subtraction of the fair value of such awards at the end of the prior fiscal year; and (vi) the dollar value of any dividends or other earnings paid on such awards in the applicable year prior to the vesting date. The amounts deducted or added in calculating the equity award adjustments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1350645</wp:posOffset>
            </wp:positionV>
            <wp:extent cx="6831965"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71"/>
        </w:trPr>
        <w:tc>
          <w:tcPr>
            <w:tcW w:w="134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2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5"/>
        </w:trPr>
        <w:tc>
          <w:tcPr>
            <w:tcW w:w="1340" w:type="dxa"/>
            <w:vAlign w:val="bottom"/>
          </w:tcPr>
          <w:p>
            <w:pPr>
              <w:ind w:left="820"/>
              <w:spacing w:after="0"/>
              <w:rPr>
                <w:sz w:val="20"/>
                <w:szCs w:val="20"/>
                <w:color w:val="auto"/>
              </w:rPr>
            </w:pPr>
            <w:r>
              <w:rPr>
                <w:rFonts w:ascii="Arial" w:cs="Arial" w:eastAsia="Arial" w:hAnsi="Arial"/>
                <w:sz w:val="22"/>
                <w:szCs w:val="22"/>
                <w:b w:val="1"/>
                <w:bCs w:val="1"/>
                <w:color w:val="1F2668"/>
              </w:rPr>
              <w:t>78​</w:t>
            </w:r>
          </w:p>
        </w:tc>
        <w:tc>
          <w:tcPr>
            <w:tcW w:w="4300" w:type="dxa"/>
            <w:vAlign w:val="bottom"/>
            <w:gridSpan w:val="3"/>
          </w:tcPr>
          <w:p>
            <w:pPr>
              <w:jc w:val="right"/>
              <w:ind w:right="337"/>
              <w:spacing w:after="0"/>
              <w:rPr>
                <w:sz w:val="20"/>
                <w:szCs w:val="20"/>
                <w:color w:val="auto"/>
              </w:rPr>
            </w:pPr>
            <w:r>
              <w:rPr>
                <w:rFonts w:ascii="Arial" w:cs="Arial" w:eastAsia="Arial" w:hAnsi="Arial"/>
                <w:sz w:val="22"/>
                <w:szCs w:val="22"/>
                <w:b w:val="1"/>
                <w:bCs w:val="1"/>
                <w:color w:val="1F2668"/>
              </w:rPr>
              <w:t xml:space="preserve">​ ​ </w:t>
            </w:r>
            <w:r>
              <w:rPr>
                <w:rFonts w:ascii="Arial" w:cs="Arial" w:eastAsia="Arial" w:hAnsi="Arial"/>
                <w:sz w:val="14"/>
                <w:szCs w:val="14"/>
                <w:b w:val="1"/>
                <w:bCs w:val="1"/>
                <w:color w:val="1F2668"/>
              </w:rPr>
              <w:t>SL GREEN REALTY CORP. 2025 PROXY STATEMENT</w:t>
            </w: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2"/>
                <w:szCs w:val="22"/>
                <w:b w:val="1"/>
                <w:bCs w:val="1"/>
                <w:color w:val="1F2668"/>
              </w:rPr>
              <w:t>​</w:t>
            </w:r>
          </w:p>
        </w:tc>
        <w:tc>
          <w:tcPr>
            <w:tcW w:w="0" w:type="dxa"/>
            <w:vAlign w:val="bottom"/>
          </w:tcPr>
          <w:p>
            <w:pPr>
              <w:spacing w:after="0"/>
              <w:rPr>
                <w:sz w:val="1"/>
                <w:szCs w:val="1"/>
                <w:color w:val="auto"/>
              </w:rPr>
            </w:pPr>
          </w:p>
        </w:tc>
      </w:tr>
      <w:tr>
        <w:trPr>
          <w:trHeight w:val="591"/>
        </w:trPr>
        <w:tc>
          <w:tcPr>
            <w:tcW w:w="13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b w:val="1"/>
                <w:bCs w:val="1"/>
                <w:color w:val="1F2668"/>
              </w:rPr>
              <w:t>Fair Value at</w:t>
            </w: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3"/>
                <w:szCs w:val="13"/>
                <w:b w:val="1"/>
                <w:bCs w:val="1"/>
                <w:color w:val="1F2668"/>
              </w:rPr>
              <w:t>Year over Year</w:t>
            </w:r>
          </w:p>
        </w:tc>
        <w:tc>
          <w:tcPr>
            <w:tcW w:w="104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Arial" w:cs="Arial" w:eastAsia="Arial" w:hAnsi="Arial"/>
                <w:sz w:val="13"/>
                <w:szCs w:val="13"/>
                <w:b w:val="1"/>
                <w:bCs w:val="1"/>
                <w:color w:val="1F2668"/>
              </w:rPr>
              <w:t>Year over Year</w:t>
            </w:r>
          </w:p>
        </w:tc>
        <w:tc>
          <w:tcPr>
            <w:tcW w:w="100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1F2668"/>
              </w:rPr>
              <w:t>the End of the</w:t>
            </w:r>
          </w:p>
        </w:tc>
        <w:tc>
          <w:tcPr>
            <w:tcW w:w="10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140" w:type="dxa"/>
            <w:vAlign w:val="bottom"/>
            <w:vMerge w:val="restart"/>
          </w:tcPr>
          <w:p>
            <w:pPr>
              <w:jc w:val="right"/>
              <w:spacing w:after="0"/>
              <w:rPr>
                <w:sz w:val="20"/>
                <w:szCs w:val="20"/>
                <w:color w:val="auto"/>
              </w:rPr>
            </w:pPr>
            <w:r>
              <w:rPr>
                <w:rFonts w:ascii="Arial" w:cs="Arial" w:eastAsia="Arial" w:hAnsi="Arial"/>
                <w:sz w:val="13"/>
                <w:szCs w:val="13"/>
                <w:b w:val="1"/>
                <w:bCs w:val="1"/>
                <w:color w:val="1F2668"/>
              </w:rPr>
              <w:t>Year End Fair</w:t>
            </w:r>
          </w:p>
        </w:tc>
        <w:tc>
          <w:tcPr>
            <w:tcW w:w="1120" w:type="dxa"/>
            <w:vAlign w:val="bottom"/>
            <w:vMerge w:val="continue"/>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b w:val="1"/>
                <w:bCs w:val="1"/>
                <w:color w:val="1F2668"/>
                <w:w w:val="99"/>
              </w:rPr>
              <w:t>Fair Value as of</w:t>
            </w:r>
          </w:p>
        </w:tc>
        <w:tc>
          <w:tcPr>
            <w:tcW w:w="1340" w:type="dxa"/>
            <w:vAlign w:val="bottom"/>
            <w:vMerge w:val="continue"/>
          </w:tcPr>
          <w:p>
            <w:pPr>
              <w:spacing w:after="0"/>
              <w:rPr>
                <w:sz w:val="12"/>
                <w:szCs w:val="12"/>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b w:val="1"/>
                <w:bCs w:val="1"/>
                <w:color w:val="1F2668"/>
              </w:rPr>
              <w:t>Prior Year of</w:t>
            </w: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2140" w:type="dxa"/>
            <w:vAlign w:val="bottom"/>
            <w:vMerge w:val="continue"/>
          </w:tcPr>
          <w:p>
            <w:pPr>
              <w:spacing w:after="0"/>
              <w:rPr>
                <w:sz w:val="11"/>
                <w:szCs w:val="11"/>
                <w:color w:val="auto"/>
              </w:rPr>
            </w:pPr>
          </w:p>
        </w:tc>
        <w:tc>
          <w:tcPr>
            <w:tcW w:w="1120" w:type="dxa"/>
            <w:vAlign w:val="bottom"/>
          </w:tcPr>
          <w:p>
            <w:pPr>
              <w:jc w:val="right"/>
              <w:spacing w:after="0" w:line="135" w:lineRule="exact"/>
              <w:rPr>
                <w:sz w:val="20"/>
                <w:szCs w:val="20"/>
                <w:color w:val="auto"/>
              </w:rPr>
            </w:pPr>
            <w:r>
              <w:rPr>
                <w:rFonts w:ascii="Arial" w:cs="Arial" w:eastAsia="Arial" w:hAnsi="Arial"/>
                <w:sz w:val="13"/>
                <w:szCs w:val="13"/>
                <w:b w:val="1"/>
                <w:bCs w:val="1"/>
                <w:color w:val="1F2668"/>
              </w:rPr>
              <w:t>Change in</w:t>
            </w:r>
          </w:p>
        </w:tc>
        <w:tc>
          <w:tcPr>
            <w:tcW w:w="1040" w:type="dxa"/>
            <w:vAlign w:val="bottom"/>
            <w:vMerge w:val="continue"/>
          </w:tcPr>
          <w:p>
            <w:pPr>
              <w:spacing w:after="0"/>
              <w:rPr>
                <w:sz w:val="11"/>
                <w:szCs w:val="11"/>
                <w:color w:val="auto"/>
              </w:rPr>
            </w:pPr>
          </w:p>
        </w:tc>
        <w:tc>
          <w:tcPr>
            <w:tcW w:w="1340" w:type="dxa"/>
            <w:vAlign w:val="bottom"/>
          </w:tcPr>
          <w:p>
            <w:pPr>
              <w:jc w:val="right"/>
              <w:spacing w:after="0" w:line="135" w:lineRule="exact"/>
              <w:rPr>
                <w:sz w:val="20"/>
                <w:szCs w:val="20"/>
                <w:color w:val="auto"/>
              </w:rPr>
            </w:pPr>
            <w:r>
              <w:rPr>
                <w:rFonts w:ascii="Arial" w:cs="Arial" w:eastAsia="Arial" w:hAnsi="Arial"/>
                <w:sz w:val="13"/>
                <w:szCs w:val="13"/>
                <w:b w:val="1"/>
                <w:bCs w:val="1"/>
                <w:color w:val="1F2668"/>
                <w:w w:val="97"/>
              </w:rPr>
              <w:t>Change in Fair Value</w:t>
            </w:r>
          </w:p>
        </w:tc>
        <w:tc>
          <w:tcPr>
            <w:tcW w:w="100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1F2668"/>
                <w:w w:val="99"/>
              </w:rPr>
              <w:t>Equity Awards</w:t>
            </w:r>
          </w:p>
        </w:tc>
        <w:tc>
          <w:tcPr>
            <w:tcW w:w="1040" w:type="dxa"/>
            <w:vAlign w:val="bottom"/>
            <w:vMerge w:val="restart"/>
          </w:tcPr>
          <w:p>
            <w:pPr>
              <w:jc w:val="right"/>
              <w:spacing w:after="0"/>
              <w:rPr>
                <w:sz w:val="20"/>
                <w:szCs w:val="20"/>
                <w:color w:val="auto"/>
              </w:rPr>
            </w:pPr>
            <w:r>
              <w:rPr>
                <w:rFonts w:ascii="Arial" w:cs="Arial" w:eastAsia="Arial" w:hAnsi="Arial"/>
                <w:sz w:val="13"/>
                <w:szCs w:val="13"/>
                <w:b w:val="1"/>
                <w:bCs w:val="1"/>
                <w:color w:val="1F2668"/>
              </w:rPr>
              <w:t>Value of</w:t>
            </w: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2140" w:type="dxa"/>
            <w:vAlign w:val="bottom"/>
          </w:tcPr>
          <w:p>
            <w:pPr>
              <w:jc w:val="right"/>
              <w:spacing w:after="0" w:line="135" w:lineRule="exact"/>
              <w:rPr>
                <w:sz w:val="20"/>
                <w:szCs w:val="20"/>
                <w:color w:val="auto"/>
              </w:rPr>
            </w:pPr>
            <w:r>
              <w:rPr>
                <w:rFonts w:ascii="Arial" w:cs="Arial" w:eastAsia="Arial" w:hAnsi="Arial"/>
                <w:sz w:val="13"/>
                <w:szCs w:val="13"/>
                <w:b w:val="1"/>
                <w:bCs w:val="1"/>
                <w:color w:val="1F2668"/>
              </w:rPr>
              <w:t>Value of Equity</w:t>
            </w:r>
          </w:p>
        </w:tc>
        <w:tc>
          <w:tcPr>
            <w:tcW w:w="1120" w:type="dxa"/>
            <w:vAlign w:val="bottom"/>
          </w:tcPr>
          <w:p>
            <w:pPr>
              <w:jc w:val="right"/>
              <w:spacing w:after="0" w:line="135" w:lineRule="exact"/>
              <w:rPr>
                <w:sz w:val="20"/>
                <w:szCs w:val="20"/>
                <w:color w:val="auto"/>
              </w:rPr>
            </w:pPr>
            <w:r>
              <w:rPr>
                <w:rFonts w:ascii="Arial" w:cs="Arial" w:eastAsia="Arial" w:hAnsi="Arial"/>
                <w:sz w:val="13"/>
                <w:szCs w:val="13"/>
                <w:b w:val="1"/>
                <w:bCs w:val="1"/>
                <w:color w:val="1F2668"/>
              </w:rPr>
              <w:t>Fair Value of</w:t>
            </w:r>
          </w:p>
        </w:tc>
        <w:tc>
          <w:tcPr>
            <w:tcW w:w="1040" w:type="dxa"/>
            <w:vAlign w:val="bottom"/>
          </w:tcPr>
          <w:p>
            <w:pPr>
              <w:jc w:val="right"/>
              <w:spacing w:after="0" w:line="135" w:lineRule="exact"/>
              <w:rPr>
                <w:sz w:val="20"/>
                <w:szCs w:val="20"/>
                <w:color w:val="auto"/>
              </w:rPr>
            </w:pPr>
            <w:r>
              <w:rPr>
                <w:rFonts w:ascii="Arial" w:cs="Arial" w:eastAsia="Arial" w:hAnsi="Arial"/>
                <w:sz w:val="13"/>
                <w:szCs w:val="13"/>
                <w:b w:val="1"/>
                <w:bCs w:val="1"/>
                <w:color w:val="1F2668"/>
              </w:rPr>
              <w:t>Vesting Date of</w:t>
            </w:r>
          </w:p>
        </w:tc>
        <w:tc>
          <w:tcPr>
            <w:tcW w:w="1340" w:type="dxa"/>
            <w:vAlign w:val="bottom"/>
          </w:tcPr>
          <w:p>
            <w:pPr>
              <w:jc w:val="right"/>
              <w:spacing w:after="0" w:line="135" w:lineRule="exact"/>
              <w:rPr>
                <w:sz w:val="20"/>
                <w:szCs w:val="20"/>
                <w:color w:val="auto"/>
              </w:rPr>
            </w:pPr>
            <w:r>
              <w:rPr>
                <w:rFonts w:ascii="Arial" w:cs="Arial" w:eastAsia="Arial" w:hAnsi="Arial"/>
                <w:sz w:val="13"/>
                <w:szCs w:val="13"/>
                <w:b w:val="1"/>
                <w:bCs w:val="1"/>
                <w:color w:val="1F2668"/>
              </w:rPr>
              <w:t>of Equity Awards</w:t>
            </w:r>
          </w:p>
        </w:tc>
        <w:tc>
          <w:tcPr>
            <w:tcW w:w="100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1F2668"/>
              </w:rPr>
              <w:t>that Failed to</w:t>
            </w:r>
          </w:p>
        </w:tc>
        <w:tc>
          <w:tcPr>
            <w:tcW w:w="104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2140" w:type="dxa"/>
            <w:vAlign w:val="bottom"/>
          </w:tcPr>
          <w:p>
            <w:pPr>
              <w:jc w:val="right"/>
              <w:spacing w:after="0"/>
              <w:rPr>
                <w:sz w:val="20"/>
                <w:szCs w:val="20"/>
                <w:color w:val="auto"/>
              </w:rPr>
            </w:pPr>
            <w:r>
              <w:rPr>
                <w:rFonts w:ascii="Arial" w:cs="Arial" w:eastAsia="Arial" w:hAnsi="Arial"/>
                <w:sz w:val="13"/>
                <w:szCs w:val="13"/>
                <w:b w:val="1"/>
                <w:bCs w:val="1"/>
                <w:color w:val="1F2668"/>
              </w:rPr>
              <w:t>Awards Granted</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1F2668"/>
              </w:rPr>
              <w:t>Outstanding and</w:t>
            </w:r>
          </w:p>
        </w:tc>
        <w:tc>
          <w:tcPr>
            <w:tcW w:w="1040" w:type="dxa"/>
            <w:vAlign w:val="bottom"/>
          </w:tcPr>
          <w:p>
            <w:pPr>
              <w:jc w:val="right"/>
              <w:spacing w:after="0"/>
              <w:rPr>
                <w:sz w:val="20"/>
                <w:szCs w:val="20"/>
                <w:color w:val="auto"/>
              </w:rPr>
            </w:pPr>
            <w:r>
              <w:rPr>
                <w:rFonts w:ascii="Arial" w:cs="Arial" w:eastAsia="Arial" w:hAnsi="Arial"/>
                <w:sz w:val="13"/>
                <w:szCs w:val="13"/>
                <w:b w:val="1"/>
                <w:bCs w:val="1"/>
                <w:color w:val="1F2668"/>
              </w:rPr>
              <w:t>Equity Awards</w:t>
            </w:r>
          </w:p>
        </w:tc>
        <w:tc>
          <w:tcPr>
            <w:tcW w:w="1340" w:type="dxa"/>
            <w:vAlign w:val="bottom"/>
          </w:tcPr>
          <w:p>
            <w:pPr>
              <w:jc w:val="right"/>
              <w:spacing w:after="0"/>
              <w:rPr>
                <w:sz w:val="20"/>
                <w:szCs w:val="20"/>
                <w:color w:val="auto"/>
              </w:rPr>
            </w:pPr>
            <w:r>
              <w:rPr>
                <w:rFonts w:ascii="Arial" w:cs="Arial" w:eastAsia="Arial" w:hAnsi="Arial"/>
                <w:sz w:val="13"/>
                <w:szCs w:val="13"/>
                <w:b w:val="1"/>
                <w:bCs w:val="1"/>
                <w:color w:val="1F2668"/>
              </w:rPr>
              <w:t>Granted in Prior</w:t>
            </w:r>
          </w:p>
        </w:tc>
        <w:tc>
          <w:tcPr>
            <w:tcW w:w="1000" w:type="dxa"/>
            <w:vAlign w:val="bottom"/>
          </w:tcPr>
          <w:p>
            <w:pPr>
              <w:jc w:val="right"/>
              <w:ind w:right="17"/>
              <w:spacing w:after="0"/>
              <w:rPr>
                <w:sz w:val="20"/>
                <w:szCs w:val="20"/>
                <w:color w:val="auto"/>
              </w:rPr>
            </w:pPr>
            <w:r>
              <w:rPr>
                <w:rFonts w:ascii="Arial" w:cs="Arial" w:eastAsia="Arial" w:hAnsi="Arial"/>
                <w:sz w:val="13"/>
                <w:szCs w:val="13"/>
                <w:b w:val="1"/>
                <w:bCs w:val="1"/>
                <w:color w:val="1F2668"/>
              </w:rPr>
              <w:t>Meet Vesting</w:t>
            </w:r>
          </w:p>
        </w:tc>
        <w:tc>
          <w:tcPr>
            <w:tcW w:w="1040" w:type="dxa"/>
            <w:vAlign w:val="bottom"/>
          </w:tcPr>
          <w:p>
            <w:pPr>
              <w:jc w:val="right"/>
              <w:spacing w:after="0"/>
              <w:rPr>
                <w:sz w:val="20"/>
                <w:szCs w:val="20"/>
                <w:color w:val="auto"/>
              </w:rPr>
            </w:pPr>
            <w:r>
              <w:rPr>
                <w:rFonts w:ascii="Arial" w:cs="Arial" w:eastAsia="Arial" w:hAnsi="Arial"/>
                <w:sz w:val="13"/>
                <w:szCs w:val="13"/>
                <w:b w:val="1"/>
                <w:bCs w:val="1"/>
                <w:color w:val="1F2668"/>
              </w:rPr>
              <w:t>Dividends or</w:t>
            </w:r>
          </w:p>
        </w:tc>
        <w:tc>
          <w:tcPr>
            <w:tcW w:w="920" w:type="dxa"/>
            <w:vAlign w:val="bottom"/>
          </w:tcPr>
          <w:p>
            <w:pPr>
              <w:jc w:val="right"/>
              <w:ind w:right="26"/>
              <w:spacing w:after="0"/>
              <w:rPr>
                <w:sz w:val="20"/>
                <w:szCs w:val="20"/>
                <w:color w:val="auto"/>
              </w:rPr>
            </w:pPr>
            <w:r>
              <w:rPr>
                <w:rFonts w:ascii="Arial" w:cs="Arial" w:eastAsia="Arial" w:hAnsi="Arial"/>
                <w:sz w:val="13"/>
                <w:szCs w:val="13"/>
                <w:b w:val="1"/>
                <w:bCs w:val="1"/>
                <w:color w:val="1F2668"/>
              </w:rPr>
              <w:t>Total Equity</w:t>
            </w: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2140" w:type="dxa"/>
            <w:vAlign w:val="bottom"/>
          </w:tcPr>
          <w:p>
            <w:pPr>
              <w:jc w:val="right"/>
              <w:spacing w:after="0" w:line="135" w:lineRule="exact"/>
              <w:rPr>
                <w:sz w:val="20"/>
                <w:szCs w:val="20"/>
                <w:color w:val="auto"/>
              </w:rPr>
            </w:pPr>
            <w:r>
              <w:rPr>
                <w:rFonts w:ascii="Arial" w:cs="Arial" w:eastAsia="Arial" w:hAnsi="Arial"/>
                <w:sz w:val="13"/>
                <w:szCs w:val="13"/>
                <w:b w:val="1"/>
                <w:bCs w:val="1"/>
                <w:color w:val="1F2668"/>
              </w:rPr>
              <w:t>in the Year</w:t>
            </w:r>
          </w:p>
        </w:tc>
        <w:tc>
          <w:tcPr>
            <w:tcW w:w="1120" w:type="dxa"/>
            <w:vAlign w:val="bottom"/>
          </w:tcPr>
          <w:p>
            <w:pPr>
              <w:jc w:val="right"/>
              <w:spacing w:after="0" w:line="135" w:lineRule="exact"/>
              <w:rPr>
                <w:sz w:val="20"/>
                <w:szCs w:val="20"/>
                <w:color w:val="auto"/>
              </w:rPr>
            </w:pPr>
            <w:r>
              <w:rPr>
                <w:rFonts w:ascii="Arial" w:cs="Arial" w:eastAsia="Arial" w:hAnsi="Arial"/>
                <w:sz w:val="13"/>
                <w:szCs w:val="13"/>
                <w:b w:val="1"/>
                <w:bCs w:val="1"/>
                <w:color w:val="1F2668"/>
              </w:rPr>
              <w:t>Unvested Equity</w:t>
            </w:r>
          </w:p>
        </w:tc>
        <w:tc>
          <w:tcPr>
            <w:tcW w:w="1040" w:type="dxa"/>
            <w:vAlign w:val="bottom"/>
          </w:tcPr>
          <w:p>
            <w:pPr>
              <w:jc w:val="right"/>
              <w:spacing w:after="0" w:line="135" w:lineRule="exact"/>
              <w:rPr>
                <w:sz w:val="20"/>
                <w:szCs w:val="20"/>
                <w:color w:val="auto"/>
              </w:rPr>
            </w:pPr>
            <w:r>
              <w:rPr>
                <w:rFonts w:ascii="Arial" w:cs="Arial" w:eastAsia="Arial" w:hAnsi="Arial"/>
                <w:sz w:val="13"/>
                <w:szCs w:val="13"/>
                <w:b w:val="1"/>
                <w:bCs w:val="1"/>
                <w:color w:val="1F2668"/>
              </w:rPr>
              <w:t>Granted and</w:t>
            </w:r>
          </w:p>
        </w:tc>
        <w:tc>
          <w:tcPr>
            <w:tcW w:w="1340" w:type="dxa"/>
            <w:vAlign w:val="bottom"/>
          </w:tcPr>
          <w:p>
            <w:pPr>
              <w:jc w:val="right"/>
              <w:spacing w:after="0" w:line="135" w:lineRule="exact"/>
              <w:rPr>
                <w:sz w:val="20"/>
                <w:szCs w:val="20"/>
                <w:color w:val="auto"/>
              </w:rPr>
            </w:pPr>
            <w:r>
              <w:rPr>
                <w:rFonts w:ascii="Arial" w:cs="Arial" w:eastAsia="Arial" w:hAnsi="Arial"/>
                <w:sz w:val="13"/>
                <w:szCs w:val="13"/>
                <w:b w:val="1"/>
                <w:bCs w:val="1"/>
                <w:color w:val="1F2668"/>
              </w:rPr>
              <w:t>Years that Vested in</w:t>
            </w:r>
          </w:p>
        </w:tc>
        <w:tc>
          <w:tcPr>
            <w:tcW w:w="100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1F2668"/>
              </w:rPr>
              <w:t>Conditions in</w:t>
            </w:r>
          </w:p>
        </w:tc>
        <w:tc>
          <w:tcPr>
            <w:tcW w:w="1040" w:type="dxa"/>
            <w:vAlign w:val="bottom"/>
          </w:tcPr>
          <w:p>
            <w:pPr>
              <w:jc w:val="right"/>
              <w:spacing w:after="0" w:line="135" w:lineRule="exact"/>
              <w:rPr>
                <w:sz w:val="20"/>
                <w:szCs w:val="20"/>
                <w:color w:val="auto"/>
              </w:rPr>
            </w:pPr>
            <w:r>
              <w:rPr>
                <w:rFonts w:ascii="Arial" w:cs="Arial" w:eastAsia="Arial" w:hAnsi="Arial"/>
                <w:sz w:val="13"/>
                <w:szCs w:val="13"/>
                <w:b w:val="1"/>
                <w:bCs w:val="1"/>
                <w:color w:val="1F2668"/>
              </w:rPr>
              <w:t>other Earnings</w:t>
            </w:r>
          </w:p>
        </w:tc>
        <w:tc>
          <w:tcPr>
            <w:tcW w:w="920" w:type="dxa"/>
            <w:vAlign w:val="bottom"/>
          </w:tcPr>
          <w:p>
            <w:pPr>
              <w:jc w:val="right"/>
              <w:ind w:right="26"/>
              <w:spacing w:after="0" w:line="135" w:lineRule="exact"/>
              <w:rPr>
                <w:sz w:val="20"/>
                <w:szCs w:val="20"/>
                <w:color w:val="auto"/>
              </w:rPr>
            </w:pPr>
            <w:r>
              <w:rPr>
                <w:rFonts w:ascii="Arial" w:cs="Arial" w:eastAsia="Arial" w:hAnsi="Arial"/>
                <w:sz w:val="13"/>
                <w:szCs w:val="13"/>
                <w:b w:val="1"/>
                <w:bCs w:val="1"/>
                <w:color w:val="1F2668"/>
              </w:rPr>
              <w:t>Award</w:t>
            </w:r>
          </w:p>
        </w:tc>
        <w:tc>
          <w:tcPr>
            <w:tcW w:w="0" w:type="dxa"/>
            <w:vAlign w:val="bottom"/>
          </w:tcPr>
          <w:p>
            <w:pPr>
              <w:spacing w:after="0"/>
              <w:rPr>
                <w:sz w:val="1"/>
                <w:szCs w:val="1"/>
                <w:color w:val="auto"/>
              </w:rPr>
            </w:pPr>
          </w:p>
        </w:tc>
      </w:tr>
      <w:tr>
        <w:trPr>
          <w:trHeight w:val="147"/>
        </w:trPr>
        <w:tc>
          <w:tcPr>
            <w:tcW w:w="1340" w:type="dxa"/>
            <w:vAlign w:val="bottom"/>
          </w:tcPr>
          <w:p>
            <w:pPr>
              <w:spacing w:after="0"/>
              <w:rPr>
                <w:sz w:val="12"/>
                <w:szCs w:val="12"/>
                <w:color w:val="auto"/>
              </w:rPr>
            </w:pPr>
          </w:p>
        </w:tc>
        <w:tc>
          <w:tcPr>
            <w:tcW w:w="2140" w:type="dxa"/>
            <w:vAlign w:val="bottom"/>
          </w:tcPr>
          <w:p>
            <w:pPr>
              <w:jc w:val="right"/>
              <w:spacing w:after="0" w:line="148" w:lineRule="exact"/>
              <w:rPr>
                <w:sz w:val="20"/>
                <w:szCs w:val="20"/>
                <w:color w:val="auto"/>
              </w:rPr>
            </w:pPr>
            <w:r>
              <w:rPr>
                <w:rFonts w:ascii="Arial" w:cs="Arial" w:eastAsia="Arial" w:hAnsi="Arial"/>
                <w:sz w:val="13"/>
                <w:szCs w:val="13"/>
                <w:b w:val="1"/>
                <w:bCs w:val="1"/>
                <w:color w:val="1F2668"/>
              </w:rPr>
              <w:t>and Unvested</w:t>
            </w:r>
          </w:p>
        </w:tc>
        <w:tc>
          <w:tcPr>
            <w:tcW w:w="1120" w:type="dxa"/>
            <w:vAlign w:val="bottom"/>
          </w:tcPr>
          <w:p>
            <w:pPr>
              <w:jc w:val="right"/>
              <w:spacing w:after="0" w:line="148" w:lineRule="exact"/>
              <w:rPr>
                <w:sz w:val="20"/>
                <w:szCs w:val="20"/>
                <w:color w:val="auto"/>
              </w:rPr>
            </w:pPr>
            <w:r>
              <w:rPr>
                <w:rFonts w:ascii="Arial" w:cs="Arial" w:eastAsia="Arial" w:hAnsi="Arial"/>
                <w:sz w:val="13"/>
                <w:szCs w:val="13"/>
                <w:b w:val="1"/>
                <w:bCs w:val="1"/>
                <w:color w:val="1F2668"/>
              </w:rPr>
              <w:t>Awards</w:t>
            </w:r>
          </w:p>
        </w:tc>
        <w:tc>
          <w:tcPr>
            <w:tcW w:w="1040" w:type="dxa"/>
            <w:vAlign w:val="bottom"/>
          </w:tcPr>
          <w:p>
            <w:pPr>
              <w:jc w:val="right"/>
              <w:spacing w:after="0" w:line="148" w:lineRule="exact"/>
              <w:rPr>
                <w:sz w:val="20"/>
                <w:szCs w:val="20"/>
                <w:color w:val="auto"/>
              </w:rPr>
            </w:pPr>
            <w:r>
              <w:rPr>
                <w:rFonts w:ascii="Arial" w:cs="Arial" w:eastAsia="Arial" w:hAnsi="Arial"/>
                <w:sz w:val="13"/>
                <w:szCs w:val="13"/>
                <w:b w:val="1"/>
                <w:bCs w:val="1"/>
                <w:color w:val="1F2668"/>
              </w:rPr>
              <w:t>Vested in</w:t>
            </w:r>
          </w:p>
        </w:tc>
        <w:tc>
          <w:tcPr>
            <w:tcW w:w="1340" w:type="dxa"/>
            <w:vAlign w:val="bottom"/>
          </w:tcPr>
          <w:p>
            <w:pPr>
              <w:jc w:val="right"/>
              <w:spacing w:after="0" w:line="148" w:lineRule="exact"/>
              <w:rPr>
                <w:sz w:val="20"/>
                <w:szCs w:val="20"/>
                <w:color w:val="auto"/>
              </w:rPr>
            </w:pPr>
            <w:r>
              <w:rPr>
                <w:rFonts w:ascii="Arial" w:cs="Arial" w:eastAsia="Arial" w:hAnsi="Arial"/>
                <w:sz w:val="13"/>
                <w:szCs w:val="13"/>
                <w:b w:val="1"/>
                <w:bCs w:val="1"/>
                <w:color w:val="1F2668"/>
              </w:rPr>
              <w:t>the Year</w:t>
            </w:r>
          </w:p>
        </w:tc>
        <w:tc>
          <w:tcPr>
            <w:tcW w:w="1000" w:type="dxa"/>
            <w:vAlign w:val="bottom"/>
          </w:tcPr>
          <w:p>
            <w:pPr>
              <w:jc w:val="right"/>
              <w:ind w:right="17"/>
              <w:spacing w:after="0" w:line="148" w:lineRule="exact"/>
              <w:rPr>
                <w:sz w:val="20"/>
                <w:szCs w:val="20"/>
                <w:color w:val="auto"/>
              </w:rPr>
            </w:pPr>
            <w:r>
              <w:rPr>
                <w:rFonts w:ascii="Arial" w:cs="Arial" w:eastAsia="Arial" w:hAnsi="Arial"/>
                <w:sz w:val="13"/>
                <w:szCs w:val="13"/>
                <w:b w:val="1"/>
                <w:bCs w:val="1"/>
                <w:color w:val="1F2668"/>
              </w:rPr>
              <w:t>the Year</w:t>
            </w:r>
          </w:p>
        </w:tc>
        <w:tc>
          <w:tcPr>
            <w:tcW w:w="1040" w:type="dxa"/>
            <w:vAlign w:val="bottom"/>
          </w:tcPr>
          <w:p>
            <w:pPr>
              <w:jc w:val="right"/>
              <w:spacing w:after="0" w:line="148" w:lineRule="exact"/>
              <w:rPr>
                <w:sz w:val="20"/>
                <w:szCs w:val="20"/>
                <w:color w:val="auto"/>
              </w:rPr>
            </w:pPr>
            <w:r>
              <w:rPr>
                <w:rFonts w:ascii="Arial" w:cs="Arial" w:eastAsia="Arial" w:hAnsi="Arial"/>
                <w:sz w:val="13"/>
                <w:szCs w:val="13"/>
                <w:b w:val="1"/>
                <w:bCs w:val="1"/>
                <w:color w:val="1F2668"/>
                <w:w w:val="98"/>
              </w:rPr>
              <w:t>Paid on Awards</w:t>
            </w:r>
          </w:p>
        </w:tc>
        <w:tc>
          <w:tcPr>
            <w:tcW w:w="920" w:type="dxa"/>
            <w:vAlign w:val="bottom"/>
          </w:tcPr>
          <w:p>
            <w:pPr>
              <w:jc w:val="right"/>
              <w:ind w:right="26"/>
              <w:spacing w:after="0" w:line="148" w:lineRule="exact"/>
              <w:rPr>
                <w:sz w:val="20"/>
                <w:szCs w:val="20"/>
                <w:color w:val="auto"/>
              </w:rPr>
            </w:pPr>
            <w:r>
              <w:rPr>
                <w:rFonts w:ascii="Arial" w:cs="Arial" w:eastAsia="Arial" w:hAnsi="Arial"/>
                <w:sz w:val="13"/>
                <w:szCs w:val="13"/>
                <w:b w:val="1"/>
                <w:bCs w:val="1"/>
                <w:color w:val="1F2668"/>
              </w:rPr>
              <w:t>Adjustments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208"/>
        </w:trPr>
        <w:tc>
          <w:tcPr>
            <w:tcW w:w="860" w:type="dxa"/>
            <w:vAlign w:val="bottom"/>
          </w:tcPr>
          <w:p>
            <w:pPr>
              <w:ind w:left="20"/>
              <w:spacing w:after="0"/>
              <w:rPr>
                <w:sz w:val="20"/>
                <w:szCs w:val="20"/>
                <w:color w:val="auto"/>
              </w:rPr>
            </w:pPr>
            <w:r>
              <w:rPr>
                <w:rFonts w:ascii="Arial" w:cs="Arial" w:eastAsia="Arial" w:hAnsi="Arial"/>
                <w:sz w:val="13"/>
                <w:szCs w:val="13"/>
                <w:b w:val="1"/>
                <w:bCs w:val="1"/>
                <w:color w:val="1F2668"/>
              </w:rPr>
              <w:t>Year</w:t>
            </w:r>
          </w:p>
        </w:tc>
        <w:tc>
          <w:tcPr>
            <w:tcW w:w="2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1F2668"/>
              </w:rPr>
              <w:t>​​</w:t>
            </w:r>
          </w:p>
        </w:tc>
        <w:tc>
          <w:tcPr>
            <w:tcW w:w="160" w:type="dxa"/>
            <w:vAlign w:val="bottom"/>
          </w:tcPr>
          <w:p>
            <w:pPr>
              <w:spacing w:after="0"/>
              <w:rPr>
                <w:sz w:val="18"/>
                <w:szCs w:val="18"/>
                <w:color w:val="auto"/>
              </w:rPr>
            </w:pPr>
          </w:p>
        </w:tc>
        <w:tc>
          <w:tcPr>
            <w:tcW w:w="920" w:type="dxa"/>
            <w:vAlign w:val="bottom"/>
            <w:gridSpan w:val="3"/>
          </w:tcPr>
          <w:p>
            <w:pPr>
              <w:jc w:val="right"/>
              <w:ind w:right="80"/>
              <w:spacing w:after="0" w:line="209" w:lineRule="exact"/>
              <w:rPr>
                <w:sz w:val="20"/>
                <w:szCs w:val="20"/>
                <w:color w:val="auto"/>
              </w:rPr>
            </w:pPr>
            <w:r>
              <w:rPr>
                <w:rFonts w:ascii="Arial" w:cs="Arial" w:eastAsia="Arial" w:hAnsi="Arial"/>
                <w:sz w:val="12"/>
                <w:szCs w:val="12"/>
                <w:b w:val="1"/>
                <w:bCs w:val="1"/>
                <w:color w:val="1F2668"/>
              </w:rPr>
              <w:t xml:space="preserve">($) </w:t>
            </w:r>
            <w:r>
              <w:rPr>
                <w:rFonts w:ascii="Arial" w:cs="Arial" w:eastAsia="Arial" w:hAnsi="Arial"/>
                <w:sz w:val="24"/>
                <w:szCs w:val="24"/>
                <w:b w:val="1"/>
                <w:bCs w:val="1"/>
                <w:color w:val="1F2668"/>
                <w:vertAlign w:val="subscript"/>
              </w:rPr>
              <w:t>​​</w:t>
            </w:r>
          </w:p>
        </w:tc>
        <w:tc>
          <w:tcPr>
            <w:tcW w:w="180" w:type="dxa"/>
            <w:vAlign w:val="bottom"/>
          </w:tcPr>
          <w:p>
            <w:pPr>
              <w:spacing w:after="0"/>
              <w:rPr>
                <w:sz w:val="18"/>
                <w:szCs w:val="18"/>
                <w:color w:val="auto"/>
              </w:rPr>
            </w:pPr>
          </w:p>
        </w:tc>
        <w:tc>
          <w:tcPr>
            <w:tcW w:w="940" w:type="dxa"/>
            <w:vAlign w:val="bottom"/>
            <w:gridSpan w:val="4"/>
          </w:tcPr>
          <w:p>
            <w:pPr>
              <w:jc w:val="right"/>
              <w:ind w:right="100"/>
              <w:spacing w:after="0" w:line="209" w:lineRule="exact"/>
              <w:rPr>
                <w:sz w:val="20"/>
                <w:szCs w:val="20"/>
                <w:color w:val="auto"/>
              </w:rPr>
            </w:pPr>
            <w:r>
              <w:rPr>
                <w:rFonts w:ascii="Arial" w:cs="Arial" w:eastAsia="Arial" w:hAnsi="Arial"/>
                <w:sz w:val="12"/>
                <w:szCs w:val="12"/>
                <w:b w:val="1"/>
                <w:bCs w:val="1"/>
                <w:color w:val="1F2668"/>
              </w:rPr>
              <w:t xml:space="preserve">($) </w:t>
            </w:r>
            <w:r>
              <w:rPr>
                <w:rFonts w:ascii="Arial" w:cs="Arial" w:eastAsia="Arial" w:hAnsi="Arial"/>
                <w:sz w:val="24"/>
                <w:szCs w:val="24"/>
                <w:b w:val="1"/>
                <w:bCs w:val="1"/>
                <w:color w:val="1F2668"/>
                <w:vertAlign w:val="subscript"/>
              </w:rPr>
              <w:t>​​</w:t>
            </w:r>
          </w:p>
        </w:tc>
        <w:tc>
          <w:tcPr>
            <w:tcW w:w="160" w:type="dxa"/>
            <w:vAlign w:val="bottom"/>
          </w:tcPr>
          <w:p>
            <w:pPr>
              <w:spacing w:after="0"/>
              <w:rPr>
                <w:sz w:val="18"/>
                <w:szCs w:val="18"/>
                <w:color w:val="auto"/>
              </w:rPr>
            </w:pPr>
          </w:p>
        </w:tc>
        <w:tc>
          <w:tcPr>
            <w:tcW w:w="1020" w:type="dxa"/>
            <w:vAlign w:val="bottom"/>
            <w:gridSpan w:val="4"/>
          </w:tcPr>
          <w:p>
            <w:pPr>
              <w:jc w:val="right"/>
              <w:ind w:right="240"/>
              <w:spacing w:after="0" w:line="209" w:lineRule="exact"/>
              <w:rPr>
                <w:sz w:val="20"/>
                <w:szCs w:val="20"/>
                <w:color w:val="auto"/>
              </w:rPr>
            </w:pPr>
            <w:r>
              <w:rPr>
                <w:rFonts w:ascii="Arial" w:cs="Arial" w:eastAsia="Arial" w:hAnsi="Arial"/>
                <w:sz w:val="12"/>
                <w:szCs w:val="12"/>
                <w:b w:val="1"/>
                <w:bCs w:val="1"/>
                <w:color w:val="1F2668"/>
              </w:rPr>
              <w:t xml:space="preserve">the Year </w:t>
            </w:r>
            <w:r>
              <w:rPr>
                <w:rFonts w:ascii="Arial" w:cs="Arial" w:eastAsia="Arial" w:hAnsi="Arial"/>
                <w:sz w:val="12"/>
                <w:szCs w:val="12"/>
                <w:b w:val="1"/>
                <w:bCs w:val="1"/>
                <w:u w:val="single" w:color="auto"/>
                <w:color w:val="1F2668"/>
              </w:rPr>
              <w:t>($</w:t>
            </w:r>
            <w:r>
              <w:rPr>
                <w:rFonts w:ascii="Arial" w:cs="Arial" w:eastAsia="Arial" w:hAnsi="Arial"/>
                <w:sz w:val="12"/>
                <w:szCs w:val="12"/>
                <w:b w:val="1"/>
                <w:bCs w:val="1"/>
                <w:color w:val="1F2668"/>
              </w:rPr>
              <w:t xml:space="preserve">) </w:t>
            </w:r>
            <w:r>
              <w:rPr>
                <w:rFonts w:ascii="Arial" w:cs="Arial" w:eastAsia="Arial" w:hAnsi="Arial"/>
                <w:sz w:val="24"/>
                <w:szCs w:val="24"/>
                <w:b w:val="1"/>
                <w:bCs w:val="1"/>
                <w:color w:val="1F2668"/>
                <w:vertAlign w:val="subscript"/>
              </w:rPr>
              <w:t>​​</w:t>
            </w:r>
          </w:p>
        </w:tc>
        <w:tc>
          <w:tcPr>
            <w:tcW w:w="320" w:type="dxa"/>
            <w:vAlign w:val="bottom"/>
          </w:tcPr>
          <w:p>
            <w:pPr>
              <w:spacing w:after="0"/>
              <w:rPr>
                <w:sz w:val="18"/>
                <w:szCs w:val="18"/>
                <w:color w:val="auto"/>
              </w:rPr>
            </w:pPr>
          </w:p>
        </w:tc>
        <w:tc>
          <w:tcPr>
            <w:tcW w:w="840" w:type="dxa"/>
            <w:vAlign w:val="bottom"/>
            <w:gridSpan w:val="3"/>
          </w:tcPr>
          <w:p>
            <w:pPr>
              <w:ind w:left="520"/>
              <w:spacing w:after="0" w:line="209" w:lineRule="exact"/>
              <w:rPr>
                <w:sz w:val="20"/>
                <w:szCs w:val="20"/>
                <w:color w:val="auto"/>
              </w:rPr>
            </w:pPr>
            <w:r>
              <w:rPr>
                <w:rFonts w:ascii="Arial" w:cs="Arial" w:eastAsia="Arial" w:hAnsi="Arial"/>
                <w:sz w:val="12"/>
                <w:szCs w:val="12"/>
                <w:b w:val="1"/>
                <w:bCs w:val="1"/>
                <w:color w:val="1F2668"/>
              </w:rPr>
              <w:t xml:space="preserve">($) </w:t>
            </w:r>
            <w:r>
              <w:rPr>
                <w:rFonts w:ascii="Arial" w:cs="Arial" w:eastAsia="Arial" w:hAnsi="Arial"/>
                <w:sz w:val="24"/>
                <w:szCs w:val="24"/>
                <w:b w:val="1"/>
                <w:bCs w:val="1"/>
                <w:color w:val="1F2668"/>
                <w:vertAlign w:val="subscript"/>
              </w:rPr>
              <w:t>​​</w:t>
            </w:r>
          </w:p>
        </w:tc>
        <w:tc>
          <w:tcPr>
            <w:tcW w:w="380" w:type="dxa"/>
            <w:vAlign w:val="bottom"/>
          </w:tcPr>
          <w:p>
            <w:pPr>
              <w:spacing w:after="0"/>
              <w:rPr>
                <w:sz w:val="18"/>
                <w:szCs w:val="18"/>
                <w:color w:val="auto"/>
              </w:rPr>
            </w:pPr>
          </w:p>
        </w:tc>
        <w:tc>
          <w:tcPr>
            <w:tcW w:w="660" w:type="dxa"/>
            <w:vAlign w:val="bottom"/>
            <w:gridSpan w:val="3"/>
          </w:tcPr>
          <w:p>
            <w:pPr>
              <w:ind w:left="280"/>
              <w:spacing w:after="0" w:line="209" w:lineRule="exact"/>
              <w:rPr>
                <w:sz w:val="20"/>
                <w:szCs w:val="20"/>
                <w:color w:val="auto"/>
              </w:rPr>
            </w:pPr>
            <w:r>
              <w:rPr>
                <w:rFonts w:ascii="Arial" w:cs="Arial" w:eastAsia="Arial" w:hAnsi="Arial"/>
                <w:sz w:val="12"/>
                <w:szCs w:val="12"/>
                <w:b w:val="1"/>
                <w:bCs w:val="1"/>
                <w:color w:val="1F2668"/>
              </w:rPr>
              <w:t xml:space="preserve">($) </w:t>
            </w:r>
            <w:r>
              <w:rPr>
                <w:rFonts w:ascii="Arial" w:cs="Arial" w:eastAsia="Arial" w:hAnsi="Arial"/>
                <w:sz w:val="24"/>
                <w:szCs w:val="24"/>
                <w:b w:val="1"/>
                <w:bCs w:val="1"/>
                <w:color w:val="1F2668"/>
                <w:vertAlign w:val="subscript"/>
              </w:rPr>
              <w:t>​​</w:t>
            </w:r>
          </w:p>
        </w:tc>
        <w:tc>
          <w:tcPr>
            <w:tcW w:w="180" w:type="dxa"/>
            <w:vAlign w:val="bottom"/>
          </w:tcPr>
          <w:p>
            <w:pPr>
              <w:spacing w:after="0"/>
              <w:rPr>
                <w:sz w:val="18"/>
                <w:szCs w:val="18"/>
                <w:color w:val="auto"/>
              </w:rPr>
            </w:pPr>
          </w:p>
        </w:tc>
        <w:tc>
          <w:tcPr>
            <w:tcW w:w="800" w:type="dxa"/>
            <w:vAlign w:val="bottom"/>
            <w:gridSpan w:val="3"/>
          </w:tcPr>
          <w:p>
            <w:pPr>
              <w:jc w:val="right"/>
              <w:spacing w:after="0" w:line="209" w:lineRule="exact"/>
              <w:rPr>
                <w:sz w:val="20"/>
                <w:szCs w:val="20"/>
                <w:color w:val="auto"/>
              </w:rPr>
            </w:pPr>
            <w:r>
              <w:rPr>
                <w:rFonts w:ascii="Arial" w:cs="Arial" w:eastAsia="Arial" w:hAnsi="Arial"/>
                <w:sz w:val="12"/>
                <w:szCs w:val="12"/>
                <w:b w:val="1"/>
                <w:bCs w:val="1"/>
                <w:color w:val="1F2668"/>
              </w:rPr>
              <w:t xml:space="preserve">($) </w:t>
            </w:r>
            <w:r>
              <w:rPr>
                <w:rFonts w:ascii="Arial" w:cs="Arial" w:eastAsia="Arial" w:hAnsi="Arial"/>
                <w:sz w:val="24"/>
                <w:szCs w:val="24"/>
                <w:b w:val="1"/>
                <w:bCs w:val="1"/>
                <w:color w:val="1F2668"/>
                <w:vertAlign w:val="subscript"/>
              </w:rPr>
              <w:t>​​</w:t>
            </w:r>
          </w:p>
        </w:tc>
        <w:tc>
          <w:tcPr>
            <w:tcW w:w="780" w:type="dxa"/>
            <w:vAlign w:val="bottom"/>
            <w:gridSpan w:val="3"/>
          </w:tcPr>
          <w:p>
            <w:pPr>
              <w:jc w:val="right"/>
              <w:spacing w:after="0" w:line="209" w:lineRule="exact"/>
              <w:rPr>
                <w:sz w:val="20"/>
                <w:szCs w:val="20"/>
                <w:color w:val="auto"/>
              </w:rPr>
            </w:pPr>
            <w:r>
              <w:rPr>
                <w:rFonts w:ascii="Arial" w:cs="Arial" w:eastAsia="Arial" w:hAnsi="Arial"/>
                <w:sz w:val="12"/>
                <w:szCs w:val="12"/>
                <w:b w:val="1"/>
                <w:bCs w:val="1"/>
                <w:color w:val="1F2668"/>
              </w:rPr>
              <w:t>($)</w:t>
            </w:r>
            <w:r>
              <w:rPr>
                <w:rFonts w:ascii="Arial" w:cs="Arial" w:eastAsia="Arial" w:hAnsi="Arial"/>
                <w:sz w:val="15"/>
                <w:szCs w:val="15"/>
                <w:b w:val="1"/>
                <w:bCs w:val="1"/>
                <w:color w:val="1F2668"/>
                <w:vertAlign w:val="superscript"/>
              </w:rPr>
              <w:t>(i)</w:t>
            </w:r>
            <w:r>
              <w:rPr>
                <w:rFonts w:ascii="Arial" w:cs="Arial" w:eastAsia="Arial" w:hAnsi="Arial"/>
                <w:sz w:val="12"/>
                <w:szCs w:val="12"/>
                <w:b w:val="1"/>
                <w:bCs w:val="1"/>
                <w:color w:val="1F2668"/>
              </w:rPr>
              <w:t xml:space="preserve"> </w:t>
            </w:r>
            <w:r>
              <w:rPr>
                <w:rFonts w:ascii="Arial" w:cs="Arial" w:eastAsia="Arial" w:hAnsi="Arial"/>
                <w:sz w:val="24"/>
                <w:szCs w:val="24"/>
                <w:b w:val="1"/>
                <w:bCs w:val="1"/>
                <w:color w:val="1F2668"/>
                <w:vertAlign w:val="subscript"/>
              </w:rPr>
              <w:t>​</w:t>
            </w:r>
          </w:p>
        </w:tc>
        <w:tc>
          <w:tcPr>
            <w:tcW w:w="0" w:type="dxa"/>
            <w:vAlign w:val="bottom"/>
          </w:tcPr>
          <w:p>
            <w:pPr>
              <w:spacing w:after="0"/>
              <w:rPr>
                <w:sz w:val="1"/>
                <w:szCs w:val="1"/>
                <w:color w:val="auto"/>
              </w:rPr>
            </w:pPr>
          </w:p>
        </w:tc>
      </w:tr>
      <w:tr>
        <w:trPr>
          <w:trHeight w:val="20"/>
        </w:trPr>
        <w:tc>
          <w:tcPr>
            <w:tcW w:w="860" w:type="dxa"/>
            <w:vAlign w:val="bottom"/>
            <w:shd w:val="clear" w:color="auto" w:fill="1F266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1F2668"/>
          </w:tcPr>
          <w:p>
            <w:pPr>
              <w:spacing w:after="0" w:line="20" w:lineRule="exact"/>
              <w:rPr>
                <w:sz w:val="1"/>
                <w:szCs w:val="1"/>
                <w:color w:val="auto"/>
              </w:rPr>
            </w:pPr>
          </w:p>
        </w:tc>
        <w:tc>
          <w:tcPr>
            <w:tcW w:w="160" w:type="dxa"/>
            <w:vAlign w:val="bottom"/>
            <w:shd w:val="clear" w:color="auto" w:fill="1F2668"/>
          </w:tcPr>
          <w:p>
            <w:pPr>
              <w:spacing w:after="0" w:line="20" w:lineRule="exact"/>
              <w:rPr>
                <w:sz w:val="1"/>
                <w:szCs w:val="1"/>
                <w:color w:val="auto"/>
              </w:rPr>
            </w:pPr>
          </w:p>
        </w:tc>
        <w:tc>
          <w:tcPr>
            <w:tcW w:w="720" w:type="dxa"/>
            <w:vAlign w:val="bottom"/>
            <w:shd w:val="clear" w:color="auto" w:fill="1F266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1F2668"/>
          </w:tcPr>
          <w:p>
            <w:pPr>
              <w:spacing w:after="0" w:line="20" w:lineRule="exact"/>
              <w:rPr>
                <w:sz w:val="1"/>
                <w:szCs w:val="1"/>
                <w:color w:val="auto"/>
              </w:rPr>
            </w:pPr>
          </w:p>
        </w:tc>
        <w:tc>
          <w:tcPr>
            <w:tcW w:w="900" w:type="dxa"/>
            <w:vAlign w:val="bottom"/>
            <w:gridSpan w:val="2"/>
            <w:shd w:val="clear" w:color="auto" w:fill="1F266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shd w:val="clear" w:color="auto" w:fill="1F2668"/>
          </w:tcPr>
          <w:p>
            <w:pPr>
              <w:spacing w:after="0" w:line="20" w:lineRule="exact"/>
              <w:rPr>
                <w:sz w:val="1"/>
                <w:szCs w:val="1"/>
                <w:color w:val="auto"/>
              </w:rPr>
            </w:pPr>
          </w:p>
        </w:tc>
        <w:tc>
          <w:tcPr>
            <w:tcW w:w="160" w:type="dxa"/>
            <w:vAlign w:val="bottom"/>
            <w:shd w:val="clear" w:color="auto" w:fill="1F2668"/>
          </w:tcPr>
          <w:p>
            <w:pPr>
              <w:spacing w:after="0" w:line="20" w:lineRule="exact"/>
              <w:rPr>
                <w:sz w:val="1"/>
                <w:szCs w:val="1"/>
                <w:color w:val="auto"/>
              </w:rPr>
            </w:pPr>
          </w:p>
        </w:tc>
        <w:tc>
          <w:tcPr>
            <w:tcW w:w="660" w:type="dxa"/>
            <w:vAlign w:val="bottom"/>
            <w:shd w:val="clear" w:color="auto" w:fill="1F266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shd w:val="clear" w:color="auto" w:fill="1F2668"/>
          </w:tcPr>
          <w:p>
            <w:pPr>
              <w:spacing w:after="0" w:line="20" w:lineRule="exact"/>
              <w:rPr>
                <w:sz w:val="1"/>
                <w:szCs w:val="1"/>
                <w:color w:val="auto"/>
              </w:rPr>
            </w:pPr>
          </w:p>
        </w:tc>
        <w:tc>
          <w:tcPr>
            <w:tcW w:w="320" w:type="dxa"/>
            <w:vAlign w:val="bottom"/>
            <w:shd w:val="clear" w:color="auto" w:fill="1F2668"/>
          </w:tcPr>
          <w:p>
            <w:pPr>
              <w:spacing w:after="0" w:line="20" w:lineRule="exact"/>
              <w:rPr>
                <w:sz w:val="1"/>
                <w:szCs w:val="1"/>
                <w:color w:val="auto"/>
              </w:rPr>
            </w:pPr>
          </w:p>
        </w:tc>
        <w:tc>
          <w:tcPr>
            <w:tcW w:w="680" w:type="dxa"/>
            <w:vAlign w:val="bottom"/>
            <w:shd w:val="clear" w:color="auto" w:fill="1F266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1F2668"/>
          </w:tcPr>
          <w:p>
            <w:pPr>
              <w:spacing w:after="0" w:line="20" w:lineRule="exact"/>
              <w:rPr>
                <w:sz w:val="1"/>
                <w:szCs w:val="1"/>
                <w:color w:val="auto"/>
              </w:rPr>
            </w:pPr>
          </w:p>
        </w:tc>
        <w:tc>
          <w:tcPr>
            <w:tcW w:w="380" w:type="dxa"/>
            <w:vAlign w:val="bottom"/>
            <w:shd w:val="clear" w:color="auto" w:fill="1F2668"/>
          </w:tcPr>
          <w:p>
            <w:pPr>
              <w:spacing w:after="0" w:line="20" w:lineRule="exact"/>
              <w:rPr>
                <w:sz w:val="1"/>
                <w:szCs w:val="1"/>
                <w:color w:val="auto"/>
              </w:rPr>
            </w:pPr>
          </w:p>
        </w:tc>
        <w:tc>
          <w:tcPr>
            <w:tcW w:w="440" w:type="dxa"/>
            <w:vAlign w:val="bottom"/>
            <w:shd w:val="clear" w:color="auto" w:fill="1F266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1F2668"/>
          </w:tcPr>
          <w:p>
            <w:pPr>
              <w:spacing w:after="0" w:line="20" w:lineRule="exact"/>
              <w:rPr>
                <w:sz w:val="1"/>
                <w:szCs w:val="1"/>
                <w:color w:val="auto"/>
              </w:rPr>
            </w:pPr>
          </w:p>
        </w:tc>
        <w:tc>
          <w:tcPr>
            <w:tcW w:w="180" w:type="dxa"/>
            <w:vAlign w:val="bottom"/>
            <w:shd w:val="clear" w:color="auto" w:fill="1F2668"/>
          </w:tcPr>
          <w:p>
            <w:pPr>
              <w:spacing w:after="0" w:line="20" w:lineRule="exact"/>
              <w:rPr>
                <w:sz w:val="1"/>
                <w:szCs w:val="1"/>
                <w:color w:val="auto"/>
              </w:rPr>
            </w:pPr>
          </w:p>
        </w:tc>
        <w:tc>
          <w:tcPr>
            <w:tcW w:w="660" w:type="dxa"/>
            <w:vAlign w:val="bottom"/>
            <w:shd w:val="clear" w:color="auto" w:fill="1F266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1F2668"/>
          </w:tcPr>
          <w:p>
            <w:pPr>
              <w:spacing w:after="0" w:line="20" w:lineRule="exact"/>
              <w:rPr>
                <w:sz w:val="1"/>
                <w:szCs w:val="1"/>
                <w:color w:val="auto"/>
              </w:rPr>
            </w:pPr>
          </w:p>
        </w:tc>
        <w:tc>
          <w:tcPr>
            <w:tcW w:w="740" w:type="dxa"/>
            <w:vAlign w:val="bottom"/>
            <w:shd w:val="clear" w:color="auto" w:fill="1F266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60" w:type="dxa"/>
            <w:vAlign w:val="bottom"/>
          </w:tcPr>
          <w:p>
            <w:pPr>
              <w:ind w:left="20"/>
              <w:spacing w:after="0"/>
              <w:rPr>
                <w:sz w:val="20"/>
                <w:szCs w:val="20"/>
                <w:color w:val="auto"/>
              </w:rPr>
            </w:pPr>
            <w:r>
              <w:rPr>
                <w:rFonts w:ascii="Arial" w:cs="Arial" w:eastAsia="Arial" w:hAnsi="Arial"/>
                <w:sz w:val="14"/>
                <w:szCs w:val="14"/>
                <w:b w:val="1"/>
                <w:bCs w:val="1"/>
                <w:color w:val="1F2668"/>
              </w:rPr>
              <w:t>2024</w:t>
            </w: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line="27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20" w:type="dxa"/>
            <w:vAlign w:val="bottom"/>
            <w:gridSpan w:val="3"/>
          </w:tcPr>
          <w:p>
            <w:pPr>
              <w:jc w:val="right"/>
              <w:ind w:right="100"/>
              <w:spacing w:after="0" w:line="277" w:lineRule="exact"/>
              <w:rPr>
                <w:sz w:val="20"/>
                <w:szCs w:val="20"/>
                <w:color w:val="auto"/>
              </w:rPr>
            </w:pPr>
            <w:r>
              <w:rPr>
                <w:rFonts w:ascii="Arial" w:cs="Arial" w:eastAsia="Arial" w:hAnsi="Arial"/>
                <w:sz w:val="14"/>
                <w:szCs w:val="14"/>
                <w:color w:val="auto"/>
              </w:rPr>
              <w:t>24,495,938</w:t>
            </w:r>
            <w:r>
              <w:rPr>
                <w:rFonts w:ascii="Arial" w:cs="Arial" w:eastAsia="Arial" w:hAnsi="Arial"/>
                <w:sz w:val="28"/>
                <w:szCs w:val="28"/>
                <w:color w:val="auto"/>
                <w:vertAlign w:val="subscript"/>
              </w:rPr>
              <w:t>​​​</w:t>
            </w:r>
          </w:p>
        </w:tc>
        <w:tc>
          <w:tcPr>
            <w:tcW w:w="1120" w:type="dxa"/>
            <w:vAlign w:val="bottom"/>
            <w:gridSpan w:val="5"/>
          </w:tcPr>
          <w:p>
            <w:pPr>
              <w:ind w:left="80"/>
              <w:spacing w:after="0" w:line="27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13,307,651</w:t>
            </w:r>
            <w:r>
              <w:rPr>
                <w:rFonts w:ascii="Arial" w:cs="Arial" w:eastAsia="Arial" w:hAnsi="Arial"/>
                <w:sz w:val="28"/>
                <w:szCs w:val="28"/>
                <w:color w:val="auto"/>
                <w:vertAlign w:val="subscript"/>
              </w:rPr>
              <w:t>​​​</w:t>
            </w:r>
          </w:p>
        </w:tc>
        <w:tc>
          <w:tcPr>
            <w:tcW w:w="160" w:type="dxa"/>
            <w:vAlign w:val="bottom"/>
          </w:tcPr>
          <w:p>
            <w:pPr>
              <w:jc w:val="right"/>
              <w:spacing w:after="0" w:line="27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1020" w:type="dxa"/>
            <w:vAlign w:val="bottom"/>
            <w:gridSpan w:val="4"/>
          </w:tcPr>
          <w:p>
            <w:pPr>
              <w:jc w:val="right"/>
              <w:ind w:right="240"/>
              <w:spacing w:after="0" w:line="277" w:lineRule="exact"/>
              <w:rPr>
                <w:sz w:val="20"/>
                <w:szCs w:val="20"/>
                <w:color w:val="auto"/>
              </w:rPr>
            </w:pPr>
            <w:r>
              <w:rPr>
                <w:rFonts w:ascii="Arial" w:cs="Arial" w:eastAsia="Arial" w:hAnsi="Arial"/>
                <w:sz w:val="14"/>
                <w:szCs w:val="14"/>
                <w:color w:val="auto"/>
              </w:rPr>
              <w:t>2,486,913</w:t>
            </w:r>
            <w:r>
              <w:rPr>
                <w:rFonts w:ascii="Arial" w:cs="Arial" w:eastAsia="Arial" w:hAnsi="Arial"/>
                <w:sz w:val="28"/>
                <w:szCs w:val="28"/>
                <w:color w:val="auto"/>
                <w:vertAlign w:val="subscript"/>
              </w:rPr>
              <w:t>​​​</w:t>
            </w:r>
          </w:p>
        </w:tc>
        <w:tc>
          <w:tcPr>
            <w:tcW w:w="320" w:type="dxa"/>
            <w:vAlign w:val="bottom"/>
          </w:tcPr>
          <w:p>
            <w:pPr>
              <w:ind w:left="240"/>
              <w:spacing w:after="0" w:line="27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840" w:type="dxa"/>
            <w:vAlign w:val="bottom"/>
            <w:gridSpan w:val="3"/>
          </w:tcPr>
          <w:p>
            <w:pPr>
              <w:jc w:val="right"/>
              <w:ind w:right="60"/>
              <w:spacing w:after="0" w:line="277" w:lineRule="exact"/>
              <w:rPr>
                <w:sz w:val="20"/>
                <w:szCs w:val="20"/>
                <w:color w:val="auto"/>
              </w:rPr>
            </w:pPr>
            <w:r>
              <w:rPr>
                <w:rFonts w:ascii="Arial" w:cs="Arial" w:eastAsia="Arial" w:hAnsi="Arial"/>
                <w:sz w:val="14"/>
                <w:szCs w:val="14"/>
                <w:color w:val="auto"/>
              </w:rPr>
              <w:t>4,685,715</w:t>
            </w:r>
            <w:r>
              <w:rPr>
                <w:rFonts w:ascii="Arial" w:cs="Arial" w:eastAsia="Arial" w:hAnsi="Arial"/>
                <w:sz w:val="28"/>
                <w:szCs w:val="28"/>
                <w:color w:val="auto"/>
                <w:vertAlign w:val="subscript"/>
              </w:rPr>
              <w:t>​​​</w:t>
            </w:r>
          </w:p>
        </w:tc>
        <w:tc>
          <w:tcPr>
            <w:tcW w:w="380" w:type="dxa"/>
            <w:vAlign w:val="bottom"/>
          </w:tcPr>
          <w:p>
            <w:pPr>
              <w:ind w:left="60"/>
              <w:spacing w:after="0" w:line="27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660" w:type="dxa"/>
            <w:vAlign w:val="bottom"/>
            <w:gridSpan w:val="3"/>
          </w:tcPr>
          <w:p>
            <w:pPr>
              <w:jc w:val="right"/>
              <w:ind w:right="120"/>
              <w:spacing w:after="0" w:line="277"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180" w:type="dxa"/>
            <w:vAlign w:val="bottom"/>
          </w:tcPr>
          <w:p>
            <w:pPr>
              <w:jc w:val="right"/>
              <w:spacing w:after="0" w:line="27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800" w:type="dxa"/>
            <w:vAlign w:val="bottom"/>
            <w:gridSpan w:val="3"/>
          </w:tcPr>
          <w:p>
            <w:pPr>
              <w:jc w:val="right"/>
              <w:spacing w:after="0" w:line="277" w:lineRule="exact"/>
              <w:rPr>
                <w:sz w:val="20"/>
                <w:szCs w:val="20"/>
                <w:color w:val="auto"/>
              </w:rPr>
            </w:pPr>
            <w:r>
              <w:rPr>
                <w:rFonts w:ascii="Arial" w:cs="Arial" w:eastAsia="Arial" w:hAnsi="Arial"/>
                <w:sz w:val="14"/>
                <w:szCs w:val="14"/>
                <w:color w:val="auto"/>
              </w:rPr>
              <w:t>2,330,105</w:t>
            </w: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780" w:type="dxa"/>
            <w:vAlign w:val="bottom"/>
            <w:gridSpan w:val="3"/>
          </w:tcPr>
          <w:p>
            <w:pPr>
              <w:jc w:val="right"/>
              <w:spacing w:after="0" w:line="277" w:lineRule="exact"/>
              <w:rPr>
                <w:sz w:val="20"/>
                <w:szCs w:val="20"/>
                <w:color w:val="auto"/>
              </w:rPr>
            </w:pPr>
            <w:r>
              <w:rPr>
                <w:rFonts w:ascii="Arial" w:cs="Arial" w:eastAsia="Arial" w:hAnsi="Arial"/>
                <w:sz w:val="14"/>
                <w:szCs w:val="14"/>
                <w:color w:val="auto"/>
              </w:rPr>
              <w:t>47,306,322</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0"/>
        </w:trPr>
        <w:tc>
          <w:tcPr>
            <w:tcW w:w="860" w:type="dxa"/>
            <w:vAlign w:val="bottom"/>
            <w:shd w:val="clear" w:color="auto" w:fill="4B50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4B5088"/>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720" w:type="dxa"/>
            <w:vAlign w:val="bottom"/>
            <w:shd w:val="clear" w:color="auto" w:fill="4B50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4B5088"/>
          </w:tcPr>
          <w:p>
            <w:pPr>
              <w:spacing w:after="0" w:line="20" w:lineRule="exact"/>
              <w:rPr>
                <w:sz w:val="1"/>
                <w:szCs w:val="1"/>
                <w:color w:val="auto"/>
              </w:rPr>
            </w:pPr>
          </w:p>
        </w:tc>
        <w:tc>
          <w:tcPr>
            <w:tcW w:w="180" w:type="dxa"/>
            <w:vAlign w:val="bottom"/>
            <w:shd w:val="clear" w:color="auto" w:fill="4B5088"/>
          </w:tcPr>
          <w:p>
            <w:pPr>
              <w:spacing w:after="0" w:line="20" w:lineRule="exact"/>
              <w:rPr>
                <w:sz w:val="1"/>
                <w:szCs w:val="1"/>
                <w:color w:val="auto"/>
              </w:rPr>
            </w:pPr>
          </w:p>
        </w:tc>
        <w:tc>
          <w:tcPr>
            <w:tcW w:w="720" w:type="dxa"/>
            <w:vAlign w:val="bottom"/>
            <w:shd w:val="clear" w:color="auto" w:fill="4B508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660" w:type="dxa"/>
            <w:vAlign w:val="bottom"/>
            <w:shd w:val="clear" w:color="auto" w:fill="4B508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shd w:val="clear" w:color="auto" w:fill="4B5088"/>
          </w:tcPr>
          <w:p>
            <w:pPr>
              <w:spacing w:after="0" w:line="20" w:lineRule="exact"/>
              <w:rPr>
                <w:sz w:val="1"/>
                <w:szCs w:val="1"/>
                <w:color w:val="auto"/>
              </w:rPr>
            </w:pPr>
          </w:p>
        </w:tc>
        <w:tc>
          <w:tcPr>
            <w:tcW w:w="320" w:type="dxa"/>
            <w:vAlign w:val="bottom"/>
            <w:shd w:val="clear" w:color="auto" w:fill="4B5088"/>
          </w:tcPr>
          <w:p>
            <w:pPr>
              <w:spacing w:after="0" w:line="20" w:lineRule="exact"/>
              <w:rPr>
                <w:sz w:val="1"/>
                <w:szCs w:val="1"/>
                <w:color w:val="auto"/>
              </w:rPr>
            </w:pPr>
          </w:p>
        </w:tc>
        <w:tc>
          <w:tcPr>
            <w:tcW w:w="680" w:type="dxa"/>
            <w:vAlign w:val="bottom"/>
            <w:shd w:val="clear" w:color="auto" w:fill="4B50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380" w:type="dxa"/>
            <w:vAlign w:val="bottom"/>
            <w:shd w:val="clear" w:color="auto" w:fill="4B5088"/>
          </w:tcPr>
          <w:p>
            <w:pPr>
              <w:spacing w:after="0" w:line="20" w:lineRule="exact"/>
              <w:rPr>
                <w:sz w:val="1"/>
                <w:szCs w:val="1"/>
                <w:color w:val="auto"/>
              </w:rPr>
            </w:pPr>
          </w:p>
        </w:tc>
        <w:tc>
          <w:tcPr>
            <w:tcW w:w="440" w:type="dxa"/>
            <w:vAlign w:val="bottom"/>
            <w:shd w:val="clear" w:color="auto" w:fill="4B50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180" w:type="dxa"/>
            <w:vAlign w:val="bottom"/>
            <w:shd w:val="clear" w:color="auto" w:fill="4B5088"/>
          </w:tcPr>
          <w:p>
            <w:pPr>
              <w:spacing w:after="0" w:line="20" w:lineRule="exact"/>
              <w:rPr>
                <w:sz w:val="1"/>
                <w:szCs w:val="1"/>
                <w:color w:val="auto"/>
              </w:rPr>
            </w:pPr>
          </w:p>
        </w:tc>
        <w:tc>
          <w:tcPr>
            <w:tcW w:w="660" w:type="dxa"/>
            <w:vAlign w:val="bottom"/>
            <w:shd w:val="clear" w:color="auto" w:fill="4B50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4B5088"/>
          </w:tcPr>
          <w:p>
            <w:pPr>
              <w:spacing w:after="0" w:line="20" w:lineRule="exact"/>
              <w:rPr>
                <w:sz w:val="1"/>
                <w:szCs w:val="1"/>
                <w:color w:val="auto"/>
              </w:rPr>
            </w:pPr>
          </w:p>
        </w:tc>
        <w:tc>
          <w:tcPr>
            <w:tcW w:w="760" w:type="dxa"/>
            <w:vAlign w:val="bottom"/>
            <w:gridSpan w:val="2"/>
            <w:shd w:val="clear" w:color="auto" w:fill="4B50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60" w:type="dxa"/>
            <w:vAlign w:val="bottom"/>
          </w:tcPr>
          <w:p>
            <w:pPr>
              <w:ind w:left="20"/>
              <w:spacing w:after="0"/>
              <w:rPr>
                <w:sz w:val="20"/>
                <w:szCs w:val="20"/>
                <w:color w:val="auto"/>
              </w:rPr>
            </w:pPr>
            <w:r>
              <w:rPr>
                <w:rFonts w:ascii="Arial" w:cs="Arial" w:eastAsia="Arial" w:hAnsi="Arial"/>
                <w:sz w:val="14"/>
                <w:szCs w:val="14"/>
                <w:b w:val="1"/>
                <w:bCs w:val="1"/>
                <w:color w:val="1F2668"/>
              </w:rPr>
              <w:t>2023</w:t>
            </w: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line="27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20" w:type="dxa"/>
            <w:vAlign w:val="bottom"/>
            <w:gridSpan w:val="3"/>
          </w:tcPr>
          <w:p>
            <w:pPr>
              <w:jc w:val="right"/>
              <w:ind w:right="100"/>
              <w:spacing w:after="0" w:line="277" w:lineRule="exact"/>
              <w:rPr>
                <w:sz w:val="20"/>
                <w:szCs w:val="20"/>
                <w:color w:val="auto"/>
              </w:rPr>
            </w:pPr>
            <w:r>
              <w:rPr>
                <w:rFonts w:ascii="Arial" w:cs="Arial" w:eastAsia="Arial" w:hAnsi="Arial"/>
                <w:sz w:val="14"/>
                <w:szCs w:val="14"/>
                <w:color w:val="auto"/>
              </w:rPr>
              <w:t>18,575,794</w:t>
            </w:r>
            <w:r>
              <w:rPr>
                <w:rFonts w:ascii="Arial" w:cs="Arial" w:eastAsia="Arial" w:hAnsi="Arial"/>
                <w:sz w:val="28"/>
                <w:szCs w:val="28"/>
                <w:color w:val="auto"/>
                <w:vertAlign w:val="subscript"/>
              </w:rPr>
              <w:t>​​​</w:t>
            </w:r>
          </w:p>
        </w:tc>
        <w:tc>
          <w:tcPr>
            <w:tcW w:w="180" w:type="dxa"/>
            <w:vAlign w:val="bottom"/>
          </w:tcPr>
          <w:p>
            <w:pPr>
              <w:ind w:left="80"/>
              <w:spacing w:after="0" w:line="27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40" w:type="dxa"/>
            <w:vAlign w:val="bottom"/>
            <w:gridSpan w:val="4"/>
          </w:tcPr>
          <w:p>
            <w:pPr>
              <w:jc w:val="right"/>
              <w:ind w:right="100"/>
              <w:spacing w:after="0" w:line="277" w:lineRule="exact"/>
              <w:rPr>
                <w:sz w:val="20"/>
                <w:szCs w:val="20"/>
                <w:color w:val="auto"/>
              </w:rPr>
            </w:pPr>
            <w:r>
              <w:rPr>
                <w:rFonts w:ascii="Arial" w:cs="Arial" w:eastAsia="Arial" w:hAnsi="Arial"/>
                <w:sz w:val="14"/>
                <w:szCs w:val="14"/>
                <w:color w:val="auto"/>
              </w:rPr>
              <w:t>4,556,883</w:t>
            </w:r>
            <w:r>
              <w:rPr>
                <w:rFonts w:ascii="Arial" w:cs="Arial" w:eastAsia="Arial" w:hAnsi="Arial"/>
                <w:sz w:val="28"/>
                <w:szCs w:val="28"/>
                <w:color w:val="auto"/>
                <w:vertAlign w:val="subscript"/>
              </w:rPr>
              <w:t>​​​</w:t>
            </w:r>
          </w:p>
        </w:tc>
        <w:tc>
          <w:tcPr>
            <w:tcW w:w="160" w:type="dxa"/>
            <w:vAlign w:val="bottom"/>
          </w:tcPr>
          <w:p>
            <w:pPr>
              <w:jc w:val="right"/>
              <w:spacing w:after="0" w:line="27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1020" w:type="dxa"/>
            <w:vAlign w:val="bottom"/>
            <w:gridSpan w:val="4"/>
          </w:tcPr>
          <w:p>
            <w:pPr>
              <w:jc w:val="right"/>
              <w:ind w:right="240"/>
              <w:spacing w:after="0" w:line="277" w:lineRule="exact"/>
              <w:rPr>
                <w:sz w:val="20"/>
                <w:szCs w:val="20"/>
                <w:color w:val="auto"/>
              </w:rPr>
            </w:pPr>
            <w:r>
              <w:rPr>
                <w:rFonts w:ascii="Arial" w:cs="Arial" w:eastAsia="Arial" w:hAnsi="Arial"/>
                <w:sz w:val="14"/>
                <w:szCs w:val="14"/>
                <w:color w:val="auto"/>
              </w:rPr>
              <w:t>1,292,938</w:t>
            </w:r>
            <w:r>
              <w:rPr>
                <w:rFonts w:ascii="Arial" w:cs="Arial" w:eastAsia="Arial" w:hAnsi="Arial"/>
                <w:sz w:val="28"/>
                <w:szCs w:val="28"/>
                <w:color w:val="auto"/>
                <w:vertAlign w:val="subscript"/>
              </w:rPr>
              <w:t>​​​</w:t>
            </w:r>
          </w:p>
        </w:tc>
        <w:tc>
          <w:tcPr>
            <w:tcW w:w="320" w:type="dxa"/>
            <w:vAlign w:val="bottom"/>
          </w:tcPr>
          <w:p>
            <w:pPr>
              <w:ind w:left="240"/>
              <w:spacing w:after="0" w:line="27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840" w:type="dxa"/>
            <w:vAlign w:val="bottom"/>
            <w:gridSpan w:val="3"/>
          </w:tcPr>
          <w:p>
            <w:pPr>
              <w:jc w:val="right"/>
              <w:ind w:right="60"/>
              <w:spacing w:after="0" w:line="277" w:lineRule="exact"/>
              <w:rPr>
                <w:sz w:val="20"/>
                <w:szCs w:val="20"/>
                <w:color w:val="auto"/>
              </w:rPr>
            </w:pPr>
            <w:r>
              <w:rPr>
                <w:rFonts w:ascii="Arial" w:cs="Arial" w:eastAsia="Arial" w:hAnsi="Arial"/>
                <w:sz w:val="14"/>
                <w:szCs w:val="14"/>
                <w:color w:val="auto"/>
              </w:rPr>
              <w:t>2,027,376</w:t>
            </w:r>
            <w:r>
              <w:rPr>
                <w:rFonts w:ascii="Arial" w:cs="Arial" w:eastAsia="Arial" w:hAnsi="Arial"/>
                <w:sz w:val="28"/>
                <w:szCs w:val="28"/>
                <w:color w:val="auto"/>
                <w:vertAlign w:val="subscript"/>
              </w:rPr>
              <w:t>​​​</w:t>
            </w:r>
          </w:p>
        </w:tc>
        <w:tc>
          <w:tcPr>
            <w:tcW w:w="380" w:type="dxa"/>
            <w:vAlign w:val="bottom"/>
          </w:tcPr>
          <w:p>
            <w:pPr>
              <w:ind w:left="60"/>
              <w:spacing w:after="0" w:line="27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660" w:type="dxa"/>
            <w:vAlign w:val="bottom"/>
            <w:gridSpan w:val="3"/>
          </w:tcPr>
          <w:p>
            <w:pPr>
              <w:jc w:val="right"/>
              <w:ind w:right="120"/>
              <w:spacing w:after="0" w:line="277"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180" w:type="dxa"/>
            <w:vAlign w:val="bottom"/>
          </w:tcPr>
          <w:p>
            <w:pPr>
              <w:jc w:val="right"/>
              <w:spacing w:after="0" w:line="27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800" w:type="dxa"/>
            <w:vAlign w:val="bottom"/>
            <w:gridSpan w:val="3"/>
          </w:tcPr>
          <w:p>
            <w:pPr>
              <w:jc w:val="right"/>
              <w:spacing w:after="0" w:line="277" w:lineRule="exact"/>
              <w:rPr>
                <w:sz w:val="20"/>
                <w:szCs w:val="20"/>
                <w:color w:val="auto"/>
              </w:rPr>
            </w:pPr>
            <w:r>
              <w:rPr>
                <w:rFonts w:ascii="Arial" w:cs="Arial" w:eastAsia="Arial" w:hAnsi="Arial"/>
                <w:sz w:val="14"/>
                <w:szCs w:val="14"/>
                <w:color w:val="auto"/>
              </w:rPr>
              <w:t>1,602,445</w:t>
            </w: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780" w:type="dxa"/>
            <w:vAlign w:val="bottom"/>
            <w:gridSpan w:val="3"/>
          </w:tcPr>
          <w:p>
            <w:pPr>
              <w:jc w:val="right"/>
              <w:spacing w:after="0" w:line="277" w:lineRule="exact"/>
              <w:rPr>
                <w:sz w:val="20"/>
                <w:szCs w:val="20"/>
                <w:color w:val="auto"/>
              </w:rPr>
            </w:pPr>
            <w:r>
              <w:rPr>
                <w:rFonts w:ascii="Arial" w:cs="Arial" w:eastAsia="Arial" w:hAnsi="Arial"/>
                <w:sz w:val="14"/>
                <w:szCs w:val="14"/>
                <w:color w:val="auto"/>
              </w:rPr>
              <w:t>28,055,437</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0"/>
        </w:trPr>
        <w:tc>
          <w:tcPr>
            <w:tcW w:w="860" w:type="dxa"/>
            <w:vAlign w:val="bottom"/>
            <w:shd w:val="clear" w:color="auto" w:fill="4B50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4B5088"/>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720" w:type="dxa"/>
            <w:vAlign w:val="bottom"/>
            <w:shd w:val="clear" w:color="auto" w:fill="4B50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4B5088"/>
          </w:tcPr>
          <w:p>
            <w:pPr>
              <w:spacing w:after="0" w:line="20" w:lineRule="exact"/>
              <w:rPr>
                <w:sz w:val="1"/>
                <w:szCs w:val="1"/>
                <w:color w:val="auto"/>
              </w:rPr>
            </w:pPr>
          </w:p>
        </w:tc>
        <w:tc>
          <w:tcPr>
            <w:tcW w:w="900" w:type="dxa"/>
            <w:vAlign w:val="bottom"/>
            <w:gridSpan w:val="2"/>
            <w:shd w:val="clear" w:color="auto" w:fill="4B508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660" w:type="dxa"/>
            <w:vAlign w:val="bottom"/>
            <w:shd w:val="clear" w:color="auto" w:fill="4B50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4B5088"/>
          </w:tcPr>
          <w:p>
            <w:pPr>
              <w:spacing w:after="0" w:line="20" w:lineRule="exact"/>
              <w:rPr>
                <w:sz w:val="1"/>
                <w:szCs w:val="1"/>
                <w:color w:val="auto"/>
              </w:rPr>
            </w:pPr>
          </w:p>
        </w:tc>
        <w:tc>
          <w:tcPr>
            <w:tcW w:w="1000" w:type="dxa"/>
            <w:vAlign w:val="bottom"/>
            <w:gridSpan w:val="2"/>
            <w:shd w:val="clear" w:color="auto" w:fill="4B50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820" w:type="dxa"/>
            <w:vAlign w:val="bottom"/>
            <w:gridSpan w:val="2"/>
            <w:shd w:val="clear" w:color="auto" w:fill="4B50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180" w:type="dxa"/>
            <w:vAlign w:val="bottom"/>
            <w:shd w:val="clear" w:color="auto" w:fill="4B5088"/>
          </w:tcPr>
          <w:p>
            <w:pPr>
              <w:spacing w:after="0" w:line="20" w:lineRule="exact"/>
              <w:rPr>
                <w:sz w:val="1"/>
                <w:szCs w:val="1"/>
                <w:color w:val="auto"/>
              </w:rPr>
            </w:pPr>
          </w:p>
        </w:tc>
        <w:tc>
          <w:tcPr>
            <w:tcW w:w="660" w:type="dxa"/>
            <w:vAlign w:val="bottom"/>
            <w:shd w:val="clear" w:color="auto" w:fill="4B50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3"/>
            <w:shd w:val="clear" w:color="auto" w:fill="4B50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0" w:type="dxa"/>
            <w:vAlign w:val="bottom"/>
          </w:tcPr>
          <w:p>
            <w:pPr>
              <w:ind w:left="20"/>
              <w:spacing w:after="0"/>
              <w:rPr>
                <w:sz w:val="20"/>
                <w:szCs w:val="20"/>
                <w:color w:val="auto"/>
              </w:rPr>
            </w:pPr>
            <w:r>
              <w:rPr>
                <w:rFonts w:ascii="Arial" w:cs="Arial" w:eastAsia="Arial" w:hAnsi="Arial"/>
                <w:sz w:val="14"/>
                <w:szCs w:val="14"/>
                <w:b w:val="1"/>
                <w:bCs w:val="1"/>
                <w:color w:val="1F2668"/>
              </w:rPr>
              <w:t>2022</w:t>
            </w:r>
          </w:p>
        </w:tc>
        <w:tc>
          <w:tcPr>
            <w:tcW w:w="2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4,807,388</w:t>
            </w:r>
          </w:p>
        </w:tc>
        <w:tc>
          <w:tcPr>
            <w:tcW w:w="2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gridSpan w:val="5"/>
          </w:tcPr>
          <w:p>
            <w:pPr>
              <w:ind w:left="100"/>
              <w:spacing w:after="0"/>
              <w:rPr>
                <w:sz w:val="20"/>
                <w:szCs w:val="20"/>
                <w:color w:val="auto"/>
              </w:rPr>
            </w:pPr>
            <w:r>
              <w:rPr>
                <w:rFonts w:ascii="Arial" w:cs="Arial" w:eastAsia="Arial" w:hAnsi="Arial"/>
                <w:sz w:val="14"/>
                <w:szCs w:val="14"/>
                <w:color w:val="auto"/>
              </w:rPr>
              <w:t>​(14,493,069)</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683,334</w:t>
            </w:r>
          </w:p>
        </w:tc>
        <w:tc>
          <w:tcPr>
            <w:tcW w:w="3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gridSpan w:val="4"/>
          </w:tcPr>
          <w:p>
            <w:pPr>
              <w:ind w:left="240"/>
              <w:spacing w:after="0"/>
              <w:rPr>
                <w:sz w:val="20"/>
                <w:szCs w:val="20"/>
                <w:color w:val="auto"/>
              </w:rPr>
            </w:pPr>
            <w:r>
              <w:rPr>
                <w:rFonts w:ascii="Arial" w:cs="Arial" w:eastAsia="Arial" w:hAnsi="Arial"/>
                <w:sz w:val="14"/>
                <w:szCs w:val="14"/>
                <w:color w:val="auto"/>
              </w:rPr>
              <w:t>​ (2,002,870)</w:t>
            </w:r>
          </w:p>
        </w:tc>
        <w:tc>
          <w:tcPr>
            <w:tcW w:w="1040" w:type="dxa"/>
            <w:vAlign w:val="bottom"/>
            <w:gridSpan w:val="4"/>
          </w:tcPr>
          <w:p>
            <w:pPr>
              <w:ind w:left="60"/>
              <w:spacing w:after="0"/>
              <w:rPr>
                <w:sz w:val="20"/>
                <w:szCs w:val="20"/>
                <w:color w:val="auto"/>
              </w:rPr>
            </w:pPr>
            <w:r>
              <w:rPr>
                <w:rFonts w:ascii="Arial" w:cs="Arial" w:eastAsia="Arial" w:hAnsi="Arial"/>
                <w:sz w:val="14"/>
                <w:szCs w:val="14"/>
                <w:color w:val="auto"/>
              </w:rPr>
              <w:t>​ (4,842,970)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1,713,380</w:t>
            </w:r>
          </w:p>
        </w:tc>
        <w:tc>
          <w:tcPr>
            <w:tcW w:w="80" w:type="dxa"/>
            <w:vAlign w:val="bottom"/>
          </w:tcPr>
          <w:p>
            <w:pPr>
              <w:spacing w:after="0"/>
              <w:rPr>
                <w:sz w:val="15"/>
                <w:szCs w:val="15"/>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​(14,134,808)</w:t>
            </w:r>
          </w:p>
        </w:tc>
        <w:tc>
          <w:tcPr>
            <w:tcW w:w="0" w:type="dxa"/>
            <w:vAlign w:val="bottom"/>
          </w:tcPr>
          <w:p>
            <w:pPr>
              <w:spacing w:after="0"/>
              <w:rPr>
                <w:sz w:val="1"/>
                <w:szCs w:val="1"/>
                <w:color w:val="auto"/>
              </w:rPr>
            </w:pPr>
          </w:p>
        </w:tc>
      </w:tr>
      <w:tr>
        <w:trPr>
          <w:trHeight w:val="94"/>
        </w:trPr>
        <w:tc>
          <w:tcPr>
            <w:tcW w:w="860" w:type="dxa"/>
            <w:vAlign w:val="bottom"/>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16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720" w:type="dxa"/>
            <w:vAlign w:val="bottom"/>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180" w:type="dxa"/>
            <w:vAlign w:val="bottom"/>
          </w:tcPr>
          <w:p>
            <w:pPr>
              <w:ind w:left="80"/>
              <w:spacing w:after="0" w:line="95" w:lineRule="exact"/>
              <w:rPr>
                <w:sz w:val="20"/>
                <w:szCs w:val="20"/>
                <w:color w:val="auto"/>
              </w:rPr>
            </w:pPr>
            <w:r>
              <w:rPr>
                <w:rFonts w:ascii="Arial" w:cs="Arial" w:eastAsia="Arial" w:hAnsi="Arial"/>
                <w:sz w:val="10"/>
                <w:szCs w:val="10"/>
                <w:color w:val="auto"/>
              </w:rPr>
              <w:t>​</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gridSpan w:val="2"/>
          </w:tcPr>
          <w:p>
            <w:pPr>
              <w:jc w:val="right"/>
              <w:ind w:right="100"/>
              <w:spacing w:after="0" w:line="95" w:lineRule="exact"/>
              <w:rPr>
                <w:sz w:val="20"/>
                <w:szCs w:val="20"/>
                <w:color w:val="auto"/>
              </w:rPr>
            </w:pPr>
            <w:r>
              <w:rPr>
                <w:rFonts w:ascii="Arial" w:cs="Arial" w:eastAsia="Arial" w:hAnsi="Arial"/>
                <w:sz w:val="10"/>
                <w:szCs w:val="10"/>
                <w:color w:val="auto"/>
              </w:rPr>
              <w:t>​​​</w:t>
            </w:r>
          </w:p>
        </w:tc>
        <w:tc>
          <w:tcPr>
            <w:tcW w:w="16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320" w:type="dxa"/>
            <w:vAlign w:val="bottom"/>
          </w:tcPr>
          <w:p>
            <w:pPr>
              <w:ind w:left="240"/>
              <w:spacing w:after="0" w:line="95" w:lineRule="exact"/>
              <w:rPr>
                <w:sz w:val="20"/>
                <w:szCs w:val="20"/>
                <w:color w:val="auto"/>
              </w:rPr>
            </w:pPr>
            <w:r>
              <w:rPr>
                <w:rFonts w:ascii="Arial" w:cs="Arial" w:eastAsia="Arial" w:hAnsi="Arial"/>
                <w:sz w:val="10"/>
                <w:szCs w:val="10"/>
                <w:color w:val="auto"/>
              </w:rPr>
              <w:t>​</w:t>
            </w:r>
          </w:p>
        </w:tc>
        <w:tc>
          <w:tcPr>
            <w:tcW w:w="680" w:type="dxa"/>
            <w:vAlign w:val="bottom"/>
          </w:tcPr>
          <w:p>
            <w:pPr>
              <w:spacing w:after="0"/>
              <w:rPr>
                <w:sz w:val="8"/>
                <w:szCs w:val="8"/>
                <w:color w:val="auto"/>
              </w:rPr>
            </w:pPr>
          </w:p>
        </w:tc>
        <w:tc>
          <w:tcPr>
            <w:tcW w:w="160" w:type="dxa"/>
            <w:vAlign w:val="bottom"/>
            <w:gridSpan w:val="2"/>
          </w:tcPr>
          <w:p>
            <w:pPr>
              <w:jc w:val="right"/>
              <w:ind w:right="60"/>
              <w:spacing w:after="0" w:line="95" w:lineRule="exact"/>
              <w:rPr>
                <w:sz w:val="20"/>
                <w:szCs w:val="20"/>
                <w:color w:val="auto"/>
              </w:rPr>
            </w:pPr>
            <w:r>
              <w:rPr>
                <w:rFonts w:ascii="Arial" w:cs="Arial" w:eastAsia="Arial" w:hAnsi="Arial"/>
                <w:sz w:val="10"/>
                <w:szCs w:val="10"/>
                <w:color w:val="auto"/>
              </w:rPr>
              <w:t>​​​</w:t>
            </w:r>
          </w:p>
        </w:tc>
        <w:tc>
          <w:tcPr>
            <w:tcW w:w="380" w:type="dxa"/>
            <w:vAlign w:val="bottom"/>
          </w:tcPr>
          <w:p>
            <w:pPr>
              <w:ind w:left="60"/>
              <w:spacing w:after="0" w:line="95" w:lineRule="exact"/>
              <w:rPr>
                <w:sz w:val="20"/>
                <w:szCs w:val="20"/>
                <w:color w:val="auto"/>
              </w:rPr>
            </w:pPr>
            <w:r>
              <w:rPr>
                <w:rFonts w:ascii="Arial" w:cs="Arial" w:eastAsia="Arial" w:hAnsi="Arial"/>
                <w:sz w:val="10"/>
                <w:szCs w:val="10"/>
                <w:color w:val="auto"/>
              </w:rPr>
              <w:t>​</w:t>
            </w:r>
          </w:p>
        </w:tc>
        <w:tc>
          <w:tcPr>
            <w:tcW w:w="440" w:type="dxa"/>
            <w:vAlign w:val="bottom"/>
          </w:tcPr>
          <w:p>
            <w:pPr>
              <w:spacing w:after="0"/>
              <w:rPr>
                <w:sz w:val="8"/>
                <w:szCs w:val="8"/>
                <w:color w:val="auto"/>
              </w:rPr>
            </w:pPr>
          </w:p>
        </w:tc>
        <w:tc>
          <w:tcPr>
            <w:tcW w:w="220" w:type="dxa"/>
            <w:vAlign w:val="bottom"/>
            <w:gridSpan w:val="2"/>
          </w:tcPr>
          <w:p>
            <w:pPr>
              <w:jc w:val="right"/>
              <w:ind w:right="120"/>
              <w:spacing w:after="0" w:line="95" w:lineRule="exact"/>
              <w:rPr>
                <w:sz w:val="20"/>
                <w:szCs w:val="20"/>
                <w:color w:val="auto"/>
              </w:rPr>
            </w:pPr>
            <w:r>
              <w:rPr>
                <w:rFonts w:ascii="Arial" w:cs="Arial" w:eastAsia="Arial" w:hAnsi="Arial"/>
                <w:sz w:val="10"/>
                <w:szCs w:val="10"/>
                <w:color w:val="auto"/>
              </w:rPr>
              <w:t>​​​</w:t>
            </w:r>
          </w:p>
        </w:tc>
        <w:tc>
          <w:tcPr>
            <w:tcW w:w="18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660" w:type="dxa"/>
            <w:vAlign w:val="bottom"/>
          </w:tcPr>
          <w:p>
            <w:pPr>
              <w:spacing w:after="0"/>
              <w:rPr>
                <w:sz w:val="8"/>
                <w:szCs w:val="8"/>
                <w:color w:val="auto"/>
              </w:rPr>
            </w:pPr>
          </w:p>
        </w:tc>
        <w:tc>
          <w:tcPr>
            <w:tcW w:w="140" w:type="dxa"/>
            <w:vAlign w:val="bottom"/>
            <w:gridSpan w:val="2"/>
          </w:tcPr>
          <w:p>
            <w:pPr>
              <w:jc w:val="right"/>
              <w:spacing w:after="0" w:line="95" w:lineRule="exact"/>
              <w:rPr>
                <w:sz w:val="20"/>
                <w:szCs w:val="20"/>
                <w:color w:val="auto"/>
              </w:rPr>
            </w:pPr>
            <w:r>
              <w:rPr>
                <w:rFonts w:ascii="Arial" w:cs="Arial" w:eastAsia="Arial" w:hAnsi="Arial"/>
                <w:sz w:val="10"/>
                <w:szCs w:val="10"/>
                <w:color w:val="auto"/>
              </w:rPr>
              <w:t>​​​​</w:t>
            </w: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20"/>
        </w:trPr>
        <w:tc>
          <w:tcPr>
            <w:tcW w:w="860" w:type="dxa"/>
            <w:vAlign w:val="bottom"/>
            <w:shd w:val="clear" w:color="auto" w:fill="4B50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4B5088"/>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720" w:type="dxa"/>
            <w:vAlign w:val="bottom"/>
            <w:shd w:val="clear" w:color="auto" w:fill="4B50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4B5088"/>
          </w:tcPr>
          <w:p>
            <w:pPr>
              <w:spacing w:after="0" w:line="20" w:lineRule="exact"/>
              <w:rPr>
                <w:sz w:val="1"/>
                <w:szCs w:val="1"/>
                <w:color w:val="auto"/>
              </w:rPr>
            </w:pPr>
          </w:p>
        </w:tc>
        <w:tc>
          <w:tcPr>
            <w:tcW w:w="180" w:type="dxa"/>
            <w:vAlign w:val="bottom"/>
            <w:shd w:val="clear" w:color="auto" w:fill="4B5088"/>
          </w:tcPr>
          <w:p>
            <w:pPr>
              <w:spacing w:after="0" w:line="20" w:lineRule="exact"/>
              <w:rPr>
                <w:sz w:val="1"/>
                <w:szCs w:val="1"/>
                <w:color w:val="auto"/>
              </w:rPr>
            </w:pPr>
          </w:p>
        </w:tc>
        <w:tc>
          <w:tcPr>
            <w:tcW w:w="720" w:type="dxa"/>
            <w:vAlign w:val="bottom"/>
            <w:shd w:val="clear" w:color="auto" w:fill="4B50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660" w:type="dxa"/>
            <w:vAlign w:val="bottom"/>
            <w:shd w:val="clear" w:color="auto" w:fill="4B50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4B5088"/>
          </w:tcPr>
          <w:p>
            <w:pPr>
              <w:spacing w:after="0" w:line="20" w:lineRule="exact"/>
              <w:rPr>
                <w:sz w:val="1"/>
                <w:szCs w:val="1"/>
                <w:color w:val="auto"/>
              </w:rPr>
            </w:pPr>
          </w:p>
        </w:tc>
        <w:tc>
          <w:tcPr>
            <w:tcW w:w="1000" w:type="dxa"/>
            <w:vAlign w:val="bottom"/>
            <w:gridSpan w:val="2"/>
            <w:shd w:val="clear" w:color="auto" w:fill="4B50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380" w:type="dxa"/>
            <w:vAlign w:val="bottom"/>
            <w:shd w:val="clear" w:color="auto" w:fill="4B5088"/>
          </w:tcPr>
          <w:p>
            <w:pPr>
              <w:spacing w:after="0" w:line="20" w:lineRule="exact"/>
              <w:rPr>
                <w:sz w:val="1"/>
                <w:szCs w:val="1"/>
                <w:color w:val="auto"/>
              </w:rPr>
            </w:pPr>
          </w:p>
        </w:tc>
        <w:tc>
          <w:tcPr>
            <w:tcW w:w="440" w:type="dxa"/>
            <w:vAlign w:val="bottom"/>
            <w:shd w:val="clear" w:color="auto" w:fill="4B50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180" w:type="dxa"/>
            <w:vAlign w:val="bottom"/>
            <w:shd w:val="clear" w:color="auto" w:fill="4B5088"/>
          </w:tcPr>
          <w:p>
            <w:pPr>
              <w:spacing w:after="0" w:line="20" w:lineRule="exact"/>
              <w:rPr>
                <w:sz w:val="1"/>
                <w:szCs w:val="1"/>
                <w:color w:val="auto"/>
              </w:rPr>
            </w:pPr>
          </w:p>
        </w:tc>
        <w:tc>
          <w:tcPr>
            <w:tcW w:w="660" w:type="dxa"/>
            <w:vAlign w:val="bottom"/>
            <w:shd w:val="clear" w:color="auto" w:fill="4B50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4B5088"/>
          </w:tcPr>
          <w:p>
            <w:pPr>
              <w:spacing w:after="0" w:line="20" w:lineRule="exact"/>
              <w:rPr>
                <w:sz w:val="1"/>
                <w:szCs w:val="1"/>
                <w:color w:val="auto"/>
              </w:rPr>
            </w:pPr>
          </w:p>
        </w:tc>
        <w:tc>
          <w:tcPr>
            <w:tcW w:w="740" w:type="dxa"/>
            <w:vAlign w:val="bottom"/>
            <w:shd w:val="clear" w:color="auto" w:fill="4B50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0" w:type="dxa"/>
            <w:vAlign w:val="bottom"/>
          </w:tcPr>
          <w:p>
            <w:pPr>
              <w:ind w:left="20"/>
              <w:spacing w:after="0"/>
              <w:rPr>
                <w:sz w:val="20"/>
                <w:szCs w:val="20"/>
                <w:color w:val="auto"/>
              </w:rPr>
            </w:pPr>
            <w:r>
              <w:rPr>
                <w:rFonts w:ascii="Arial" w:cs="Arial" w:eastAsia="Arial" w:hAnsi="Arial"/>
                <w:sz w:val="14"/>
                <w:szCs w:val="14"/>
                <w:b w:val="1"/>
                <w:bCs w:val="1"/>
                <w:color w:val="1F2668"/>
              </w:rPr>
              <w:t>2021</w:t>
            </w:r>
          </w:p>
        </w:tc>
        <w:tc>
          <w:tcPr>
            <w:tcW w:w="2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99"/>
              </w:rPr>
              <w:t>25,933,302</w:t>
            </w:r>
          </w:p>
        </w:tc>
        <w:tc>
          <w:tcPr>
            <w:tcW w:w="2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ind w:lef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2,631,512</w:t>
            </w:r>
          </w:p>
        </w:tc>
        <w:tc>
          <w:tcPr>
            <w:tcW w:w="2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1,318,015</w:t>
            </w:r>
          </w:p>
        </w:tc>
        <w:tc>
          <w:tcPr>
            <w:tcW w:w="3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gridSpan w:val="4"/>
          </w:tcPr>
          <w:p>
            <w:pPr>
              <w:ind w:left="240"/>
              <w:spacing w:after="0"/>
              <w:rPr>
                <w:sz w:val="20"/>
                <w:szCs w:val="20"/>
                <w:color w:val="auto"/>
              </w:rPr>
            </w:pPr>
            <w:r>
              <w:rPr>
                <w:rFonts w:ascii="Arial" w:cs="Arial" w:eastAsia="Arial" w:hAnsi="Arial"/>
                <w:sz w:val="14"/>
                <w:szCs w:val="14"/>
                <w:color w:val="auto"/>
              </w:rPr>
              <w:t>​ (1,636,532)</w:t>
            </w:r>
          </w:p>
        </w:tc>
        <w:tc>
          <w:tcPr>
            <w:tcW w:w="380" w:type="dxa"/>
            <w:vAlign w:val="bottom"/>
          </w:tcPr>
          <w:p>
            <w:pPr>
              <w:ind w:left="60"/>
              <w:spacing w:after="0"/>
              <w:rPr>
                <w:sz w:val="20"/>
                <w:szCs w:val="20"/>
                <w:color w:val="auto"/>
              </w:rPr>
            </w:pPr>
            <w:r>
              <w:rPr>
                <w:rFonts w:ascii="Arial" w:cs="Arial" w:eastAsia="Arial" w:hAnsi="Arial"/>
                <w:sz w:val="14"/>
                <w:szCs w:val="14"/>
                <w:color w:val="auto"/>
              </w:rPr>
              <w:t>​</w:t>
            </w:r>
          </w:p>
        </w:tc>
        <w:tc>
          <w:tcPr>
            <w:tcW w:w="440" w:type="dxa"/>
            <w:vAlign w:val="bottom"/>
          </w:tcPr>
          <w:p>
            <w:pPr>
              <w:ind w:left="300"/>
              <w:spacing w:after="0"/>
              <w:rPr>
                <w:sz w:val="20"/>
                <w:szCs w:val="20"/>
                <w:color w:val="auto"/>
              </w:rPr>
            </w:pPr>
            <w:r>
              <w:rPr>
                <w:rFonts w:ascii="Arial" w:cs="Arial" w:eastAsia="Arial" w:hAnsi="Arial"/>
                <w:sz w:val="14"/>
                <w:szCs w:val="14"/>
                <w:color w:val="auto"/>
                <w:w w:val="85"/>
              </w:rPr>
              <w:t>—</w:t>
            </w:r>
          </w:p>
        </w:tc>
        <w:tc>
          <w:tcPr>
            <w:tcW w:w="2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1,407,529</w:t>
            </w:r>
          </w:p>
        </w:tc>
        <w:tc>
          <w:tcPr>
            <w:tcW w:w="8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29,653,826</w:t>
            </w:r>
          </w:p>
        </w:tc>
        <w:tc>
          <w:tcPr>
            <w:tcW w:w="20" w:type="dxa"/>
            <w:vAlign w:val="bottom"/>
            <w:vMerge w:val="restart"/>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95"/>
        </w:trPr>
        <w:tc>
          <w:tcPr>
            <w:tcW w:w="860" w:type="dxa"/>
            <w:vAlign w:val="bottom"/>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16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720" w:type="dxa"/>
            <w:vAlign w:val="bottom"/>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180" w:type="dxa"/>
            <w:vAlign w:val="bottom"/>
          </w:tcPr>
          <w:p>
            <w:pPr>
              <w:ind w:left="80"/>
              <w:spacing w:after="0" w:line="95" w:lineRule="exact"/>
              <w:rPr>
                <w:sz w:val="20"/>
                <w:szCs w:val="20"/>
                <w:color w:val="auto"/>
              </w:rPr>
            </w:pPr>
            <w:r>
              <w:rPr>
                <w:rFonts w:ascii="Arial" w:cs="Arial" w:eastAsia="Arial" w:hAnsi="Arial"/>
                <w:sz w:val="10"/>
                <w:szCs w:val="10"/>
                <w:color w:val="auto"/>
              </w:rPr>
              <w:t>​</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16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320" w:type="dxa"/>
            <w:vAlign w:val="bottom"/>
          </w:tcPr>
          <w:p>
            <w:pPr>
              <w:ind w:left="240"/>
              <w:spacing w:after="0" w:line="95" w:lineRule="exact"/>
              <w:rPr>
                <w:sz w:val="20"/>
                <w:szCs w:val="20"/>
                <w:color w:val="auto"/>
              </w:rPr>
            </w:pPr>
            <w:r>
              <w:rPr>
                <w:rFonts w:ascii="Arial" w:cs="Arial" w:eastAsia="Arial" w:hAnsi="Arial"/>
                <w:sz w:val="10"/>
                <w:szCs w:val="10"/>
                <w:color w:val="auto"/>
              </w:rPr>
              <w:t>​</w:t>
            </w:r>
          </w:p>
        </w:tc>
        <w:tc>
          <w:tcPr>
            <w:tcW w:w="680" w:type="dxa"/>
            <w:vAlign w:val="bottom"/>
          </w:tcPr>
          <w:p>
            <w:pPr>
              <w:spacing w:after="0"/>
              <w:rPr>
                <w:sz w:val="8"/>
                <w:szCs w:val="8"/>
                <w:color w:val="auto"/>
              </w:rPr>
            </w:pPr>
          </w:p>
        </w:tc>
        <w:tc>
          <w:tcPr>
            <w:tcW w:w="160" w:type="dxa"/>
            <w:vAlign w:val="bottom"/>
            <w:gridSpan w:val="2"/>
          </w:tcPr>
          <w:p>
            <w:pPr>
              <w:jc w:val="right"/>
              <w:ind w:right="60"/>
              <w:spacing w:after="0" w:line="95" w:lineRule="exact"/>
              <w:rPr>
                <w:sz w:val="20"/>
                <w:szCs w:val="20"/>
                <w:color w:val="auto"/>
              </w:rPr>
            </w:pPr>
            <w:r>
              <w:rPr>
                <w:rFonts w:ascii="Arial" w:cs="Arial" w:eastAsia="Arial" w:hAnsi="Arial"/>
                <w:sz w:val="10"/>
                <w:szCs w:val="10"/>
                <w:color w:val="auto"/>
              </w:rPr>
              <w:t>​​​</w:t>
            </w:r>
          </w:p>
        </w:tc>
        <w:tc>
          <w:tcPr>
            <w:tcW w:w="380" w:type="dxa"/>
            <w:vAlign w:val="bottom"/>
          </w:tcPr>
          <w:p>
            <w:pPr>
              <w:ind w:left="60"/>
              <w:spacing w:after="0" w:line="95" w:lineRule="exact"/>
              <w:rPr>
                <w:sz w:val="20"/>
                <w:szCs w:val="20"/>
                <w:color w:val="auto"/>
              </w:rPr>
            </w:pPr>
            <w:r>
              <w:rPr>
                <w:rFonts w:ascii="Arial" w:cs="Arial" w:eastAsia="Arial" w:hAnsi="Arial"/>
                <w:sz w:val="10"/>
                <w:szCs w:val="10"/>
                <w:color w:val="auto"/>
              </w:rPr>
              <w:t>​</w:t>
            </w:r>
          </w:p>
        </w:tc>
        <w:tc>
          <w:tcPr>
            <w:tcW w:w="440" w:type="dxa"/>
            <w:vAlign w:val="bottom"/>
          </w:tcPr>
          <w:p>
            <w:pPr>
              <w:spacing w:after="0"/>
              <w:rPr>
                <w:sz w:val="8"/>
                <w:szCs w:val="8"/>
                <w:color w:val="auto"/>
              </w:rPr>
            </w:pPr>
          </w:p>
        </w:tc>
        <w:tc>
          <w:tcPr>
            <w:tcW w:w="220" w:type="dxa"/>
            <w:vAlign w:val="bottom"/>
            <w:gridSpan w:val="2"/>
            <w:vMerge w:val="continue"/>
          </w:tcPr>
          <w:p>
            <w:pPr>
              <w:spacing w:after="0"/>
              <w:rPr>
                <w:sz w:val="8"/>
                <w:szCs w:val="8"/>
                <w:color w:val="auto"/>
              </w:rPr>
            </w:pPr>
          </w:p>
        </w:tc>
        <w:tc>
          <w:tcPr>
            <w:tcW w:w="18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660" w:type="dxa"/>
            <w:vAlign w:val="bottom"/>
          </w:tcPr>
          <w:p>
            <w:pPr>
              <w:spacing w:after="0"/>
              <w:rPr>
                <w:sz w:val="8"/>
                <w:szCs w:val="8"/>
                <w:color w:val="auto"/>
              </w:rPr>
            </w:pPr>
          </w:p>
        </w:tc>
        <w:tc>
          <w:tcPr>
            <w:tcW w:w="140" w:type="dxa"/>
            <w:vAlign w:val="bottom"/>
            <w:gridSpan w:val="2"/>
          </w:tcPr>
          <w:p>
            <w:pPr>
              <w:jc w:val="right"/>
              <w:spacing w:after="0" w:line="95" w:lineRule="exact"/>
              <w:rPr>
                <w:sz w:val="20"/>
                <w:szCs w:val="20"/>
                <w:color w:val="auto"/>
              </w:rPr>
            </w:pPr>
            <w:r>
              <w:rPr>
                <w:rFonts w:ascii="Arial" w:cs="Arial" w:eastAsia="Arial" w:hAnsi="Arial"/>
                <w:sz w:val="10"/>
                <w:szCs w:val="10"/>
                <w:color w:val="auto"/>
              </w:rPr>
              <w:t>​​​​</w:t>
            </w: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4B50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4B5088"/>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720" w:type="dxa"/>
            <w:vAlign w:val="bottom"/>
            <w:shd w:val="clear" w:color="auto" w:fill="4B50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4B5088"/>
          </w:tcPr>
          <w:p>
            <w:pPr>
              <w:spacing w:after="0" w:line="20" w:lineRule="exact"/>
              <w:rPr>
                <w:sz w:val="1"/>
                <w:szCs w:val="1"/>
                <w:color w:val="auto"/>
              </w:rPr>
            </w:pPr>
          </w:p>
        </w:tc>
        <w:tc>
          <w:tcPr>
            <w:tcW w:w="180" w:type="dxa"/>
            <w:vAlign w:val="bottom"/>
            <w:shd w:val="clear" w:color="auto" w:fill="4B5088"/>
          </w:tcPr>
          <w:p>
            <w:pPr>
              <w:spacing w:after="0" w:line="20" w:lineRule="exact"/>
              <w:rPr>
                <w:sz w:val="1"/>
                <w:szCs w:val="1"/>
                <w:color w:val="auto"/>
              </w:rPr>
            </w:pPr>
          </w:p>
        </w:tc>
        <w:tc>
          <w:tcPr>
            <w:tcW w:w="720" w:type="dxa"/>
            <w:vAlign w:val="bottom"/>
            <w:shd w:val="clear" w:color="auto" w:fill="4B508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660" w:type="dxa"/>
            <w:vAlign w:val="bottom"/>
            <w:shd w:val="clear" w:color="auto" w:fill="4B50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4B5088"/>
          </w:tcPr>
          <w:p>
            <w:pPr>
              <w:spacing w:after="0" w:line="20" w:lineRule="exact"/>
              <w:rPr>
                <w:sz w:val="1"/>
                <w:szCs w:val="1"/>
                <w:color w:val="auto"/>
              </w:rPr>
            </w:pPr>
          </w:p>
        </w:tc>
        <w:tc>
          <w:tcPr>
            <w:tcW w:w="320" w:type="dxa"/>
            <w:vAlign w:val="bottom"/>
            <w:shd w:val="clear" w:color="auto" w:fill="4B5088"/>
          </w:tcPr>
          <w:p>
            <w:pPr>
              <w:spacing w:after="0" w:line="20" w:lineRule="exact"/>
              <w:rPr>
                <w:sz w:val="1"/>
                <w:szCs w:val="1"/>
                <w:color w:val="auto"/>
              </w:rPr>
            </w:pPr>
          </w:p>
        </w:tc>
        <w:tc>
          <w:tcPr>
            <w:tcW w:w="680" w:type="dxa"/>
            <w:vAlign w:val="bottom"/>
            <w:shd w:val="clear" w:color="auto" w:fill="4B50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380" w:type="dxa"/>
            <w:vAlign w:val="bottom"/>
            <w:shd w:val="clear" w:color="auto" w:fill="4B5088"/>
          </w:tcPr>
          <w:p>
            <w:pPr>
              <w:spacing w:after="0" w:line="20" w:lineRule="exact"/>
              <w:rPr>
                <w:sz w:val="1"/>
                <w:szCs w:val="1"/>
                <w:color w:val="auto"/>
              </w:rPr>
            </w:pPr>
          </w:p>
        </w:tc>
        <w:tc>
          <w:tcPr>
            <w:tcW w:w="440" w:type="dxa"/>
            <w:vAlign w:val="bottom"/>
            <w:shd w:val="clear" w:color="auto" w:fill="4B50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180" w:type="dxa"/>
            <w:vAlign w:val="bottom"/>
            <w:shd w:val="clear" w:color="auto" w:fill="4B5088"/>
          </w:tcPr>
          <w:p>
            <w:pPr>
              <w:spacing w:after="0" w:line="20" w:lineRule="exact"/>
              <w:rPr>
                <w:sz w:val="1"/>
                <w:szCs w:val="1"/>
                <w:color w:val="auto"/>
              </w:rPr>
            </w:pPr>
          </w:p>
        </w:tc>
        <w:tc>
          <w:tcPr>
            <w:tcW w:w="660" w:type="dxa"/>
            <w:vAlign w:val="bottom"/>
            <w:shd w:val="clear" w:color="auto" w:fill="4B50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4B5088"/>
          </w:tcPr>
          <w:p>
            <w:pPr>
              <w:spacing w:after="0" w:line="20" w:lineRule="exact"/>
              <w:rPr>
                <w:sz w:val="1"/>
                <w:szCs w:val="1"/>
                <w:color w:val="auto"/>
              </w:rPr>
            </w:pPr>
          </w:p>
        </w:tc>
        <w:tc>
          <w:tcPr>
            <w:tcW w:w="740" w:type="dxa"/>
            <w:vAlign w:val="bottom"/>
            <w:shd w:val="clear" w:color="auto" w:fill="4B50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0" w:type="dxa"/>
            <w:vAlign w:val="bottom"/>
          </w:tcPr>
          <w:p>
            <w:pPr>
              <w:ind w:left="20"/>
              <w:spacing w:after="0"/>
              <w:rPr>
                <w:sz w:val="20"/>
                <w:szCs w:val="20"/>
                <w:color w:val="auto"/>
              </w:rPr>
            </w:pPr>
            <w:r>
              <w:rPr>
                <w:rFonts w:ascii="Arial" w:cs="Arial" w:eastAsia="Arial" w:hAnsi="Arial"/>
                <w:sz w:val="14"/>
                <w:szCs w:val="14"/>
                <w:b w:val="1"/>
                <w:bCs w:val="1"/>
                <w:color w:val="1F2668"/>
              </w:rPr>
              <w:t>2020</w:t>
            </w:r>
          </w:p>
        </w:tc>
        <w:tc>
          <w:tcPr>
            <w:tcW w:w="2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8,918,153</w:t>
            </w:r>
          </w:p>
        </w:tc>
        <w:tc>
          <w:tcPr>
            <w:tcW w:w="2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ind w:left="100"/>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(3,385,784)</w:t>
            </w:r>
          </w:p>
        </w:tc>
        <w:tc>
          <w:tcPr>
            <w:tcW w:w="14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982,595</w:t>
            </w:r>
          </w:p>
        </w:tc>
        <w:tc>
          <w:tcPr>
            <w:tcW w:w="3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ind w:left="240"/>
              <w:spacing w:after="0"/>
              <w:rPr>
                <w:sz w:val="20"/>
                <w:szCs w:val="20"/>
                <w:color w:val="auto"/>
              </w:rPr>
            </w:pPr>
            <w:r>
              <w:rPr>
                <w:rFonts w:ascii="Arial" w:cs="Arial" w:eastAsia="Arial" w:hAnsi="Arial"/>
                <w:sz w:val="14"/>
                <w:szCs w:val="14"/>
                <w:color w:val="auto"/>
              </w:rPr>
              <w:t>​</w:t>
            </w:r>
          </w:p>
        </w:tc>
        <w:tc>
          <w:tcPr>
            <w:tcW w:w="680" w:type="dxa"/>
            <w:vAlign w:val="bottom"/>
          </w:tcPr>
          <w:p>
            <w:pPr>
              <w:ind w:left="540"/>
              <w:spacing w:after="0"/>
              <w:rPr>
                <w:sz w:val="20"/>
                <w:szCs w:val="20"/>
                <w:color w:val="auto"/>
              </w:rPr>
            </w:pPr>
            <w:r>
              <w:rPr>
                <w:rFonts w:ascii="Arial" w:cs="Arial" w:eastAsia="Arial" w:hAnsi="Arial"/>
                <w:sz w:val="14"/>
                <w:szCs w:val="14"/>
                <w:color w:val="auto"/>
                <w:w w:val="85"/>
              </w:rPr>
              <w:t>—</w:t>
            </w:r>
          </w:p>
        </w:tc>
        <w:tc>
          <w:tcPr>
            <w:tcW w:w="1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tcPr>
          <w:p>
            <w:pPr>
              <w:ind w:left="60"/>
              <w:spacing w:after="0"/>
              <w:rPr>
                <w:sz w:val="20"/>
                <w:szCs w:val="20"/>
                <w:color w:val="auto"/>
              </w:rPr>
            </w:pPr>
            <w:r>
              <w:rPr>
                <w:rFonts w:ascii="Arial" w:cs="Arial" w:eastAsia="Arial" w:hAnsi="Arial"/>
                <w:sz w:val="14"/>
                <w:szCs w:val="14"/>
                <w:color w:val="auto"/>
              </w:rPr>
              <w:t>​</w:t>
            </w:r>
          </w:p>
        </w:tc>
        <w:tc>
          <w:tcPr>
            <w:tcW w:w="440" w:type="dxa"/>
            <w:vAlign w:val="bottom"/>
          </w:tcPr>
          <w:p>
            <w:pPr>
              <w:ind w:left="300"/>
              <w:spacing w:after="0"/>
              <w:rPr>
                <w:sz w:val="20"/>
                <w:szCs w:val="20"/>
                <w:color w:val="auto"/>
              </w:rPr>
            </w:pPr>
            <w:r>
              <w:rPr>
                <w:rFonts w:ascii="Arial" w:cs="Arial" w:eastAsia="Arial" w:hAnsi="Arial"/>
                <w:sz w:val="14"/>
                <w:szCs w:val="14"/>
                <w:color w:val="auto"/>
                <w:w w:val="85"/>
              </w:rPr>
              <w:t>—</w:t>
            </w:r>
          </w:p>
        </w:tc>
        <w:tc>
          <w:tcPr>
            <w:tcW w:w="2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550,954</w:t>
            </w:r>
          </w:p>
        </w:tc>
        <w:tc>
          <w:tcPr>
            <w:tcW w:w="8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7,065,918</w:t>
            </w:r>
          </w:p>
        </w:tc>
        <w:tc>
          <w:tcPr>
            <w:tcW w:w="20" w:type="dxa"/>
            <w:vAlign w:val="bottom"/>
            <w:vMerge w:val="restart"/>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94"/>
        </w:trPr>
        <w:tc>
          <w:tcPr>
            <w:tcW w:w="860" w:type="dxa"/>
            <w:vAlign w:val="bottom"/>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16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720" w:type="dxa"/>
            <w:vAlign w:val="bottom"/>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180" w:type="dxa"/>
            <w:vAlign w:val="bottom"/>
          </w:tcPr>
          <w:p>
            <w:pPr>
              <w:ind w:left="80"/>
              <w:spacing w:after="0" w:line="95" w:lineRule="exact"/>
              <w:rPr>
                <w:sz w:val="20"/>
                <w:szCs w:val="20"/>
                <w:color w:val="auto"/>
              </w:rPr>
            </w:pPr>
            <w:r>
              <w:rPr>
                <w:rFonts w:ascii="Arial" w:cs="Arial" w:eastAsia="Arial" w:hAnsi="Arial"/>
                <w:sz w:val="10"/>
                <w:szCs w:val="10"/>
                <w:color w:val="auto"/>
              </w:rPr>
              <w:t>​</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gridSpan w:val="2"/>
          </w:tcPr>
          <w:p>
            <w:pPr>
              <w:jc w:val="right"/>
              <w:ind w:right="100"/>
              <w:spacing w:after="0" w:line="95" w:lineRule="exact"/>
              <w:rPr>
                <w:sz w:val="20"/>
                <w:szCs w:val="20"/>
                <w:color w:val="auto"/>
              </w:rPr>
            </w:pPr>
            <w:r>
              <w:rPr>
                <w:rFonts w:ascii="Arial" w:cs="Arial" w:eastAsia="Arial" w:hAnsi="Arial"/>
                <w:sz w:val="10"/>
                <w:szCs w:val="10"/>
                <w:color w:val="auto"/>
              </w:rPr>
              <w:t>​​​</w:t>
            </w:r>
          </w:p>
        </w:tc>
        <w:tc>
          <w:tcPr>
            <w:tcW w:w="16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320" w:type="dxa"/>
            <w:vAlign w:val="bottom"/>
          </w:tcPr>
          <w:p>
            <w:pPr>
              <w:ind w:left="240"/>
              <w:spacing w:after="0" w:line="95" w:lineRule="exact"/>
              <w:rPr>
                <w:sz w:val="20"/>
                <w:szCs w:val="20"/>
                <w:color w:val="auto"/>
              </w:rPr>
            </w:pPr>
            <w:r>
              <w:rPr>
                <w:rFonts w:ascii="Arial" w:cs="Arial" w:eastAsia="Arial" w:hAnsi="Arial"/>
                <w:sz w:val="10"/>
                <w:szCs w:val="10"/>
                <w:color w:val="auto"/>
              </w:rPr>
              <w:t>​</w:t>
            </w:r>
          </w:p>
        </w:tc>
        <w:tc>
          <w:tcPr>
            <w:tcW w:w="680" w:type="dxa"/>
            <w:vAlign w:val="bottom"/>
          </w:tcPr>
          <w:p>
            <w:pPr>
              <w:spacing w:after="0"/>
              <w:rPr>
                <w:sz w:val="8"/>
                <w:szCs w:val="8"/>
                <w:color w:val="auto"/>
              </w:rPr>
            </w:pPr>
          </w:p>
        </w:tc>
        <w:tc>
          <w:tcPr>
            <w:tcW w:w="160" w:type="dxa"/>
            <w:vAlign w:val="bottom"/>
            <w:gridSpan w:val="2"/>
            <w:vMerge w:val="continue"/>
          </w:tcPr>
          <w:p>
            <w:pPr>
              <w:spacing w:after="0"/>
              <w:rPr>
                <w:sz w:val="8"/>
                <w:szCs w:val="8"/>
                <w:color w:val="auto"/>
              </w:rPr>
            </w:pPr>
          </w:p>
        </w:tc>
        <w:tc>
          <w:tcPr>
            <w:tcW w:w="380" w:type="dxa"/>
            <w:vAlign w:val="bottom"/>
          </w:tcPr>
          <w:p>
            <w:pPr>
              <w:ind w:left="60"/>
              <w:spacing w:after="0" w:line="95" w:lineRule="exact"/>
              <w:rPr>
                <w:sz w:val="20"/>
                <w:szCs w:val="20"/>
                <w:color w:val="auto"/>
              </w:rPr>
            </w:pPr>
            <w:r>
              <w:rPr>
                <w:rFonts w:ascii="Arial" w:cs="Arial" w:eastAsia="Arial" w:hAnsi="Arial"/>
                <w:sz w:val="10"/>
                <w:szCs w:val="10"/>
                <w:color w:val="auto"/>
              </w:rPr>
              <w:t>​</w:t>
            </w:r>
          </w:p>
        </w:tc>
        <w:tc>
          <w:tcPr>
            <w:tcW w:w="440" w:type="dxa"/>
            <w:vAlign w:val="bottom"/>
          </w:tcPr>
          <w:p>
            <w:pPr>
              <w:spacing w:after="0"/>
              <w:rPr>
                <w:sz w:val="8"/>
                <w:szCs w:val="8"/>
                <w:color w:val="auto"/>
              </w:rPr>
            </w:pPr>
          </w:p>
        </w:tc>
        <w:tc>
          <w:tcPr>
            <w:tcW w:w="220" w:type="dxa"/>
            <w:vAlign w:val="bottom"/>
            <w:gridSpan w:val="2"/>
            <w:vMerge w:val="continue"/>
          </w:tcPr>
          <w:p>
            <w:pPr>
              <w:spacing w:after="0"/>
              <w:rPr>
                <w:sz w:val="8"/>
                <w:szCs w:val="8"/>
                <w:color w:val="auto"/>
              </w:rPr>
            </w:pPr>
          </w:p>
        </w:tc>
        <w:tc>
          <w:tcPr>
            <w:tcW w:w="18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660" w:type="dxa"/>
            <w:vAlign w:val="bottom"/>
          </w:tcPr>
          <w:p>
            <w:pPr>
              <w:spacing w:after="0"/>
              <w:rPr>
                <w:sz w:val="8"/>
                <w:szCs w:val="8"/>
                <w:color w:val="auto"/>
              </w:rPr>
            </w:pPr>
          </w:p>
        </w:tc>
        <w:tc>
          <w:tcPr>
            <w:tcW w:w="140" w:type="dxa"/>
            <w:vAlign w:val="bottom"/>
            <w:gridSpan w:val="2"/>
          </w:tcPr>
          <w:p>
            <w:pPr>
              <w:jc w:val="right"/>
              <w:spacing w:after="0" w:line="95" w:lineRule="exact"/>
              <w:rPr>
                <w:sz w:val="20"/>
                <w:szCs w:val="20"/>
                <w:color w:val="auto"/>
              </w:rPr>
            </w:pPr>
            <w:r>
              <w:rPr>
                <w:rFonts w:ascii="Arial" w:cs="Arial" w:eastAsia="Arial" w:hAnsi="Arial"/>
                <w:sz w:val="10"/>
                <w:szCs w:val="10"/>
                <w:color w:val="auto"/>
              </w:rPr>
              <w:t>​​​​</w:t>
            </w: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1F266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1F2668"/>
          </w:tcPr>
          <w:p>
            <w:pPr>
              <w:spacing w:after="0" w:line="20" w:lineRule="exact"/>
              <w:rPr>
                <w:sz w:val="1"/>
                <w:szCs w:val="1"/>
                <w:color w:val="auto"/>
              </w:rPr>
            </w:pPr>
          </w:p>
        </w:tc>
        <w:tc>
          <w:tcPr>
            <w:tcW w:w="160" w:type="dxa"/>
            <w:vAlign w:val="bottom"/>
            <w:shd w:val="clear" w:color="auto" w:fill="1F2668"/>
          </w:tcPr>
          <w:p>
            <w:pPr>
              <w:spacing w:after="0" w:line="20" w:lineRule="exact"/>
              <w:rPr>
                <w:sz w:val="1"/>
                <w:szCs w:val="1"/>
                <w:color w:val="auto"/>
              </w:rPr>
            </w:pPr>
          </w:p>
        </w:tc>
        <w:tc>
          <w:tcPr>
            <w:tcW w:w="720" w:type="dxa"/>
            <w:vAlign w:val="bottom"/>
            <w:shd w:val="clear" w:color="auto" w:fill="1F266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1F2668"/>
          </w:tcPr>
          <w:p>
            <w:pPr>
              <w:spacing w:after="0" w:line="20" w:lineRule="exact"/>
              <w:rPr>
                <w:sz w:val="1"/>
                <w:szCs w:val="1"/>
                <w:color w:val="auto"/>
              </w:rPr>
            </w:pPr>
          </w:p>
        </w:tc>
        <w:tc>
          <w:tcPr>
            <w:tcW w:w="180" w:type="dxa"/>
            <w:vAlign w:val="bottom"/>
            <w:shd w:val="clear" w:color="auto" w:fill="1F2668"/>
          </w:tcPr>
          <w:p>
            <w:pPr>
              <w:spacing w:after="0" w:line="20" w:lineRule="exact"/>
              <w:rPr>
                <w:sz w:val="1"/>
                <w:szCs w:val="1"/>
                <w:color w:val="auto"/>
              </w:rPr>
            </w:pPr>
          </w:p>
        </w:tc>
        <w:tc>
          <w:tcPr>
            <w:tcW w:w="720" w:type="dxa"/>
            <w:vAlign w:val="bottom"/>
            <w:shd w:val="clear" w:color="auto" w:fill="1F266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1F2668"/>
          </w:tcPr>
          <w:p>
            <w:pPr>
              <w:spacing w:after="0" w:line="20" w:lineRule="exact"/>
              <w:rPr>
                <w:sz w:val="1"/>
                <w:szCs w:val="1"/>
                <w:color w:val="auto"/>
              </w:rPr>
            </w:pPr>
          </w:p>
        </w:tc>
        <w:tc>
          <w:tcPr>
            <w:tcW w:w="160" w:type="dxa"/>
            <w:vAlign w:val="bottom"/>
            <w:shd w:val="clear" w:color="auto" w:fill="1F2668"/>
          </w:tcPr>
          <w:p>
            <w:pPr>
              <w:spacing w:after="0" w:line="20" w:lineRule="exact"/>
              <w:rPr>
                <w:sz w:val="1"/>
                <w:szCs w:val="1"/>
                <w:color w:val="auto"/>
              </w:rPr>
            </w:pPr>
          </w:p>
        </w:tc>
        <w:tc>
          <w:tcPr>
            <w:tcW w:w="660" w:type="dxa"/>
            <w:vAlign w:val="bottom"/>
            <w:shd w:val="clear" w:color="auto" w:fill="1F266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1F2668"/>
          </w:tcPr>
          <w:p>
            <w:pPr>
              <w:spacing w:after="0" w:line="20" w:lineRule="exact"/>
              <w:rPr>
                <w:sz w:val="1"/>
                <w:szCs w:val="1"/>
                <w:color w:val="auto"/>
              </w:rPr>
            </w:pPr>
          </w:p>
        </w:tc>
        <w:tc>
          <w:tcPr>
            <w:tcW w:w="320" w:type="dxa"/>
            <w:vAlign w:val="bottom"/>
            <w:shd w:val="clear" w:color="auto" w:fill="1F2668"/>
          </w:tcPr>
          <w:p>
            <w:pPr>
              <w:spacing w:after="0" w:line="20" w:lineRule="exact"/>
              <w:rPr>
                <w:sz w:val="1"/>
                <w:szCs w:val="1"/>
                <w:color w:val="auto"/>
              </w:rPr>
            </w:pPr>
          </w:p>
        </w:tc>
        <w:tc>
          <w:tcPr>
            <w:tcW w:w="680" w:type="dxa"/>
            <w:vAlign w:val="bottom"/>
            <w:shd w:val="clear" w:color="auto" w:fill="1F266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1F2668"/>
          </w:tcPr>
          <w:p>
            <w:pPr>
              <w:spacing w:after="0" w:line="20" w:lineRule="exact"/>
              <w:rPr>
                <w:sz w:val="1"/>
                <w:szCs w:val="1"/>
                <w:color w:val="auto"/>
              </w:rPr>
            </w:pPr>
          </w:p>
        </w:tc>
        <w:tc>
          <w:tcPr>
            <w:tcW w:w="380" w:type="dxa"/>
            <w:vAlign w:val="bottom"/>
            <w:shd w:val="clear" w:color="auto" w:fill="1F2668"/>
          </w:tcPr>
          <w:p>
            <w:pPr>
              <w:spacing w:after="0" w:line="20" w:lineRule="exact"/>
              <w:rPr>
                <w:sz w:val="1"/>
                <w:szCs w:val="1"/>
                <w:color w:val="auto"/>
              </w:rPr>
            </w:pPr>
          </w:p>
        </w:tc>
        <w:tc>
          <w:tcPr>
            <w:tcW w:w="440" w:type="dxa"/>
            <w:vAlign w:val="bottom"/>
            <w:shd w:val="clear" w:color="auto" w:fill="1F266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1F2668"/>
          </w:tcPr>
          <w:p>
            <w:pPr>
              <w:spacing w:after="0" w:line="20" w:lineRule="exact"/>
              <w:rPr>
                <w:sz w:val="1"/>
                <w:szCs w:val="1"/>
                <w:color w:val="auto"/>
              </w:rPr>
            </w:pPr>
          </w:p>
        </w:tc>
        <w:tc>
          <w:tcPr>
            <w:tcW w:w="180" w:type="dxa"/>
            <w:vAlign w:val="bottom"/>
            <w:shd w:val="clear" w:color="auto" w:fill="1F2668"/>
          </w:tcPr>
          <w:p>
            <w:pPr>
              <w:spacing w:after="0" w:line="20" w:lineRule="exact"/>
              <w:rPr>
                <w:sz w:val="1"/>
                <w:szCs w:val="1"/>
                <w:color w:val="auto"/>
              </w:rPr>
            </w:pPr>
          </w:p>
        </w:tc>
        <w:tc>
          <w:tcPr>
            <w:tcW w:w="660" w:type="dxa"/>
            <w:vAlign w:val="bottom"/>
            <w:shd w:val="clear" w:color="auto" w:fill="1F266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1F2668"/>
          </w:tcPr>
          <w:p>
            <w:pPr>
              <w:spacing w:after="0" w:line="20" w:lineRule="exact"/>
              <w:rPr>
                <w:sz w:val="1"/>
                <w:szCs w:val="1"/>
                <w:color w:val="auto"/>
              </w:rPr>
            </w:pPr>
          </w:p>
        </w:tc>
        <w:tc>
          <w:tcPr>
            <w:tcW w:w="740" w:type="dxa"/>
            <w:vAlign w:val="bottom"/>
            <w:shd w:val="clear" w:color="auto" w:fill="1F266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900" w:right="60" w:hanging="364"/>
        <w:spacing w:after="0" w:line="293" w:lineRule="auto"/>
        <w:tabs>
          <w:tab w:leader="none" w:pos="1900" w:val="left"/>
        </w:tabs>
        <w:numPr>
          <w:ilvl w:val="1"/>
          <w:numId w:val="107"/>
        </w:numPr>
        <w:rPr>
          <w:rFonts w:ascii="Arial" w:cs="Arial" w:eastAsia="Arial" w:hAnsi="Arial"/>
          <w:sz w:val="14"/>
          <w:szCs w:val="14"/>
          <w:color w:val="auto"/>
        </w:rPr>
      </w:pPr>
      <w:r>
        <w:rPr>
          <w:rFonts w:ascii="Arial" w:cs="Arial" w:eastAsia="Arial" w:hAnsi="Arial"/>
          <w:sz w:val="14"/>
          <w:szCs w:val="14"/>
          <w:color w:val="auto"/>
        </w:rPr>
        <w:t>The fair values of time-based equity awards are based on the closing price of our shares of common stock as reported on the NYSE on the relevant valuation date. Performance-based restricted share units were valued on the relevant valuation date using a Monte Carlo simulation model in accordance with the provisions of ASC Topic 718.</w:t>
      </w:r>
    </w:p>
    <w:p>
      <w:pPr>
        <w:spacing w:after="0" w:line="4" w:lineRule="exact"/>
        <w:rPr>
          <w:rFonts w:ascii="Arial" w:cs="Arial" w:eastAsia="Arial" w:hAnsi="Arial"/>
          <w:sz w:val="14"/>
          <w:szCs w:val="14"/>
          <w:color w:val="auto"/>
        </w:rPr>
      </w:pPr>
    </w:p>
    <w:p>
      <w:pPr>
        <w:ind w:left="1180" w:right="60" w:hanging="364"/>
        <w:spacing w:after="0" w:line="282" w:lineRule="auto"/>
        <w:tabs>
          <w:tab w:leader="none" w:pos="118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Represents amounts of average “compensation actually paid” as computed in accordance with Item 402(v) of Regulation S-K, not the actual average amount of compensation earned by or paid to our named executive officers other than Mr. Holliday as a group. The table below reflects the adjustments made from the amounts reported in the “Total” column of the Summary Compensation Table for the named executive officers as a group (excluding Mr. Holliday) each year to calculate the amounts set forth in “Compensation Actually Paid to non-PEO NEOs” column in the table above, using the same methodology as set forth in footnote 1(b), above.</w:t>
      </w:r>
    </w:p>
    <w:p>
      <w:pPr>
        <w:spacing w:after="0" w:line="124" w:lineRule="exact"/>
        <w:rPr>
          <w:sz w:val="20"/>
          <w:szCs w:val="20"/>
          <w:color w:val="auto"/>
        </w:rPr>
      </w:pPr>
    </w:p>
    <w:tbl>
      <w:tblPr>
        <w:tblLayout w:type="fixed"/>
        <w:tblInd w:w="1180" w:type="dxa"/>
        <w:tblCellMar>
          <w:top w:w="0" w:type="dxa"/>
          <w:left w:w="0" w:type="dxa"/>
          <w:bottom w:w="0" w:type="dxa"/>
          <w:right w:w="0" w:type="dxa"/>
        </w:tblCellMar>
      </w:tblPr>
      <w:tr>
        <w:trPr>
          <w:trHeight w:val="149"/>
        </w:trPr>
        <w:tc>
          <w:tcPr>
            <w:tcW w:w="4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1F2668"/>
                <w:w w:val="98"/>
              </w:rPr>
              <w:t>Average Reported</w:t>
            </w: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1F2668"/>
                <w:w w:val="94"/>
              </w:rPr>
              <w:t>Less Average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1F2668"/>
              </w:rPr>
              <w:t>Average</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Arial" w:cs="Arial" w:eastAsia="Arial" w:hAnsi="Arial"/>
                <w:sz w:val="13"/>
                <w:szCs w:val="13"/>
                <w:b w:val="1"/>
                <w:bCs w:val="1"/>
                <w:color w:val="1F2668"/>
              </w:rPr>
              <w:t>Summary</w:t>
            </w:r>
          </w:p>
        </w:tc>
        <w:tc>
          <w:tcPr>
            <w:tcW w:w="16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b w:val="1"/>
                <w:bCs w:val="1"/>
                <w:color w:val="1F2668"/>
              </w:rPr>
              <w:t>Summary</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b w:val="1"/>
                <w:bCs w:val="1"/>
                <w:color w:val="1F2668"/>
              </w:rPr>
              <w:t>Average</w:t>
            </w:r>
          </w:p>
        </w:tc>
        <w:tc>
          <w:tcPr>
            <w:tcW w:w="160" w:type="dxa"/>
            <w:vAlign w:val="bottom"/>
          </w:tcPr>
          <w:p>
            <w:pPr>
              <w:spacing w:after="0"/>
              <w:rPr>
                <w:sz w:val="11"/>
                <w:szCs w:val="11"/>
                <w:color w:val="auto"/>
              </w:rPr>
            </w:pP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1F2668"/>
                <w:w w:val="95"/>
              </w:rPr>
              <w:t>Compensation</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spacing w:after="0"/>
              <w:rPr>
                <w:sz w:val="20"/>
                <w:szCs w:val="20"/>
                <w:color w:val="auto"/>
              </w:rPr>
            </w:pPr>
            <w:r>
              <w:rPr>
                <w:rFonts w:ascii="Arial" w:cs="Arial" w:eastAsia="Arial" w:hAnsi="Arial"/>
                <w:sz w:val="13"/>
                <w:szCs w:val="13"/>
                <w:b w:val="1"/>
                <w:bCs w:val="1"/>
                <w:color w:val="1F2668"/>
                <w:w w:val="92"/>
              </w:rPr>
              <w:t>Compensation Table</w:t>
            </w:r>
          </w:p>
        </w:tc>
        <w:tc>
          <w:tcPr>
            <w:tcW w:w="1020" w:type="dxa"/>
            <w:vAlign w:val="bottom"/>
            <w:gridSpan w:val="2"/>
          </w:tcPr>
          <w:p>
            <w:pPr>
              <w:jc w:val="right"/>
              <w:spacing w:after="0"/>
              <w:rPr>
                <w:sz w:val="20"/>
                <w:szCs w:val="20"/>
                <w:color w:val="auto"/>
              </w:rPr>
            </w:pPr>
            <w:r>
              <w:rPr>
                <w:rFonts w:ascii="Arial" w:cs="Arial" w:eastAsia="Arial" w:hAnsi="Arial"/>
                <w:sz w:val="13"/>
                <w:szCs w:val="13"/>
                <w:b w:val="1"/>
                <w:bCs w:val="1"/>
                <w:color w:val="1F2668"/>
              </w:rPr>
              <w:t>Compensation</w:t>
            </w:r>
          </w:p>
        </w:tc>
        <w:tc>
          <w:tcPr>
            <w:tcW w:w="14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b w:val="1"/>
                <w:bCs w:val="1"/>
                <w:color w:val="1F2668"/>
                <w:w w:val="94"/>
              </w:rPr>
              <w:t>Fair Value of</w:t>
            </w:r>
          </w:p>
        </w:tc>
        <w:tc>
          <w:tcPr>
            <w:tcW w:w="160" w:type="dxa"/>
            <w:vAlign w:val="bottom"/>
          </w:tcPr>
          <w:p>
            <w:pPr>
              <w:spacing w:after="0"/>
              <w:rPr>
                <w:sz w:val="12"/>
                <w:szCs w:val="12"/>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b w:val="1"/>
                <w:bCs w:val="1"/>
                <w:color w:val="1F2668"/>
                <w:w w:val="88"/>
              </w:rPr>
              <w:t>Actually Paid to</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Arial" w:cs="Arial" w:eastAsia="Arial" w:hAnsi="Arial"/>
                <w:sz w:val="13"/>
                <w:szCs w:val="13"/>
                <w:b w:val="1"/>
                <w:bCs w:val="1"/>
                <w:color w:val="1F2668"/>
                <w:w w:val="97"/>
              </w:rPr>
              <w:t>Total for Non-PEO</w:t>
            </w:r>
          </w:p>
        </w:tc>
        <w:tc>
          <w:tcPr>
            <w:tcW w:w="16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b w:val="1"/>
                <w:bCs w:val="1"/>
                <w:color w:val="1F2668"/>
                <w:w w:val="90"/>
              </w:rPr>
              <w:t>Table Value of</w:t>
            </w:r>
          </w:p>
        </w:tc>
        <w:tc>
          <w:tcPr>
            <w:tcW w:w="14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1F2668"/>
                <w:w w:val="89"/>
              </w:rPr>
              <w:t>Equity Award</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b w:val="1"/>
                <w:bCs w:val="1"/>
                <w:color w:val="1F2668"/>
              </w:rPr>
              <w:t>Non-PEO</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right"/>
              <w:spacing w:after="0" w:line="139" w:lineRule="exact"/>
              <w:rPr>
                <w:sz w:val="20"/>
                <w:szCs w:val="20"/>
                <w:color w:val="auto"/>
              </w:rPr>
            </w:pPr>
            <w:r>
              <w:rPr>
                <w:rFonts w:ascii="Arial" w:cs="Arial" w:eastAsia="Arial" w:hAnsi="Arial"/>
                <w:sz w:val="13"/>
                <w:szCs w:val="13"/>
                <w:b w:val="1"/>
                <w:bCs w:val="1"/>
                <w:color w:val="1F2668"/>
              </w:rPr>
              <w:t>NEOs</w:t>
            </w:r>
          </w:p>
        </w:tc>
        <w:tc>
          <w:tcPr>
            <w:tcW w:w="160" w:type="dxa"/>
            <w:vAlign w:val="bottom"/>
          </w:tcPr>
          <w:p>
            <w:pPr>
              <w:spacing w:after="0"/>
              <w:rPr>
                <w:sz w:val="12"/>
                <w:szCs w:val="12"/>
                <w:color w:val="auto"/>
              </w:rPr>
            </w:pPr>
          </w:p>
        </w:tc>
        <w:tc>
          <w:tcPr>
            <w:tcW w:w="860" w:type="dxa"/>
            <w:vAlign w:val="bottom"/>
          </w:tcPr>
          <w:p>
            <w:pPr>
              <w:jc w:val="right"/>
              <w:spacing w:after="0" w:line="139" w:lineRule="exact"/>
              <w:rPr>
                <w:sz w:val="20"/>
                <w:szCs w:val="20"/>
                <w:color w:val="auto"/>
              </w:rPr>
            </w:pPr>
            <w:r>
              <w:rPr>
                <w:rFonts w:ascii="Arial" w:cs="Arial" w:eastAsia="Arial" w:hAnsi="Arial"/>
                <w:sz w:val="13"/>
                <w:szCs w:val="13"/>
                <w:b w:val="1"/>
                <w:bCs w:val="1"/>
                <w:color w:val="1F2668"/>
                <w:w w:val="88"/>
              </w:rPr>
              <w:t>Equity Awards</w:t>
            </w:r>
          </w:p>
        </w:tc>
        <w:tc>
          <w:tcPr>
            <w:tcW w:w="140" w:type="dxa"/>
            <w:vAlign w:val="bottom"/>
          </w:tcPr>
          <w:p>
            <w:pPr>
              <w:spacing w:after="0"/>
              <w:rPr>
                <w:sz w:val="12"/>
                <w:szCs w:val="12"/>
                <w:color w:val="auto"/>
              </w:rPr>
            </w:pPr>
          </w:p>
        </w:tc>
        <w:tc>
          <w:tcPr>
            <w:tcW w:w="800" w:type="dxa"/>
            <w:vAlign w:val="bottom"/>
            <w:gridSpan w:val="2"/>
          </w:tcPr>
          <w:p>
            <w:pPr>
              <w:jc w:val="right"/>
              <w:spacing w:after="0" w:line="139" w:lineRule="exact"/>
              <w:rPr>
                <w:sz w:val="20"/>
                <w:szCs w:val="20"/>
                <w:color w:val="auto"/>
              </w:rPr>
            </w:pPr>
            <w:r>
              <w:rPr>
                <w:rFonts w:ascii="Arial" w:cs="Arial" w:eastAsia="Arial" w:hAnsi="Arial"/>
                <w:sz w:val="13"/>
                <w:szCs w:val="13"/>
                <w:b w:val="1"/>
                <w:bCs w:val="1"/>
                <w:color w:val="1F2668"/>
                <w:w w:val="93"/>
              </w:rPr>
              <w:t>Adjustments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line="139" w:lineRule="exact"/>
              <w:rPr>
                <w:sz w:val="20"/>
                <w:szCs w:val="20"/>
                <w:color w:val="auto"/>
              </w:rPr>
            </w:pPr>
            <w:r>
              <w:rPr>
                <w:rFonts w:ascii="Arial" w:cs="Arial" w:eastAsia="Arial" w:hAnsi="Arial"/>
                <w:sz w:val="13"/>
                <w:szCs w:val="13"/>
                <w:b w:val="1"/>
                <w:bCs w:val="1"/>
                <w:color w:val="1F2668"/>
              </w:rPr>
              <w:t>NEOs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3"/>
                <w:szCs w:val="13"/>
                <w:b w:val="1"/>
                <w:bCs w:val="1"/>
                <w:color w:val="1F2668"/>
              </w:rPr>
              <w:t>Year</w:t>
            </w:r>
          </w:p>
        </w:tc>
        <w:tc>
          <w:tcPr>
            <w:tcW w:w="200" w:type="dxa"/>
            <w:vAlign w:val="bottom"/>
            <w:gridSpan w:val="2"/>
          </w:tcPr>
          <w:p>
            <w:pPr>
              <w:ind w:left="60"/>
              <w:spacing w:after="0"/>
              <w:rPr>
                <w:sz w:val="20"/>
                <w:szCs w:val="20"/>
                <w:color w:val="auto"/>
              </w:rPr>
            </w:pPr>
            <w:r>
              <w:rPr>
                <w:rFonts w:ascii="Arial" w:cs="Arial" w:eastAsia="Arial" w:hAnsi="Arial"/>
                <w:sz w:val="13"/>
                <w:szCs w:val="13"/>
                <w:b w:val="1"/>
                <w:bCs w:val="1"/>
                <w:color w:val="1F2668"/>
              </w:rPr>
              <w:t>​ ​</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1F2668"/>
              </w:rPr>
              <w:t>($)</w:t>
            </w:r>
          </w:p>
        </w:tc>
        <w:tc>
          <w:tcPr>
            <w:tcW w:w="160" w:type="dxa"/>
            <w:vAlign w:val="bottom"/>
          </w:tcPr>
          <w:p>
            <w:pPr>
              <w:ind w:left="60"/>
              <w:spacing w:after="0"/>
              <w:rPr>
                <w:sz w:val="20"/>
                <w:szCs w:val="20"/>
                <w:color w:val="auto"/>
              </w:rPr>
            </w:pPr>
            <w:r>
              <w:rPr>
                <w:rFonts w:ascii="Arial" w:cs="Arial" w:eastAsia="Arial" w:hAnsi="Arial"/>
                <w:sz w:val="13"/>
                <w:szCs w:val="13"/>
                <w:b w:val="1"/>
                <w:bCs w:val="1"/>
                <w:color w:val="1F2668"/>
              </w:rPr>
              <w:t>​ ​</w:t>
            </w:r>
          </w:p>
        </w:tc>
        <w:tc>
          <w:tcPr>
            <w:tcW w:w="860" w:type="dxa"/>
            <w:vAlign w:val="bottom"/>
          </w:tcPr>
          <w:p>
            <w:pPr>
              <w:ind w:left="600"/>
              <w:spacing w:after="0" w:line="216" w:lineRule="exact"/>
              <w:rPr>
                <w:sz w:val="20"/>
                <w:szCs w:val="20"/>
                <w:color w:val="auto"/>
              </w:rPr>
            </w:pPr>
            <w:r>
              <w:rPr>
                <w:rFonts w:ascii="Arial" w:cs="Arial" w:eastAsia="Arial" w:hAnsi="Arial"/>
                <w:sz w:val="25"/>
                <w:szCs w:val="25"/>
                <w:b w:val="1"/>
                <w:bCs w:val="1"/>
                <w:color w:val="1F2668"/>
                <w:w w:val="79"/>
                <w:vertAlign w:val="subscript"/>
              </w:rPr>
              <w:t>($)</w:t>
            </w:r>
            <w:r>
              <w:rPr>
                <w:rFonts w:ascii="Arial" w:cs="Arial" w:eastAsia="Arial" w:hAnsi="Arial"/>
                <w:sz w:val="8"/>
                <w:szCs w:val="8"/>
                <w:b w:val="1"/>
                <w:bCs w:val="1"/>
                <w:color w:val="1F2668"/>
                <w:w w:val="79"/>
              </w:rPr>
              <w:t>(a)</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1F2668"/>
              </w:rPr>
              <w:t>​ ​</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1F2668"/>
              </w:rPr>
              <w:t>($)</w:t>
            </w:r>
            <w:r>
              <w:rPr>
                <w:rFonts w:ascii="Arial" w:cs="Arial" w:eastAsia="Arial" w:hAnsi="Arial"/>
                <w:sz w:val="16"/>
                <w:szCs w:val="16"/>
                <w:b w:val="1"/>
                <w:bCs w:val="1"/>
                <w:color w:val="1F2668"/>
                <w:vertAlign w:val="superscript"/>
              </w:rPr>
              <w:t>(b)</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1F2668"/>
              </w:rPr>
              <w:t>​ ​</w:t>
            </w:r>
          </w:p>
        </w:tc>
        <w:tc>
          <w:tcPr>
            <w:tcW w:w="220" w:type="dxa"/>
            <w:vAlign w:val="bottom"/>
          </w:tcPr>
          <w:p>
            <w:pPr>
              <w:spacing w:after="0"/>
              <w:rPr>
                <w:sz w:val="18"/>
                <w:szCs w:val="18"/>
                <w:color w:val="auto"/>
              </w:rPr>
            </w:pPr>
          </w:p>
        </w:tc>
        <w:tc>
          <w:tcPr>
            <w:tcW w:w="760" w:type="dxa"/>
            <w:vAlign w:val="bottom"/>
            <w:gridSpan w:val="2"/>
          </w:tcPr>
          <w:p>
            <w:pPr>
              <w:jc w:val="right"/>
              <w:spacing w:after="0" w:line="216" w:lineRule="exact"/>
              <w:rPr>
                <w:sz w:val="20"/>
                <w:szCs w:val="20"/>
                <w:color w:val="auto"/>
              </w:rPr>
            </w:pPr>
            <w:r>
              <w:rPr>
                <w:rFonts w:ascii="Arial" w:cs="Arial" w:eastAsia="Arial" w:hAnsi="Arial"/>
                <w:sz w:val="13"/>
                <w:szCs w:val="13"/>
                <w:b w:val="1"/>
                <w:bCs w:val="1"/>
                <w:color w:val="1F2668"/>
              </w:rPr>
              <w:t xml:space="preserve">($) </w:t>
            </w:r>
            <w:r>
              <w:rPr>
                <w:rFonts w:ascii="Arial" w:cs="Arial" w:eastAsia="Arial" w:hAnsi="Arial"/>
                <w:sz w:val="25"/>
                <w:szCs w:val="25"/>
                <w:b w:val="1"/>
                <w:bCs w:val="1"/>
                <w:color w:val="1F2668"/>
                <w:vertAlign w:val="subscript"/>
              </w:rPr>
              <w:t>​</w:t>
            </w:r>
          </w:p>
        </w:tc>
        <w:tc>
          <w:tcPr>
            <w:tcW w:w="0" w:type="dxa"/>
            <w:vAlign w:val="bottom"/>
          </w:tcPr>
          <w:p>
            <w:pPr>
              <w:spacing w:after="0"/>
              <w:rPr>
                <w:sz w:val="1"/>
                <w:szCs w:val="1"/>
                <w:color w:val="auto"/>
              </w:rPr>
            </w:pPr>
          </w:p>
        </w:tc>
      </w:tr>
      <w:tr>
        <w:trPr>
          <w:trHeight w:val="20"/>
        </w:trPr>
        <w:tc>
          <w:tcPr>
            <w:tcW w:w="4300" w:type="dxa"/>
            <w:vAlign w:val="bottom"/>
            <w:shd w:val="clear" w:color="auto" w:fill="1F266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1F2668"/>
          </w:tcPr>
          <w:p>
            <w:pPr>
              <w:spacing w:after="0" w:line="20" w:lineRule="exact"/>
              <w:rPr>
                <w:sz w:val="1"/>
                <w:szCs w:val="1"/>
                <w:color w:val="auto"/>
              </w:rPr>
            </w:pPr>
          </w:p>
        </w:tc>
        <w:tc>
          <w:tcPr>
            <w:tcW w:w="1160" w:type="dxa"/>
            <w:vAlign w:val="bottom"/>
            <w:shd w:val="clear" w:color="auto" w:fill="1F2668"/>
          </w:tcPr>
          <w:p>
            <w:pPr>
              <w:spacing w:after="0" w:line="20" w:lineRule="exact"/>
              <w:rPr>
                <w:sz w:val="1"/>
                <w:szCs w:val="1"/>
                <w:color w:val="auto"/>
              </w:rPr>
            </w:pPr>
          </w:p>
        </w:tc>
        <w:tc>
          <w:tcPr>
            <w:tcW w:w="160" w:type="dxa"/>
            <w:vAlign w:val="bottom"/>
            <w:tcBorders>
              <w:right w:val="single" w:sz="8" w:color="1F2668"/>
            </w:tcBorders>
          </w:tcPr>
          <w:p>
            <w:pPr>
              <w:spacing w:after="0" w:line="20" w:lineRule="exact"/>
              <w:rPr>
                <w:sz w:val="1"/>
                <w:szCs w:val="1"/>
                <w:color w:val="auto"/>
              </w:rPr>
            </w:pPr>
          </w:p>
        </w:tc>
        <w:tc>
          <w:tcPr>
            <w:tcW w:w="860" w:type="dxa"/>
            <w:vAlign w:val="bottom"/>
            <w:shd w:val="clear" w:color="auto" w:fill="1F2668"/>
          </w:tcPr>
          <w:p>
            <w:pPr>
              <w:spacing w:after="0" w:line="20" w:lineRule="exact"/>
              <w:rPr>
                <w:sz w:val="1"/>
                <w:szCs w:val="1"/>
                <w:color w:val="auto"/>
              </w:rPr>
            </w:pPr>
          </w:p>
        </w:tc>
        <w:tc>
          <w:tcPr>
            <w:tcW w:w="140" w:type="dxa"/>
            <w:vAlign w:val="bottom"/>
            <w:tcBorders>
              <w:right w:val="single" w:sz="8" w:color="1F2668"/>
            </w:tcBorders>
          </w:tcPr>
          <w:p>
            <w:pPr>
              <w:spacing w:after="0" w:line="20" w:lineRule="exact"/>
              <w:rPr>
                <w:sz w:val="1"/>
                <w:szCs w:val="1"/>
                <w:color w:val="auto"/>
              </w:rPr>
            </w:pPr>
          </w:p>
        </w:tc>
        <w:tc>
          <w:tcPr>
            <w:tcW w:w="100" w:type="dxa"/>
            <w:vAlign w:val="bottom"/>
            <w:shd w:val="clear" w:color="auto" w:fill="1F2668"/>
          </w:tcPr>
          <w:p>
            <w:pPr>
              <w:spacing w:after="0" w:line="20" w:lineRule="exact"/>
              <w:rPr>
                <w:sz w:val="1"/>
                <w:szCs w:val="1"/>
                <w:color w:val="auto"/>
              </w:rPr>
            </w:pPr>
          </w:p>
        </w:tc>
        <w:tc>
          <w:tcPr>
            <w:tcW w:w="700" w:type="dxa"/>
            <w:vAlign w:val="bottom"/>
            <w:shd w:val="clear" w:color="auto" w:fill="1F2668"/>
          </w:tcPr>
          <w:p>
            <w:pPr>
              <w:spacing w:after="0" w:line="20" w:lineRule="exact"/>
              <w:rPr>
                <w:sz w:val="1"/>
                <w:szCs w:val="1"/>
                <w:color w:val="auto"/>
              </w:rPr>
            </w:pPr>
          </w:p>
        </w:tc>
        <w:tc>
          <w:tcPr>
            <w:tcW w:w="160" w:type="dxa"/>
            <w:vAlign w:val="bottom"/>
            <w:tcBorders>
              <w:right w:val="single" w:sz="8" w:color="1F2668"/>
            </w:tcBorders>
          </w:tcPr>
          <w:p>
            <w:pPr>
              <w:spacing w:after="0" w:line="20" w:lineRule="exact"/>
              <w:rPr>
                <w:sz w:val="1"/>
                <w:szCs w:val="1"/>
                <w:color w:val="auto"/>
              </w:rPr>
            </w:pPr>
          </w:p>
        </w:tc>
        <w:tc>
          <w:tcPr>
            <w:tcW w:w="220" w:type="dxa"/>
            <w:vAlign w:val="bottom"/>
            <w:shd w:val="clear" w:color="auto" w:fill="1F2668"/>
          </w:tcPr>
          <w:p>
            <w:pPr>
              <w:spacing w:after="0" w:line="20" w:lineRule="exact"/>
              <w:rPr>
                <w:sz w:val="1"/>
                <w:szCs w:val="1"/>
                <w:color w:val="auto"/>
              </w:rPr>
            </w:pPr>
          </w:p>
        </w:tc>
        <w:tc>
          <w:tcPr>
            <w:tcW w:w="700" w:type="dxa"/>
            <w:vAlign w:val="bottom"/>
            <w:shd w:val="clear" w:color="auto" w:fill="1F2668"/>
          </w:tcPr>
          <w:p>
            <w:pPr>
              <w:spacing w:after="0" w:line="20" w:lineRule="exact"/>
              <w:rPr>
                <w:sz w:val="1"/>
                <w:szCs w:val="1"/>
                <w:color w:val="auto"/>
              </w:rPr>
            </w:pPr>
          </w:p>
        </w:tc>
        <w:tc>
          <w:tcPr>
            <w:tcW w:w="60" w:type="dxa"/>
            <w:vAlign w:val="bottom"/>
            <w:tcBorders>
              <w:left w:val="single" w:sz="8" w:color="1F266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00" w:type="dxa"/>
            <w:vAlign w:val="bottom"/>
          </w:tcPr>
          <w:p>
            <w:pPr>
              <w:spacing w:after="0"/>
              <w:rPr>
                <w:sz w:val="20"/>
                <w:szCs w:val="20"/>
                <w:color w:val="auto"/>
              </w:rPr>
            </w:pPr>
            <w:r>
              <w:rPr>
                <w:rFonts w:ascii="Arial" w:cs="Arial" w:eastAsia="Arial" w:hAnsi="Arial"/>
                <w:sz w:val="14"/>
                <w:szCs w:val="14"/>
                <w:b w:val="1"/>
                <w:bCs w:val="1"/>
                <w:color w:val="1F2668"/>
              </w:rPr>
              <w:t>2024</w:t>
            </w:r>
          </w:p>
        </w:tc>
        <w:tc>
          <w:tcPr>
            <w:tcW w:w="20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​3,550,244</w:t>
            </w:r>
          </w:p>
        </w:tc>
        <w:tc>
          <w:tcPr>
            <w:tcW w:w="160" w:type="dxa"/>
            <w:vAlign w:val="bottom"/>
            <w:vMerge w:val="restart"/>
          </w:tcPr>
          <w:p>
            <w:pPr>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100"/>
              <w:spacing w:after="0"/>
              <w:rPr>
                <w:sz w:val="20"/>
                <w:szCs w:val="20"/>
                <w:color w:val="auto"/>
              </w:rPr>
            </w:pPr>
            <w:r>
              <w:rPr>
                <w:rFonts w:ascii="Arial" w:cs="Arial" w:eastAsia="Arial" w:hAnsi="Arial"/>
                <w:sz w:val="14"/>
                <w:szCs w:val="14"/>
                <w:color w:val="auto"/>
              </w:rPr>
              <w:t>​ (2,946,444)</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6,158,144</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6,761,944</w:t>
            </w:r>
          </w:p>
        </w:tc>
        <w:tc>
          <w:tcPr>
            <w:tcW w:w="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4"/>
        </w:trPr>
        <w:tc>
          <w:tcPr>
            <w:tcW w:w="4300" w:type="dxa"/>
            <w:vAlign w:val="bottom"/>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1160" w:type="dxa"/>
            <w:vAlign w:val="bottom"/>
          </w:tcPr>
          <w:p>
            <w:pPr>
              <w:jc w:val="right"/>
              <w:ind w:right="598"/>
              <w:spacing w:after="0" w:line="95" w:lineRule="exact"/>
              <w:rPr>
                <w:sz w:val="20"/>
                <w:szCs w:val="20"/>
                <w:color w:val="auto"/>
              </w:rPr>
            </w:pPr>
            <w:r>
              <w:rPr>
                <w:rFonts w:ascii="Arial" w:cs="Arial" w:eastAsia="Arial" w:hAnsi="Arial"/>
                <w:sz w:val="10"/>
                <w:szCs w:val="10"/>
                <w:color w:val="auto"/>
              </w:rPr>
              <w:t>​</w:t>
            </w:r>
          </w:p>
        </w:tc>
        <w:tc>
          <w:tcPr>
            <w:tcW w:w="160" w:type="dxa"/>
            <w:vAlign w:val="bottom"/>
            <w:vMerge w:val="continue"/>
          </w:tcPr>
          <w:p>
            <w:pPr>
              <w:spacing w:after="0"/>
              <w:rPr>
                <w:sz w:val="8"/>
                <w:szCs w:val="8"/>
                <w:color w:val="auto"/>
              </w:rPr>
            </w:pPr>
          </w:p>
        </w:tc>
        <w:tc>
          <w:tcPr>
            <w:tcW w:w="860" w:type="dxa"/>
            <w:vAlign w:val="bottom"/>
          </w:tcPr>
          <w:p>
            <w:pPr>
              <w:ind w:left="100"/>
              <w:spacing w:after="0" w:line="95" w:lineRule="exact"/>
              <w:rPr>
                <w:sz w:val="20"/>
                <w:szCs w:val="20"/>
                <w:color w:val="auto"/>
              </w:rPr>
            </w:pPr>
            <w:r>
              <w:rPr>
                <w:rFonts w:ascii="Arial" w:cs="Arial" w:eastAsia="Arial" w:hAnsi="Arial"/>
                <w:sz w:val="10"/>
                <w:szCs w:val="10"/>
                <w:color w:val="auto"/>
              </w:rPr>
              <w:t>​</w:t>
            </w:r>
          </w:p>
        </w:tc>
        <w:tc>
          <w:tcPr>
            <w:tcW w:w="240" w:type="dxa"/>
            <w:vAlign w:val="bottom"/>
            <w:gridSpan w:val="2"/>
          </w:tcPr>
          <w:p>
            <w:pPr>
              <w:jc w:val="right"/>
              <w:spacing w:after="0" w:line="95" w:lineRule="exact"/>
              <w:rPr>
                <w:sz w:val="20"/>
                <w:szCs w:val="20"/>
                <w:color w:val="auto"/>
              </w:rPr>
            </w:pPr>
            <w:r>
              <w:rPr>
                <w:rFonts w:ascii="Arial" w:cs="Arial" w:eastAsia="Arial" w:hAnsi="Arial"/>
                <w:sz w:val="10"/>
                <w:szCs w:val="10"/>
                <w:color w:val="auto"/>
              </w:rPr>
              <w:t>​​​ ​</w:t>
            </w:r>
          </w:p>
        </w:tc>
        <w:tc>
          <w:tcPr>
            <w:tcW w:w="70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220" w:type="dxa"/>
            <w:vAlign w:val="bottom"/>
          </w:tcPr>
          <w:p>
            <w:pPr>
              <w:ind w:left="120"/>
              <w:spacing w:after="0" w:line="95" w:lineRule="exact"/>
              <w:rPr>
                <w:sz w:val="20"/>
                <w:szCs w:val="20"/>
                <w:color w:val="auto"/>
              </w:rPr>
            </w:pPr>
            <w:r>
              <w:rPr>
                <w:rFonts w:ascii="Arial" w:cs="Arial" w:eastAsia="Arial" w:hAnsi="Arial"/>
                <w:sz w:val="10"/>
                <w:szCs w:val="10"/>
                <w:color w:val="auto"/>
              </w:rPr>
              <w:t>​</w:t>
            </w:r>
          </w:p>
        </w:tc>
        <w:tc>
          <w:tcPr>
            <w:tcW w:w="70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3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1160" w:type="dxa"/>
            <w:vAlign w:val="bottom"/>
            <w:shd w:val="clear" w:color="auto" w:fill="4B5088"/>
          </w:tcPr>
          <w:p>
            <w:pPr>
              <w:spacing w:after="0" w:line="20" w:lineRule="exact"/>
              <w:rPr>
                <w:sz w:val="1"/>
                <w:szCs w:val="1"/>
                <w:color w:val="auto"/>
              </w:rPr>
            </w:pPr>
          </w:p>
        </w:tc>
        <w:tc>
          <w:tcPr>
            <w:tcW w:w="160" w:type="dxa"/>
            <w:vAlign w:val="bottom"/>
            <w:tcBorders>
              <w:right w:val="single" w:sz="8" w:color="4B5088"/>
            </w:tcBorders>
          </w:tcPr>
          <w:p>
            <w:pPr>
              <w:spacing w:after="0" w:line="20" w:lineRule="exact"/>
              <w:rPr>
                <w:sz w:val="1"/>
                <w:szCs w:val="1"/>
                <w:color w:val="auto"/>
              </w:rPr>
            </w:pPr>
          </w:p>
        </w:tc>
        <w:tc>
          <w:tcPr>
            <w:tcW w:w="860" w:type="dxa"/>
            <w:vAlign w:val="bottom"/>
            <w:shd w:val="clear" w:color="auto" w:fill="4B5088"/>
          </w:tcPr>
          <w:p>
            <w:pPr>
              <w:spacing w:after="0" w:line="20" w:lineRule="exact"/>
              <w:rPr>
                <w:sz w:val="1"/>
                <w:szCs w:val="1"/>
                <w:color w:val="auto"/>
              </w:rPr>
            </w:pPr>
          </w:p>
        </w:tc>
        <w:tc>
          <w:tcPr>
            <w:tcW w:w="140" w:type="dxa"/>
            <w:vAlign w:val="bottom"/>
            <w:tcBorders>
              <w:right w:val="single" w:sz="8" w:color="4B5088"/>
            </w:tcBorders>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700" w:type="dxa"/>
            <w:vAlign w:val="bottom"/>
            <w:shd w:val="clear" w:color="auto" w:fill="4B5088"/>
          </w:tcPr>
          <w:p>
            <w:pPr>
              <w:spacing w:after="0" w:line="20" w:lineRule="exact"/>
              <w:rPr>
                <w:sz w:val="1"/>
                <w:szCs w:val="1"/>
                <w:color w:val="auto"/>
              </w:rPr>
            </w:pPr>
          </w:p>
        </w:tc>
        <w:tc>
          <w:tcPr>
            <w:tcW w:w="160" w:type="dxa"/>
            <w:vAlign w:val="bottom"/>
            <w:tcBorders>
              <w:right w:val="single" w:sz="8" w:color="4B5088"/>
            </w:tcBorders>
          </w:tcPr>
          <w:p>
            <w:pPr>
              <w:spacing w:after="0" w:line="20" w:lineRule="exact"/>
              <w:rPr>
                <w:sz w:val="1"/>
                <w:szCs w:val="1"/>
                <w:color w:val="auto"/>
              </w:rPr>
            </w:pPr>
          </w:p>
        </w:tc>
        <w:tc>
          <w:tcPr>
            <w:tcW w:w="920" w:type="dxa"/>
            <w:vAlign w:val="bottom"/>
            <w:gridSpan w:val="2"/>
            <w:shd w:val="clear" w:color="auto" w:fill="4B5088"/>
          </w:tcPr>
          <w:p>
            <w:pPr>
              <w:spacing w:after="0" w:line="20" w:lineRule="exact"/>
              <w:rPr>
                <w:sz w:val="1"/>
                <w:szCs w:val="1"/>
                <w:color w:val="auto"/>
              </w:rPr>
            </w:pPr>
          </w:p>
        </w:tc>
        <w:tc>
          <w:tcPr>
            <w:tcW w:w="60" w:type="dxa"/>
            <w:vAlign w:val="bottom"/>
            <w:tcBorders>
              <w:left w:val="single" w:sz="8" w:color="4B50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00" w:type="dxa"/>
            <w:vAlign w:val="bottom"/>
          </w:tcPr>
          <w:p>
            <w:pPr>
              <w:spacing w:after="0"/>
              <w:rPr>
                <w:sz w:val="20"/>
                <w:szCs w:val="20"/>
                <w:color w:val="auto"/>
              </w:rPr>
            </w:pPr>
            <w:r>
              <w:rPr>
                <w:rFonts w:ascii="Arial" w:cs="Arial" w:eastAsia="Arial" w:hAnsi="Arial"/>
                <w:sz w:val="14"/>
                <w:szCs w:val="14"/>
                <w:b w:val="1"/>
                <w:bCs w:val="1"/>
                <w:color w:val="1F2668"/>
              </w:rPr>
              <w:t>2023</w:t>
            </w:r>
          </w:p>
        </w:tc>
        <w:tc>
          <w:tcPr>
            <w:tcW w:w="20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​6,439,504</w:t>
            </w:r>
          </w:p>
        </w:tc>
        <w:tc>
          <w:tcPr>
            <w:tcW w:w="160" w:type="dxa"/>
            <w:vAlign w:val="bottom"/>
            <w:vMerge w:val="restart"/>
          </w:tcPr>
          <w:p>
            <w:pPr>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100"/>
              <w:spacing w:after="0"/>
              <w:rPr>
                <w:sz w:val="20"/>
                <w:szCs w:val="20"/>
                <w:color w:val="auto"/>
              </w:rPr>
            </w:pPr>
            <w:r>
              <w:rPr>
                <w:rFonts w:ascii="Arial" w:cs="Arial" w:eastAsia="Arial" w:hAnsi="Arial"/>
                <w:sz w:val="14"/>
                <w:szCs w:val="14"/>
                <w:color w:val="auto"/>
              </w:rPr>
              <w:t>​ (5,716,304)</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9,907,397</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 10,630,597</w:t>
            </w:r>
          </w:p>
        </w:tc>
        <w:tc>
          <w:tcPr>
            <w:tcW w:w="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4300" w:type="dxa"/>
            <w:vAlign w:val="bottom"/>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1160" w:type="dxa"/>
            <w:vAlign w:val="bottom"/>
          </w:tcPr>
          <w:p>
            <w:pPr>
              <w:jc w:val="right"/>
              <w:ind w:right="598"/>
              <w:spacing w:after="0" w:line="95" w:lineRule="exact"/>
              <w:rPr>
                <w:sz w:val="20"/>
                <w:szCs w:val="20"/>
                <w:color w:val="auto"/>
              </w:rPr>
            </w:pPr>
            <w:r>
              <w:rPr>
                <w:rFonts w:ascii="Arial" w:cs="Arial" w:eastAsia="Arial" w:hAnsi="Arial"/>
                <w:sz w:val="10"/>
                <w:szCs w:val="10"/>
                <w:color w:val="auto"/>
              </w:rPr>
              <w:t>​</w:t>
            </w:r>
          </w:p>
        </w:tc>
        <w:tc>
          <w:tcPr>
            <w:tcW w:w="160" w:type="dxa"/>
            <w:vAlign w:val="bottom"/>
            <w:vMerge w:val="continue"/>
          </w:tcPr>
          <w:p>
            <w:pPr>
              <w:spacing w:after="0"/>
              <w:rPr>
                <w:sz w:val="8"/>
                <w:szCs w:val="8"/>
                <w:color w:val="auto"/>
              </w:rPr>
            </w:pPr>
          </w:p>
        </w:tc>
        <w:tc>
          <w:tcPr>
            <w:tcW w:w="860" w:type="dxa"/>
            <w:vAlign w:val="bottom"/>
          </w:tcPr>
          <w:p>
            <w:pPr>
              <w:ind w:left="100"/>
              <w:spacing w:after="0" w:line="95" w:lineRule="exact"/>
              <w:rPr>
                <w:sz w:val="20"/>
                <w:szCs w:val="20"/>
                <w:color w:val="auto"/>
              </w:rPr>
            </w:pPr>
            <w:r>
              <w:rPr>
                <w:rFonts w:ascii="Arial" w:cs="Arial" w:eastAsia="Arial" w:hAnsi="Arial"/>
                <w:sz w:val="10"/>
                <w:szCs w:val="10"/>
                <w:color w:val="auto"/>
              </w:rPr>
              <w:t>​</w:t>
            </w:r>
          </w:p>
        </w:tc>
        <w:tc>
          <w:tcPr>
            <w:tcW w:w="240" w:type="dxa"/>
            <w:vAlign w:val="bottom"/>
            <w:gridSpan w:val="2"/>
          </w:tcPr>
          <w:p>
            <w:pPr>
              <w:jc w:val="right"/>
              <w:spacing w:after="0" w:line="95" w:lineRule="exact"/>
              <w:rPr>
                <w:sz w:val="20"/>
                <w:szCs w:val="20"/>
                <w:color w:val="auto"/>
              </w:rPr>
            </w:pPr>
            <w:r>
              <w:rPr>
                <w:rFonts w:ascii="Arial" w:cs="Arial" w:eastAsia="Arial" w:hAnsi="Arial"/>
                <w:sz w:val="10"/>
                <w:szCs w:val="10"/>
                <w:color w:val="auto"/>
              </w:rPr>
              <w:t>​​​ ​</w:t>
            </w:r>
          </w:p>
        </w:tc>
        <w:tc>
          <w:tcPr>
            <w:tcW w:w="70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220" w:type="dxa"/>
            <w:vAlign w:val="bottom"/>
          </w:tcPr>
          <w:p>
            <w:pPr>
              <w:ind w:left="120"/>
              <w:spacing w:after="0" w:line="95" w:lineRule="exact"/>
              <w:rPr>
                <w:sz w:val="20"/>
                <w:szCs w:val="20"/>
                <w:color w:val="auto"/>
              </w:rPr>
            </w:pPr>
            <w:r>
              <w:rPr>
                <w:rFonts w:ascii="Arial" w:cs="Arial" w:eastAsia="Arial" w:hAnsi="Arial"/>
                <w:sz w:val="10"/>
                <w:szCs w:val="10"/>
                <w:color w:val="auto"/>
              </w:rPr>
              <w:t>​</w:t>
            </w:r>
          </w:p>
        </w:tc>
        <w:tc>
          <w:tcPr>
            <w:tcW w:w="70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3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1160" w:type="dxa"/>
            <w:vAlign w:val="bottom"/>
            <w:shd w:val="clear" w:color="auto" w:fill="4B5088"/>
          </w:tcPr>
          <w:p>
            <w:pPr>
              <w:spacing w:after="0" w:line="20" w:lineRule="exact"/>
              <w:rPr>
                <w:sz w:val="1"/>
                <w:szCs w:val="1"/>
                <w:color w:val="auto"/>
              </w:rPr>
            </w:pPr>
          </w:p>
        </w:tc>
        <w:tc>
          <w:tcPr>
            <w:tcW w:w="160" w:type="dxa"/>
            <w:vAlign w:val="bottom"/>
            <w:tcBorders>
              <w:right w:val="single" w:sz="8" w:color="4B5088"/>
            </w:tcBorders>
          </w:tcPr>
          <w:p>
            <w:pPr>
              <w:spacing w:after="0" w:line="20" w:lineRule="exact"/>
              <w:rPr>
                <w:sz w:val="1"/>
                <w:szCs w:val="1"/>
                <w:color w:val="auto"/>
              </w:rPr>
            </w:pPr>
          </w:p>
        </w:tc>
        <w:tc>
          <w:tcPr>
            <w:tcW w:w="860" w:type="dxa"/>
            <w:vAlign w:val="bottom"/>
            <w:shd w:val="clear" w:color="auto" w:fill="4B5088"/>
          </w:tcPr>
          <w:p>
            <w:pPr>
              <w:spacing w:after="0" w:line="20" w:lineRule="exact"/>
              <w:rPr>
                <w:sz w:val="1"/>
                <w:szCs w:val="1"/>
                <w:color w:val="auto"/>
              </w:rPr>
            </w:pPr>
          </w:p>
        </w:tc>
        <w:tc>
          <w:tcPr>
            <w:tcW w:w="140" w:type="dxa"/>
            <w:vAlign w:val="bottom"/>
            <w:tcBorders>
              <w:right w:val="single" w:sz="8" w:color="4B5088"/>
            </w:tcBorders>
          </w:tcPr>
          <w:p>
            <w:pPr>
              <w:spacing w:after="0" w:line="20" w:lineRule="exact"/>
              <w:rPr>
                <w:sz w:val="1"/>
                <w:szCs w:val="1"/>
                <w:color w:val="auto"/>
              </w:rPr>
            </w:pPr>
          </w:p>
        </w:tc>
        <w:tc>
          <w:tcPr>
            <w:tcW w:w="800" w:type="dxa"/>
            <w:vAlign w:val="bottom"/>
            <w:gridSpan w:val="2"/>
            <w:shd w:val="clear" w:color="auto" w:fill="4B5088"/>
          </w:tcPr>
          <w:p>
            <w:pPr>
              <w:spacing w:after="0" w:line="20" w:lineRule="exact"/>
              <w:rPr>
                <w:sz w:val="1"/>
                <w:szCs w:val="1"/>
                <w:color w:val="auto"/>
              </w:rPr>
            </w:pPr>
          </w:p>
        </w:tc>
        <w:tc>
          <w:tcPr>
            <w:tcW w:w="160" w:type="dxa"/>
            <w:vAlign w:val="bottom"/>
            <w:tcBorders>
              <w:right w:val="single" w:sz="8" w:color="4B5088"/>
            </w:tcBorders>
          </w:tcPr>
          <w:p>
            <w:pPr>
              <w:spacing w:after="0" w:line="20" w:lineRule="exact"/>
              <w:rPr>
                <w:sz w:val="1"/>
                <w:szCs w:val="1"/>
                <w:color w:val="auto"/>
              </w:rPr>
            </w:pPr>
          </w:p>
        </w:tc>
        <w:tc>
          <w:tcPr>
            <w:tcW w:w="920" w:type="dxa"/>
            <w:vAlign w:val="bottom"/>
            <w:gridSpan w:val="2"/>
            <w:shd w:val="clear" w:color="auto" w:fill="4B50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00" w:type="dxa"/>
            <w:vAlign w:val="bottom"/>
          </w:tcPr>
          <w:p>
            <w:pPr>
              <w:spacing w:after="0"/>
              <w:rPr>
                <w:sz w:val="20"/>
                <w:szCs w:val="20"/>
                <w:color w:val="auto"/>
              </w:rPr>
            </w:pPr>
            <w:r>
              <w:rPr>
                <w:rFonts w:ascii="Arial" w:cs="Arial" w:eastAsia="Arial" w:hAnsi="Arial"/>
                <w:sz w:val="14"/>
                <w:szCs w:val="14"/>
                <w:b w:val="1"/>
                <w:bCs w:val="1"/>
                <w:color w:val="1F2668"/>
              </w:rPr>
              <w:t>2022</w:t>
            </w:r>
          </w:p>
        </w:tc>
        <w:tc>
          <w:tcPr>
            <w:tcW w:w="20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​7,006,710</w:t>
            </w:r>
          </w:p>
        </w:tc>
        <w:tc>
          <w:tcPr>
            <w:tcW w:w="160" w:type="dxa"/>
            <w:vAlign w:val="bottom"/>
            <w:vMerge w:val="restart"/>
          </w:tcPr>
          <w:p>
            <w:pPr>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100"/>
              <w:spacing w:after="0"/>
              <w:rPr>
                <w:sz w:val="20"/>
                <w:szCs w:val="20"/>
                <w:color w:val="auto"/>
              </w:rPr>
            </w:pPr>
            <w:r>
              <w:rPr>
                <w:rFonts w:ascii="Arial" w:cs="Arial" w:eastAsia="Arial" w:hAnsi="Arial"/>
                <w:sz w:val="14"/>
                <w:szCs w:val="14"/>
                <w:color w:val="auto"/>
              </w:rPr>
              <w:t>​ (6,036,720)</w:t>
            </w:r>
          </w:p>
        </w:tc>
        <w:tc>
          <w:tcPr>
            <w:tcW w:w="960" w:type="dxa"/>
            <w:vAlign w:val="bottom"/>
            <w:gridSpan w:val="3"/>
          </w:tcPr>
          <w:p>
            <w:pPr>
              <w:jc w:val="right"/>
              <w:ind w:right="33"/>
              <w:spacing w:after="0"/>
              <w:rPr>
                <w:sz w:val="20"/>
                <w:szCs w:val="20"/>
                <w:color w:val="auto"/>
              </w:rPr>
            </w:pPr>
            <w:r>
              <w:rPr>
                <w:rFonts w:ascii="Arial" w:cs="Arial" w:eastAsia="Arial" w:hAnsi="Arial"/>
                <w:sz w:val="14"/>
                <w:szCs w:val="14"/>
                <w:color w:val="auto"/>
              </w:rPr>
              <w:t>​ (3,359,296)</w:t>
            </w:r>
          </w:p>
        </w:tc>
        <w:tc>
          <w:tcPr>
            <w:tcW w:w="980" w:type="dxa"/>
            <w:vAlign w:val="bottom"/>
            <w:gridSpan w:val="3"/>
          </w:tcPr>
          <w:p>
            <w:pPr>
              <w:ind w:left="120"/>
              <w:spacing w:after="0"/>
              <w:rPr>
                <w:sz w:val="20"/>
                <w:szCs w:val="20"/>
                <w:color w:val="auto"/>
              </w:rPr>
            </w:pPr>
            <w:r>
              <w:rPr>
                <w:rFonts w:ascii="Arial" w:cs="Arial" w:eastAsia="Arial" w:hAnsi="Arial"/>
                <w:sz w:val="14"/>
                <w:szCs w:val="14"/>
                <w:color w:val="auto"/>
              </w:rPr>
              <w:t>​ (2,389,306)</w:t>
            </w:r>
          </w:p>
        </w:tc>
        <w:tc>
          <w:tcPr>
            <w:tcW w:w="0" w:type="dxa"/>
            <w:vAlign w:val="bottom"/>
          </w:tcPr>
          <w:p>
            <w:pPr>
              <w:spacing w:after="0"/>
              <w:rPr>
                <w:sz w:val="1"/>
                <w:szCs w:val="1"/>
                <w:color w:val="auto"/>
              </w:rPr>
            </w:pPr>
          </w:p>
        </w:tc>
      </w:tr>
      <w:tr>
        <w:trPr>
          <w:trHeight w:val="95"/>
        </w:trPr>
        <w:tc>
          <w:tcPr>
            <w:tcW w:w="4300" w:type="dxa"/>
            <w:vAlign w:val="bottom"/>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1160" w:type="dxa"/>
            <w:vAlign w:val="bottom"/>
          </w:tcPr>
          <w:p>
            <w:pPr>
              <w:jc w:val="right"/>
              <w:ind w:right="598"/>
              <w:spacing w:after="0" w:line="95" w:lineRule="exact"/>
              <w:rPr>
                <w:sz w:val="20"/>
                <w:szCs w:val="20"/>
                <w:color w:val="auto"/>
              </w:rPr>
            </w:pPr>
            <w:r>
              <w:rPr>
                <w:rFonts w:ascii="Arial" w:cs="Arial" w:eastAsia="Arial" w:hAnsi="Arial"/>
                <w:sz w:val="10"/>
                <w:szCs w:val="10"/>
                <w:color w:val="auto"/>
              </w:rPr>
              <w:t>​</w:t>
            </w:r>
          </w:p>
        </w:tc>
        <w:tc>
          <w:tcPr>
            <w:tcW w:w="160" w:type="dxa"/>
            <w:vAlign w:val="bottom"/>
            <w:vMerge w:val="continue"/>
          </w:tcPr>
          <w:p>
            <w:pPr>
              <w:spacing w:after="0"/>
              <w:rPr>
                <w:sz w:val="8"/>
                <w:szCs w:val="8"/>
                <w:color w:val="auto"/>
              </w:rPr>
            </w:pPr>
          </w:p>
        </w:tc>
        <w:tc>
          <w:tcPr>
            <w:tcW w:w="860" w:type="dxa"/>
            <w:vAlign w:val="bottom"/>
          </w:tcPr>
          <w:p>
            <w:pPr>
              <w:ind w:left="100"/>
              <w:spacing w:after="0" w:line="95" w:lineRule="exact"/>
              <w:rPr>
                <w:sz w:val="20"/>
                <w:szCs w:val="20"/>
                <w:color w:val="auto"/>
              </w:rPr>
            </w:pPr>
            <w:r>
              <w:rPr>
                <w:rFonts w:ascii="Arial" w:cs="Arial" w:eastAsia="Arial" w:hAnsi="Arial"/>
                <w:sz w:val="10"/>
                <w:szCs w:val="10"/>
                <w:color w:val="auto"/>
              </w:rPr>
              <w:t>​</w:t>
            </w:r>
          </w:p>
        </w:tc>
        <w:tc>
          <w:tcPr>
            <w:tcW w:w="240" w:type="dxa"/>
            <w:vAlign w:val="bottom"/>
            <w:gridSpan w:val="2"/>
          </w:tcPr>
          <w:p>
            <w:pPr>
              <w:jc w:val="right"/>
              <w:spacing w:after="0" w:line="95" w:lineRule="exact"/>
              <w:rPr>
                <w:sz w:val="20"/>
                <w:szCs w:val="20"/>
                <w:color w:val="auto"/>
              </w:rPr>
            </w:pPr>
            <w:r>
              <w:rPr>
                <w:rFonts w:ascii="Arial" w:cs="Arial" w:eastAsia="Arial" w:hAnsi="Arial"/>
                <w:sz w:val="10"/>
                <w:szCs w:val="10"/>
                <w:color w:val="auto"/>
              </w:rPr>
              <w:t>​​​ ​</w:t>
            </w:r>
          </w:p>
        </w:tc>
        <w:tc>
          <w:tcPr>
            <w:tcW w:w="700" w:type="dxa"/>
            <w:vAlign w:val="bottom"/>
          </w:tcPr>
          <w:p>
            <w:pPr>
              <w:spacing w:after="0"/>
              <w:rPr>
                <w:sz w:val="8"/>
                <w:szCs w:val="8"/>
                <w:color w:val="auto"/>
              </w:rPr>
            </w:pPr>
          </w:p>
        </w:tc>
        <w:tc>
          <w:tcPr>
            <w:tcW w:w="16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220" w:type="dxa"/>
            <w:vAlign w:val="bottom"/>
          </w:tcPr>
          <w:p>
            <w:pPr>
              <w:ind w:left="120"/>
              <w:spacing w:after="0" w:line="95" w:lineRule="exact"/>
              <w:rPr>
                <w:sz w:val="20"/>
                <w:szCs w:val="20"/>
                <w:color w:val="auto"/>
              </w:rPr>
            </w:pPr>
            <w:r>
              <w:rPr>
                <w:rFonts w:ascii="Arial" w:cs="Arial" w:eastAsia="Arial" w:hAnsi="Arial"/>
                <w:sz w:val="10"/>
                <w:szCs w:val="10"/>
                <w:color w:val="auto"/>
              </w:rPr>
              <w:t>​</w:t>
            </w:r>
          </w:p>
        </w:tc>
        <w:tc>
          <w:tcPr>
            <w:tcW w:w="700" w:type="dxa"/>
            <w:vAlign w:val="bottom"/>
          </w:tcPr>
          <w:p>
            <w:pPr>
              <w:spacing w:after="0"/>
              <w:rPr>
                <w:sz w:val="8"/>
                <w:szCs w:val="8"/>
                <w:color w:val="auto"/>
              </w:rPr>
            </w:pPr>
          </w:p>
        </w:tc>
        <w:tc>
          <w:tcPr>
            <w:tcW w:w="6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43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1160" w:type="dxa"/>
            <w:vAlign w:val="bottom"/>
            <w:shd w:val="clear" w:color="auto" w:fill="4B5088"/>
          </w:tcPr>
          <w:p>
            <w:pPr>
              <w:spacing w:after="0" w:line="20" w:lineRule="exact"/>
              <w:rPr>
                <w:sz w:val="1"/>
                <w:szCs w:val="1"/>
                <w:color w:val="auto"/>
              </w:rPr>
            </w:pPr>
          </w:p>
        </w:tc>
        <w:tc>
          <w:tcPr>
            <w:tcW w:w="160" w:type="dxa"/>
            <w:vAlign w:val="bottom"/>
            <w:tcBorders>
              <w:right w:val="single" w:sz="8" w:color="4B5088"/>
            </w:tcBorders>
          </w:tcPr>
          <w:p>
            <w:pPr>
              <w:spacing w:after="0" w:line="20" w:lineRule="exact"/>
              <w:rPr>
                <w:sz w:val="1"/>
                <w:szCs w:val="1"/>
                <w:color w:val="auto"/>
              </w:rPr>
            </w:pPr>
          </w:p>
        </w:tc>
        <w:tc>
          <w:tcPr>
            <w:tcW w:w="860" w:type="dxa"/>
            <w:vAlign w:val="bottom"/>
            <w:shd w:val="clear" w:color="auto" w:fill="4B5088"/>
          </w:tcPr>
          <w:p>
            <w:pPr>
              <w:spacing w:after="0" w:line="20" w:lineRule="exact"/>
              <w:rPr>
                <w:sz w:val="1"/>
                <w:szCs w:val="1"/>
                <w:color w:val="auto"/>
              </w:rPr>
            </w:pPr>
          </w:p>
        </w:tc>
        <w:tc>
          <w:tcPr>
            <w:tcW w:w="140" w:type="dxa"/>
            <w:vAlign w:val="bottom"/>
            <w:tcBorders>
              <w:right w:val="single" w:sz="8" w:color="4B5088"/>
            </w:tcBorders>
          </w:tcPr>
          <w:p>
            <w:pPr>
              <w:spacing w:after="0" w:line="20" w:lineRule="exact"/>
              <w:rPr>
                <w:sz w:val="1"/>
                <w:szCs w:val="1"/>
                <w:color w:val="auto"/>
              </w:rPr>
            </w:pPr>
          </w:p>
        </w:tc>
        <w:tc>
          <w:tcPr>
            <w:tcW w:w="800" w:type="dxa"/>
            <w:vAlign w:val="bottom"/>
            <w:gridSpan w:val="2"/>
            <w:shd w:val="clear" w:color="auto" w:fill="4B5088"/>
          </w:tcPr>
          <w:p>
            <w:pPr>
              <w:spacing w:after="0" w:line="20" w:lineRule="exact"/>
              <w:rPr>
                <w:sz w:val="1"/>
                <w:szCs w:val="1"/>
                <w:color w:val="auto"/>
              </w:rPr>
            </w:pPr>
          </w:p>
        </w:tc>
        <w:tc>
          <w:tcPr>
            <w:tcW w:w="160" w:type="dxa"/>
            <w:vAlign w:val="bottom"/>
            <w:tcBorders>
              <w:right w:val="single" w:sz="8" w:color="4B5088"/>
            </w:tcBorders>
          </w:tcPr>
          <w:p>
            <w:pPr>
              <w:spacing w:after="0" w:line="20" w:lineRule="exact"/>
              <w:rPr>
                <w:sz w:val="1"/>
                <w:szCs w:val="1"/>
                <w:color w:val="auto"/>
              </w:rPr>
            </w:pPr>
          </w:p>
        </w:tc>
        <w:tc>
          <w:tcPr>
            <w:tcW w:w="920" w:type="dxa"/>
            <w:vAlign w:val="bottom"/>
            <w:gridSpan w:val="2"/>
            <w:shd w:val="clear" w:color="auto" w:fill="4B5088"/>
          </w:tcPr>
          <w:p>
            <w:pPr>
              <w:spacing w:after="0" w:line="20" w:lineRule="exact"/>
              <w:rPr>
                <w:sz w:val="1"/>
                <w:szCs w:val="1"/>
                <w:color w:val="auto"/>
              </w:rPr>
            </w:pPr>
          </w:p>
        </w:tc>
        <w:tc>
          <w:tcPr>
            <w:tcW w:w="60" w:type="dxa"/>
            <w:vAlign w:val="bottom"/>
            <w:tcBorders>
              <w:left w:val="single" w:sz="8" w:color="4B50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00" w:type="dxa"/>
            <w:vAlign w:val="bottom"/>
          </w:tcPr>
          <w:p>
            <w:pPr>
              <w:spacing w:after="0"/>
              <w:rPr>
                <w:sz w:val="20"/>
                <w:szCs w:val="20"/>
                <w:color w:val="auto"/>
              </w:rPr>
            </w:pPr>
            <w:r>
              <w:rPr>
                <w:rFonts w:ascii="Arial" w:cs="Arial" w:eastAsia="Arial" w:hAnsi="Arial"/>
                <w:sz w:val="14"/>
                <w:szCs w:val="14"/>
                <w:b w:val="1"/>
                <w:bCs w:val="1"/>
                <w:color w:val="1F2668"/>
              </w:rPr>
              <w:t>2021</w:t>
            </w:r>
          </w:p>
        </w:tc>
        <w:tc>
          <w:tcPr>
            <w:tcW w:w="20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​7,711,773</w:t>
            </w:r>
          </w:p>
        </w:tc>
        <w:tc>
          <w:tcPr>
            <w:tcW w:w="160" w:type="dxa"/>
            <w:vAlign w:val="bottom"/>
            <w:vMerge w:val="restart"/>
          </w:tcPr>
          <w:p>
            <w:pPr>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100"/>
              <w:spacing w:after="0"/>
              <w:rPr>
                <w:sz w:val="20"/>
                <w:szCs w:val="20"/>
                <w:color w:val="auto"/>
              </w:rPr>
            </w:pPr>
            <w:r>
              <w:rPr>
                <w:rFonts w:ascii="Arial" w:cs="Arial" w:eastAsia="Arial" w:hAnsi="Arial"/>
                <w:sz w:val="14"/>
                <w:szCs w:val="14"/>
                <w:color w:val="auto"/>
              </w:rPr>
              <w:t>​ (6,677,199)</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 10,530,465</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 11,565,039</w:t>
            </w:r>
          </w:p>
        </w:tc>
        <w:tc>
          <w:tcPr>
            <w:tcW w:w="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4300" w:type="dxa"/>
            <w:vAlign w:val="bottom"/>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1160" w:type="dxa"/>
            <w:vAlign w:val="bottom"/>
          </w:tcPr>
          <w:p>
            <w:pPr>
              <w:jc w:val="right"/>
              <w:ind w:right="598"/>
              <w:spacing w:after="0" w:line="95" w:lineRule="exact"/>
              <w:rPr>
                <w:sz w:val="20"/>
                <w:szCs w:val="20"/>
                <w:color w:val="auto"/>
              </w:rPr>
            </w:pPr>
            <w:r>
              <w:rPr>
                <w:rFonts w:ascii="Arial" w:cs="Arial" w:eastAsia="Arial" w:hAnsi="Arial"/>
                <w:sz w:val="10"/>
                <w:szCs w:val="10"/>
                <w:color w:val="auto"/>
              </w:rPr>
              <w:t>​</w:t>
            </w:r>
          </w:p>
        </w:tc>
        <w:tc>
          <w:tcPr>
            <w:tcW w:w="160" w:type="dxa"/>
            <w:vAlign w:val="bottom"/>
            <w:vMerge w:val="continue"/>
          </w:tcPr>
          <w:p>
            <w:pPr>
              <w:spacing w:after="0"/>
              <w:rPr>
                <w:sz w:val="8"/>
                <w:szCs w:val="8"/>
                <w:color w:val="auto"/>
              </w:rPr>
            </w:pPr>
          </w:p>
        </w:tc>
        <w:tc>
          <w:tcPr>
            <w:tcW w:w="860" w:type="dxa"/>
            <w:vAlign w:val="bottom"/>
          </w:tcPr>
          <w:p>
            <w:pPr>
              <w:ind w:left="100"/>
              <w:spacing w:after="0" w:line="95" w:lineRule="exact"/>
              <w:rPr>
                <w:sz w:val="20"/>
                <w:szCs w:val="20"/>
                <w:color w:val="auto"/>
              </w:rPr>
            </w:pPr>
            <w:r>
              <w:rPr>
                <w:rFonts w:ascii="Arial" w:cs="Arial" w:eastAsia="Arial" w:hAnsi="Arial"/>
                <w:sz w:val="10"/>
                <w:szCs w:val="10"/>
                <w:color w:val="auto"/>
              </w:rPr>
              <w:t>​</w:t>
            </w:r>
          </w:p>
        </w:tc>
        <w:tc>
          <w:tcPr>
            <w:tcW w:w="240" w:type="dxa"/>
            <w:vAlign w:val="bottom"/>
            <w:gridSpan w:val="2"/>
          </w:tcPr>
          <w:p>
            <w:pPr>
              <w:jc w:val="right"/>
              <w:spacing w:after="0" w:line="95" w:lineRule="exact"/>
              <w:rPr>
                <w:sz w:val="20"/>
                <w:szCs w:val="20"/>
                <w:color w:val="auto"/>
              </w:rPr>
            </w:pPr>
            <w:r>
              <w:rPr>
                <w:rFonts w:ascii="Arial" w:cs="Arial" w:eastAsia="Arial" w:hAnsi="Arial"/>
                <w:sz w:val="10"/>
                <w:szCs w:val="10"/>
                <w:color w:val="auto"/>
              </w:rPr>
              <w:t>​​​ ​</w:t>
            </w:r>
          </w:p>
        </w:tc>
        <w:tc>
          <w:tcPr>
            <w:tcW w:w="70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220" w:type="dxa"/>
            <w:vAlign w:val="bottom"/>
          </w:tcPr>
          <w:p>
            <w:pPr>
              <w:ind w:left="120"/>
              <w:spacing w:after="0" w:line="95" w:lineRule="exact"/>
              <w:rPr>
                <w:sz w:val="20"/>
                <w:szCs w:val="20"/>
                <w:color w:val="auto"/>
              </w:rPr>
            </w:pPr>
            <w:r>
              <w:rPr>
                <w:rFonts w:ascii="Arial" w:cs="Arial" w:eastAsia="Arial" w:hAnsi="Arial"/>
                <w:sz w:val="10"/>
                <w:szCs w:val="10"/>
                <w:color w:val="auto"/>
              </w:rPr>
              <w:t>​</w:t>
            </w:r>
          </w:p>
        </w:tc>
        <w:tc>
          <w:tcPr>
            <w:tcW w:w="70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3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1160" w:type="dxa"/>
            <w:vAlign w:val="bottom"/>
            <w:shd w:val="clear" w:color="auto" w:fill="4B5088"/>
          </w:tcPr>
          <w:p>
            <w:pPr>
              <w:spacing w:after="0" w:line="20" w:lineRule="exact"/>
              <w:rPr>
                <w:sz w:val="1"/>
                <w:szCs w:val="1"/>
                <w:color w:val="auto"/>
              </w:rPr>
            </w:pPr>
          </w:p>
        </w:tc>
        <w:tc>
          <w:tcPr>
            <w:tcW w:w="160" w:type="dxa"/>
            <w:vAlign w:val="bottom"/>
            <w:tcBorders>
              <w:right w:val="single" w:sz="8" w:color="4B5088"/>
            </w:tcBorders>
          </w:tcPr>
          <w:p>
            <w:pPr>
              <w:spacing w:after="0" w:line="20" w:lineRule="exact"/>
              <w:rPr>
                <w:sz w:val="1"/>
                <w:szCs w:val="1"/>
                <w:color w:val="auto"/>
              </w:rPr>
            </w:pPr>
          </w:p>
        </w:tc>
        <w:tc>
          <w:tcPr>
            <w:tcW w:w="860" w:type="dxa"/>
            <w:vAlign w:val="bottom"/>
            <w:shd w:val="clear" w:color="auto" w:fill="4B5088"/>
          </w:tcPr>
          <w:p>
            <w:pPr>
              <w:spacing w:after="0" w:line="20" w:lineRule="exact"/>
              <w:rPr>
                <w:sz w:val="1"/>
                <w:szCs w:val="1"/>
                <w:color w:val="auto"/>
              </w:rPr>
            </w:pPr>
          </w:p>
        </w:tc>
        <w:tc>
          <w:tcPr>
            <w:tcW w:w="140" w:type="dxa"/>
            <w:vAlign w:val="bottom"/>
            <w:tcBorders>
              <w:right w:val="single" w:sz="8" w:color="4B5088"/>
            </w:tcBorders>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700" w:type="dxa"/>
            <w:vAlign w:val="bottom"/>
            <w:shd w:val="clear" w:color="auto" w:fill="4B5088"/>
          </w:tcPr>
          <w:p>
            <w:pPr>
              <w:spacing w:after="0" w:line="20" w:lineRule="exact"/>
              <w:rPr>
                <w:sz w:val="1"/>
                <w:szCs w:val="1"/>
                <w:color w:val="auto"/>
              </w:rPr>
            </w:pPr>
          </w:p>
        </w:tc>
        <w:tc>
          <w:tcPr>
            <w:tcW w:w="160" w:type="dxa"/>
            <w:vAlign w:val="bottom"/>
            <w:tcBorders>
              <w:right w:val="single" w:sz="8" w:color="4B5088"/>
            </w:tcBorders>
          </w:tcPr>
          <w:p>
            <w:pPr>
              <w:spacing w:after="0" w:line="20" w:lineRule="exact"/>
              <w:rPr>
                <w:sz w:val="1"/>
                <w:szCs w:val="1"/>
                <w:color w:val="auto"/>
              </w:rPr>
            </w:pPr>
          </w:p>
        </w:tc>
        <w:tc>
          <w:tcPr>
            <w:tcW w:w="220" w:type="dxa"/>
            <w:vAlign w:val="bottom"/>
            <w:shd w:val="clear" w:color="auto" w:fill="4B5088"/>
          </w:tcPr>
          <w:p>
            <w:pPr>
              <w:spacing w:after="0" w:line="20" w:lineRule="exact"/>
              <w:rPr>
                <w:sz w:val="1"/>
                <w:szCs w:val="1"/>
                <w:color w:val="auto"/>
              </w:rPr>
            </w:pPr>
          </w:p>
        </w:tc>
        <w:tc>
          <w:tcPr>
            <w:tcW w:w="700" w:type="dxa"/>
            <w:vAlign w:val="bottom"/>
            <w:shd w:val="clear" w:color="auto" w:fill="4B5088"/>
          </w:tcPr>
          <w:p>
            <w:pPr>
              <w:spacing w:after="0" w:line="20" w:lineRule="exact"/>
              <w:rPr>
                <w:sz w:val="1"/>
                <w:szCs w:val="1"/>
                <w:color w:val="auto"/>
              </w:rPr>
            </w:pPr>
          </w:p>
        </w:tc>
        <w:tc>
          <w:tcPr>
            <w:tcW w:w="60" w:type="dxa"/>
            <w:vAlign w:val="bottom"/>
            <w:tcBorders>
              <w:left w:val="single" w:sz="8" w:color="4B50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00" w:type="dxa"/>
            <w:vAlign w:val="bottom"/>
          </w:tcPr>
          <w:p>
            <w:pPr>
              <w:spacing w:after="0"/>
              <w:rPr>
                <w:sz w:val="20"/>
                <w:szCs w:val="20"/>
                <w:color w:val="auto"/>
              </w:rPr>
            </w:pPr>
            <w:r>
              <w:rPr>
                <w:rFonts w:ascii="Arial" w:cs="Arial" w:eastAsia="Arial" w:hAnsi="Arial"/>
                <w:sz w:val="14"/>
                <w:szCs w:val="14"/>
                <w:b w:val="1"/>
                <w:bCs w:val="1"/>
                <w:color w:val="1F2668"/>
              </w:rPr>
              <w:t>2020</w:t>
            </w:r>
          </w:p>
        </w:tc>
        <w:tc>
          <w:tcPr>
            <w:tcW w:w="20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​6,741,540</w:t>
            </w:r>
          </w:p>
        </w:tc>
        <w:tc>
          <w:tcPr>
            <w:tcW w:w="160" w:type="dxa"/>
            <w:vAlign w:val="bottom"/>
            <w:vMerge w:val="restart"/>
          </w:tcPr>
          <w:p>
            <w:pPr>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100"/>
              <w:spacing w:after="0"/>
              <w:rPr>
                <w:sz w:val="20"/>
                <w:szCs w:val="20"/>
                <w:color w:val="auto"/>
              </w:rPr>
            </w:pPr>
            <w:r>
              <w:rPr>
                <w:rFonts w:ascii="Arial" w:cs="Arial" w:eastAsia="Arial" w:hAnsi="Arial"/>
                <w:sz w:val="14"/>
                <w:szCs w:val="14"/>
                <w:color w:val="auto"/>
              </w:rPr>
              <w:t>​ (4,872,895)</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2,855,032</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4,723,677</w:t>
            </w:r>
          </w:p>
        </w:tc>
        <w:tc>
          <w:tcPr>
            <w:tcW w:w="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4"/>
        </w:trPr>
        <w:tc>
          <w:tcPr>
            <w:tcW w:w="4300" w:type="dxa"/>
            <w:vAlign w:val="bottom"/>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1160" w:type="dxa"/>
            <w:vAlign w:val="bottom"/>
          </w:tcPr>
          <w:p>
            <w:pPr>
              <w:jc w:val="right"/>
              <w:ind w:right="598"/>
              <w:spacing w:after="0" w:line="95" w:lineRule="exact"/>
              <w:rPr>
                <w:sz w:val="20"/>
                <w:szCs w:val="20"/>
                <w:color w:val="auto"/>
              </w:rPr>
            </w:pPr>
            <w:r>
              <w:rPr>
                <w:rFonts w:ascii="Arial" w:cs="Arial" w:eastAsia="Arial" w:hAnsi="Arial"/>
                <w:sz w:val="10"/>
                <w:szCs w:val="10"/>
                <w:color w:val="auto"/>
              </w:rPr>
              <w:t>​</w:t>
            </w:r>
          </w:p>
        </w:tc>
        <w:tc>
          <w:tcPr>
            <w:tcW w:w="160" w:type="dxa"/>
            <w:vAlign w:val="bottom"/>
            <w:vMerge w:val="continue"/>
          </w:tcPr>
          <w:p>
            <w:pPr>
              <w:spacing w:after="0"/>
              <w:rPr>
                <w:sz w:val="8"/>
                <w:szCs w:val="8"/>
                <w:color w:val="auto"/>
              </w:rPr>
            </w:pPr>
          </w:p>
        </w:tc>
        <w:tc>
          <w:tcPr>
            <w:tcW w:w="860" w:type="dxa"/>
            <w:vAlign w:val="bottom"/>
          </w:tcPr>
          <w:p>
            <w:pPr>
              <w:ind w:left="100"/>
              <w:spacing w:after="0" w:line="95" w:lineRule="exact"/>
              <w:rPr>
                <w:sz w:val="20"/>
                <w:szCs w:val="20"/>
                <w:color w:val="auto"/>
              </w:rPr>
            </w:pPr>
            <w:r>
              <w:rPr>
                <w:rFonts w:ascii="Arial" w:cs="Arial" w:eastAsia="Arial" w:hAnsi="Arial"/>
                <w:sz w:val="10"/>
                <w:szCs w:val="10"/>
                <w:color w:val="auto"/>
              </w:rPr>
              <w:t>​</w:t>
            </w:r>
          </w:p>
        </w:tc>
        <w:tc>
          <w:tcPr>
            <w:tcW w:w="240" w:type="dxa"/>
            <w:vAlign w:val="bottom"/>
            <w:gridSpan w:val="2"/>
          </w:tcPr>
          <w:p>
            <w:pPr>
              <w:jc w:val="right"/>
              <w:spacing w:after="0" w:line="95" w:lineRule="exact"/>
              <w:rPr>
                <w:sz w:val="20"/>
                <w:szCs w:val="20"/>
                <w:color w:val="auto"/>
              </w:rPr>
            </w:pPr>
            <w:r>
              <w:rPr>
                <w:rFonts w:ascii="Arial" w:cs="Arial" w:eastAsia="Arial" w:hAnsi="Arial"/>
                <w:sz w:val="10"/>
                <w:szCs w:val="10"/>
                <w:color w:val="auto"/>
              </w:rPr>
              <w:t>​​​ ​</w:t>
            </w:r>
          </w:p>
        </w:tc>
        <w:tc>
          <w:tcPr>
            <w:tcW w:w="70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220" w:type="dxa"/>
            <w:vAlign w:val="bottom"/>
          </w:tcPr>
          <w:p>
            <w:pPr>
              <w:ind w:left="120"/>
              <w:spacing w:after="0" w:line="95" w:lineRule="exact"/>
              <w:rPr>
                <w:sz w:val="20"/>
                <w:szCs w:val="20"/>
                <w:color w:val="auto"/>
              </w:rPr>
            </w:pPr>
            <w:r>
              <w:rPr>
                <w:rFonts w:ascii="Arial" w:cs="Arial" w:eastAsia="Arial" w:hAnsi="Arial"/>
                <w:sz w:val="10"/>
                <w:szCs w:val="10"/>
                <w:color w:val="auto"/>
              </w:rPr>
              <w:t>​</w:t>
            </w:r>
          </w:p>
        </w:tc>
        <w:tc>
          <w:tcPr>
            <w:tcW w:w="70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300" w:type="dxa"/>
            <w:vAlign w:val="bottom"/>
            <w:shd w:val="clear" w:color="auto" w:fill="1F266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1F2668"/>
          </w:tcPr>
          <w:p>
            <w:pPr>
              <w:spacing w:after="0" w:line="20" w:lineRule="exact"/>
              <w:rPr>
                <w:sz w:val="1"/>
                <w:szCs w:val="1"/>
                <w:color w:val="auto"/>
              </w:rPr>
            </w:pPr>
          </w:p>
        </w:tc>
        <w:tc>
          <w:tcPr>
            <w:tcW w:w="1160" w:type="dxa"/>
            <w:vAlign w:val="bottom"/>
            <w:shd w:val="clear" w:color="auto" w:fill="1F2668"/>
          </w:tcPr>
          <w:p>
            <w:pPr>
              <w:spacing w:after="0" w:line="20" w:lineRule="exact"/>
              <w:rPr>
                <w:sz w:val="1"/>
                <w:szCs w:val="1"/>
                <w:color w:val="auto"/>
              </w:rPr>
            </w:pPr>
          </w:p>
        </w:tc>
        <w:tc>
          <w:tcPr>
            <w:tcW w:w="160" w:type="dxa"/>
            <w:vAlign w:val="bottom"/>
            <w:tcBorders>
              <w:right w:val="single" w:sz="8" w:color="1F2668"/>
            </w:tcBorders>
          </w:tcPr>
          <w:p>
            <w:pPr>
              <w:spacing w:after="0" w:line="20" w:lineRule="exact"/>
              <w:rPr>
                <w:sz w:val="1"/>
                <w:szCs w:val="1"/>
                <w:color w:val="auto"/>
              </w:rPr>
            </w:pPr>
          </w:p>
        </w:tc>
        <w:tc>
          <w:tcPr>
            <w:tcW w:w="860" w:type="dxa"/>
            <w:vAlign w:val="bottom"/>
            <w:shd w:val="clear" w:color="auto" w:fill="1F2668"/>
          </w:tcPr>
          <w:p>
            <w:pPr>
              <w:spacing w:after="0" w:line="20" w:lineRule="exact"/>
              <w:rPr>
                <w:sz w:val="1"/>
                <w:szCs w:val="1"/>
                <w:color w:val="auto"/>
              </w:rPr>
            </w:pPr>
          </w:p>
        </w:tc>
        <w:tc>
          <w:tcPr>
            <w:tcW w:w="140" w:type="dxa"/>
            <w:vAlign w:val="bottom"/>
            <w:tcBorders>
              <w:right w:val="single" w:sz="8" w:color="1F2668"/>
            </w:tcBorders>
          </w:tcPr>
          <w:p>
            <w:pPr>
              <w:spacing w:after="0" w:line="20" w:lineRule="exact"/>
              <w:rPr>
                <w:sz w:val="1"/>
                <w:szCs w:val="1"/>
                <w:color w:val="auto"/>
              </w:rPr>
            </w:pPr>
          </w:p>
        </w:tc>
        <w:tc>
          <w:tcPr>
            <w:tcW w:w="100" w:type="dxa"/>
            <w:vAlign w:val="bottom"/>
            <w:shd w:val="clear" w:color="auto" w:fill="1F2668"/>
          </w:tcPr>
          <w:p>
            <w:pPr>
              <w:spacing w:after="0" w:line="20" w:lineRule="exact"/>
              <w:rPr>
                <w:sz w:val="1"/>
                <w:szCs w:val="1"/>
                <w:color w:val="auto"/>
              </w:rPr>
            </w:pPr>
          </w:p>
        </w:tc>
        <w:tc>
          <w:tcPr>
            <w:tcW w:w="700" w:type="dxa"/>
            <w:vAlign w:val="bottom"/>
            <w:shd w:val="clear" w:color="auto" w:fill="1F2668"/>
          </w:tcPr>
          <w:p>
            <w:pPr>
              <w:spacing w:after="0" w:line="20" w:lineRule="exact"/>
              <w:rPr>
                <w:sz w:val="1"/>
                <w:szCs w:val="1"/>
                <w:color w:val="auto"/>
              </w:rPr>
            </w:pPr>
          </w:p>
        </w:tc>
        <w:tc>
          <w:tcPr>
            <w:tcW w:w="160" w:type="dxa"/>
            <w:vAlign w:val="bottom"/>
            <w:tcBorders>
              <w:right w:val="single" w:sz="8" w:color="1F2668"/>
            </w:tcBorders>
          </w:tcPr>
          <w:p>
            <w:pPr>
              <w:spacing w:after="0" w:line="20" w:lineRule="exact"/>
              <w:rPr>
                <w:sz w:val="1"/>
                <w:szCs w:val="1"/>
                <w:color w:val="auto"/>
              </w:rPr>
            </w:pPr>
          </w:p>
        </w:tc>
        <w:tc>
          <w:tcPr>
            <w:tcW w:w="220" w:type="dxa"/>
            <w:vAlign w:val="bottom"/>
            <w:shd w:val="clear" w:color="auto" w:fill="1F2668"/>
          </w:tcPr>
          <w:p>
            <w:pPr>
              <w:spacing w:after="0" w:line="20" w:lineRule="exact"/>
              <w:rPr>
                <w:sz w:val="1"/>
                <w:szCs w:val="1"/>
                <w:color w:val="auto"/>
              </w:rPr>
            </w:pPr>
          </w:p>
        </w:tc>
        <w:tc>
          <w:tcPr>
            <w:tcW w:w="700" w:type="dxa"/>
            <w:vAlign w:val="bottom"/>
            <w:shd w:val="clear" w:color="auto" w:fill="1F266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540" w:right="280" w:hanging="364"/>
        <w:spacing w:after="0" w:line="311" w:lineRule="auto"/>
        <w:tabs>
          <w:tab w:leader="none" w:pos="15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Represents the sum of the amounts reported in the “Stock Awards” column of the Summary Compensation Table for the applicable fiscal year.</w:t>
      </w:r>
    </w:p>
    <w:p>
      <w:pPr>
        <w:spacing w:after="0" w:line="1" w:lineRule="exact"/>
        <w:rPr>
          <w:rFonts w:ascii="Arial" w:cs="Arial" w:eastAsia="Arial" w:hAnsi="Arial"/>
          <w:sz w:val="14"/>
          <w:szCs w:val="14"/>
          <w:color w:val="auto"/>
        </w:rPr>
      </w:pPr>
    </w:p>
    <w:p>
      <w:pPr>
        <w:ind w:left="1540" w:right="80" w:hanging="364"/>
        <w:spacing w:after="0" w:line="305" w:lineRule="auto"/>
        <w:tabs>
          <w:tab w:leader="none" w:pos="15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The equity award adjustments for each fiscal year reflect the same methodology set forth in footnote 1, above. The amounts deducted or added in calculating the equity award adjustments are as follows:</w:t>
      </w:r>
    </w:p>
    <w:p>
      <w:pPr>
        <w:spacing w:after="0" w:line="108" w:lineRule="exact"/>
        <w:rPr>
          <w:sz w:val="20"/>
          <w:szCs w:val="20"/>
          <w:color w:val="auto"/>
        </w:rPr>
      </w:pPr>
    </w:p>
    <w:tbl>
      <w:tblPr>
        <w:tblLayout w:type="fixed"/>
        <w:tblInd w:w="1520" w:type="dxa"/>
        <w:tblCellMar>
          <w:top w:w="0" w:type="dxa"/>
          <w:left w:w="0" w:type="dxa"/>
          <w:bottom w:w="0" w:type="dxa"/>
          <w:right w:w="0" w:type="dxa"/>
        </w:tblCellMar>
      </w:tblPr>
      <w:tr>
        <w:trPr>
          <w:trHeight w:val="149"/>
        </w:trPr>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3"/>
                <w:szCs w:val="13"/>
                <w:b w:val="1"/>
                <w:bCs w:val="1"/>
                <w:color w:val="1F2668"/>
              </w:rPr>
              <w:t>Average Fair</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3"/>
                <w:szCs w:val="13"/>
                <w:b w:val="1"/>
                <w:bCs w:val="1"/>
                <w:color w:val="1F2668"/>
              </w:rPr>
              <w:t>Average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b w:val="1"/>
                <w:bCs w:val="1"/>
                <w:color w:val="1F2668"/>
                <w:w w:val="91"/>
              </w:rPr>
              <w:t>Average Fair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spacing w:after="0"/>
              <w:rPr>
                <w:sz w:val="20"/>
                <w:szCs w:val="20"/>
                <w:color w:val="auto"/>
              </w:rPr>
            </w:pPr>
            <w:r>
              <w:rPr>
                <w:rFonts w:ascii="Arial" w:cs="Arial" w:eastAsia="Arial" w:hAnsi="Arial"/>
                <w:sz w:val="13"/>
                <w:szCs w:val="13"/>
                <w:b w:val="1"/>
                <w:bCs w:val="1"/>
                <w:color w:val="1F2668"/>
              </w:rPr>
              <w:t>Year over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1F2668"/>
                <w:w w:val="93"/>
              </w:rPr>
              <w:t>Value at the</w:t>
            </w:r>
          </w:p>
        </w:tc>
        <w:tc>
          <w:tcPr>
            <w:tcW w:w="140" w:type="dxa"/>
            <w:vAlign w:val="bottom"/>
          </w:tcPr>
          <w:p>
            <w:pPr>
              <w:spacing w:after="0"/>
              <w:rPr>
                <w:sz w:val="12"/>
                <w:szCs w:val="12"/>
                <w:color w:val="auto"/>
              </w:rPr>
            </w:pPr>
          </w:p>
        </w:tc>
        <w:tc>
          <w:tcPr>
            <w:tcW w:w="600" w:type="dxa"/>
            <w:vAlign w:val="bottom"/>
            <w:gridSpan w:val="2"/>
            <w:vMerge w:val="restart"/>
          </w:tcPr>
          <w:p>
            <w:pPr>
              <w:jc w:val="right"/>
              <w:ind w:right="40"/>
              <w:spacing w:after="0"/>
              <w:rPr>
                <w:sz w:val="20"/>
                <w:szCs w:val="20"/>
                <w:color w:val="auto"/>
              </w:rPr>
            </w:pPr>
            <w:r>
              <w:rPr>
                <w:rFonts w:ascii="Arial" w:cs="Arial" w:eastAsia="Arial" w:hAnsi="Arial"/>
                <w:sz w:val="13"/>
                <w:szCs w:val="13"/>
                <w:b w:val="1"/>
                <w:bCs w:val="1"/>
                <w:color w:val="1F2668"/>
              </w:rPr>
              <w:t>Average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1F2668"/>
              </w:rPr>
              <w:t>Value as of</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1F2668"/>
              </w:rPr>
              <w:t>Year Average</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3"/>
                <w:szCs w:val="13"/>
                <w:b w:val="1"/>
                <w:bCs w:val="1"/>
                <w:color w:val="1F2668"/>
              </w:rPr>
              <w:t>End of the</w:t>
            </w:r>
          </w:p>
        </w:tc>
        <w:tc>
          <w:tcPr>
            <w:tcW w:w="14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1F2668"/>
              </w:rPr>
              <w:t>Year End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1F2668"/>
              </w:rPr>
              <w:t>Year over</w:t>
            </w:r>
          </w:p>
        </w:tc>
        <w:tc>
          <w:tcPr>
            <w:tcW w:w="12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b w:val="1"/>
                <w:bCs w:val="1"/>
                <w:color w:val="1F2668"/>
                <w:w w:val="91"/>
              </w:rPr>
              <w:t>Vesting Date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spacing w:after="0"/>
              <w:rPr>
                <w:sz w:val="20"/>
                <w:szCs w:val="20"/>
                <w:color w:val="auto"/>
              </w:rPr>
            </w:pPr>
            <w:r>
              <w:rPr>
                <w:rFonts w:ascii="Arial" w:cs="Arial" w:eastAsia="Arial" w:hAnsi="Arial"/>
                <w:sz w:val="13"/>
                <w:szCs w:val="13"/>
                <w:b w:val="1"/>
                <w:bCs w:val="1"/>
                <w:color w:val="1F2668"/>
              </w:rPr>
              <w:t>Change in Fair</w:t>
            </w:r>
          </w:p>
        </w:tc>
        <w:tc>
          <w:tcPr>
            <w:tcW w:w="160" w:type="dxa"/>
            <w:vAlign w:val="bottom"/>
          </w:tcPr>
          <w:p>
            <w:pPr>
              <w:spacing w:after="0"/>
              <w:rPr>
                <w:sz w:val="12"/>
                <w:szCs w:val="12"/>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3"/>
                <w:szCs w:val="13"/>
                <w:b w:val="1"/>
                <w:bCs w:val="1"/>
                <w:color w:val="1F2668"/>
              </w:rPr>
              <w:t>Prior Year of</w:t>
            </w:r>
          </w:p>
        </w:tc>
        <w:tc>
          <w:tcPr>
            <w:tcW w:w="1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1F2668"/>
              </w:rPr>
              <w:t>Value of</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40"/>
              <w:spacing w:after="0" w:line="135" w:lineRule="exact"/>
              <w:rPr>
                <w:sz w:val="20"/>
                <w:szCs w:val="20"/>
                <w:color w:val="auto"/>
              </w:rPr>
            </w:pPr>
            <w:r>
              <w:rPr>
                <w:rFonts w:ascii="Arial" w:cs="Arial" w:eastAsia="Arial" w:hAnsi="Arial"/>
                <w:sz w:val="13"/>
                <w:szCs w:val="13"/>
                <w:b w:val="1"/>
                <w:bCs w:val="1"/>
                <w:color w:val="1F2668"/>
                <w:w w:val="99"/>
              </w:rPr>
              <w:t>Fair Value of</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b w:val="1"/>
                <w:bCs w:val="1"/>
                <w:color w:val="1F2668"/>
              </w:rPr>
              <w:t>Year Average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b w:val="1"/>
                <w:bCs w:val="1"/>
                <w:color w:val="1F2668"/>
              </w:rPr>
              <w:t>of Equity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1F2668"/>
              </w:rPr>
              <w:t>Value of Equity</w:t>
            </w:r>
          </w:p>
        </w:tc>
        <w:tc>
          <w:tcPr>
            <w:tcW w:w="160" w:type="dxa"/>
            <w:vAlign w:val="bottom"/>
          </w:tcPr>
          <w:p>
            <w:pPr>
              <w:spacing w:after="0"/>
              <w:rPr>
                <w:sz w:val="11"/>
                <w:szCs w:val="11"/>
                <w:color w:val="auto"/>
              </w:rPr>
            </w:pPr>
          </w:p>
        </w:tc>
        <w:tc>
          <w:tcPr>
            <w:tcW w:w="860" w:type="dxa"/>
            <w:vAlign w:val="bottom"/>
            <w:gridSpan w:val="3"/>
          </w:tcPr>
          <w:p>
            <w:pPr>
              <w:jc w:val="right"/>
              <w:ind w:right="40"/>
              <w:spacing w:after="0" w:line="135" w:lineRule="exact"/>
              <w:rPr>
                <w:sz w:val="20"/>
                <w:szCs w:val="20"/>
                <w:color w:val="auto"/>
              </w:rPr>
            </w:pPr>
            <w:r>
              <w:rPr>
                <w:rFonts w:ascii="Arial" w:cs="Arial" w:eastAsia="Arial" w:hAnsi="Arial"/>
                <w:sz w:val="13"/>
                <w:szCs w:val="13"/>
                <w:b w:val="1"/>
                <w:bCs w:val="1"/>
                <w:color w:val="1F2668"/>
                <w:w w:val="88"/>
              </w:rPr>
              <w:t>Equity Awards</w:t>
            </w:r>
          </w:p>
        </w:tc>
        <w:tc>
          <w:tcPr>
            <w:tcW w:w="14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Arial" w:cs="Arial" w:eastAsia="Arial" w:hAnsi="Arial"/>
                <w:sz w:val="13"/>
                <w:szCs w:val="13"/>
                <w:b w:val="1"/>
                <w:bCs w:val="1"/>
                <w:color w:val="1F2668"/>
                <w:w w:val="86"/>
              </w:rPr>
              <w:t>Dividends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3"/>
                <w:szCs w:val="13"/>
                <w:b w:val="1"/>
                <w:bCs w:val="1"/>
                <w:color w:val="1F2668"/>
                <w:w w:val="95"/>
              </w:rPr>
              <w:t>Equity Awards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1F2668"/>
                <w:w w:val="97"/>
              </w:rPr>
              <w:t>Change in Fair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1F2668"/>
              </w:rPr>
              <w:t>Awards</w:t>
            </w:r>
          </w:p>
        </w:tc>
        <w:tc>
          <w:tcPr>
            <w:tcW w:w="100" w:type="dxa"/>
            <w:vAlign w:val="bottom"/>
          </w:tcPr>
          <w:p>
            <w:pPr>
              <w:spacing w:after="0"/>
              <w:rPr>
                <w:sz w:val="12"/>
                <w:szCs w:val="12"/>
                <w:color w:val="auto"/>
              </w:rPr>
            </w:pPr>
          </w:p>
        </w:tc>
        <w:tc>
          <w:tcPr>
            <w:tcW w:w="1160" w:type="dxa"/>
            <w:vAlign w:val="bottom"/>
            <w:gridSpan w:val="3"/>
          </w:tcPr>
          <w:p>
            <w:pPr>
              <w:jc w:val="right"/>
              <w:spacing w:after="0"/>
              <w:rPr>
                <w:sz w:val="20"/>
                <w:szCs w:val="20"/>
                <w:color w:val="auto"/>
              </w:rPr>
            </w:pPr>
            <w:r>
              <w:rPr>
                <w:rFonts w:ascii="Arial" w:cs="Arial" w:eastAsia="Arial" w:hAnsi="Arial"/>
                <w:sz w:val="13"/>
                <w:szCs w:val="13"/>
                <w:b w:val="1"/>
                <w:bCs w:val="1"/>
                <w:color w:val="1F2668"/>
                <w:w w:val="95"/>
              </w:rPr>
              <w:t>Awards Granted in</w:t>
            </w:r>
          </w:p>
        </w:tc>
        <w:tc>
          <w:tcPr>
            <w:tcW w:w="160" w:type="dxa"/>
            <w:vAlign w:val="bottom"/>
          </w:tcPr>
          <w:p>
            <w:pPr>
              <w:spacing w:after="0"/>
              <w:rPr>
                <w:sz w:val="12"/>
                <w:szCs w:val="12"/>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3"/>
                <w:szCs w:val="13"/>
                <w:b w:val="1"/>
                <w:bCs w:val="1"/>
                <w:color w:val="1F2668"/>
                <w:w w:val="98"/>
              </w:rPr>
              <w:t>that Failed to</w:t>
            </w:r>
          </w:p>
        </w:tc>
        <w:tc>
          <w:tcPr>
            <w:tcW w:w="1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1F2668"/>
              </w:rPr>
              <w:t>or other</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3"/>
                <w:szCs w:val="13"/>
                <w:b w:val="1"/>
                <w:bCs w:val="1"/>
                <w:color w:val="1F2668"/>
                <w:w w:val="91"/>
              </w:rPr>
              <w:t>Total Equity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40"/>
              <w:spacing w:after="0" w:line="135" w:lineRule="exact"/>
              <w:rPr>
                <w:sz w:val="20"/>
                <w:szCs w:val="20"/>
                <w:color w:val="auto"/>
              </w:rPr>
            </w:pPr>
            <w:r>
              <w:rPr>
                <w:rFonts w:ascii="Arial" w:cs="Arial" w:eastAsia="Arial" w:hAnsi="Arial"/>
                <w:sz w:val="13"/>
                <w:szCs w:val="13"/>
                <w:b w:val="1"/>
                <w:bCs w:val="1"/>
                <w:color w:val="1F2668"/>
              </w:rPr>
              <w:t>Granted in</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b w:val="1"/>
                <w:bCs w:val="1"/>
                <w:color w:val="1F2668"/>
              </w:rPr>
              <w:t>Value of</w:t>
            </w:r>
          </w:p>
        </w:tc>
        <w:tc>
          <w:tcPr>
            <w:tcW w:w="12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1F2668"/>
                <w:w w:val="93"/>
              </w:rPr>
              <w:t>Granted and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1F2668"/>
              </w:rPr>
              <w:t>Prior Years</w:t>
            </w:r>
          </w:p>
        </w:tc>
        <w:tc>
          <w:tcPr>
            <w:tcW w:w="160" w:type="dxa"/>
            <w:vAlign w:val="bottom"/>
          </w:tcPr>
          <w:p>
            <w:pPr>
              <w:spacing w:after="0"/>
              <w:rPr>
                <w:sz w:val="11"/>
                <w:szCs w:val="11"/>
                <w:color w:val="auto"/>
              </w:rPr>
            </w:pPr>
          </w:p>
        </w:tc>
        <w:tc>
          <w:tcPr>
            <w:tcW w:w="860" w:type="dxa"/>
            <w:vAlign w:val="bottom"/>
            <w:gridSpan w:val="3"/>
          </w:tcPr>
          <w:p>
            <w:pPr>
              <w:jc w:val="right"/>
              <w:ind w:right="40"/>
              <w:spacing w:after="0" w:line="135" w:lineRule="exact"/>
              <w:rPr>
                <w:sz w:val="20"/>
                <w:szCs w:val="20"/>
                <w:color w:val="auto"/>
              </w:rPr>
            </w:pPr>
            <w:r>
              <w:rPr>
                <w:rFonts w:ascii="Arial" w:cs="Arial" w:eastAsia="Arial" w:hAnsi="Arial"/>
                <w:sz w:val="13"/>
                <w:szCs w:val="13"/>
                <w:b w:val="1"/>
                <w:bCs w:val="1"/>
                <w:color w:val="1F2668"/>
                <w:w w:val="99"/>
              </w:rPr>
              <w:t>Meet Vesting</w:t>
            </w:r>
          </w:p>
        </w:tc>
        <w:tc>
          <w:tcPr>
            <w:tcW w:w="14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Arial" w:cs="Arial" w:eastAsia="Arial" w:hAnsi="Arial"/>
                <w:sz w:val="13"/>
                <w:szCs w:val="13"/>
                <w:b w:val="1"/>
                <w:bCs w:val="1"/>
                <w:color w:val="1F2668"/>
                <w:w w:val="96"/>
              </w:rPr>
              <w:t>Earnings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1F2668"/>
                <w:w w:val="99"/>
              </w:rPr>
              <w:t>the Year and</w:t>
            </w:r>
          </w:p>
        </w:tc>
        <w:tc>
          <w:tcPr>
            <w:tcW w:w="60" w:type="dxa"/>
            <w:vAlign w:val="bottom"/>
          </w:tcPr>
          <w:p>
            <w:pPr>
              <w:spacing w:after="0"/>
              <w:rPr>
                <w:sz w:val="12"/>
                <w:szCs w:val="12"/>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b w:val="1"/>
                <w:bCs w:val="1"/>
                <w:color w:val="1F2668"/>
                <w:w w:val="94"/>
              </w:rPr>
              <w:t>Outstanding and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1F2668"/>
                <w:w w:val="96"/>
              </w:rPr>
              <w:t>Vested 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spacing w:after="0"/>
              <w:rPr>
                <w:sz w:val="20"/>
                <w:szCs w:val="20"/>
                <w:color w:val="auto"/>
              </w:rPr>
            </w:pPr>
            <w:r>
              <w:rPr>
                <w:rFonts w:ascii="Arial" w:cs="Arial" w:eastAsia="Arial" w:hAnsi="Arial"/>
                <w:sz w:val="13"/>
                <w:szCs w:val="13"/>
                <w:b w:val="1"/>
                <w:bCs w:val="1"/>
                <w:color w:val="1F2668"/>
              </w:rPr>
              <w:t>that Vested in</w:t>
            </w:r>
          </w:p>
        </w:tc>
        <w:tc>
          <w:tcPr>
            <w:tcW w:w="160" w:type="dxa"/>
            <w:vAlign w:val="bottom"/>
          </w:tcPr>
          <w:p>
            <w:pPr>
              <w:spacing w:after="0"/>
              <w:rPr>
                <w:sz w:val="12"/>
                <w:szCs w:val="12"/>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3"/>
                <w:szCs w:val="13"/>
                <w:b w:val="1"/>
                <w:bCs w:val="1"/>
                <w:color w:val="1F2668"/>
                <w:w w:val="96"/>
              </w:rPr>
              <w:t>Conditions in</w:t>
            </w:r>
          </w:p>
        </w:tc>
        <w:tc>
          <w:tcPr>
            <w:tcW w:w="1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1F2668"/>
              </w:rPr>
              <w:t>Paid on</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1F2668"/>
              </w:rPr>
              <w:t>Award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40"/>
              <w:spacing w:after="0" w:line="135" w:lineRule="exact"/>
              <w:rPr>
                <w:sz w:val="20"/>
                <w:szCs w:val="20"/>
                <w:color w:val="auto"/>
              </w:rPr>
            </w:pPr>
            <w:r>
              <w:rPr>
                <w:rFonts w:ascii="Arial" w:cs="Arial" w:eastAsia="Arial" w:hAnsi="Arial"/>
                <w:sz w:val="13"/>
                <w:szCs w:val="13"/>
                <w:b w:val="1"/>
                <w:bCs w:val="1"/>
                <w:color w:val="1F2668"/>
              </w:rPr>
              <w:t>Unvested</w:t>
            </w:r>
          </w:p>
        </w:tc>
        <w:tc>
          <w:tcPr>
            <w:tcW w:w="60" w:type="dxa"/>
            <w:vAlign w:val="bottom"/>
          </w:tcPr>
          <w:p>
            <w:pPr>
              <w:spacing w:after="0"/>
              <w:rPr>
                <w:sz w:val="11"/>
                <w:szCs w:val="11"/>
                <w:color w:val="auto"/>
              </w:rPr>
            </w:pP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1F2668"/>
                <w:w w:val="96"/>
              </w:rPr>
              <w:t>Unvested Equity</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b w:val="1"/>
                <w:bCs w:val="1"/>
                <w:color w:val="1F2668"/>
              </w:rPr>
              <w:t>the Year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b w:val="1"/>
                <w:bCs w:val="1"/>
                <w:color w:val="1F2668"/>
                <w:w w:val="97"/>
              </w:rPr>
              <w:t>the Year</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3"/>
                <w:szCs w:val="13"/>
                <w:b w:val="1"/>
                <w:bCs w:val="1"/>
                <w:color w:val="1F2668"/>
              </w:rPr>
              <w:t>the Year</w:t>
            </w:r>
          </w:p>
        </w:tc>
        <w:tc>
          <w:tcPr>
            <w:tcW w:w="14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Arial" w:cs="Arial" w:eastAsia="Arial" w:hAnsi="Arial"/>
                <w:sz w:val="13"/>
                <w:szCs w:val="13"/>
                <w:b w:val="1"/>
                <w:bCs w:val="1"/>
                <w:color w:val="1F2668"/>
              </w:rPr>
              <w:t>Awards</w:t>
            </w:r>
          </w:p>
        </w:tc>
        <w:tc>
          <w:tcPr>
            <w:tcW w:w="100" w:type="dxa"/>
            <w:vAlign w:val="bottom"/>
          </w:tcPr>
          <w:p>
            <w:pPr>
              <w:spacing w:after="0"/>
              <w:rPr>
                <w:sz w:val="11"/>
                <w:szCs w:val="11"/>
                <w:color w:val="auto"/>
              </w:rPr>
            </w:pPr>
          </w:p>
        </w:tc>
        <w:tc>
          <w:tcPr>
            <w:tcW w:w="820" w:type="dxa"/>
            <w:vAlign w:val="bottom"/>
            <w:gridSpan w:val="3"/>
          </w:tcPr>
          <w:p>
            <w:pPr>
              <w:jc w:val="right"/>
              <w:ind w:right="60"/>
              <w:spacing w:after="0" w:line="135" w:lineRule="exact"/>
              <w:rPr>
                <w:sz w:val="20"/>
                <w:szCs w:val="20"/>
                <w:color w:val="auto"/>
              </w:rPr>
            </w:pPr>
            <w:r>
              <w:rPr>
                <w:rFonts w:ascii="Arial" w:cs="Arial" w:eastAsia="Arial" w:hAnsi="Arial"/>
                <w:sz w:val="13"/>
                <w:szCs w:val="13"/>
                <w:b w:val="1"/>
                <w:bCs w:val="1"/>
                <w:color w:val="1F2668"/>
                <w:w w:val="93"/>
              </w:rPr>
              <w:t>Adjustments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1440" w:type="dxa"/>
            <w:vAlign w:val="bottom"/>
          </w:tcPr>
          <w:p>
            <w:pPr>
              <w:ind w:left="20"/>
              <w:spacing w:after="0"/>
              <w:rPr>
                <w:sz w:val="20"/>
                <w:szCs w:val="20"/>
                <w:color w:val="auto"/>
              </w:rPr>
            </w:pPr>
            <w:r>
              <w:rPr>
                <w:rFonts w:ascii="Arial" w:cs="Arial" w:eastAsia="Arial" w:hAnsi="Arial"/>
                <w:sz w:val="13"/>
                <w:szCs w:val="13"/>
                <w:b w:val="1"/>
                <w:bCs w:val="1"/>
                <w:color w:val="1F2668"/>
              </w:rPr>
              <w:t>Year</w:t>
            </w:r>
            <w:r>
              <w:rPr>
                <w:rFonts w:ascii="Arial" w:cs="Arial" w:eastAsia="Arial" w:hAnsi="Arial"/>
                <w:sz w:val="16"/>
                <w:szCs w:val="16"/>
                <w:b w:val="1"/>
                <w:bCs w:val="1"/>
                <w:color w:val="1F2668"/>
                <w:vertAlign w:val="superscript"/>
              </w:rPr>
              <w:t>(i)</w:t>
            </w:r>
          </w:p>
        </w:tc>
        <w:tc>
          <w:tcPr>
            <w:tcW w:w="160" w:type="dxa"/>
            <w:vAlign w:val="bottom"/>
            <w:gridSpan w:val="2"/>
          </w:tcPr>
          <w:p>
            <w:pPr>
              <w:jc w:val="right"/>
              <w:spacing w:after="0"/>
              <w:rPr>
                <w:sz w:val="20"/>
                <w:szCs w:val="20"/>
                <w:color w:val="auto"/>
              </w:rPr>
            </w:pPr>
            <w:r>
              <w:rPr>
                <w:rFonts w:ascii="Arial" w:cs="Arial" w:eastAsia="Arial" w:hAnsi="Arial"/>
                <w:sz w:val="13"/>
                <w:szCs w:val="13"/>
                <w:b w:val="1"/>
                <w:bCs w:val="1"/>
                <w:color w:val="1F2668"/>
              </w:rPr>
              <w:t>​​</w:t>
            </w:r>
          </w:p>
        </w:tc>
        <w:tc>
          <w:tcPr>
            <w:tcW w:w="1000" w:type="dxa"/>
            <w:vAlign w:val="bottom"/>
            <w:gridSpan w:val="4"/>
          </w:tcPr>
          <w:p>
            <w:pPr>
              <w:ind w:left="680"/>
              <w:spacing w:after="0" w:line="221" w:lineRule="exact"/>
              <w:rPr>
                <w:sz w:val="20"/>
                <w:szCs w:val="20"/>
                <w:color w:val="auto"/>
              </w:rPr>
            </w:pPr>
            <w:r>
              <w:rPr>
                <w:rFonts w:ascii="Arial" w:cs="Arial" w:eastAsia="Arial" w:hAnsi="Arial"/>
                <w:sz w:val="13"/>
                <w:szCs w:val="13"/>
                <w:b w:val="1"/>
                <w:bCs w:val="1"/>
                <w:color w:val="1F2668"/>
              </w:rPr>
              <w:t xml:space="preserve">($) </w:t>
            </w:r>
            <w:r>
              <w:rPr>
                <w:rFonts w:ascii="Arial" w:cs="Arial" w:eastAsia="Arial" w:hAnsi="Arial"/>
                <w:sz w:val="25"/>
                <w:szCs w:val="25"/>
                <w:b w:val="1"/>
                <w:bCs w:val="1"/>
                <w:color w:val="1F2668"/>
                <w:vertAlign w:val="subscript"/>
              </w:rPr>
              <w:t>​​</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1F2668"/>
              </w:rPr>
              <w:t>Awards ($)</w:t>
            </w:r>
          </w:p>
        </w:tc>
        <w:tc>
          <w:tcPr>
            <w:tcW w:w="280" w:type="dxa"/>
            <w:vAlign w:val="bottom"/>
            <w:gridSpan w:val="2"/>
          </w:tcPr>
          <w:p>
            <w:pPr>
              <w:ind w:left="60"/>
              <w:spacing w:after="0"/>
              <w:rPr>
                <w:sz w:val="20"/>
                <w:szCs w:val="20"/>
                <w:color w:val="auto"/>
              </w:rPr>
            </w:pPr>
            <w:r>
              <w:rPr>
                <w:rFonts w:ascii="Arial" w:cs="Arial" w:eastAsia="Arial" w:hAnsi="Arial"/>
                <w:sz w:val="13"/>
                <w:szCs w:val="13"/>
                <w:b w:val="1"/>
                <w:bCs w:val="1"/>
                <w:color w:val="1F2668"/>
              </w:rPr>
              <w:t>​ ​</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1F2668"/>
              </w:rPr>
              <w:t>($)</w:t>
            </w:r>
          </w:p>
        </w:tc>
        <w:tc>
          <w:tcPr>
            <w:tcW w:w="240" w:type="dxa"/>
            <w:vAlign w:val="bottom"/>
            <w:gridSpan w:val="2"/>
          </w:tcPr>
          <w:p>
            <w:pPr>
              <w:jc w:val="right"/>
              <w:ind w:right="37"/>
              <w:spacing w:after="0"/>
              <w:rPr>
                <w:sz w:val="20"/>
                <w:szCs w:val="20"/>
                <w:color w:val="auto"/>
              </w:rPr>
            </w:pPr>
            <w:r>
              <w:rPr>
                <w:rFonts w:ascii="Arial" w:cs="Arial" w:eastAsia="Arial" w:hAnsi="Arial"/>
                <w:sz w:val="13"/>
                <w:szCs w:val="13"/>
                <w:b w:val="1"/>
                <w:bCs w:val="1"/>
                <w:color w:val="1F2668"/>
              </w:rPr>
              <w:t>​ ​</w:t>
            </w: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1F2668"/>
              </w:rPr>
              <w:t>($)</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1F2668"/>
              </w:rPr>
              <w:t>​ ​</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1F2668"/>
              </w:rPr>
              <w:t>($)</w:t>
            </w:r>
          </w:p>
        </w:tc>
        <w:tc>
          <w:tcPr>
            <w:tcW w:w="20" w:type="dxa"/>
            <w:vAlign w:val="bottom"/>
          </w:tcPr>
          <w:p>
            <w:pPr>
              <w:spacing w:after="0"/>
              <w:rPr>
                <w:sz w:val="19"/>
                <w:szCs w:val="19"/>
                <w:color w:val="auto"/>
              </w:rPr>
            </w:pPr>
          </w:p>
        </w:tc>
        <w:tc>
          <w:tcPr>
            <w:tcW w:w="140" w:type="dxa"/>
            <w:vAlign w:val="bottom"/>
          </w:tcPr>
          <w:p>
            <w:pPr>
              <w:ind w:left="40"/>
              <w:spacing w:after="0"/>
              <w:rPr>
                <w:sz w:val="20"/>
                <w:szCs w:val="20"/>
                <w:color w:val="auto"/>
              </w:rPr>
            </w:pPr>
            <w:r>
              <w:rPr>
                <w:rFonts w:ascii="Arial" w:cs="Arial" w:eastAsia="Arial" w:hAnsi="Arial"/>
                <w:sz w:val="13"/>
                <w:szCs w:val="13"/>
                <w:b w:val="1"/>
                <w:bCs w:val="1"/>
                <w:color w:val="1F2668"/>
              </w:rPr>
              <w:t>​ ​</w:t>
            </w:r>
          </w:p>
        </w:tc>
        <w:tc>
          <w:tcPr>
            <w:tcW w:w="580" w:type="dxa"/>
            <w:vAlign w:val="bottom"/>
          </w:tcPr>
          <w:p>
            <w:pPr>
              <w:jc w:val="right"/>
              <w:spacing w:after="0"/>
              <w:rPr>
                <w:sz w:val="20"/>
                <w:szCs w:val="20"/>
                <w:color w:val="auto"/>
              </w:rPr>
            </w:pPr>
            <w:r>
              <w:rPr>
                <w:rFonts w:ascii="Arial" w:cs="Arial" w:eastAsia="Arial" w:hAnsi="Arial"/>
                <w:sz w:val="13"/>
                <w:szCs w:val="13"/>
                <w:b w:val="1"/>
                <w:bCs w:val="1"/>
                <w:color w:val="1F2668"/>
              </w:rPr>
              <w:t>($)</w:t>
            </w:r>
          </w:p>
        </w:tc>
        <w:tc>
          <w:tcPr>
            <w:tcW w:w="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b w:val="1"/>
                <w:bCs w:val="1"/>
                <w:color w:val="1F2668"/>
              </w:rPr>
              <w:t>​ ​</w:t>
            </w:r>
          </w:p>
        </w:tc>
        <w:tc>
          <w:tcPr>
            <w:tcW w:w="780" w:type="dxa"/>
            <w:vAlign w:val="bottom"/>
            <w:gridSpan w:val="3"/>
          </w:tcPr>
          <w:p>
            <w:pPr>
              <w:jc w:val="right"/>
              <w:spacing w:after="0" w:line="221" w:lineRule="exact"/>
              <w:rPr>
                <w:sz w:val="20"/>
                <w:szCs w:val="20"/>
                <w:color w:val="auto"/>
              </w:rPr>
            </w:pPr>
            <w:r>
              <w:rPr>
                <w:rFonts w:ascii="Arial" w:cs="Arial" w:eastAsia="Arial" w:hAnsi="Arial"/>
                <w:sz w:val="13"/>
                <w:szCs w:val="13"/>
                <w:b w:val="1"/>
                <w:bCs w:val="1"/>
                <w:color w:val="1F2668"/>
              </w:rPr>
              <w:t xml:space="preserve">($) </w:t>
            </w:r>
            <w:r>
              <w:rPr>
                <w:rFonts w:ascii="Arial" w:cs="Arial" w:eastAsia="Arial" w:hAnsi="Arial"/>
                <w:sz w:val="25"/>
                <w:szCs w:val="25"/>
                <w:b w:val="1"/>
                <w:bCs w:val="1"/>
                <w:color w:val="1F2668"/>
                <w:vertAlign w:val="subscript"/>
              </w:rPr>
              <w:t>​</w:t>
            </w:r>
          </w:p>
        </w:tc>
        <w:tc>
          <w:tcPr>
            <w:tcW w:w="0" w:type="dxa"/>
            <w:vAlign w:val="bottom"/>
          </w:tcPr>
          <w:p>
            <w:pPr>
              <w:spacing w:after="0"/>
              <w:rPr>
                <w:sz w:val="1"/>
                <w:szCs w:val="1"/>
                <w:color w:val="auto"/>
              </w:rPr>
            </w:pPr>
          </w:p>
        </w:tc>
      </w:tr>
      <w:tr>
        <w:trPr>
          <w:trHeight w:val="20"/>
        </w:trPr>
        <w:tc>
          <w:tcPr>
            <w:tcW w:w="1440" w:type="dxa"/>
            <w:vAlign w:val="bottom"/>
            <w:shd w:val="clear" w:color="auto" w:fill="1F266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1F2668"/>
          </w:tcPr>
          <w:p>
            <w:pPr>
              <w:spacing w:after="0" w:line="20" w:lineRule="exact"/>
              <w:rPr>
                <w:sz w:val="1"/>
                <w:szCs w:val="1"/>
                <w:color w:val="auto"/>
              </w:rPr>
            </w:pPr>
          </w:p>
        </w:tc>
        <w:tc>
          <w:tcPr>
            <w:tcW w:w="820" w:type="dxa"/>
            <w:vAlign w:val="bottom"/>
            <w:shd w:val="clear" w:color="auto" w:fill="1F266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shd w:val="clear" w:color="auto" w:fill="1F2668"/>
          </w:tcPr>
          <w:p>
            <w:pPr>
              <w:spacing w:after="0" w:line="20" w:lineRule="exact"/>
              <w:rPr>
                <w:sz w:val="1"/>
                <w:szCs w:val="1"/>
                <w:color w:val="auto"/>
              </w:rPr>
            </w:pPr>
          </w:p>
        </w:tc>
        <w:tc>
          <w:tcPr>
            <w:tcW w:w="940" w:type="dxa"/>
            <w:vAlign w:val="bottom"/>
            <w:shd w:val="clear" w:color="auto" w:fill="1F2668"/>
          </w:tcPr>
          <w:p>
            <w:pPr>
              <w:spacing w:after="0" w:line="20" w:lineRule="exact"/>
              <w:rPr>
                <w:sz w:val="1"/>
                <w:szCs w:val="1"/>
                <w:color w:val="auto"/>
              </w:rPr>
            </w:pPr>
          </w:p>
        </w:tc>
        <w:tc>
          <w:tcPr>
            <w:tcW w:w="120" w:type="dxa"/>
            <w:vAlign w:val="bottom"/>
            <w:tcBorders>
              <w:right w:val="single" w:sz="8" w:color="1F2668"/>
            </w:tcBorders>
          </w:tcPr>
          <w:p>
            <w:pPr>
              <w:spacing w:after="0" w:line="20" w:lineRule="exact"/>
              <w:rPr>
                <w:sz w:val="1"/>
                <w:szCs w:val="1"/>
                <w:color w:val="auto"/>
              </w:rPr>
            </w:pPr>
          </w:p>
        </w:tc>
        <w:tc>
          <w:tcPr>
            <w:tcW w:w="780" w:type="dxa"/>
            <w:vAlign w:val="bottom"/>
            <w:gridSpan w:val="2"/>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1F2668"/>
          </w:tcPr>
          <w:p>
            <w:pPr>
              <w:spacing w:after="0" w:line="20" w:lineRule="exact"/>
              <w:rPr>
                <w:sz w:val="1"/>
                <w:szCs w:val="1"/>
                <w:color w:val="auto"/>
              </w:rPr>
            </w:pPr>
          </w:p>
        </w:tc>
        <w:tc>
          <w:tcPr>
            <w:tcW w:w="1020" w:type="dxa"/>
            <w:vAlign w:val="bottom"/>
            <w:gridSpan w:val="2"/>
            <w:shd w:val="clear" w:color="auto" w:fill="1F2668"/>
          </w:tcPr>
          <w:p>
            <w:pPr>
              <w:spacing w:after="0" w:line="20" w:lineRule="exact"/>
              <w:rPr>
                <w:sz w:val="1"/>
                <w:szCs w:val="1"/>
                <w:color w:val="auto"/>
              </w:rPr>
            </w:pPr>
          </w:p>
        </w:tc>
        <w:tc>
          <w:tcPr>
            <w:tcW w:w="160" w:type="dxa"/>
            <w:vAlign w:val="bottom"/>
            <w:tcBorders>
              <w:right w:val="single" w:sz="8" w:color="1F2668"/>
            </w:tcBorders>
          </w:tcPr>
          <w:p>
            <w:pPr>
              <w:spacing w:after="0" w:line="20" w:lineRule="exact"/>
              <w:rPr>
                <w:sz w:val="1"/>
                <w:szCs w:val="1"/>
                <w:color w:val="auto"/>
              </w:rPr>
            </w:pPr>
          </w:p>
        </w:tc>
        <w:tc>
          <w:tcPr>
            <w:tcW w:w="120" w:type="dxa"/>
            <w:vAlign w:val="bottom"/>
            <w:shd w:val="clear" w:color="auto" w:fill="1F2668"/>
          </w:tcPr>
          <w:p>
            <w:pPr>
              <w:spacing w:after="0" w:line="20" w:lineRule="exact"/>
              <w:rPr>
                <w:sz w:val="1"/>
                <w:szCs w:val="1"/>
                <w:color w:val="auto"/>
              </w:rPr>
            </w:pPr>
          </w:p>
        </w:tc>
        <w:tc>
          <w:tcPr>
            <w:tcW w:w="720" w:type="dxa"/>
            <w:vAlign w:val="bottom"/>
            <w:shd w:val="clear" w:color="auto" w:fill="1F2668"/>
          </w:tcPr>
          <w:p>
            <w:pPr>
              <w:spacing w:after="0" w:line="20" w:lineRule="exact"/>
              <w:rPr>
                <w:sz w:val="1"/>
                <w:szCs w:val="1"/>
                <w:color w:val="auto"/>
              </w:rPr>
            </w:pPr>
          </w:p>
        </w:tc>
        <w:tc>
          <w:tcPr>
            <w:tcW w:w="160" w:type="dxa"/>
            <w:vAlign w:val="bottom"/>
            <w:tcBorders>
              <w:right w:val="single" w:sz="8" w:color="1F2668"/>
            </w:tcBorders>
            <w:gridSpan w:val="2"/>
          </w:tcPr>
          <w:p>
            <w:pPr>
              <w:spacing w:after="0" w:line="20" w:lineRule="exact"/>
              <w:rPr>
                <w:sz w:val="1"/>
                <w:szCs w:val="1"/>
                <w:color w:val="auto"/>
              </w:rPr>
            </w:pPr>
          </w:p>
        </w:tc>
        <w:tc>
          <w:tcPr>
            <w:tcW w:w="580" w:type="dxa"/>
            <w:vAlign w:val="bottom"/>
            <w:shd w:val="clear" w:color="auto" w:fill="1F266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shd w:val="clear" w:color="auto" w:fill="1F2668"/>
          </w:tcPr>
          <w:p>
            <w:pPr>
              <w:spacing w:after="0" w:line="20" w:lineRule="exact"/>
              <w:rPr>
                <w:sz w:val="1"/>
                <w:szCs w:val="1"/>
                <w:color w:val="auto"/>
              </w:rPr>
            </w:pPr>
          </w:p>
        </w:tc>
        <w:tc>
          <w:tcPr>
            <w:tcW w:w="740" w:type="dxa"/>
            <w:vAlign w:val="bottom"/>
            <w:shd w:val="clear" w:color="auto" w:fill="1F266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440" w:type="dxa"/>
            <w:vAlign w:val="bottom"/>
          </w:tcPr>
          <w:p>
            <w:pPr>
              <w:ind w:left="20"/>
              <w:spacing w:after="0"/>
              <w:rPr>
                <w:sz w:val="20"/>
                <w:szCs w:val="20"/>
                <w:color w:val="auto"/>
              </w:rPr>
            </w:pPr>
            <w:r>
              <w:rPr>
                <w:rFonts w:ascii="Arial" w:cs="Arial" w:eastAsia="Arial" w:hAnsi="Arial"/>
                <w:sz w:val="14"/>
                <w:szCs w:val="14"/>
                <w:b w:val="1"/>
                <w:bCs w:val="1"/>
                <w:color w:val="1F2668"/>
              </w:rPr>
              <w:t>2024</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4"/>
          </w:tcPr>
          <w:p>
            <w:pPr>
              <w:jc w:val="right"/>
              <w:spacing w:after="0" w:line="27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2,926,178</w:t>
            </w:r>
            <w:r>
              <w:rPr>
                <w:rFonts w:ascii="Arial" w:cs="Arial" w:eastAsia="Arial" w:hAnsi="Arial"/>
                <w:sz w:val="28"/>
                <w:szCs w:val="28"/>
                <w:color w:val="auto"/>
                <w:vertAlign w:val="subscript"/>
              </w:rPr>
              <w:t>​​​</w:t>
            </w:r>
          </w:p>
        </w:tc>
        <w:tc>
          <w:tcPr>
            <w:tcW w:w="1060" w:type="dxa"/>
            <w:vAlign w:val="bottom"/>
            <w:gridSpan w:val="2"/>
          </w:tcPr>
          <w:p>
            <w:pPr>
              <w:jc w:val="right"/>
              <w:spacing w:after="0" w:line="27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1,441,913</w:t>
            </w:r>
            <w:r>
              <w:rPr>
                <w:rFonts w:ascii="Arial" w:cs="Arial" w:eastAsia="Arial" w:hAnsi="Arial"/>
                <w:sz w:val="28"/>
                <w:szCs w:val="28"/>
                <w:color w:val="auto"/>
                <w:vertAlign w:val="subscript"/>
              </w:rPr>
              <w:t>​​​</w:t>
            </w:r>
          </w:p>
        </w:tc>
        <w:tc>
          <w:tcPr>
            <w:tcW w:w="1020" w:type="dxa"/>
            <w:vAlign w:val="bottom"/>
            <w:gridSpan w:val="4"/>
          </w:tcPr>
          <w:p>
            <w:pPr>
              <w:ind w:left="60"/>
              <w:spacing w:after="0" w:line="27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1,167,638</w:t>
            </w:r>
            <w:r>
              <w:rPr>
                <w:rFonts w:ascii="Arial" w:cs="Arial" w:eastAsia="Arial" w:hAnsi="Arial"/>
                <w:sz w:val="28"/>
                <w:szCs w:val="28"/>
                <w:color w:val="auto"/>
                <w:vertAlign w:val="subscript"/>
              </w:rPr>
              <w:t>​​​</w:t>
            </w:r>
          </w:p>
        </w:tc>
        <w:tc>
          <w:tcPr>
            <w:tcW w:w="1180" w:type="dxa"/>
            <w:vAlign w:val="bottom"/>
            <w:gridSpan w:val="3"/>
          </w:tcPr>
          <w:p>
            <w:pPr>
              <w:jc w:val="right"/>
              <w:spacing w:after="0" w:line="27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294,451</w:t>
            </w:r>
            <w:r>
              <w:rPr>
                <w:rFonts w:ascii="Arial" w:cs="Arial" w:eastAsia="Arial" w:hAnsi="Arial"/>
                <w:sz w:val="28"/>
                <w:szCs w:val="28"/>
                <w:color w:val="auto"/>
                <w:vertAlign w:val="subscript"/>
              </w:rPr>
              <w:t>​​​</w:t>
            </w:r>
          </w:p>
        </w:tc>
        <w:tc>
          <w:tcPr>
            <w:tcW w:w="120" w:type="dxa"/>
            <w:vAlign w:val="bottom"/>
          </w:tcPr>
          <w:p>
            <w:pPr>
              <w:ind w:left="80"/>
              <w:spacing w:after="0" w:line="27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1640" w:type="dxa"/>
            <w:vAlign w:val="bottom"/>
            <w:gridSpan w:val="7"/>
          </w:tcPr>
          <w:p>
            <w:pPr>
              <w:jc w:val="right"/>
              <w:spacing w:after="0" w:line="27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 ​</w:t>
            </w:r>
            <w:r>
              <w:rPr>
                <w:rFonts w:ascii="Arial" w:cs="Arial" w:eastAsia="Arial" w:hAnsi="Arial"/>
                <w:sz w:val="14"/>
                <w:szCs w:val="14"/>
                <w:color w:val="auto"/>
              </w:rPr>
              <w:t>​ 327,964</w:t>
            </w: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780" w:type="dxa"/>
            <w:vAlign w:val="bottom"/>
            <w:gridSpan w:val="3"/>
          </w:tcPr>
          <w:p>
            <w:pPr>
              <w:jc w:val="right"/>
              <w:spacing w:after="0" w:line="277" w:lineRule="exact"/>
              <w:rPr>
                <w:sz w:val="20"/>
                <w:szCs w:val="20"/>
                <w:color w:val="auto"/>
              </w:rPr>
            </w:pPr>
            <w:r>
              <w:rPr>
                <w:rFonts w:ascii="Arial" w:cs="Arial" w:eastAsia="Arial" w:hAnsi="Arial"/>
                <w:sz w:val="14"/>
                <w:szCs w:val="14"/>
                <w:color w:val="auto"/>
              </w:rPr>
              <w:t>6,158,144</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0"/>
        </w:trPr>
        <w:tc>
          <w:tcPr>
            <w:tcW w:w="1440" w:type="dxa"/>
            <w:vAlign w:val="bottom"/>
            <w:shd w:val="clear" w:color="auto" w:fill="4B50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820" w:type="dxa"/>
            <w:vAlign w:val="bottom"/>
            <w:shd w:val="clear" w:color="auto" w:fill="4B508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940" w:type="dxa"/>
            <w:vAlign w:val="bottom"/>
            <w:shd w:val="clear" w:color="auto" w:fill="4B5088"/>
          </w:tcPr>
          <w:p>
            <w:pPr>
              <w:spacing w:after="0" w:line="20" w:lineRule="exact"/>
              <w:rPr>
                <w:sz w:val="1"/>
                <w:szCs w:val="1"/>
                <w:color w:val="auto"/>
              </w:rPr>
            </w:pPr>
          </w:p>
        </w:tc>
        <w:tc>
          <w:tcPr>
            <w:tcW w:w="120" w:type="dxa"/>
            <w:vAlign w:val="bottom"/>
            <w:tcBorders>
              <w:right w:val="single" w:sz="8" w:color="4B5088"/>
            </w:tcBorders>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62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1020" w:type="dxa"/>
            <w:vAlign w:val="bottom"/>
            <w:gridSpan w:val="2"/>
            <w:shd w:val="clear" w:color="auto" w:fill="4B5088"/>
          </w:tcPr>
          <w:p>
            <w:pPr>
              <w:spacing w:after="0" w:line="20" w:lineRule="exact"/>
              <w:rPr>
                <w:sz w:val="1"/>
                <w:szCs w:val="1"/>
                <w:color w:val="auto"/>
              </w:rPr>
            </w:pPr>
          </w:p>
        </w:tc>
        <w:tc>
          <w:tcPr>
            <w:tcW w:w="160" w:type="dxa"/>
            <w:vAlign w:val="bottom"/>
            <w:tcBorders>
              <w:right w:val="single" w:sz="8" w:color="4B5088"/>
            </w:tcBorders>
          </w:tcPr>
          <w:p>
            <w:pPr>
              <w:spacing w:after="0" w:line="20" w:lineRule="exact"/>
              <w:rPr>
                <w:sz w:val="1"/>
                <w:szCs w:val="1"/>
                <w:color w:val="auto"/>
              </w:rPr>
            </w:pPr>
          </w:p>
        </w:tc>
        <w:tc>
          <w:tcPr>
            <w:tcW w:w="120" w:type="dxa"/>
            <w:vAlign w:val="bottom"/>
            <w:shd w:val="clear" w:color="auto" w:fill="4B5088"/>
          </w:tcPr>
          <w:p>
            <w:pPr>
              <w:spacing w:after="0" w:line="20" w:lineRule="exact"/>
              <w:rPr>
                <w:sz w:val="1"/>
                <w:szCs w:val="1"/>
                <w:color w:val="auto"/>
              </w:rPr>
            </w:pPr>
          </w:p>
        </w:tc>
        <w:tc>
          <w:tcPr>
            <w:tcW w:w="720" w:type="dxa"/>
            <w:vAlign w:val="bottom"/>
            <w:shd w:val="clear" w:color="auto" w:fill="4B5088"/>
          </w:tcPr>
          <w:p>
            <w:pPr>
              <w:spacing w:after="0" w:line="20" w:lineRule="exact"/>
              <w:rPr>
                <w:sz w:val="1"/>
                <w:szCs w:val="1"/>
                <w:color w:val="auto"/>
              </w:rPr>
            </w:pPr>
          </w:p>
        </w:tc>
        <w:tc>
          <w:tcPr>
            <w:tcW w:w="160" w:type="dxa"/>
            <w:vAlign w:val="bottom"/>
            <w:tcBorders>
              <w:right w:val="single" w:sz="8" w:color="4B5088"/>
            </w:tcBorders>
            <w:gridSpan w:val="2"/>
          </w:tcPr>
          <w:p>
            <w:pPr>
              <w:spacing w:after="0" w:line="20" w:lineRule="exact"/>
              <w:rPr>
                <w:sz w:val="1"/>
                <w:szCs w:val="1"/>
                <w:color w:val="auto"/>
              </w:rPr>
            </w:pPr>
          </w:p>
        </w:tc>
        <w:tc>
          <w:tcPr>
            <w:tcW w:w="580" w:type="dxa"/>
            <w:vAlign w:val="bottom"/>
            <w:shd w:val="clear" w:color="auto" w:fill="4B508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shd w:val="clear" w:color="auto" w:fill="4B5088"/>
          </w:tcPr>
          <w:p>
            <w:pPr>
              <w:spacing w:after="0" w:line="20" w:lineRule="exact"/>
              <w:rPr>
                <w:sz w:val="1"/>
                <w:szCs w:val="1"/>
                <w:color w:val="auto"/>
              </w:rPr>
            </w:pPr>
          </w:p>
        </w:tc>
        <w:tc>
          <w:tcPr>
            <w:tcW w:w="760" w:type="dxa"/>
            <w:vAlign w:val="bottom"/>
            <w:gridSpan w:val="2"/>
            <w:shd w:val="clear" w:color="auto" w:fill="4B50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440" w:type="dxa"/>
            <w:vAlign w:val="bottom"/>
          </w:tcPr>
          <w:p>
            <w:pPr>
              <w:ind w:left="20"/>
              <w:spacing w:after="0"/>
              <w:rPr>
                <w:sz w:val="20"/>
                <w:szCs w:val="20"/>
                <w:color w:val="auto"/>
              </w:rPr>
            </w:pPr>
            <w:r>
              <w:rPr>
                <w:rFonts w:ascii="Arial" w:cs="Arial" w:eastAsia="Arial" w:hAnsi="Arial"/>
                <w:sz w:val="14"/>
                <w:szCs w:val="14"/>
                <w:b w:val="1"/>
                <w:bCs w:val="1"/>
                <w:color w:val="1F2668"/>
              </w:rPr>
              <w:t>2023</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4"/>
          </w:tcPr>
          <w:p>
            <w:pPr>
              <w:jc w:val="right"/>
              <w:spacing w:after="0" w:line="27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6,660,330</w:t>
            </w:r>
            <w:r>
              <w:rPr>
                <w:rFonts w:ascii="Arial" w:cs="Arial" w:eastAsia="Arial" w:hAnsi="Arial"/>
                <w:sz w:val="28"/>
                <w:szCs w:val="28"/>
                <w:color w:val="auto"/>
                <w:vertAlign w:val="subscript"/>
              </w:rPr>
              <w:t>​​​</w:t>
            </w:r>
          </w:p>
        </w:tc>
        <w:tc>
          <w:tcPr>
            <w:tcW w:w="1060" w:type="dxa"/>
            <w:vAlign w:val="bottom"/>
            <w:gridSpan w:val="2"/>
          </w:tcPr>
          <w:p>
            <w:pPr>
              <w:jc w:val="right"/>
              <w:spacing w:after="0" w:line="27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1,494,511</w:t>
            </w:r>
            <w:r>
              <w:rPr>
                <w:rFonts w:ascii="Arial" w:cs="Arial" w:eastAsia="Arial" w:hAnsi="Arial"/>
                <w:sz w:val="28"/>
                <w:szCs w:val="28"/>
                <w:color w:val="auto"/>
                <w:vertAlign w:val="subscript"/>
              </w:rPr>
              <w:t>​​​</w:t>
            </w:r>
          </w:p>
        </w:tc>
        <w:tc>
          <w:tcPr>
            <w:tcW w:w="160" w:type="dxa"/>
            <w:vAlign w:val="bottom"/>
          </w:tcPr>
          <w:p>
            <w:pPr>
              <w:ind w:left="60"/>
              <w:spacing w:after="0" w:line="27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860" w:type="dxa"/>
            <w:vAlign w:val="bottom"/>
            <w:gridSpan w:val="3"/>
          </w:tcPr>
          <w:p>
            <w:pPr>
              <w:jc w:val="right"/>
              <w:ind w:right="57"/>
              <w:spacing w:after="0" w:line="277" w:lineRule="exact"/>
              <w:rPr>
                <w:sz w:val="20"/>
                <w:szCs w:val="20"/>
                <w:color w:val="auto"/>
              </w:rPr>
            </w:pPr>
            <w:r>
              <w:rPr>
                <w:rFonts w:ascii="Arial" w:cs="Arial" w:eastAsia="Arial" w:hAnsi="Arial"/>
                <w:sz w:val="14"/>
                <w:szCs w:val="14"/>
                <w:color w:val="auto"/>
              </w:rPr>
              <w:t>538,835</w:t>
            </w:r>
            <w:r>
              <w:rPr>
                <w:rFonts w:ascii="Arial" w:cs="Arial" w:eastAsia="Arial" w:hAnsi="Arial"/>
                <w:sz w:val="28"/>
                <w:szCs w:val="28"/>
                <w:color w:val="auto"/>
                <w:vertAlign w:val="subscript"/>
              </w:rPr>
              <w:t>​​​</w:t>
            </w:r>
          </w:p>
        </w:tc>
        <w:tc>
          <w:tcPr>
            <w:tcW w:w="1180" w:type="dxa"/>
            <w:vAlign w:val="bottom"/>
            <w:gridSpan w:val="3"/>
          </w:tcPr>
          <w:p>
            <w:pPr>
              <w:jc w:val="right"/>
              <w:spacing w:after="0" w:line="27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635,195</w:t>
            </w:r>
            <w:r>
              <w:rPr>
                <w:rFonts w:ascii="Arial" w:cs="Arial" w:eastAsia="Arial" w:hAnsi="Arial"/>
                <w:sz w:val="28"/>
                <w:szCs w:val="28"/>
                <w:color w:val="auto"/>
                <w:vertAlign w:val="subscript"/>
              </w:rPr>
              <w:t>​​​</w:t>
            </w:r>
          </w:p>
        </w:tc>
        <w:tc>
          <w:tcPr>
            <w:tcW w:w="120" w:type="dxa"/>
            <w:vAlign w:val="bottom"/>
          </w:tcPr>
          <w:p>
            <w:pPr>
              <w:ind w:left="80"/>
              <w:spacing w:after="0" w:line="27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1640" w:type="dxa"/>
            <w:vAlign w:val="bottom"/>
            <w:gridSpan w:val="7"/>
          </w:tcPr>
          <w:p>
            <w:pPr>
              <w:jc w:val="right"/>
              <w:spacing w:after="0" w:line="277"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 ​</w:t>
            </w:r>
            <w:r>
              <w:rPr>
                <w:rFonts w:ascii="Arial" w:cs="Arial" w:eastAsia="Arial" w:hAnsi="Arial"/>
                <w:sz w:val="14"/>
                <w:szCs w:val="14"/>
                <w:color w:val="auto"/>
              </w:rPr>
              <w:t>​ 578,527</w:t>
            </w: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780" w:type="dxa"/>
            <w:vAlign w:val="bottom"/>
            <w:gridSpan w:val="3"/>
          </w:tcPr>
          <w:p>
            <w:pPr>
              <w:jc w:val="right"/>
              <w:spacing w:after="0" w:line="277" w:lineRule="exact"/>
              <w:rPr>
                <w:sz w:val="20"/>
                <w:szCs w:val="20"/>
                <w:color w:val="auto"/>
              </w:rPr>
            </w:pPr>
            <w:r>
              <w:rPr>
                <w:rFonts w:ascii="Arial" w:cs="Arial" w:eastAsia="Arial" w:hAnsi="Arial"/>
                <w:sz w:val="14"/>
                <w:szCs w:val="14"/>
                <w:color w:val="auto"/>
              </w:rPr>
              <w:t>9,907,397</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0"/>
        </w:trPr>
        <w:tc>
          <w:tcPr>
            <w:tcW w:w="1440" w:type="dxa"/>
            <w:vAlign w:val="bottom"/>
            <w:shd w:val="clear" w:color="auto" w:fill="4B50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820" w:type="dxa"/>
            <w:vAlign w:val="bottom"/>
            <w:shd w:val="clear" w:color="auto" w:fill="4B50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940" w:type="dxa"/>
            <w:vAlign w:val="bottom"/>
            <w:shd w:val="clear" w:color="auto" w:fill="4B5088"/>
          </w:tcPr>
          <w:p>
            <w:pPr>
              <w:spacing w:after="0" w:line="20" w:lineRule="exact"/>
              <w:rPr>
                <w:sz w:val="1"/>
                <w:szCs w:val="1"/>
                <w:color w:val="auto"/>
              </w:rPr>
            </w:pPr>
          </w:p>
        </w:tc>
        <w:tc>
          <w:tcPr>
            <w:tcW w:w="120" w:type="dxa"/>
            <w:vAlign w:val="bottom"/>
            <w:tcBorders>
              <w:right w:val="single" w:sz="8" w:color="4B5088"/>
            </w:tcBorders>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62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1020" w:type="dxa"/>
            <w:vAlign w:val="bottom"/>
            <w:gridSpan w:val="2"/>
            <w:shd w:val="clear" w:color="auto" w:fill="4B5088"/>
          </w:tcPr>
          <w:p>
            <w:pPr>
              <w:spacing w:after="0" w:line="20" w:lineRule="exact"/>
              <w:rPr>
                <w:sz w:val="1"/>
                <w:szCs w:val="1"/>
                <w:color w:val="auto"/>
              </w:rPr>
            </w:pPr>
          </w:p>
        </w:tc>
        <w:tc>
          <w:tcPr>
            <w:tcW w:w="160" w:type="dxa"/>
            <w:vAlign w:val="bottom"/>
            <w:tcBorders>
              <w:right w:val="single" w:sz="8" w:color="4B5088"/>
            </w:tcBorders>
          </w:tcPr>
          <w:p>
            <w:pPr>
              <w:spacing w:after="0" w:line="20" w:lineRule="exact"/>
              <w:rPr>
                <w:sz w:val="1"/>
                <w:szCs w:val="1"/>
                <w:color w:val="auto"/>
              </w:rPr>
            </w:pPr>
          </w:p>
        </w:tc>
        <w:tc>
          <w:tcPr>
            <w:tcW w:w="840" w:type="dxa"/>
            <w:vAlign w:val="bottom"/>
            <w:gridSpan w:val="2"/>
            <w:shd w:val="clear" w:color="auto" w:fill="4B5088"/>
          </w:tcPr>
          <w:p>
            <w:pPr>
              <w:spacing w:after="0" w:line="20" w:lineRule="exact"/>
              <w:rPr>
                <w:sz w:val="1"/>
                <w:szCs w:val="1"/>
                <w:color w:val="auto"/>
              </w:rPr>
            </w:pPr>
          </w:p>
        </w:tc>
        <w:tc>
          <w:tcPr>
            <w:tcW w:w="160" w:type="dxa"/>
            <w:vAlign w:val="bottom"/>
            <w:tcBorders>
              <w:right w:val="single" w:sz="8" w:color="4B5088"/>
            </w:tcBorders>
            <w:gridSpan w:val="2"/>
          </w:tcPr>
          <w:p>
            <w:pPr>
              <w:spacing w:after="0" w:line="20" w:lineRule="exact"/>
              <w:rPr>
                <w:sz w:val="1"/>
                <w:szCs w:val="1"/>
                <w:color w:val="auto"/>
              </w:rPr>
            </w:pPr>
          </w:p>
        </w:tc>
        <w:tc>
          <w:tcPr>
            <w:tcW w:w="580" w:type="dxa"/>
            <w:vAlign w:val="bottom"/>
            <w:shd w:val="clear" w:color="auto" w:fill="4B50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3"/>
            <w:shd w:val="clear" w:color="auto" w:fill="4B50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40" w:type="dxa"/>
            <w:vAlign w:val="bottom"/>
          </w:tcPr>
          <w:p>
            <w:pPr>
              <w:ind w:left="20"/>
              <w:spacing w:after="0"/>
              <w:rPr>
                <w:sz w:val="20"/>
                <w:szCs w:val="20"/>
                <w:color w:val="auto"/>
              </w:rPr>
            </w:pPr>
            <w:r>
              <w:rPr>
                <w:rFonts w:ascii="Arial" w:cs="Arial" w:eastAsia="Arial" w:hAnsi="Arial"/>
                <w:sz w:val="14"/>
                <w:szCs w:val="14"/>
                <w:b w:val="1"/>
                <w:bCs w:val="1"/>
                <w:color w:val="1F2668"/>
              </w:rPr>
              <w:t>2022</w:t>
            </w: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120"/>
              <w:spacing w:after="0"/>
              <w:rPr>
                <w:sz w:val="20"/>
                <w:szCs w:val="20"/>
                <w:color w:val="auto"/>
              </w:rPr>
            </w:pPr>
            <w:r>
              <w:rPr>
                <w:rFonts w:ascii="Arial" w:cs="Arial" w:eastAsia="Arial" w:hAnsi="Arial"/>
                <w:sz w:val="14"/>
                <w:szCs w:val="14"/>
                <w:color w:val="auto"/>
              </w:rPr>
              <w:t>​ 1,882,454</w:t>
            </w: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220"/>
              <w:spacing w:after="0"/>
              <w:rPr>
                <w:sz w:val="20"/>
                <w:szCs w:val="20"/>
                <w:color w:val="auto"/>
              </w:rPr>
            </w:pPr>
            <w:r>
              <w:rPr>
                <w:rFonts w:ascii="Arial" w:cs="Arial" w:eastAsia="Arial" w:hAnsi="Arial"/>
                <w:sz w:val="14"/>
                <w:szCs w:val="14"/>
                <w:color w:val="auto"/>
              </w:rPr>
              <w:t>​(4,551,556)</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905,033</w:t>
            </w:r>
          </w:p>
        </w:tc>
        <w:tc>
          <w:tcPr>
            <w:tcW w:w="240" w:type="dxa"/>
            <w:vAlign w:val="bottom"/>
            <w:gridSpan w:val="2"/>
            <w:vMerge w:val="restart"/>
          </w:tcPr>
          <w:p>
            <w:pPr>
              <w:jc w:val="right"/>
              <w:ind w:right="57"/>
              <w:spacing w:after="0"/>
              <w:rPr>
                <w:sz w:val="20"/>
                <w:szCs w:val="20"/>
                <w:color w:val="auto"/>
              </w:rPr>
            </w:pPr>
            <w:r>
              <w:rPr>
                <w:rFonts w:ascii="Arial" w:cs="Arial" w:eastAsia="Arial" w:hAnsi="Arial"/>
                <w:sz w:val="14"/>
                <w:szCs w:val="14"/>
                <w:color w:val="auto"/>
              </w:rPr>
              <w:t>​​​</w:t>
            </w:r>
          </w:p>
        </w:tc>
        <w:tc>
          <w:tcPr>
            <w:tcW w:w="1180" w:type="dxa"/>
            <w:vAlign w:val="bottom"/>
            <w:gridSpan w:val="3"/>
          </w:tcPr>
          <w:p>
            <w:pPr>
              <w:ind w:left="400"/>
              <w:spacing w:after="0"/>
              <w:rPr>
                <w:sz w:val="20"/>
                <w:szCs w:val="20"/>
                <w:color w:val="auto"/>
              </w:rPr>
            </w:pPr>
            <w:r>
              <w:rPr>
                <w:rFonts w:ascii="Arial" w:cs="Arial" w:eastAsia="Arial" w:hAnsi="Arial"/>
                <w:sz w:val="14"/>
                <w:szCs w:val="14"/>
                <w:color w:val="auto"/>
              </w:rPr>
              <w:t>​(638,835)</w:t>
            </w:r>
          </w:p>
        </w:tc>
        <w:tc>
          <w:tcPr>
            <w:tcW w:w="1000" w:type="dxa"/>
            <w:vAlign w:val="bottom"/>
            <w:gridSpan w:val="4"/>
          </w:tcPr>
          <w:p>
            <w:pPr>
              <w:ind w:left="80"/>
              <w:spacing w:after="0"/>
              <w:rPr>
                <w:sz w:val="20"/>
                <w:szCs w:val="20"/>
                <w:color w:val="auto"/>
              </w:rPr>
            </w:pPr>
            <w:r>
              <w:rPr>
                <w:rFonts w:ascii="Arial" w:cs="Arial" w:eastAsia="Arial" w:hAnsi="Arial"/>
                <w:sz w:val="14"/>
                <w:szCs w:val="14"/>
                <w:color w:val="auto"/>
              </w:rPr>
              <w:t>​ (1,544,649)</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 588,257</w:t>
            </w:r>
          </w:p>
        </w:tc>
        <w:tc>
          <w:tcPr>
            <w:tcW w:w="100" w:type="dxa"/>
            <w:vAlign w:val="bottom"/>
          </w:tcPr>
          <w:p>
            <w:pPr>
              <w:spacing w:after="0"/>
              <w:rPr>
                <w:sz w:val="15"/>
                <w:szCs w:val="15"/>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 (3,359,296)</w:t>
            </w: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160" w:type="dxa"/>
            <w:vAlign w:val="bottom"/>
            <w:gridSpan w:val="2"/>
            <w:vMerge w:val="continue"/>
          </w:tcPr>
          <w:p>
            <w:pPr>
              <w:spacing w:after="0"/>
              <w:rPr>
                <w:sz w:val="8"/>
                <w:szCs w:val="8"/>
                <w:color w:val="auto"/>
              </w:rPr>
            </w:pPr>
          </w:p>
        </w:tc>
        <w:tc>
          <w:tcPr>
            <w:tcW w:w="840" w:type="dxa"/>
            <w:vAlign w:val="bottom"/>
            <w:gridSpan w:val="2"/>
          </w:tcPr>
          <w:p>
            <w:pPr>
              <w:ind w:left="100"/>
              <w:spacing w:after="0" w:line="95" w:lineRule="exact"/>
              <w:rPr>
                <w:sz w:val="20"/>
                <w:szCs w:val="20"/>
                <w:color w:val="auto"/>
              </w:rPr>
            </w:pPr>
            <w:r>
              <w:rPr>
                <w:rFonts w:ascii="Arial" w:cs="Arial" w:eastAsia="Arial" w:hAnsi="Arial"/>
                <w:sz w:val="10"/>
                <w:szCs w:val="10"/>
                <w:color w:val="auto"/>
              </w:rPr>
              <w:t>​</w:t>
            </w:r>
          </w:p>
        </w:tc>
        <w:tc>
          <w:tcPr>
            <w:tcW w:w="160" w:type="dxa"/>
            <w:vAlign w:val="bottom"/>
            <w:gridSpan w:val="2"/>
            <w:vMerge w:val="continue"/>
          </w:tcPr>
          <w:p>
            <w:pPr>
              <w:spacing w:after="0"/>
              <w:rPr>
                <w:sz w:val="8"/>
                <w:szCs w:val="8"/>
                <w:color w:val="auto"/>
              </w:rPr>
            </w:pPr>
          </w:p>
        </w:tc>
        <w:tc>
          <w:tcPr>
            <w:tcW w:w="940" w:type="dxa"/>
            <w:vAlign w:val="bottom"/>
          </w:tcPr>
          <w:p>
            <w:pPr>
              <w:jc w:val="right"/>
              <w:ind w:right="636"/>
              <w:spacing w:after="0" w:line="95" w:lineRule="exact"/>
              <w:rPr>
                <w:sz w:val="20"/>
                <w:szCs w:val="20"/>
                <w:color w:val="auto"/>
              </w:rPr>
            </w:pPr>
            <w:r>
              <w:rPr>
                <w:rFonts w:ascii="Arial" w:cs="Arial" w:eastAsia="Arial" w:hAnsi="Arial"/>
                <w:sz w:val="10"/>
                <w:szCs w:val="10"/>
                <w:color w:val="auto"/>
              </w:rPr>
              <w:t>​</w:t>
            </w:r>
          </w:p>
        </w:tc>
        <w:tc>
          <w:tcPr>
            <w:tcW w:w="12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160" w:type="dxa"/>
            <w:vAlign w:val="bottom"/>
          </w:tcPr>
          <w:p>
            <w:pPr>
              <w:ind w:left="60"/>
              <w:spacing w:after="0" w:line="95" w:lineRule="exact"/>
              <w:rPr>
                <w:sz w:val="20"/>
                <w:szCs w:val="20"/>
                <w:color w:val="auto"/>
              </w:rPr>
            </w:pPr>
            <w:r>
              <w:rPr>
                <w:rFonts w:ascii="Arial" w:cs="Arial" w:eastAsia="Arial" w:hAnsi="Arial"/>
                <w:sz w:val="10"/>
                <w:szCs w:val="10"/>
                <w:color w:val="auto"/>
              </w:rPr>
              <w:t>​</w:t>
            </w:r>
          </w:p>
        </w:tc>
        <w:tc>
          <w:tcPr>
            <w:tcW w:w="620" w:type="dxa"/>
            <w:vAlign w:val="bottom"/>
          </w:tcPr>
          <w:p>
            <w:pPr>
              <w:spacing w:after="0"/>
              <w:rPr>
                <w:sz w:val="8"/>
                <w:szCs w:val="8"/>
                <w:color w:val="auto"/>
              </w:rPr>
            </w:pPr>
          </w:p>
        </w:tc>
        <w:tc>
          <w:tcPr>
            <w:tcW w:w="240" w:type="dxa"/>
            <w:vAlign w:val="bottom"/>
            <w:gridSpan w:val="2"/>
            <w:vMerge w:val="continue"/>
          </w:tcPr>
          <w:p>
            <w:pPr>
              <w:spacing w:after="0"/>
              <w:rPr>
                <w:sz w:val="8"/>
                <w:szCs w:val="8"/>
                <w:color w:val="auto"/>
              </w:rPr>
            </w:pPr>
          </w:p>
        </w:tc>
        <w:tc>
          <w:tcPr>
            <w:tcW w:w="460" w:type="dxa"/>
            <w:vAlign w:val="bottom"/>
          </w:tcPr>
          <w:p>
            <w:pPr>
              <w:ind w:left="380"/>
              <w:spacing w:after="0" w:line="95" w:lineRule="exact"/>
              <w:rPr>
                <w:sz w:val="20"/>
                <w:szCs w:val="20"/>
                <w:color w:val="auto"/>
              </w:rPr>
            </w:pPr>
            <w:r>
              <w:rPr>
                <w:rFonts w:ascii="Arial" w:cs="Arial" w:eastAsia="Arial" w:hAnsi="Arial"/>
                <w:sz w:val="10"/>
                <w:szCs w:val="10"/>
                <w:color w:val="auto"/>
              </w:rPr>
              <w:t>​</w:t>
            </w:r>
          </w:p>
        </w:tc>
        <w:tc>
          <w:tcPr>
            <w:tcW w:w="560" w:type="dxa"/>
            <w:vAlign w:val="bottom"/>
          </w:tcPr>
          <w:p>
            <w:pPr>
              <w:spacing w:after="0"/>
              <w:rPr>
                <w:sz w:val="8"/>
                <w:szCs w:val="8"/>
                <w:color w:val="auto"/>
              </w:rPr>
            </w:pPr>
          </w:p>
        </w:tc>
        <w:tc>
          <w:tcPr>
            <w:tcW w:w="16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120" w:type="dxa"/>
            <w:vAlign w:val="bottom"/>
          </w:tcPr>
          <w:p>
            <w:pPr>
              <w:ind w:left="80"/>
              <w:spacing w:after="0" w:line="95" w:lineRule="exact"/>
              <w:rPr>
                <w:sz w:val="20"/>
                <w:szCs w:val="20"/>
                <w:color w:val="auto"/>
              </w:rPr>
            </w:pPr>
            <w:r>
              <w:rPr>
                <w:rFonts w:ascii="Arial" w:cs="Arial" w:eastAsia="Arial" w:hAnsi="Arial"/>
                <w:sz w:val="10"/>
                <w:szCs w:val="10"/>
                <w:color w:val="auto"/>
              </w:rPr>
              <w:t>​</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gridSpan w:val="3"/>
          </w:tcPr>
          <w:p>
            <w:pPr>
              <w:jc w:val="right"/>
              <w:ind w:right="540"/>
              <w:spacing w:after="0" w:line="95" w:lineRule="exact"/>
              <w:rPr>
                <w:sz w:val="20"/>
                <w:szCs w:val="20"/>
                <w:color w:val="auto"/>
              </w:rPr>
            </w:pPr>
            <w:r>
              <w:rPr>
                <w:rFonts w:ascii="Arial" w:cs="Arial" w:eastAsia="Arial" w:hAnsi="Arial"/>
                <w:sz w:val="10"/>
                <w:szCs w:val="10"/>
                <w:color w:val="auto"/>
              </w:rPr>
              <w:t>​​​ ​</w:t>
            </w:r>
          </w:p>
        </w:tc>
        <w:tc>
          <w:tcPr>
            <w:tcW w:w="160" w:type="dxa"/>
            <w:vAlign w:val="bottom"/>
            <w:gridSpan w:val="2"/>
          </w:tcPr>
          <w:p>
            <w:pPr>
              <w:jc w:val="right"/>
              <w:spacing w:after="0" w:line="95" w:lineRule="exact"/>
              <w:rPr>
                <w:sz w:val="20"/>
                <w:szCs w:val="20"/>
                <w:color w:val="auto"/>
              </w:rPr>
            </w:pPr>
            <w:r>
              <w:rPr>
                <w:rFonts w:ascii="Arial" w:cs="Arial" w:eastAsia="Arial" w:hAnsi="Arial"/>
                <w:sz w:val="10"/>
                <w:szCs w:val="10"/>
                <w:color w:val="auto"/>
              </w:rPr>
              <w:t>​​​​</w:t>
            </w: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20"/>
        </w:trPr>
        <w:tc>
          <w:tcPr>
            <w:tcW w:w="1440" w:type="dxa"/>
            <w:vAlign w:val="bottom"/>
            <w:shd w:val="clear" w:color="auto" w:fill="4B50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820" w:type="dxa"/>
            <w:vAlign w:val="bottom"/>
            <w:shd w:val="clear" w:color="auto" w:fill="4B50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940" w:type="dxa"/>
            <w:vAlign w:val="bottom"/>
            <w:shd w:val="clear" w:color="auto" w:fill="4B5088"/>
          </w:tcPr>
          <w:p>
            <w:pPr>
              <w:spacing w:after="0" w:line="20" w:lineRule="exact"/>
              <w:rPr>
                <w:sz w:val="1"/>
                <w:szCs w:val="1"/>
                <w:color w:val="auto"/>
              </w:rPr>
            </w:pPr>
          </w:p>
        </w:tc>
        <w:tc>
          <w:tcPr>
            <w:tcW w:w="120" w:type="dxa"/>
            <w:vAlign w:val="bottom"/>
            <w:tcBorders>
              <w:right w:val="single" w:sz="8" w:color="4B5088"/>
            </w:tcBorders>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62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1020" w:type="dxa"/>
            <w:vAlign w:val="bottom"/>
            <w:gridSpan w:val="2"/>
            <w:shd w:val="clear" w:color="auto" w:fill="4B5088"/>
          </w:tcPr>
          <w:p>
            <w:pPr>
              <w:spacing w:after="0" w:line="20" w:lineRule="exact"/>
              <w:rPr>
                <w:sz w:val="1"/>
                <w:szCs w:val="1"/>
                <w:color w:val="auto"/>
              </w:rPr>
            </w:pPr>
          </w:p>
        </w:tc>
        <w:tc>
          <w:tcPr>
            <w:tcW w:w="160" w:type="dxa"/>
            <w:vAlign w:val="bottom"/>
            <w:tcBorders>
              <w:right w:val="single" w:sz="8" w:color="4B5088"/>
            </w:tcBorders>
          </w:tcPr>
          <w:p>
            <w:pPr>
              <w:spacing w:after="0" w:line="20" w:lineRule="exact"/>
              <w:rPr>
                <w:sz w:val="1"/>
                <w:szCs w:val="1"/>
                <w:color w:val="auto"/>
              </w:rPr>
            </w:pPr>
          </w:p>
        </w:tc>
        <w:tc>
          <w:tcPr>
            <w:tcW w:w="120" w:type="dxa"/>
            <w:vAlign w:val="bottom"/>
            <w:shd w:val="clear" w:color="auto" w:fill="4B5088"/>
          </w:tcPr>
          <w:p>
            <w:pPr>
              <w:spacing w:after="0" w:line="20" w:lineRule="exact"/>
              <w:rPr>
                <w:sz w:val="1"/>
                <w:szCs w:val="1"/>
                <w:color w:val="auto"/>
              </w:rPr>
            </w:pPr>
          </w:p>
        </w:tc>
        <w:tc>
          <w:tcPr>
            <w:tcW w:w="720" w:type="dxa"/>
            <w:vAlign w:val="bottom"/>
            <w:shd w:val="clear" w:color="auto" w:fill="4B50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4B5088"/>
            </w:tcBorders>
          </w:tcPr>
          <w:p>
            <w:pPr>
              <w:spacing w:after="0" w:line="20" w:lineRule="exact"/>
              <w:rPr>
                <w:sz w:val="1"/>
                <w:szCs w:val="1"/>
                <w:color w:val="auto"/>
              </w:rPr>
            </w:pPr>
          </w:p>
        </w:tc>
        <w:tc>
          <w:tcPr>
            <w:tcW w:w="580" w:type="dxa"/>
            <w:vAlign w:val="bottom"/>
            <w:shd w:val="clear" w:color="auto" w:fill="4B50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shd w:val="clear" w:color="auto" w:fill="4B50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40" w:type="dxa"/>
            <w:vAlign w:val="bottom"/>
          </w:tcPr>
          <w:p>
            <w:pPr>
              <w:ind w:left="20"/>
              <w:spacing w:after="0"/>
              <w:rPr>
                <w:sz w:val="20"/>
                <w:szCs w:val="20"/>
                <w:color w:val="auto"/>
              </w:rPr>
            </w:pPr>
            <w:r>
              <w:rPr>
                <w:rFonts w:ascii="Arial" w:cs="Arial" w:eastAsia="Arial" w:hAnsi="Arial"/>
                <w:sz w:val="14"/>
                <w:szCs w:val="14"/>
                <w:b w:val="1"/>
                <w:bCs w:val="1"/>
                <w:color w:val="1F2668"/>
              </w:rPr>
              <w:t>2021</w:t>
            </w: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120"/>
              <w:spacing w:after="0"/>
              <w:rPr>
                <w:sz w:val="20"/>
                <w:szCs w:val="20"/>
                <w:color w:val="auto"/>
              </w:rPr>
            </w:pPr>
            <w:r>
              <w:rPr>
                <w:rFonts w:ascii="Arial" w:cs="Arial" w:eastAsia="Arial" w:hAnsi="Arial"/>
                <w:sz w:val="14"/>
                <w:szCs w:val="14"/>
                <w:color w:val="auto"/>
              </w:rPr>
              <w:t>​ 8,850,588</w:t>
            </w: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ind w:left="220"/>
              <w:spacing w:after="0"/>
              <w:rPr>
                <w:sz w:val="20"/>
                <w:szCs w:val="20"/>
                <w:color w:val="auto"/>
              </w:rPr>
            </w:pPr>
            <w:r>
              <w:rPr>
                <w:rFonts w:ascii="Arial" w:cs="Arial" w:eastAsia="Arial" w:hAnsi="Arial"/>
                <w:sz w:val="14"/>
                <w:szCs w:val="14"/>
                <w:color w:val="auto"/>
              </w:rPr>
              <w:t>​  884,588</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853,696</w:t>
            </w:r>
          </w:p>
        </w:tc>
        <w:tc>
          <w:tcPr>
            <w:tcW w:w="240" w:type="dxa"/>
            <w:vAlign w:val="bottom"/>
            <w:gridSpan w:val="2"/>
            <w:vMerge w:val="restart"/>
          </w:tcPr>
          <w:p>
            <w:pPr>
              <w:jc w:val="right"/>
              <w:ind w:right="57"/>
              <w:spacing w:after="0"/>
              <w:rPr>
                <w:sz w:val="20"/>
                <w:szCs w:val="20"/>
                <w:color w:val="auto"/>
              </w:rPr>
            </w:pPr>
            <w:r>
              <w:rPr>
                <w:rFonts w:ascii="Arial" w:cs="Arial" w:eastAsia="Arial" w:hAnsi="Arial"/>
                <w:sz w:val="14"/>
                <w:szCs w:val="14"/>
                <w:color w:val="auto"/>
              </w:rPr>
              <w:t>​​​</w:t>
            </w:r>
          </w:p>
        </w:tc>
        <w:tc>
          <w:tcPr>
            <w:tcW w:w="1180" w:type="dxa"/>
            <w:vAlign w:val="bottom"/>
            <w:gridSpan w:val="3"/>
          </w:tcPr>
          <w:p>
            <w:pPr>
              <w:ind w:left="400"/>
              <w:spacing w:after="0"/>
              <w:rPr>
                <w:sz w:val="20"/>
                <w:szCs w:val="20"/>
                <w:color w:val="auto"/>
              </w:rPr>
            </w:pPr>
            <w:r>
              <w:rPr>
                <w:rFonts w:ascii="Arial" w:cs="Arial" w:eastAsia="Arial" w:hAnsi="Arial"/>
                <w:sz w:val="14"/>
                <w:szCs w:val="14"/>
                <w:color w:val="auto"/>
              </w:rPr>
              <w:t>​(543,494)</w:t>
            </w:r>
          </w:p>
        </w:tc>
        <w:tc>
          <w:tcPr>
            <w:tcW w:w="120" w:type="dxa"/>
            <w:vAlign w:val="bottom"/>
          </w:tcPr>
          <w:p>
            <w:pPr>
              <w:ind w:lef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 485,088</w:t>
            </w:r>
          </w:p>
        </w:tc>
        <w:tc>
          <w:tcPr>
            <w:tcW w:w="100" w:type="dxa"/>
            <w:vAlign w:val="bottom"/>
          </w:tcPr>
          <w:p>
            <w:pPr>
              <w:spacing w:after="0"/>
              <w:rPr>
                <w:sz w:val="15"/>
                <w:szCs w:val="15"/>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 10,530,465</w:t>
            </w:r>
          </w:p>
        </w:tc>
        <w:tc>
          <w:tcPr>
            <w:tcW w:w="20" w:type="dxa"/>
            <w:vAlign w:val="bottom"/>
            <w:vMerge w:val="restart"/>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94"/>
        </w:trPr>
        <w:tc>
          <w:tcPr>
            <w:tcW w:w="1440" w:type="dxa"/>
            <w:vAlign w:val="bottom"/>
          </w:tcPr>
          <w:p>
            <w:pPr>
              <w:spacing w:after="0"/>
              <w:rPr>
                <w:sz w:val="8"/>
                <w:szCs w:val="8"/>
                <w:color w:val="auto"/>
              </w:rPr>
            </w:pPr>
          </w:p>
        </w:tc>
        <w:tc>
          <w:tcPr>
            <w:tcW w:w="160" w:type="dxa"/>
            <w:vAlign w:val="bottom"/>
            <w:gridSpan w:val="2"/>
            <w:vMerge w:val="continue"/>
          </w:tcPr>
          <w:p>
            <w:pPr>
              <w:spacing w:after="0"/>
              <w:rPr>
                <w:sz w:val="8"/>
                <w:szCs w:val="8"/>
                <w:color w:val="auto"/>
              </w:rPr>
            </w:pPr>
          </w:p>
        </w:tc>
        <w:tc>
          <w:tcPr>
            <w:tcW w:w="840" w:type="dxa"/>
            <w:vAlign w:val="bottom"/>
            <w:gridSpan w:val="2"/>
          </w:tcPr>
          <w:p>
            <w:pPr>
              <w:ind w:left="100"/>
              <w:spacing w:after="0" w:line="95" w:lineRule="exact"/>
              <w:rPr>
                <w:sz w:val="20"/>
                <w:szCs w:val="20"/>
                <w:color w:val="auto"/>
              </w:rPr>
            </w:pPr>
            <w:r>
              <w:rPr>
                <w:rFonts w:ascii="Arial" w:cs="Arial" w:eastAsia="Arial" w:hAnsi="Arial"/>
                <w:sz w:val="10"/>
                <w:szCs w:val="10"/>
                <w:color w:val="auto"/>
              </w:rPr>
              <w:t>​</w:t>
            </w:r>
          </w:p>
        </w:tc>
        <w:tc>
          <w:tcPr>
            <w:tcW w:w="160" w:type="dxa"/>
            <w:vAlign w:val="bottom"/>
            <w:gridSpan w:val="2"/>
            <w:vMerge w:val="continue"/>
          </w:tcPr>
          <w:p>
            <w:pPr>
              <w:spacing w:after="0"/>
              <w:rPr>
                <w:sz w:val="8"/>
                <w:szCs w:val="8"/>
                <w:color w:val="auto"/>
              </w:rPr>
            </w:pPr>
          </w:p>
        </w:tc>
        <w:tc>
          <w:tcPr>
            <w:tcW w:w="940" w:type="dxa"/>
            <w:vAlign w:val="bottom"/>
          </w:tcPr>
          <w:p>
            <w:pPr>
              <w:jc w:val="right"/>
              <w:ind w:right="636"/>
              <w:spacing w:after="0" w:line="95" w:lineRule="exact"/>
              <w:rPr>
                <w:sz w:val="20"/>
                <w:szCs w:val="20"/>
                <w:color w:val="auto"/>
              </w:rPr>
            </w:pPr>
            <w:r>
              <w:rPr>
                <w:rFonts w:ascii="Arial" w:cs="Arial" w:eastAsia="Arial" w:hAnsi="Arial"/>
                <w:sz w:val="10"/>
                <w:szCs w:val="10"/>
                <w:color w:val="auto"/>
              </w:rPr>
              <w:t>​</w:t>
            </w:r>
          </w:p>
        </w:tc>
        <w:tc>
          <w:tcPr>
            <w:tcW w:w="120" w:type="dxa"/>
            <w:vAlign w:val="bottom"/>
            <w:vMerge w:val="continue"/>
          </w:tcPr>
          <w:p>
            <w:pPr>
              <w:spacing w:after="0"/>
              <w:rPr>
                <w:sz w:val="8"/>
                <w:szCs w:val="8"/>
                <w:color w:val="auto"/>
              </w:rPr>
            </w:pPr>
          </w:p>
        </w:tc>
        <w:tc>
          <w:tcPr>
            <w:tcW w:w="160" w:type="dxa"/>
            <w:vAlign w:val="bottom"/>
          </w:tcPr>
          <w:p>
            <w:pPr>
              <w:ind w:left="60"/>
              <w:spacing w:after="0" w:line="95" w:lineRule="exact"/>
              <w:rPr>
                <w:sz w:val="20"/>
                <w:szCs w:val="20"/>
                <w:color w:val="auto"/>
              </w:rPr>
            </w:pPr>
            <w:r>
              <w:rPr>
                <w:rFonts w:ascii="Arial" w:cs="Arial" w:eastAsia="Arial" w:hAnsi="Arial"/>
                <w:sz w:val="10"/>
                <w:szCs w:val="10"/>
                <w:color w:val="auto"/>
              </w:rPr>
              <w:t>​</w:t>
            </w:r>
          </w:p>
        </w:tc>
        <w:tc>
          <w:tcPr>
            <w:tcW w:w="620" w:type="dxa"/>
            <w:vAlign w:val="bottom"/>
          </w:tcPr>
          <w:p>
            <w:pPr>
              <w:spacing w:after="0"/>
              <w:rPr>
                <w:sz w:val="8"/>
                <w:szCs w:val="8"/>
                <w:color w:val="auto"/>
              </w:rPr>
            </w:pPr>
          </w:p>
        </w:tc>
        <w:tc>
          <w:tcPr>
            <w:tcW w:w="240" w:type="dxa"/>
            <w:vAlign w:val="bottom"/>
            <w:gridSpan w:val="2"/>
            <w:vMerge w:val="continue"/>
          </w:tcPr>
          <w:p>
            <w:pPr>
              <w:spacing w:after="0"/>
              <w:rPr>
                <w:sz w:val="8"/>
                <w:szCs w:val="8"/>
                <w:color w:val="auto"/>
              </w:rPr>
            </w:pPr>
          </w:p>
        </w:tc>
        <w:tc>
          <w:tcPr>
            <w:tcW w:w="460" w:type="dxa"/>
            <w:vAlign w:val="bottom"/>
          </w:tcPr>
          <w:p>
            <w:pPr>
              <w:ind w:left="380"/>
              <w:spacing w:after="0" w:line="95" w:lineRule="exact"/>
              <w:rPr>
                <w:sz w:val="20"/>
                <w:szCs w:val="20"/>
                <w:color w:val="auto"/>
              </w:rPr>
            </w:pPr>
            <w:r>
              <w:rPr>
                <w:rFonts w:ascii="Arial" w:cs="Arial" w:eastAsia="Arial" w:hAnsi="Arial"/>
                <w:sz w:val="10"/>
                <w:szCs w:val="10"/>
                <w:color w:val="auto"/>
              </w:rPr>
              <w:t>​</w:t>
            </w:r>
          </w:p>
        </w:tc>
        <w:tc>
          <w:tcPr>
            <w:tcW w:w="560" w:type="dxa"/>
            <w:vAlign w:val="bottom"/>
          </w:tcPr>
          <w:p>
            <w:pPr>
              <w:spacing w:after="0"/>
              <w:rPr>
                <w:sz w:val="8"/>
                <w:szCs w:val="8"/>
                <w:color w:val="auto"/>
              </w:rPr>
            </w:pPr>
          </w:p>
        </w:tc>
        <w:tc>
          <w:tcPr>
            <w:tcW w:w="16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120" w:type="dxa"/>
            <w:vAlign w:val="bottom"/>
          </w:tcPr>
          <w:p>
            <w:pPr>
              <w:ind w:left="80"/>
              <w:spacing w:after="0" w:line="95" w:lineRule="exact"/>
              <w:rPr>
                <w:sz w:val="20"/>
                <w:szCs w:val="20"/>
                <w:color w:val="auto"/>
              </w:rPr>
            </w:pPr>
            <w:r>
              <w:rPr>
                <w:rFonts w:ascii="Arial" w:cs="Arial" w:eastAsia="Arial" w:hAnsi="Arial"/>
                <w:sz w:val="10"/>
                <w:szCs w:val="10"/>
                <w:color w:val="auto"/>
              </w:rPr>
              <w:t>​</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gridSpan w:val="3"/>
          </w:tcPr>
          <w:p>
            <w:pPr>
              <w:jc w:val="right"/>
              <w:ind w:right="540"/>
              <w:spacing w:after="0" w:line="95" w:lineRule="exact"/>
              <w:rPr>
                <w:sz w:val="20"/>
                <w:szCs w:val="20"/>
                <w:color w:val="auto"/>
              </w:rPr>
            </w:pPr>
            <w:r>
              <w:rPr>
                <w:rFonts w:ascii="Arial" w:cs="Arial" w:eastAsia="Arial" w:hAnsi="Arial"/>
                <w:sz w:val="10"/>
                <w:szCs w:val="10"/>
                <w:color w:val="auto"/>
              </w:rPr>
              <w:t>​​​ ​</w:t>
            </w:r>
          </w:p>
        </w:tc>
        <w:tc>
          <w:tcPr>
            <w:tcW w:w="160" w:type="dxa"/>
            <w:vAlign w:val="bottom"/>
            <w:gridSpan w:val="2"/>
          </w:tcPr>
          <w:p>
            <w:pPr>
              <w:jc w:val="right"/>
              <w:spacing w:after="0" w:line="95" w:lineRule="exact"/>
              <w:rPr>
                <w:sz w:val="20"/>
                <w:szCs w:val="20"/>
                <w:color w:val="auto"/>
              </w:rPr>
            </w:pPr>
            <w:r>
              <w:rPr>
                <w:rFonts w:ascii="Arial" w:cs="Arial" w:eastAsia="Arial" w:hAnsi="Arial"/>
                <w:sz w:val="10"/>
                <w:szCs w:val="10"/>
                <w:color w:val="auto"/>
              </w:rPr>
              <w:t>​​​​</w:t>
            </w: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4B50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820" w:type="dxa"/>
            <w:vAlign w:val="bottom"/>
            <w:shd w:val="clear" w:color="auto" w:fill="4B50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940" w:type="dxa"/>
            <w:vAlign w:val="bottom"/>
            <w:shd w:val="clear" w:color="auto" w:fill="4B5088"/>
          </w:tcPr>
          <w:p>
            <w:pPr>
              <w:spacing w:after="0" w:line="20" w:lineRule="exact"/>
              <w:rPr>
                <w:sz w:val="1"/>
                <w:szCs w:val="1"/>
                <w:color w:val="auto"/>
              </w:rPr>
            </w:pPr>
          </w:p>
        </w:tc>
        <w:tc>
          <w:tcPr>
            <w:tcW w:w="120" w:type="dxa"/>
            <w:vAlign w:val="bottom"/>
            <w:tcBorders>
              <w:right w:val="single" w:sz="8" w:color="4B5088"/>
            </w:tcBorders>
          </w:tcPr>
          <w:p>
            <w:pPr>
              <w:spacing w:after="0" w:line="20" w:lineRule="exact"/>
              <w:rPr>
                <w:sz w:val="1"/>
                <w:szCs w:val="1"/>
                <w:color w:val="auto"/>
              </w:rPr>
            </w:pPr>
          </w:p>
        </w:tc>
        <w:tc>
          <w:tcPr>
            <w:tcW w:w="780" w:type="dxa"/>
            <w:vAlign w:val="bottom"/>
            <w:gridSpan w:val="2"/>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460" w:type="dxa"/>
            <w:vAlign w:val="bottom"/>
            <w:shd w:val="clear" w:color="auto" w:fill="4B5088"/>
          </w:tcPr>
          <w:p>
            <w:pPr>
              <w:spacing w:after="0" w:line="20" w:lineRule="exact"/>
              <w:rPr>
                <w:sz w:val="1"/>
                <w:szCs w:val="1"/>
                <w:color w:val="auto"/>
              </w:rPr>
            </w:pPr>
          </w:p>
        </w:tc>
        <w:tc>
          <w:tcPr>
            <w:tcW w:w="560" w:type="dxa"/>
            <w:vAlign w:val="bottom"/>
            <w:shd w:val="clear" w:color="auto" w:fill="4B5088"/>
          </w:tcPr>
          <w:p>
            <w:pPr>
              <w:spacing w:after="0" w:line="20" w:lineRule="exact"/>
              <w:rPr>
                <w:sz w:val="1"/>
                <w:szCs w:val="1"/>
                <w:color w:val="auto"/>
              </w:rPr>
            </w:pPr>
          </w:p>
        </w:tc>
        <w:tc>
          <w:tcPr>
            <w:tcW w:w="160" w:type="dxa"/>
            <w:vAlign w:val="bottom"/>
            <w:tcBorders>
              <w:right w:val="single" w:sz="8" w:color="4B5088"/>
            </w:tcBorders>
          </w:tcPr>
          <w:p>
            <w:pPr>
              <w:spacing w:after="0" w:line="20" w:lineRule="exact"/>
              <w:rPr>
                <w:sz w:val="1"/>
                <w:szCs w:val="1"/>
                <w:color w:val="auto"/>
              </w:rPr>
            </w:pPr>
          </w:p>
        </w:tc>
        <w:tc>
          <w:tcPr>
            <w:tcW w:w="120" w:type="dxa"/>
            <w:vAlign w:val="bottom"/>
            <w:shd w:val="clear" w:color="auto" w:fill="4B5088"/>
          </w:tcPr>
          <w:p>
            <w:pPr>
              <w:spacing w:after="0" w:line="20" w:lineRule="exact"/>
              <w:rPr>
                <w:sz w:val="1"/>
                <w:szCs w:val="1"/>
                <w:color w:val="auto"/>
              </w:rPr>
            </w:pPr>
          </w:p>
        </w:tc>
        <w:tc>
          <w:tcPr>
            <w:tcW w:w="720" w:type="dxa"/>
            <w:vAlign w:val="bottom"/>
            <w:shd w:val="clear" w:color="auto" w:fill="4B50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4B5088"/>
            </w:tcBorders>
          </w:tcPr>
          <w:p>
            <w:pPr>
              <w:spacing w:after="0" w:line="20" w:lineRule="exact"/>
              <w:rPr>
                <w:sz w:val="1"/>
                <w:szCs w:val="1"/>
                <w:color w:val="auto"/>
              </w:rPr>
            </w:pPr>
          </w:p>
        </w:tc>
        <w:tc>
          <w:tcPr>
            <w:tcW w:w="580" w:type="dxa"/>
            <w:vAlign w:val="bottom"/>
            <w:shd w:val="clear" w:color="auto" w:fill="4B50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4B5088"/>
          </w:tcPr>
          <w:p>
            <w:pPr>
              <w:spacing w:after="0" w:line="20" w:lineRule="exact"/>
              <w:rPr>
                <w:sz w:val="1"/>
                <w:szCs w:val="1"/>
                <w:color w:val="auto"/>
              </w:rPr>
            </w:pPr>
          </w:p>
        </w:tc>
        <w:tc>
          <w:tcPr>
            <w:tcW w:w="740" w:type="dxa"/>
            <w:vAlign w:val="bottom"/>
            <w:shd w:val="clear" w:color="auto" w:fill="4B50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40" w:type="dxa"/>
            <w:vAlign w:val="bottom"/>
          </w:tcPr>
          <w:p>
            <w:pPr>
              <w:ind w:left="20"/>
              <w:spacing w:after="0"/>
              <w:rPr>
                <w:sz w:val="20"/>
                <w:szCs w:val="20"/>
                <w:color w:val="auto"/>
              </w:rPr>
            </w:pPr>
            <w:r>
              <w:rPr>
                <w:rFonts w:ascii="Arial" w:cs="Arial" w:eastAsia="Arial" w:hAnsi="Arial"/>
                <w:sz w:val="14"/>
                <w:szCs w:val="14"/>
                <w:b w:val="1"/>
                <w:bCs w:val="1"/>
                <w:color w:val="1F2668"/>
              </w:rPr>
              <w:t>2020</w:t>
            </w: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120"/>
              <w:spacing w:after="0"/>
              <w:rPr>
                <w:sz w:val="20"/>
                <w:szCs w:val="20"/>
                <w:color w:val="auto"/>
              </w:rPr>
            </w:pPr>
            <w:r>
              <w:rPr>
                <w:rFonts w:ascii="Arial" w:cs="Arial" w:eastAsia="Arial" w:hAnsi="Arial"/>
                <w:sz w:val="14"/>
                <w:szCs w:val="14"/>
                <w:color w:val="auto"/>
              </w:rPr>
              <w:t>​ 2,947,962</w:t>
            </w: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220"/>
              <w:spacing w:after="0"/>
              <w:rPr>
                <w:sz w:val="20"/>
                <w:szCs w:val="20"/>
                <w:color w:val="auto"/>
              </w:rPr>
            </w:pPr>
            <w:r>
              <w:rPr>
                <w:rFonts w:ascii="Arial" w:cs="Arial" w:eastAsia="Arial" w:hAnsi="Arial"/>
                <w:sz w:val="14"/>
                <w:szCs w:val="14"/>
                <w:color w:val="auto"/>
              </w:rPr>
              <w:t>​(1,311,858)</w:t>
            </w:r>
          </w:p>
        </w:tc>
        <w:tc>
          <w:tcPr>
            <w:tcW w:w="780" w:type="dxa"/>
            <w:vAlign w:val="bottom"/>
            <w:gridSpan w:val="2"/>
          </w:tcPr>
          <w:p>
            <w:pPr>
              <w:ind w:left="60"/>
              <w:spacing w:after="0"/>
              <w:rPr>
                <w:sz w:val="20"/>
                <w:szCs w:val="20"/>
                <w:color w:val="auto"/>
              </w:rPr>
            </w:pPr>
            <w:r>
              <w:rPr>
                <w:rFonts w:ascii="Arial" w:cs="Arial" w:eastAsia="Arial" w:hAnsi="Arial"/>
                <w:sz w:val="14"/>
                <w:szCs w:val="14"/>
                <w:color w:val="auto"/>
              </w:rPr>
              <w:t>​ 1,018,117</w:t>
            </w:r>
          </w:p>
        </w:tc>
        <w:tc>
          <w:tcPr>
            <w:tcW w:w="240" w:type="dxa"/>
            <w:vAlign w:val="bottom"/>
            <w:gridSpan w:val="2"/>
            <w:vMerge w:val="restart"/>
          </w:tcPr>
          <w:p>
            <w:pPr>
              <w:jc w:val="right"/>
              <w:ind w:right="57"/>
              <w:spacing w:after="0"/>
              <w:rPr>
                <w:sz w:val="20"/>
                <w:szCs w:val="20"/>
                <w:color w:val="auto"/>
              </w:rPr>
            </w:pPr>
            <w:r>
              <w:rPr>
                <w:rFonts w:ascii="Arial" w:cs="Arial" w:eastAsia="Arial" w:hAnsi="Arial"/>
                <w:sz w:val="14"/>
                <w:szCs w:val="14"/>
                <w:color w:val="auto"/>
              </w:rPr>
              <w:t>​​​</w:t>
            </w:r>
          </w:p>
        </w:tc>
        <w:tc>
          <w:tcPr>
            <w:tcW w:w="460" w:type="dxa"/>
            <w:vAlign w:val="bottom"/>
          </w:tcPr>
          <w:p>
            <w:pPr>
              <w:ind w:left="40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ind w:lef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 200,812</w:t>
            </w:r>
          </w:p>
        </w:tc>
        <w:tc>
          <w:tcPr>
            <w:tcW w:w="10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2,855,032</w:t>
            </w:r>
          </w:p>
        </w:tc>
        <w:tc>
          <w:tcPr>
            <w:tcW w:w="20" w:type="dxa"/>
            <w:vAlign w:val="bottom"/>
            <w:vMerge w:val="restart"/>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160" w:type="dxa"/>
            <w:vAlign w:val="bottom"/>
            <w:gridSpan w:val="2"/>
            <w:vMerge w:val="continue"/>
          </w:tcPr>
          <w:p>
            <w:pPr>
              <w:spacing w:after="0"/>
              <w:rPr>
                <w:sz w:val="8"/>
                <w:szCs w:val="8"/>
                <w:color w:val="auto"/>
              </w:rPr>
            </w:pPr>
          </w:p>
        </w:tc>
        <w:tc>
          <w:tcPr>
            <w:tcW w:w="840" w:type="dxa"/>
            <w:vAlign w:val="bottom"/>
            <w:gridSpan w:val="2"/>
          </w:tcPr>
          <w:p>
            <w:pPr>
              <w:ind w:left="100"/>
              <w:spacing w:after="0" w:line="95" w:lineRule="exact"/>
              <w:rPr>
                <w:sz w:val="20"/>
                <w:szCs w:val="20"/>
                <w:color w:val="auto"/>
              </w:rPr>
            </w:pPr>
            <w:r>
              <w:rPr>
                <w:rFonts w:ascii="Arial" w:cs="Arial" w:eastAsia="Arial" w:hAnsi="Arial"/>
                <w:sz w:val="10"/>
                <w:szCs w:val="10"/>
                <w:color w:val="auto"/>
              </w:rPr>
              <w:t>​</w:t>
            </w:r>
          </w:p>
        </w:tc>
        <w:tc>
          <w:tcPr>
            <w:tcW w:w="160" w:type="dxa"/>
            <w:vAlign w:val="bottom"/>
            <w:gridSpan w:val="2"/>
            <w:vMerge w:val="continue"/>
          </w:tcPr>
          <w:p>
            <w:pPr>
              <w:spacing w:after="0"/>
              <w:rPr>
                <w:sz w:val="8"/>
                <w:szCs w:val="8"/>
                <w:color w:val="auto"/>
              </w:rPr>
            </w:pPr>
          </w:p>
        </w:tc>
        <w:tc>
          <w:tcPr>
            <w:tcW w:w="940" w:type="dxa"/>
            <w:vAlign w:val="bottom"/>
          </w:tcPr>
          <w:p>
            <w:pPr>
              <w:jc w:val="right"/>
              <w:ind w:right="636"/>
              <w:spacing w:after="0" w:line="95" w:lineRule="exact"/>
              <w:rPr>
                <w:sz w:val="20"/>
                <w:szCs w:val="20"/>
                <w:color w:val="auto"/>
              </w:rPr>
            </w:pPr>
            <w:r>
              <w:rPr>
                <w:rFonts w:ascii="Arial" w:cs="Arial" w:eastAsia="Arial" w:hAnsi="Arial"/>
                <w:sz w:val="10"/>
                <w:szCs w:val="10"/>
                <w:color w:val="auto"/>
              </w:rPr>
              <w:t>​</w:t>
            </w:r>
          </w:p>
        </w:tc>
        <w:tc>
          <w:tcPr>
            <w:tcW w:w="12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160" w:type="dxa"/>
            <w:vAlign w:val="bottom"/>
          </w:tcPr>
          <w:p>
            <w:pPr>
              <w:ind w:left="60"/>
              <w:spacing w:after="0" w:line="95" w:lineRule="exact"/>
              <w:rPr>
                <w:sz w:val="20"/>
                <w:szCs w:val="20"/>
                <w:color w:val="auto"/>
              </w:rPr>
            </w:pPr>
            <w:r>
              <w:rPr>
                <w:rFonts w:ascii="Arial" w:cs="Arial" w:eastAsia="Arial" w:hAnsi="Arial"/>
                <w:sz w:val="10"/>
                <w:szCs w:val="10"/>
                <w:color w:val="auto"/>
              </w:rPr>
              <w:t>​</w:t>
            </w:r>
          </w:p>
        </w:tc>
        <w:tc>
          <w:tcPr>
            <w:tcW w:w="620" w:type="dxa"/>
            <w:vAlign w:val="bottom"/>
          </w:tcPr>
          <w:p>
            <w:pPr>
              <w:spacing w:after="0"/>
              <w:rPr>
                <w:sz w:val="8"/>
                <w:szCs w:val="8"/>
                <w:color w:val="auto"/>
              </w:rPr>
            </w:pPr>
          </w:p>
        </w:tc>
        <w:tc>
          <w:tcPr>
            <w:tcW w:w="240" w:type="dxa"/>
            <w:vAlign w:val="bottom"/>
            <w:gridSpan w:val="2"/>
            <w:vMerge w:val="continue"/>
          </w:tcPr>
          <w:p>
            <w:pPr>
              <w:spacing w:after="0"/>
              <w:rPr>
                <w:sz w:val="8"/>
                <w:szCs w:val="8"/>
                <w:color w:val="auto"/>
              </w:rPr>
            </w:pPr>
          </w:p>
        </w:tc>
        <w:tc>
          <w:tcPr>
            <w:tcW w:w="460" w:type="dxa"/>
            <w:vAlign w:val="bottom"/>
          </w:tcPr>
          <w:p>
            <w:pPr>
              <w:ind w:left="380"/>
              <w:spacing w:after="0" w:line="95" w:lineRule="exact"/>
              <w:rPr>
                <w:sz w:val="20"/>
                <w:szCs w:val="20"/>
                <w:color w:val="auto"/>
              </w:rPr>
            </w:pPr>
            <w:r>
              <w:rPr>
                <w:rFonts w:ascii="Arial" w:cs="Arial" w:eastAsia="Arial" w:hAnsi="Arial"/>
                <w:sz w:val="10"/>
                <w:szCs w:val="10"/>
                <w:color w:val="auto"/>
              </w:rPr>
              <w:t>​</w:t>
            </w:r>
          </w:p>
        </w:tc>
        <w:tc>
          <w:tcPr>
            <w:tcW w:w="56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120" w:type="dxa"/>
            <w:vAlign w:val="bottom"/>
          </w:tcPr>
          <w:p>
            <w:pPr>
              <w:ind w:left="80"/>
              <w:spacing w:after="0" w:line="95" w:lineRule="exact"/>
              <w:rPr>
                <w:sz w:val="20"/>
                <w:szCs w:val="20"/>
                <w:color w:val="auto"/>
              </w:rPr>
            </w:pPr>
            <w:r>
              <w:rPr>
                <w:rFonts w:ascii="Arial" w:cs="Arial" w:eastAsia="Arial" w:hAnsi="Arial"/>
                <w:sz w:val="10"/>
                <w:szCs w:val="10"/>
                <w:color w:val="auto"/>
              </w:rPr>
              <w:t>​</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gridSpan w:val="3"/>
          </w:tcPr>
          <w:p>
            <w:pPr>
              <w:jc w:val="right"/>
              <w:ind w:right="540"/>
              <w:spacing w:after="0" w:line="95" w:lineRule="exact"/>
              <w:rPr>
                <w:sz w:val="20"/>
                <w:szCs w:val="20"/>
                <w:color w:val="auto"/>
              </w:rPr>
            </w:pPr>
            <w:r>
              <w:rPr>
                <w:rFonts w:ascii="Arial" w:cs="Arial" w:eastAsia="Arial" w:hAnsi="Arial"/>
                <w:sz w:val="10"/>
                <w:szCs w:val="10"/>
                <w:color w:val="auto"/>
              </w:rPr>
              <w:t>​​​ ​</w:t>
            </w:r>
          </w:p>
        </w:tc>
        <w:tc>
          <w:tcPr>
            <w:tcW w:w="160" w:type="dxa"/>
            <w:vAlign w:val="bottom"/>
            <w:gridSpan w:val="2"/>
          </w:tcPr>
          <w:p>
            <w:pPr>
              <w:jc w:val="right"/>
              <w:spacing w:after="0" w:line="95" w:lineRule="exact"/>
              <w:rPr>
                <w:sz w:val="20"/>
                <w:szCs w:val="20"/>
                <w:color w:val="auto"/>
              </w:rPr>
            </w:pPr>
            <w:r>
              <w:rPr>
                <w:rFonts w:ascii="Arial" w:cs="Arial" w:eastAsia="Arial" w:hAnsi="Arial"/>
                <w:sz w:val="10"/>
                <w:szCs w:val="10"/>
                <w:color w:val="auto"/>
              </w:rPr>
              <w:t>​​​​</w:t>
            </w: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1F266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1F2668"/>
          </w:tcPr>
          <w:p>
            <w:pPr>
              <w:spacing w:after="0" w:line="20" w:lineRule="exact"/>
              <w:rPr>
                <w:sz w:val="1"/>
                <w:szCs w:val="1"/>
                <w:color w:val="auto"/>
              </w:rPr>
            </w:pPr>
          </w:p>
        </w:tc>
        <w:tc>
          <w:tcPr>
            <w:tcW w:w="820" w:type="dxa"/>
            <w:vAlign w:val="bottom"/>
            <w:shd w:val="clear" w:color="auto" w:fill="1F266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1F2668"/>
          </w:tcPr>
          <w:p>
            <w:pPr>
              <w:spacing w:after="0" w:line="20" w:lineRule="exact"/>
              <w:rPr>
                <w:sz w:val="1"/>
                <w:szCs w:val="1"/>
                <w:color w:val="auto"/>
              </w:rPr>
            </w:pPr>
          </w:p>
        </w:tc>
        <w:tc>
          <w:tcPr>
            <w:tcW w:w="940" w:type="dxa"/>
            <w:vAlign w:val="bottom"/>
            <w:shd w:val="clear" w:color="auto" w:fill="1F2668"/>
          </w:tcPr>
          <w:p>
            <w:pPr>
              <w:spacing w:after="0" w:line="20" w:lineRule="exact"/>
              <w:rPr>
                <w:sz w:val="1"/>
                <w:szCs w:val="1"/>
                <w:color w:val="auto"/>
              </w:rPr>
            </w:pPr>
          </w:p>
        </w:tc>
        <w:tc>
          <w:tcPr>
            <w:tcW w:w="120" w:type="dxa"/>
            <w:vAlign w:val="bottom"/>
            <w:tcBorders>
              <w:right w:val="single" w:sz="8" w:color="1F2668"/>
            </w:tcBorders>
          </w:tcPr>
          <w:p>
            <w:pPr>
              <w:spacing w:after="0" w:line="20" w:lineRule="exact"/>
              <w:rPr>
                <w:sz w:val="1"/>
                <w:szCs w:val="1"/>
                <w:color w:val="auto"/>
              </w:rPr>
            </w:pPr>
          </w:p>
        </w:tc>
        <w:tc>
          <w:tcPr>
            <w:tcW w:w="160" w:type="dxa"/>
            <w:vAlign w:val="bottom"/>
            <w:shd w:val="clear" w:color="auto" w:fill="1F2668"/>
          </w:tcPr>
          <w:p>
            <w:pPr>
              <w:spacing w:after="0" w:line="20" w:lineRule="exact"/>
              <w:rPr>
                <w:sz w:val="1"/>
                <w:szCs w:val="1"/>
                <w:color w:val="auto"/>
              </w:rPr>
            </w:pPr>
          </w:p>
        </w:tc>
        <w:tc>
          <w:tcPr>
            <w:tcW w:w="62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1F2668"/>
          </w:tcPr>
          <w:p>
            <w:pPr>
              <w:spacing w:after="0" w:line="20" w:lineRule="exact"/>
              <w:rPr>
                <w:sz w:val="1"/>
                <w:szCs w:val="1"/>
                <w:color w:val="auto"/>
              </w:rPr>
            </w:pPr>
          </w:p>
        </w:tc>
        <w:tc>
          <w:tcPr>
            <w:tcW w:w="460" w:type="dxa"/>
            <w:vAlign w:val="bottom"/>
            <w:shd w:val="clear" w:color="auto" w:fill="1F2668"/>
          </w:tcPr>
          <w:p>
            <w:pPr>
              <w:spacing w:after="0" w:line="20" w:lineRule="exact"/>
              <w:rPr>
                <w:sz w:val="1"/>
                <w:szCs w:val="1"/>
                <w:color w:val="auto"/>
              </w:rPr>
            </w:pPr>
          </w:p>
        </w:tc>
        <w:tc>
          <w:tcPr>
            <w:tcW w:w="560" w:type="dxa"/>
            <w:vAlign w:val="bottom"/>
            <w:shd w:val="clear" w:color="auto" w:fill="1F2668"/>
          </w:tcPr>
          <w:p>
            <w:pPr>
              <w:spacing w:after="0" w:line="20" w:lineRule="exact"/>
              <w:rPr>
                <w:sz w:val="1"/>
                <w:szCs w:val="1"/>
                <w:color w:val="auto"/>
              </w:rPr>
            </w:pPr>
          </w:p>
        </w:tc>
        <w:tc>
          <w:tcPr>
            <w:tcW w:w="160" w:type="dxa"/>
            <w:vAlign w:val="bottom"/>
            <w:tcBorders>
              <w:right w:val="single" w:sz="8" w:color="1F2668"/>
            </w:tcBorders>
          </w:tcPr>
          <w:p>
            <w:pPr>
              <w:spacing w:after="0" w:line="20" w:lineRule="exact"/>
              <w:rPr>
                <w:sz w:val="1"/>
                <w:szCs w:val="1"/>
                <w:color w:val="auto"/>
              </w:rPr>
            </w:pPr>
          </w:p>
        </w:tc>
        <w:tc>
          <w:tcPr>
            <w:tcW w:w="120" w:type="dxa"/>
            <w:vAlign w:val="bottom"/>
            <w:shd w:val="clear" w:color="auto" w:fill="1F2668"/>
          </w:tcPr>
          <w:p>
            <w:pPr>
              <w:spacing w:after="0" w:line="20" w:lineRule="exact"/>
              <w:rPr>
                <w:sz w:val="1"/>
                <w:szCs w:val="1"/>
                <w:color w:val="auto"/>
              </w:rPr>
            </w:pPr>
          </w:p>
        </w:tc>
        <w:tc>
          <w:tcPr>
            <w:tcW w:w="720" w:type="dxa"/>
            <w:vAlign w:val="bottom"/>
            <w:shd w:val="clear" w:color="auto" w:fill="1F266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1F2668"/>
            </w:tcBorders>
          </w:tcPr>
          <w:p>
            <w:pPr>
              <w:spacing w:after="0" w:line="20" w:lineRule="exact"/>
              <w:rPr>
                <w:sz w:val="1"/>
                <w:szCs w:val="1"/>
                <w:color w:val="auto"/>
              </w:rPr>
            </w:pPr>
          </w:p>
        </w:tc>
        <w:tc>
          <w:tcPr>
            <w:tcW w:w="580" w:type="dxa"/>
            <w:vAlign w:val="bottom"/>
            <w:shd w:val="clear" w:color="auto" w:fill="1F266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1F2668"/>
          </w:tcPr>
          <w:p>
            <w:pPr>
              <w:spacing w:after="0" w:line="20" w:lineRule="exact"/>
              <w:rPr>
                <w:sz w:val="1"/>
                <w:szCs w:val="1"/>
                <w:color w:val="auto"/>
              </w:rPr>
            </w:pPr>
          </w:p>
        </w:tc>
        <w:tc>
          <w:tcPr>
            <w:tcW w:w="740" w:type="dxa"/>
            <w:vAlign w:val="bottom"/>
            <w:shd w:val="clear" w:color="auto" w:fill="1F266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900" w:right="60" w:hanging="364"/>
        <w:spacing w:after="0" w:line="293" w:lineRule="auto"/>
        <w:tabs>
          <w:tab w:leader="none" w:pos="1900" w:val="left"/>
        </w:tabs>
        <w:numPr>
          <w:ilvl w:val="1"/>
          <w:numId w:val="110"/>
        </w:numPr>
        <w:rPr>
          <w:rFonts w:ascii="Arial" w:cs="Arial" w:eastAsia="Arial" w:hAnsi="Arial"/>
          <w:sz w:val="14"/>
          <w:szCs w:val="14"/>
          <w:color w:val="auto"/>
        </w:rPr>
      </w:pPr>
      <w:r>
        <w:rPr>
          <w:rFonts w:ascii="Arial" w:cs="Arial" w:eastAsia="Arial" w:hAnsi="Arial"/>
          <w:sz w:val="14"/>
          <w:szCs w:val="14"/>
          <w:color w:val="auto"/>
        </w:rPr>
        <w:t>The fair values of time-based equity awards are based on the closing price of our shares of common stock as reported on the NYSE on the relevant valuation date. Performance-based restricted share units were valued on the relevant valuation date using a Monte Carlo simulation model in accordance with the provisions of ASC Topic 718.</w:t>
      </w:r>
    </w:p>
    <w:p>
      <w:pPr>
        <w:spacing w:after="0" w:line="4" w:lineRule="exact"/>
        <w:rPr>
          <w:rFonts w:ascii="Arial" w:cs="Arial" w:eastAsia="Arial" w:hAnsi="Arial"/>
          <w:sz w:val="14"/>
          <w:szCs w:val="14"/>
          <w:color w:val="auto"/>
        </w:rPr>
      </w:pPr>
    </w:p>
    <w:p>
      <w:pPr>
        <w:ind w:left="1180" w:right="80" w:hanging="364"/>
        <w:spacing w:after="0" w:line="305" w:lineRule="auto"/>
        <w:tabs>
          <w:tab w:leader="none" w:pos="118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TSR is calculated assuming a $100 investment in the Company and the peer group on December 31, 2019, and assuming the reinvestment of any dividends during the applicable measurement period, calculated through the end of the year shown based on share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50800</wp:posOffset>
            </wp:positionV>
            <wp:extent cx="6831965"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5100" w:type="dxa"/>
            <w:vAlign w:val="bottom"/>
          </w:tcPr>
          <w:p>
            <w:pPr>
              <w:spacing w:after="0"/>
              <w:rPr>
                <w:sz w:val="20"/>
                <w:szCs w:val="20"/>
                <w:color w:val="auto"/>
              </w:rPr>
            </w:pPr>
            <w:r>
              <w:rPr>
                <w:rFonts w:ascii="Arial" w:cs="Arial" w:eastAsia="Arial" w:hAnsi="Arial"/>
                <w:sz w:val="14"/>
                <w:szCs w:val="14"/>
                <w:b w:val="1"/>
                <w:bCs w:val="1"/>
                <w:color w:val="auto"/>
              </w:rPr>
              <w:t>​</w:t>
            </w:r>
          </w:p>
        </w:tc>
        <w:tc>
          <w:tcPr>
            <w:tcW w:w="3480" w:type="dxa"/>
            <w:vAlign w:val="bottom"/>
          </w:tcPr>
          <w:p>
            <w:pPr>
              <w:ind w:left="3100"/>
              <w:spacing w:after="0"/>
              <w:rPr>
                <w:sz w:val="20"/>
                <w:szCs w:val="20"/>
                <w:color w:val="auto"/>
              </w:rPr>
            </w:pPr>
            <w:r>
              <w:rPr>
                <w:rFonts w:ascii="Arial" w:cs="Arial" w:eastAsia="Arial" w:hAnsi="Arial"/>
                <w:sz w:val="14"/>
                <w:szCs w:val="14"/>
                <w:b w:val="1"/>
                <w:bCs w:val="1"/>
                <w:color w:val="auto"/>
              </w:rPr>
              <w:t>​ ​</w:t>
            </w:r>
          </w:p>
        </w:tc>
        <w:tc>
          <w:tcPr>
            <w:tcW w:w="480" w:type="dxa"/>
            <w:vAlign w:val="bottom"/>
            <w:vMerge w:val="restart"/>
          </w:tcPr>
          <w:p>
            <w:pPr>
              <w:jc w:val="right"/>
              <w:spacing w:after="0"/>
              <w:rPr>
                <w:sz w:val="20"/>
                <w:szCs w:val="20"/>
                <w:color w:val="auto"/>
              </w:rPr>
            </w:pPr>
            <w:r>
              <w:rPr>
                <w:rFonts w:ascii="Arial" w:cs="Arial" w:eastAsia="Arial" w:hAnsi="Arial"/>
                <w:sz w:val="22"/>
                <w:szCs w:val="22"/>
                <w:b w:val="1"/>
                <w:bCs w:val="1"/>
                <w:color w:val="1F2668"/>
              </w:rPr>
              <w:t>79</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5100" w:type="dxa"/>
            <w:vAlign w:val="bottom"/>
          </w:tcPr>
          <w:p>
            <w:pPr>
              <w:spacing w:after="0"/>
              <w:rPr>
                <w:sz w:val="20"/>
                <w:szCs w:val="20"/>
                <w:color w:val="auto"/>
              </w:rPr>
            </w:pPr>
            <w:r>
              <w:rPr>
                <w:rFonts w:ascii="Arial" w:cs="Arial" w:eastAsia="Arial" w:hAnsi="Arial"/>
                <w:sz w:val="14"/>
                <w:szCs w:val="14"/>
                <w:b w:val="1"/>
                <w:bCs w:val="1"/>
                <w:color w:val="auto"/>
              </w:rPr>
              <w:t>EXECUTIVE COMPENSATION</w:t>
            </w:r>
          </w:p>
        </w:tc>
        <w:tc>
          <w:tcPr>
            <w:tcW w:w="348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48" w:lineRule="exact"/>
        <w:rPr>
          <w:sz w:val="20"/>
          <w:szCs w:val="20"/>
          <w:color w:val="auto"/>
        </w:rPr>
      </w:pPr>
    </w:p>
    <w:p>
      <w:pPr>
        <w:ind w:left="1180" w:right="80" w:hanging="364"/>
        <w:spacing w:after="0" w:line="282" w:lineRule="auto"/>
        <w:tabs>
          <w:tab w:leader="none" w:pos="118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Represents the TSR for the benchmarking peer group described in “Compensation Discussion and Analysis,” which includes the following peer companies: Alexandria Real Estate Equities, Inc., Boston Properties, Inc., Douglas Emmett, Inc., Empire State Realty Trust, Inc., Hudson Pacific Properties, Inc., Kennedy-Wilson Holdings, Inc., Kilroy Realty Corporation, Ladder Capital Corp, Paramount Group, Inc. and Vornado Realty Trust.</w:t>
      </w:r>
    </w:p>
    <w:p>
      <w:pPr>
        <w:spacing w:after="0" w:line="39" w:lineRule="exact"/>
        <w:rPr>
          <w:rFonts w:ascii="Arial" w:cs="Arial" w:eastAsia="Arial" w:hAnsi="Arial"/>
          <w:sz w:val="14"/>
          <w:szCs w:val="14"/>
          <w:color w:val="auto"/>
        </w:rPr>
      </w:pPr>
    </w:p>
    <w:p>
      <w:pPr>
        <w:ind w:left="1180" w:right="80" w:hanging="364"/>
        <w:spacing w:after="0" w:line="282" w:lineRule="auto"/>
        <w:tabs>
          <w:tab w:leader="none" w:pos="118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Normalized FFO per share represents reported FFO per share as adjusted for non-cash fair value adjustments, gains or losses on the early extinguishment of debt and other adjustments for comparability between periods. For 2024, includes Gain on Discounted Debt Extinguishment of $20.0M consistent with the calculation of the FFO goal under our 2024 formulaic cash bonus program. Gains on Discounted Debt Extinguishment in excess of $20.0M were excluded from the final calculation.</w:t>
      </w:r>
    </w:p>
    <w:p>
      <w:pPr>
        <w:spacing w:after="0" w:line="39" w:lineRule="exact"/>
        <w:rPr>
          <w:rFonts w:ascii="Arial" w:cs="Arial" w:eastAsia="Arial" w:hAnsi="Arial"/>
          <w:sz w:val="14"/>
          <w:szCs w:val="14"/>
          <w:color w:val="auto"/>
        </w:rPr>
      </w:pPr>
    </w:p>
    <w:p>
      <w:pPr>
        <w:ind w:left="1180" w:right="240" w:hanging="364"/>
        <w:spacing w:after="0" w:line="305" w:lineRule="auto"/>
        <w:tabs>
          <w:tab w:leader="none" w:pos="118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Non-PEO named executive officers for 2024 includes Messrs. DiLiberto and Levine and for 2023, 2022, 2021 and 2020 includes Messrs. DiLiberto and Levine and Andrew Mathias, our former President.</w:t>
      </w:r>
    </w:p>
    <w:p>
      <w:pPr>
        <w:spacing w:after="0" w:line="143"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83AD40"/>
        </w:rPr>
        <w:t>Relationship Between Compensation Actually Paid and Financial Performance</w:t>
      </w:r>
    </w:p>
    <w:p>
      <w:pPr>
        <w:spacing w:after="0" w:line="144" w:lineRule="exact"/>
        <w:rPr>
          <w:sz w:val="20"/>
          <w:szCs w:val="20"/>
          <w:color w:val="auto"/>
        </w:rPr>
      </w:pPr>
    </w:p>
    <w:p>
      <w:pPr>
        <w:jc w:val="both"/>
        <w:ind w:left="820" w:right="220"/>
        <w:spacing w:after="0" w:line="329" w:lineRule="auto"/>
        <w:rPr>
          <w:sz w:val="20"/>
          <w:szCs w:val="20"/>
          <w:color w:val="auto"/>
        </w:rPr>
      </w:pPr>
      <w:r>
        <w:rPr>
          <w:rFonts w:ascii="Arial" w:cs="Arial" w:eastAsia="Arial" w:hAnsi="Arial"/>
          <w:sz w:val="15"/>
          <w:szCs w:val="15"/>
          <w:color w:val="auto"/>
        </w:rPr>
        <w:t>The following graphs illustrate the relationship across our last five completed fiscal years between the amounts disclosed in the Pay Versus Performance Table, above, as “Compensation Actually Paid” to our PEO and the “Average Compensation Actually Paid” to our non-PEO named executive officers and TSR, Peer Group TSR, Net Income and Normalized FFO per share.</w:t>
      </w:r>
    </w:p>
    <w:p>
      <w:pPr>
        <w:spacing w:after="0" w:line="141" w:lineRule="exact"/>
        <w:rPr>
          <w:sz w:val="20"/>
          <w:szCs w:val="20"/>
          <w:color w:val="auto"/>
        </w:rPr>
      </w:pPr>
    </w:p>
    <w:p>
      <w:pPr>
        <w:ind w:left="3720"/>
        <w:spacing w:after="0"/>
        <w:rPr>
          <w:sz w:val="20"/>
          <w:szCs w:val="20"/>
          <w:color w:val="auto"/>
        </w:rPr>
      </w:pPr>
      <w:r>
        <w:rPr>
          <w:rFonts w:ascii="Arial" w:cs="Arial" w:eastAsia="Arial" w:hAnsi="Arial"/>
          <w:sz w:val="16"/>
          <w:szCs w:val="16"/>
          <w:b w:val="1"/>
          <w:bCs w:val="1"/>
          <w:color w:val="1F2668"/>
        </w:rPr>
        <w:t>COMPENSATION ACTUALLY PAID VS.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1297305</wp:posOffset>
            </wp:positionH>
            <wp:positionV relativeFrom="paragraph">
              <wp:posOffset>132080</wp:posOffset>
            </wp:positionV>
            <wp:extent cx="4208780" cy="247713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4208780"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100"/>
        <w:spacing w:after="0"/>
        <w:rPr>
          <w:sz w:val="20"/>
          <w:szCs w:val="20"/>
          <w:color w:val="auto"/>
        </w:rPr>
      </w:pPr>
      <w:r>
        <w:rPr>
          <w:rFonts w:ascii="Arial" w:cs="Arial" w:eastAsia="Arial" w:hAnsi="Arial"/>
          <w:sz w:val="16"/>
          <w:szCs w:val="16"/>
          <w:b w:val="1"/>
          <w:bCs w:val="1"/>
          <w:color w:val="1F2668"/>
        </w:rPr>
        <w:t>COMPENSATION ACTUALLY PAID VS. NET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132080</wp:posOffset>
            </wp:positionV>
            <wp:extent cx="6831965" cy="24047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6831965" cy="24047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p>
      <w:pPr>
        <w:ind w:left="820"/>
        <w:spacing w:after="0"/>
        <w:tabs>
          <w:tab w:leader="none" w:pos="1440" w:val="left"/>
          <w:tab w:leader="none" w:pos="9860" w:val="left"/>
        </w:tabs>
        <w:rPr>
          <w:sz w:val="20"/>
          <w:szCs w:val="20"/>
          <w:color w:val="auto"/>
        </w:rPr>
      </w:pPr>
      <w:r>
        <w:rPr>
          <w:rFonts w:ascii="Arial" w:cs="Arial" w:eastAsia="Arial" w:hAnsi="Arial"/>
          <w:sz w:val="22"/>
          <w:szCs w:val="22"/>
          <w:b w:val="1"/>
          <w:bCs w:val="1"/>
          <w:color w:val="1F2668"/>
        </w:rPr>
        <w:t>​80</w:t>
      </w:r>
      <w:r>
        <w:rPr>
          <w:sz w:val="20"/>
          <w:szCs w:val="20"/>
          <w:color w:val="auto"/>
        </w:rPr>
        <w:tab/>
      </w:r>
      <w:r>
        <w:rPr>
          <w:rFonts w:ascii="Arial" w:cs="Arial" w:eastAsia="Arial" w:hAnsi="Arial"/>
          <w:sz w:val="22"/>
          <w:szCs w:val="22"/>
          <w:b w:val="1"/>
          <w:bCs w:val="1"/>
          <w:color w:val="1F2668"/>
        </w:rPr>
        <w:t xml:space="preserve">​ ​ </w:t>
      </w:r>
      <w:r>
        <w:rPr>
          <w:rFonts w:ascii="Arial" w:cs="Arial" w:eastAsia="Arial" w:hAnsi="Arial"/>
          <w:sz w:val="14"/>
          <w:szCs w:val="14"/>
          <w:b w:val="1"/>
          <w:bCs w:val="1"/>
          <w:color w:val="1F2668"/>
        </w:rPr>
        <w:t>SL GREEN REALTY CORP. 2025 PROXY STATEMENT</w:t>
      </w:r>
      <w:r>
        <w:rPr>
          <w:sz w:val="20"/>
          <w:szCs w:val="20"/>
          <w:color w:val="auto"/>
        </w:rPr>
        <w:tab/>
      </w:r>
      <w:r>
        <w:rPr>
          <w:rFonts w:ascii="Arial" w:cs="Arial" w:eastAsia="Arial" w:hAnsi="Arial"/>
          <w:sz w:val="22"/>
          <w:szCs w:val="22"/>
          <w:b w:val="1"/>
          <w:bCs w:val="1"/>
          <w:color w:val="1F2668"/>
        </w:rPr>
        <w:t>​</w:t>
      </w:r>
    </w:p>
    <w:p>
      <w:pPr>
        <w:spacing w:after="0" w:line="200" w:lineRule="exact"/>
        <w:rPr>
          <w:sz w:val="20"/>
          <w:szCs w:val="20"/>
          <w:color w:val="auto"/>
        </w:rPr>
      </w:pPr>
    </w:p>
    <w:p>
      <w:pPr>
        <w:spacing w:after="0" w:line="290" w:lineRule="exact"/>
        <w:rPr>
          <w:sz w:val="20"/>
          <w:szCs w:val="20"/>
          <w:color w:val="auto"/>
        </w:rPr>
      </w:pPr>
    </w:p>
    <w:p>
      <w:pPr>
        <w:ind w:left="2680"/>
        <w:spacing w:after="0"/>
        <w:rPr>
          <w:sz w:val="20"/>
          <w:szCs w:val="20"/>
          <w:color w:val="auto"/>
        </w:rPr>
      </w:pPr>
      <w:r>
        <w:rPr>
          <w:rFonts w:ascii="Arial" w:cs="Arial" w:eastAsia="Arial" w:hAnsi="Arial"/>
          <w:sz w:val="16"/>
          <w:szCs w:val="16"/>
          <w:b w:val="1"/>
          <w:bCs w:val="1"/>
          <w:color w:val="1F2668"/>
        </w:rPr>
        <w:t>COMPENSATION ACTUALLY PAID VS. NORMALIZED FFO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1297305</wp:posOffset>
            </wp:positionH>
            <wp:positionV relativeFrom="paragraph">
              <wp:posOffset>132080</wp:posOffset>
            </wp:positionV>
            <wp:extent cx="4208780" cy="232283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420878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83AD40"/>
        </w:rPr>
        <w:t>Tabular List of Performance Measures</w:t>
      </w:r>
    </w:p>
    <w:p>
      <w:pPr>
        <w:spacing w:after="0" w:line="131" w:lineRule="exact"/>
        <w:rPr>
          <w:sz w:val="20"/>
          <w:szCs w:val="20"/>
          <w:color w:val="auto"/>
        </w:rPr>
      </w:pPr>
    </w:p>
    <w:p>
      <w:pPr>
        <w:ind w:left="820" w:right="200"/>
        <w:spacing w:after="0" w:line="377" w:lineRule="auto"/>
        <w:rPr>
          <w:sz w:val="20"/>
          <w:szCs w:val="20"/>
          <w:color w:val="auto"/>
        </w:rPr>
      </w:pPr>
      <w:r>
        <w:rPr>
          <w:rFonts w:ascii="Arial" w:cs="Arial" w:eastAsia="Arial" w:hAnsi="Arial"/>
          <w:sz w:val="15"/>
          <w:szCs w:val="15"/>
          <w:color w:val="auto"/>
        </w:rPr>
        <w:t>The following table lists the performance measures that we consider to be the most important performance measures we use to link compensation actually paid to its named executive officers for the most recently completed fiscal year to our performance.</w:t>
      </w:r>
    </w:p>
    <w:p>
      <w:pPr>
        <w:spacing w:after="0" w:line="106"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1F2668"/>
        </w:rPr>
        <w:t>Performance Measure</w:t>
      </w:r>
    </w:p>
    <w:p>
      <w:pPr>
        <w:spacing w:after="0" w:line="86" w:lineRule="exact"/>
        <w:rPr>
          <w:sz w:val="20"/>
          <w:szCs w:val="20"/>
          <w:color w:val="auto"/>
        </w:rPr>
      </w:pPr>
    </w:p>
    <w:p>
      <w:pPr>
        <w:ind w:left="1000" w:hanging="184"/>
        <w:spacing w:after="0"/>
        <w:tabs>
          <w:tab w:leader="none" w:pos="10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Normalized FFO per Share</w:t>
      </w:r>
    </w:p>
    <w:p>
      <w:pPr>
        <w:spacing w:after="0" w:line="99" w:lineRule="exact"/>
        <w:rPr>
          <w:rFonts w:ascii="Arial" w:cs="Arial" w:eastAsia="Arial" w:hAnsi="Arial"/>
          <w:sz w:val="16"/>
          <w:szCs w:val="16"/>
          <w:color w:val="auto"/>
        </w:rPr>
      </w:pPr>
    </w:p>
    <w:p>
      <w:pPr>
        <w:ind w:left="1000" w:hanging="184"/>
        <w:spacing w:after="0"/>
        <w:tabs>
          <w:tab w:leader="none" w:pos="10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Relative TSR</w:t>
      </w:r>
    </w:p>
    <w:p>
      <w:pPr>
        <w:spacing w:after="0" w:line="86" w:lineRule="exact"/>
        <w:rPr>
          <w:rFonts w:ascii="Arial" w:cs="Arial" w:eastAsia="Arial" w:hAnsi="Arial"/>
          <w:sz w:val="16"/>
          <w:szCs w:val="16"/>
          <w:color w:val="auto"/>
        </w:rPr>
      </w:pPr>
    </w:p>
    <w:p>
      <w:pPr>
        <w:ind w:left="1000" w:hanging="184"/>
        <w:spacing w:after="0"/>
        <w:tabs>
          <w:tab w:leader="none" w:pos="10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Normalized Funds Available for Distribution</w:t>
      </w:r>
    </w:p>
    <w:p>
      <w:pPr>
        <w:spacing w:after="0" w:line="86" w:lineRule="exact"/>
        <w:rPr>
          <w:rFonts w:ascii="Arial" w:cs="Arial" w:eastAsia="Arial" w:hAnsi="Arial"/>
          <w:sz w:val="16"/>
          <w:szCs w:val="16"/>
          <w:color w:val="auto"/>
        </w:rPr>
      </w:pPr>
    </w:p>
    <w:p>
      <w:pPr>
        <w:ind w:left="1000" w:hanging="184"/>
        <w:spacing w:after="0"/>
        <w:tabs>
          <w:tab w:leader="none" w:pos="10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Combined Net Debt Reduction</w:t>
      </w:r>
    </w:p>
    <w:p>
      <w:pPr>
        <w:spacing w:after="0" w:line="86" w:lineRule="exact"/>
        <w:rPr>
          <w:rFonts w:ascii="Arial" w:cs="Arial" w:eastAsia="Arial" w:hAnsi="Arial"/>
          <w:sz w:val="16"/>
          <w:szCs w:val="16"/>
          <w:color w:val="auto"/>
        </w:rPr>
      </w:pPr>
    </w:p>
    <w:p>
      <w:pPr>
        <w:ind w:left="1000" w:hanging="184"/>
        <w:spacing w:after="0"/>
        <w:tabs>
          <w:tab w:leader="none" w:pos="10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Manhattan Same Store Office Leased Occupancy</w:t>
      </w:r>
    </w:p>
    <w:p>
      <w:pPr>
        <w:spacing w:after="0" w:line="99" w:lineRule="exact"/>
        <w:rPr>
          <w:rFonts w:ascii="Arial" w:cs="Arial" w:eastAsia="Arial" w:hAnsi="Arial"/>
          <w:sz w:val="16"/>
          <w:szCs w:val="16"/>
          <w:color w:val="auto"/>
        </w:rPr>
      </w:pPr>
    </w:p>
    <w:p>
      <w:pPr>
        <w:ind w:left="1000" w:hanging="184"/>
        <w:spacing w:after="0"/>
        <w:tabs>
          <w:tab w:leader="none" w:pos="10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Manhattan Office Leasing Volume</w:t>
      </w:r>
    </w:p>
    <w:p>
      <w:pPr>
        <w:spacing w:after="0" w:line="86" w:lineRule="exact"/>
        <w:rPr>
          <w:rFonts w:ascii="Arial" w:cs="Arial" w:eastAsia="Arial" w:hAnsi="Arial"/>
          <w:sz w:val="16"/>
          <w:szCs w:val="16"/>
          <w:color w:val="auto"/>
        </w:rPr>
      </w:pPr>
    </w:p>
    <w:p>
      <w:pPr>
        <w:ind w:left="1000" w:hanging="184"/>
        <w:spacing w:after="0"/>
        <w:tabs>
          <w:tab w:leader="none" w:pos="10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Liquidity</w:t>
      </w:r>
    </w:p>
    <w:p>
      <w:pPr>
        <w:spacing w:after="0" w:line="337"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Policies and Practices Related to the Grant of Certain Equity Awards</w:t>
      </w:r>
    </w:p>
    <w:p>
      <w:pPr>
        <w:spacing w:after="0" w:line="133" w:lineRule="exact"/>
        <w:rPr>
          <w:sz w:val="20"/>
          <w:szCs w:val="20"/>
          <w:color w:val="auto"/>
        </w:rPr>
      </w:pPr>
    </w:p>
    <w:p>
      <w:pPr>
        <w:ind w:left="820" w:right="80"/>
        <w:spacing w:after="0" w:line="300" w:lineRule="auto"/>
        <w:rPr>
          <w:sz w:val="20"/>
          <w:szCs w:val="20"/>
          <w:color w:val="auto"/>
        </w:rPr>
      </w:pPr>
      <w:r>
        <w:rPr>
          <w:rFonts w:ascii="Arial" w:cs="Arial" w:eastAsia="Arial" w:hAnsi="Arial"/>
          <w:sz w:val="16"/>
          <w:szCs w:val="16"/>
          <w:color w:val="auto"/>
        </w:rPr>
        <w:t>We do not have any formal policy that requires us to grant, or avoid granting, equity awards to our executive officers at certain times. We typically grant annual equity awards to our executive officers in January or February, with the dates for the committee meetings to approve these annual awards set in advance on a fairly consistent schedule each year. The timing of any non-routine equity grants to executive officers, including new hires and entry into new employment agreements, are typically tied to the event giving rise to the award. As a result, we do not time the disclosure of material non-public information for the purpose of affecting the value or exercise price of our equity awards, including stock options or Class O LTIP units.</w:t>
      </w:r>
    </w:p>
    <w:p>
      <w:pPr>
        <w:spacing w:after="0" w:line="105" w:lineRule="exact"/>
        <w:rPr>
          <w:sz w:val="20"/>
          <w:szCs w:val="20"/>
          <w:color w:val="auto"/>
        </w:rPr>
      </w:pPr>
    </w:p>
    <w:p>
      <w:pPr>
        <w:ind w:left="820" w:right="120"/>
        <w:spacing w:after="0" w:line="306" w:lineRule="auto"/>
        <w:rPr>
          <w:sz w:val="20"/>
          <w:szCs w:val="20"/>
          <w:color w:val="auto"/>
        </w:rPr>
      </w:pPr>
      <w:r>
        <w:rPr>
          <w:rFonts w:ascii="Arial" w:cs="Arial" w:eastAsia="Arial" w:hAnsi="Arial"/>
          <w:sz w:val="16"/>
          <w:szCs w:val="16"/>
          <w:color w:val="auto"/>
        </w:rPr>
        <w:t>As part of our overall compensation program, we do not typically grant stock options or option-like equity awards to our executive officers. However, as disclosed in the table below, our CEO Mr. Holliday received a retention performance incentive grant of Class O LTIP units in connection with entering into his new employment agreement on December 27, 2024. We subsequently filed a Form 8-K relating to such grant and the new employment agreement on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1140460</wp:posOffset>
            </wp:positionV>
            <wp:extent cx="6831965"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71"/>
        </w:trPr>
        <w:tc>
          <w:tcPr>
            <w:tcW w:w="3000" w:type="dxa"/>
            <w:vAlign w:val="bottom"/>
            <w:gridSpan w:val="2"/>
          </w:tcPr>
          <w:p>
            <w:pPr>
              <w:spacing w:after="0"/>
              <w:rPr>
                <w:sz w:val="20"/>
                <w:szCs w:val="20"/>
                <w:color w:val="auto"/>
              </w:rPr>
            </w:pPr>
            <w:r>
              <w:rPr>
                <w:rFonts w:ascii="Calibri" w:cs="Calibri" w:eastAsia="Calibri" w:hAnsi="Calibri"/>
                <w:sz w:val="14"/>
                <w:szCs w:val="14"/>
                <w:color w:val="003366"/>
              </w:rPr>
              <w:t>TABLE OF CONTENTS</w:t>
            </w: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2"/>
        </w:trPr>
        <w:tc>
          <w:tcPr>
            <w:tcW w:w="82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ind w:left="1460"/>
              <w:spacing w:after="0"/>
              <w:rPr>
                <w:sz w:val="20"/>
                <w:szCs w:val="20"/>
                <w:color w:val="auto"/>
              </w:rPr>
            </w:pPr>
            <w:r>
              <w:rPr>
                <w:rFonts w:ascii="Arial" w:cs="Arial" w:eastAsia="Arial" w:hAnsi="Arial"/>
                <w:sz w:val="14"/>
                <w:szCs w:val="14"/>
                <w:b w:val="1"/>
                <w:bCs w:val="1"/>
                <w:color w:val="auto"/>
              </w:rPr>
              <w:t>​ ​</w:t>
            </w:r>
          </w:p>
        </w:tc>
        <w:tc>
          <w:tcPr>
            <w:tcW w:w="620" w:type="dxa"/>
            <w:vAlign w:val="bottom"/>
            <w:vMerge w:val="restart"/>
          </w:tcPr>
          <w:p>
            <w:pPr>
              <w:jc w:val="right"/>
              <w:spacing w:after="0"/>
              <w:rPr>
                <w:sz w:val="20"/>
                <w:szCs w:val="20"/>
                <w:color w:val="auto"/>
              </w:rPr>
            </w:pPr>
            <w:r>
              <w:rPr>
                <w:rFonts w:ascii="Arial" w:cs="Arial" w:eastAsia="Arial" w:hAnsi="Arial"/>
                <w:sz w:val="22"/>
                <w:szCs w:val="22"/>
                <w:b w:val="1"/>
                <w:bCs w:val="1"/>
                <w:color w:val="1F2668"/>
              </w:rPr>
              <w:t>81</w:t>
            </w: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180" w:type="dxa"/>
            <w:vAlign w:val="bottom"/>
          </w:tcPr>
          <w:p>
            <w:pPr>
              <w:spacing w:after="0"/>
              <w:rPr>
                <w:sz w:val="20"/>
                <w:szCs w:val="20"/>
                <w:color w:val="auto"/>
              </w:rPr>
            </w:pPr>
            <w:r>
              <w:rPr>
                <w:rFonts w:ascii="Arial" w:cs="Arial" w:eastAsia="Arial" w:hAnsi="Arial"/>
                <w:sz w:val="14"/>
                <w:szCs w:val="14"/>
                <w:b w:val="1"/>
                <w:bCs w:val="1"/>
                <w:color w:val="auto"/>
              </w:rPr>
              <w:t>EXECUTIVE COMPENSATION</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0"/>
        </w:trPr>
        <w:tc>
          <w:tcPr>
            <w:tcW w:w="8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2"/>
          </w:tcPr>
          <w:p>
            <w:pPr>
              <w:jc w:val="right"/>
              <w:spacing w:after="0"/>
              <w:rPr>
                <w:sz w:val="20"/>
                <w:szCs w:val="20"/>
                <w:color w:val="auto"/>
              </w:rPr>
            </w:pPr>
            <w:r>
              <w:rPr>
                <w:rFonts w:ascii="Arial" w:cs="Arial" w:eastAsia="Arial" w:hAnsi="Arial"/>
                <w:sz w:val="14"/>
                <w:szCs w:val="14"/>
                <w:b w:val="1"/>
                <w:bCs w:val="1"/>
                <w:color w:val="1F2668"/>
              </w:rPr>
              <w:t>Percentage change in the closing</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2"/>
          </w:tcPr>
          <w:p>
            <w:pPr>
              <w:jc w:val="right"/>
              <w:spacing w:after="0"/>
              <w:rPr>
                <w:sz w:val="20"/>
                <w:szCs w:val="20"/>
                <w:color w:val="auto"/>
              </w:rPr>
            </w:pPr>
            <w:r>
              <w:rPr>
                <w:rFonts w:ascii="Arial" w:cs="Arial" w:eastAsia="Arial" w:hAnsi="Arial"/>
                <w:sz w:val="14"/>
                <w:szCs w:val="14"/>
                <w:b w:val="1"/>
                <w:bCs w:val="1"/>
                <w:color w:val="1F2668"/>
              </w:rPr>
              <w:t>market price of the securities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2"/>
          </w:tcPr>
          <w:p>
            <w:pPr>
              <w:jc w:val="right"/>
              <w:spacing w:after="0"/>
              <w:rPr>
                <w:sz w:val="20"/>
                <w:szCs w:val="20"/>
                <w:color w:val="auto"/>
              </w:rPr>
            </w:pPr>
            <w:r>
              <w:rPr>
                <w:rFonts w:ascii="Arial" w:cs="Arial" w:eastAsia="Arial" w:hAnsi="Arial"/>
                <w:sz w:val="14"/>
                <w:szCs w:val="14"/>
                <w:b w:val="1"/>
                <w:bCs w:val="1"/>
                <w:color w:val="1F2668"/>
              </w:rPr>
              <w:t>underlying the award between</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2"/>
          </w:tcPr>
          <w:p>
            <w:pPr>
              <w:jc w:val="right"/>
              <w:spacing w:after="0"/>
              <w:rPr>
                <w:sz w:val="20"/>
                <w:szCs w:val="20"/>
                <w:color w:val="auto"/>
              </w:rPr>
            </w:pPr>
            <w:r>
              <w:rPr>
                <w:rFonts w:ascii="Arial" w:cs="Arial" w:eastAsia="Arial" w:hAnsi="Arial"/>
                <w:sz w:val="14"/>
                <w:szCs w:val="14"/>
                <w:b w:val="1"/>
                <w:bCs w:val="1"/>
                <w:color w:val="1F2668"/>
              </w:rPr>
              <w:t>the trading day ending</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2"/>
          </w:tcPr>
          <w:p>
            <w:pPr>
              <w:jc w:val="right"/>
              <w:spacing w:after="0"/>
              <w:rPr>
                <w:sz w:val="20"/>
                <w:szCs w:val="20"/>
                <w:color w:val="auto"/>
              </w:rPr>
            </w:pPr>
            <w:r>
              <w:rPr>
                <w:rFonts w:ascii="Arial" w:cs="Arial" w:eastAsia="Arial" w:hAnsi="Arial"/>
                <w:sz w:val="14"/>
                <w:szCs w:val="14"/>
                <w:b w:val="1"/>
                <w:bCs w:val="1"/>
                <w:color w:val="1F2668"/>
                <w:w w:val="97"/>
              </w:rPr>
              <w:t>immediately prior to the disclosure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2"/>
          </w:tcPr>
          <w:p>
            <w:pPr>
              <w:jc w:val="right"/>
              <w:spacing w:after="0"/>
              <w:rPr>
                <w:sz w:val="20"/>
                <w:szCs w:val="20"/>
                <w:color w:val="auto"/>
              </w:rPr>
            </w:pPr>
            <w:r>
              <w:rPr>
                <w:rFonts w:ascii="Arial" w:cs="Arial" w:eastAsia="Arial" w:hAnsi="Arial"/>
                <w:sz w:val="14"/>
                <w:szCs w:val="14"/>
                <w:b w:val="1"/>
                <w:bCs w:val="1"/>
                <w:color w:val="1F2668"/>
              </w:rPr>
              <w:t>of material nonpublic</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1F2668"/>
                <w:w w:val="97"/>
              </w:rPr>
              <w:t>Exercise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2"/>
          </w:tcPr>
          <w:p>
            <w:pPr>
              <w:jc w:val="right"/>
              <w:spacing w:after="0"/>
              <w:rPr>
                <w:sz w:val="20"/>
                <w:szCs w:val="20"/>
                <w:color w:val="auto"/>
              </w:rPr>
            </w:pPr>
            <w:r>
              <w:rPr>
                <w:rFonts w:ascii="Arial" w:cs="Arial" w:eastAsia="Arial" w:hAnsi="Arial"/>
                <w:sz w:val="14"/>
                <w:szCs w:val="14"/>
                <w:b w:val="1"/>
                <w:bCs w:val="1"/>
                <w:color w:val="1F2668"/>
              </w:rPr>
              <w:t>information and the trading</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1F2668"/>
                <w:w w:val="99"/>
              </w:rPr>
              <w:t>Number of</w:t>
            </w:r>
          </w:p>
        </w:tc>
        <w:tc>
          <w:tcPr>
            <w:tcW w:w="24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1F2668"/>
              </w:rPr>
              <w:t>price of</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94"/>
              <w:spacing w:after="0"/>
              <w:rPr>
                <w:sz w:val="20"/>
                <w:szCs w:val="20"/>
                <w:color w:val="auto"/>
              </w:rPr>
            </w:pPr>
            <w:r>
              <w:rPr>
                <w:rFonts w:ascii="Arial" w:cs="Arial" w:eastAsia="Arial" w:hAnsi="Arial"/>
                <w:sz w:val="14"/>
                <w:szCs w:val="14"/>
                <w:b w:val="1"/>
                <w:bCs w:val="1"/>
                <w:color w:val="1F2668"/>
                <w:w w:val="99"/>
              </w:rPr>
              <w:t>Grant date</w:t>
            </w:r>
          </w:p>
        </w:tc>
        <w:tc>
          <w:tcPr>
            <w:tcW w:w="2320" w:type="dxa"/>
            <w:vAlign w:val="bottom"/>
            <w:gridSpan w:val="2"/>
          </w:tcPr>
          <w:p>
            <w:pPr>
              <w:jc w:val="right"/>
              <w:spacing w:after="0"/>
              <w:rPr>
                <w:sz w:val="20"/>
                <w:szCs w:val="20"/>
                <w:color w:val="auto"/>
              </w:rPr>
            </w:pPr>
            <w:r>
              <w:rPr>
                <w:rFonts w:ascii="Arial" w:cs="Arial" w:eastAsia="Arial" w:hAnsi="Arial"/>
                <w:sz w:val="14"/>
                <w:szCs w:val="14"/>
                <w:b w:val="1"/>
                <w:bCs w:val="1"/>
                <w:color w:val="1F2668"/>
              </w:rPr>
              <w:t>day beginning immediately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1F2668"/>
              </w:rPr>
              <w:t>securities</w:t>
            </w:r>
          </w:p>
        </w:tc>
        <w:tc>
          <w:tcPr>
            <w:tcW w:w="24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1F2668"/>
              </w:rPr>
              <w:t>the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94"/>
              <w:spacing w:after="0"/>
              <w:rPr>
                <w:sz w:val="20"/>
                <w:szCs w:val="20"/>
                <w:color w:val="auto"/>
              </w:rPr>
            </w:pPr>
            <w:r>
              <w:rPr>
                <w:rFonts w:ascii="Arial" w:cs="Arial" w:eastAsia="Arial" w:hAnsi="Arial"/>
                <w:sz w:val="14"/>
                <w:szCs w:val="14"/>
                <w:b w:val="1"/>
                <w:bCs w:val="1"/>
                <w:color w:val="1F2668"/>
              </w:rPr>
              <w:t>fair value</w:t>
            </w:r>
          </w:p>
        </w:tc>
        <w:tc>
          <w:tcPr>
            <w:tcW w:w="2320" w:type="dxa"/>
            <w:vAlign w:val="bottom"/>
            <w:gridSpan w:val="2"/>
          </w:tcPr>
          <w:p>
            <w:pPr>
              <w:jc w:val="right"/>
              <w:spacing w:after="0"/>
              <w:rPr>
                <w:sz w:val="20"/>
                <w:szCs w:val="20"/>
                <w:color w:val="auto"/>
              </w:rPr>
            </w:pPr>
            <w:r>
              <w:rPr>
                <w:rFonts w:ascii="Arial" w:cs="Arial" w:eastAsia="Arial" w:hAnsi="Arial"/>
                <w:sz w:val="14"/>
                <w:szCs w:val="14"/>
                <w:b w:val="1"/>
                <w:bCs w:val="1"/>
                <w:color w:val="1F2668"/>
              </w:rPr>
              <w:t>following the disclosure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1F2668"/>
                <w:w w:val="97"/>
              </w:rPr>
              <w:t>underlying</w:t>
            </w:r>
          </w:p>
        </w:tc>
        <w:tc>
          <w:tcPr>
            <w:tcW w:w="24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1F2668"/>
              </w:rPr>
              <w:t>award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94"/>
              <w:spacing w:after="0"/>
              <w:rPr>
                <w:sz w:val="20"/>
                <w:szCs w:val="20"/>
                <w:color w:val="auto"/>
              </w:rPr>
            </w:pPr>
            <w:r>
              <w:rPr>
                <w:rFonts w:ascii="Arial" w:cs="Arial" w:eastAsia="Arial" w:hAnsi="Arial"/>
                <w:sz w:val="14"/>
                <w:szCs w:val="14"/>
                <w:b w:val="1"/>
                <w:bCs w:val="1"/>
                <w:color w:val="1F2668"/>
              </w:rPr>
              <w:t>of the</w:t>
            </w:r>
          </w:p>
        </w:tc>
        <w:tc>
          <w:tcPr>
            <w:tcW w:w="2320" w:type="dxa"/>
            <w:vAlign w:val="bottom"/>
            <w:gridSpan w:val="2"/>
          </w:tcPr>
          <w:p>
            <w:pPr>
              <w:jc w:val="right"/>
              <w:spacing w:after="0"/>
              <w:rPr>
                <w:sz w:val="20"/>
                <w:szCs w:val="20"/>
                <w:color w:val="auto"/>
              </w:rPr>
            </w:pPr>
            <w:r>
              <w:rPr>
                <w:rFonts w:ascii="Arial" w:cs="Arial" w:eastAsia="Arial" w:hAnsi="Arial"/>
                <w:sz w:val="14"/>
                <w:szCs w:val="14"/>
                <w:b w:val="1"/>
                <w:bCs w:val="1"/>
                <w:color w:val="1F2668"/>
              </w:rPr>
              <w:t>material nonpublic</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820" w:type="dxa"/>
            <w:vAlign w:val="bottom"/>
          </w:tcPr>
          <w:p>
            <w:pPr>
              <w:spacing w:after="0"/>
              <w:rPr>
                <w:sz w:val="19"/>
                <w:szCs w:val="19"/>
                <w:color w:val="auto"/>
              </w:rPr>
            </w:pPr>
          </w:p>
        </w:tc>
        <w:tc>
          <w:tcPr>
            <w:tcW w:w="2180" w:type="dxa"/>
            <w:vAlign w:val="bottom"/>
          </w:tcPr>
          <w:p>
            <w:pPr>
              <w:spacing w:after="0"/>
              <w:rPr>
                <w:sz w:val="20"/>
                <w:szCs w:val="20"/>
                <w:color w:val="auto"/>
              </w:rPr>
            </w:pPr>
            <w:r>
              <w:rPr>
                <w:rFonts w:ascii="Arial" w:cs="Arial" w:eastAsia="Arial" w:hAnsi="Arial"/>
                <w:sz w:val="14"/>
                <w:szCs w:val="14"/>
                <w:b w:val="1"/>
                <w:bCs w:val="1"/>
                <w:color w:val="1F2668"/>
              </w:rPr>
              <w:t>Name</w:t>
            </w:r>
          </w:p>
        </w:tc>
        <w:tc>
          <w:tcPr>
            <w:tcW w:w="180" w:type="dxa"/>
            <w:vAlign w:val="bottom"/>
          </w:tcPr>
          <w:p>
            <w:pPr>
              <w:ind w:left="80"/>
              <w:spacing w:after="0"/>
              <w:rPr>
                <w:sz w:val="20"/>
                <w:szCs w:val="20"/>
                <w:color w:val="auto"/>
              </w:rPr>
            </w:pPr>
            <w:r>
              <w:rPr>
                <w:rFonts w:ascii="Arial" w:cs="Arial" w:eastAsia="Arial" w:hAnsi="Arial"/>
                <w:sz w:val="14"/>
                <w:szCs w:val="14"/>
                <w:b w:val="1"/>
                <w:bCs w:val="1"/>
                <w:color w:val="1F2668"/>
              </w:rPr>
              <w:t>​ ​</w:t>
            </w:r>
          </w:p>
        </w:tc>
        <w:tc>
          <w:tcPr>
            <w:tcW w:w="2340" w:type="dxa"/>
            <w:vAlign w:val="bottom"/>
            <w:gridSpan w:val="3"/>
          </w:tcPr>
          <w:p>
            <w:pPr>
              <w:jc w:val="right"/>
              <w:spacing w:after="0" w:line="225" w:lineRule="exact"/>
              <w:rPr>
                <w:sz w:val="20"/>
                <w:szCs w:val="20"/>
                <w:color w:val="auto"/>
              </w:rPr>
            </w:pPr>
            <w:r>
              <w:rPr>
                <w:rFonts w:ascii="Arial" w:cs="Arial" w:eastAsia="Arial" w:hAnsi="Arial"/>
                <w:sz w:val="14"/>
                <w:szCs w:val="14"/>
                <w:b w:val="1"/>
                <w:bCs w:val="1"/>
                <w:color w:val="1F2668"/>
              </w:rPr>
              <w:t xml:space="preserve">Grant date </w:t>
            </w:r>
            <w:r>
              <w:rPr>
                <w:rFonts w:ascii="Arial" w:cs="Arial" w:eastAsia="Arial" w:hAnsi="Arial"/>
                <w:sz w:val="26"/>
                <w:szCs w:val="26"/>
                <w:b w:val="1"/>
                <w:bCs w:val="1"/>
                <w:color w:val="1F2668"/>
                <w:vertAlign w:val="subscript"/>
              </w:rPr>
              <w:t>​ ​</w:t>
            </w:r>
            <w:r>
              <w:rPr>
                <w:rFonts w:ascii="Arial" w:cs="Arial" w:eastAsia="Arial" w:hAnsi="Arial"/>
                <w:sz w:val="14"/>
                <w:szCs w:val="14"/>
                <w:b w:val="1"/>
                <w:bCs w:val="1"/>
                <w:color w:val="1F2668"/>
              </w:rPr>
              <w:t xml:space="preserve"> the award</w:t>
            </w:r>
          </w:p>
        </w:tc>
        <w:tc>
          <w:tcPr>
            <w:tcW w:w="240" w:type="dxa"/>
            <w:vAlign w:val="bottom"/>
          </w:tcPr>
          <w:p>
            <w:pPr>
              <w:ind w:left="120"/>
              <w:spacing w:after="0"/>
              <w:rPr>
                <w:sz w:val="20"/>
                <w:szCs w:val="20"/>
                <w:color w:val="auto"/>
              </w:rPr>
            </w:pPr>
            <w:r>
              <w:rPr>
                <w:rFonts w:ascii="Arial" w:cs="Arial" w:eastAsia="Arial" w:hAnsi="Arial"/>
                <w:sz w:val="14"/>
                <w:szCs w:val="14"/>
                <w:b w:val="1"/>
                <w:bCs w:val="1"/>
                <w:color w:val="1F2668"/>
              </w:rPr>
              <w:t>​</w:t>
            </w:r>
          </w:p>
        </w:tc>
        <w:tc>
          <w:tcPr>
            <w:tcW w:w="640" w:type="dxa"/>
            <w:vAlign w:val="bottom"/>
            <w:gridSpan w:val="2"/>
          </w:tcPr>
          <w:p>
            <w:pPr>
              <w:jc w:val="right"/>
              <w:ind w:right="20"/>
              <w:spacing w:after="0" w:line="225" w:lineRule="exact"/>
              <w:rPr>
                <w:sz w:val="20"/>
                <w:szCs w:val="20"/>
                <w:color w:val="auto"/>
              </w:rPr>
            </w:pPr>
            <w:r>
              <w:rPr>
                <w:rFonts w:ascii="Arial" w:cs="Arial" w:eastAsia="Arial" w:hAnsi="Arial"/>
                <w:sz w:val="26"/>
                <w:szCs w:val="26"/>
                <w:b w:val="1"/>
                <w:bCs w:val="1"/>
                <w:color w:val="1F2668"/>
                <w:vertAlign w:val="subscript"/>
              </w:rPr>
              <w:t>​</w:t>
            </w:r>
            <w:r>
              <w:rPr>
                <w:rFonts w:ascii="Arial" w:cs="Arial" w:eastAsia="Arial" w:hAnsi="Arial"/>
                <w:sz w:val="14"/>
                <w:szCs w:val="14"/>
                <w:b w:val="1"/>
                <w:bCs w:val="1"/>
                <w:color w:val="1F2668"/>
              </w:rPr>
              <w:t xml:space="preserve"> </w:t>
            </w:r>
            <w:r>
              <w:rPr>
                <w:rFonts w:ascii="Arial" w:cs="Arial" w:eastAsia="Arial" w:hAnsi="Arial"/>
                <w:sz w:val="14"/>
                <w:szCs w:val="14"/>
                <w:b w:val="1"/>
                <w:bCs w:val="1"/>
                <w:u w:val="single" w:color="auto"/>
                <w:color w:val="1F2668"/>
              </w:rPr>
              <w:t>($</w:t>
            </w:r>
            <w:r>
              <w:rPr>
                <w:rFonts w:ascii="Arial" w:cs="Arial" w:eastAsia="Arial" w:hAnsi="Arial"/>
                <w:sz w:val="14"/>
                <w:szCs w:val="14"/>
                <w:b w:val="1"/>
                <w:bCs w:val="1"/>
                <w:color w:val="1F2668"/>
              </w:rPr>
              <w:t>/Unit)</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1F2668"/>
              </w:rPr>
              <w:t>​ ​</w:t>
            </w:r>
          </w:p>
        </w:tc>
        <w:tc>
          <w:tcPr>
            <w:tcW w:w="960" w:type="dxa"/>
            <w:vAlign w:val="bottom"/>
            <w:gridSpan w:val="2"/>
          </w:tcPr>
          <w:p>
            <w:pPr>
              <w:jc w:val="right"/>
              <w:spacing w:after="0" w:line="225" w:lineRule="exact"/>
              <w:rPr>
                <w:sz w:val="20"/>
                <w:szCs w:val="20"/>
                <w:color w:val="auto"/>
              </w:rPr>
            </w:pPr>
            <w:r>
              <w:rPr>
                <w:rFonts w:ascii="Arial" w:cs="Arial" w:eastAsia="Arial" w:hAnsi="Arial"/>
                <w:sz w:val="14"/>
                <w:szCs w:val="14"/>
                <w:b w:val="1"/>
                <w:bCs w:val="1"/>
                <w:color w:val="1F2668"/>
              </w:rPr>
              <w:t xml:space="preserve">award </w:t>
            </w:r>
            <w:r>
              <w:rPr>
                <w:rFonts w:ascii="Arial" w:cs="Arial" w:eastAsia="Arial" w:hAnsi="Arial"/>
                <w:sz w:val="26"/>
                <w:szCs w:val="26"/>
                <w:b w:val="1"/>
                <w:bCs w:val="1"/>
                <w:color w:val="1F2668"/>
                <w:vertAlign w:val="subscript"/>
              </w:rPr>
              <w:t>​ ​</w:t>
            </w:r>
          </w:p>
        </w:tc>
        <w:tc>
          <w:tcPr>
            <w:tcW w:w="2380" w:type="dxa"/>
            <w:vAlign w:val="bottom"/>
            <w:gridSpan w:val="3"/>
          </w:tcPr>
          <w:p>
            <w:pPr>
              <w:jc w:val="right"/>
              <w:spacing w:after="0" w:line="225" w:lineRule="exact"/>
              <w:rPr>
                <w:sz w:val="20"/>
                <w:szCs w:val="20"/>
                <w:color w:val="auto"/>
              </w:rPr>
            </w:pPr>
            <w:r>
              <w:rPr>
                <w:rFonts w:ascii="Arial" w:cs="Arial" w:eastAsia="Arial" w:hAnsi="Arial"/>
                <w:sz w:val="14"/>
                <w:szCs w:val="14"/>
                <w:b w:val="1"/>
                <w:bCs w:val="1"/>
                <w:color w:val="1F2668"/>
              </w:rPr>
              <w:t xml:space="preserve">information </w:t>
            </w:r>
            <w:r>
              <w:rPr>
                <w:rFonts w:ascii="Arial" w:cs="Arial" w:eastAsia="Arial" w:hAnsi="Arial"/>
                <w:sz w:val="26"/>
                <w:szCs w:val="26"/>
                <w:b w:val="1"/>
                <w:bCs w:val="1"/>
                <w:color w:val="1F2668"/>
                <w:vertAlign w:val="subscript"/>
              </w:rPr>
              <w:t>​</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180" w:type="dxa"/>
            <w:vAlign w:val="bottom"/>
            <w:shd w:val="clear" w:color="auto" w:fill="1F2668"/>
          </w:tcPr>
          <w:p>
            <w:pPr>
              <w:spacing w:after="0" w:line="20" w:lineRule="exact"/>
              <w:rPr>
                <w:sz w:val="1"/>
                <w:szCs w:val="1"/>
                <w:color w:val="auto"/>
              </w:rPr>
            </w:pPr>
          </w:p>
        </w:tc>
        <w:tc>
          <w:tcPr>
            <w:tcW w:w="180" w:type="dxa"/>
            <w:vAlign w:val="bottom"/>
            <w:tcBorders>
              <w:right w:val="single" w:sz="8" w:color="1F2668"/>
            </w:tcBorders>
          </w:tcPr>
          <w:p>
            <w:pPr>
              <w:spacing w:after="0" w:line="20" w:lineRule="exact"/>
              <w:rPr>
                <w:sz w:val="1"/>
                <w:szCs w:val="1"/>
                <w:color w:val="auto"/>
              </w:rPr>
            </w:pPr>
          </w:p>
        </w:tc>
        <w:tc>
          <w:tcPr>
            <w:tcW w:w="1420" w:type="dxa"/>
            <w:vAlign w:val="bottom"/>
            <w:shd w:val="clear" w:color="auto" w:fill="1F266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1F266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1F266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shd w:val="clear" w:color="auto" w:fill="1F2668"/>
          </w:tcPr>
          <w:p>
            <w:pPr>
              <w:spacing w:after="0" w:line="20" w:lineRule="exact"/>
              <w:rPr>
                <w:sz w:val="1"/>
                <w:szCs w:val="1"/>
                <w:color w:val="auto"/>
              </w:rPr>
            </w:pPr>
          </w:p>
        </w:tc>
        <w:tc>
          <w:tcPr>
            <w:tcW w:w="200" w:type="dxa"/>
            <w:vAlign w:val="bottom"/>
            <w:tcBorders>
              <w:right w:val="single" w:sz="8" w:color="1F2668"/>
            </w:tcBorders>
          </w:tcPr>
          <w:p>
            <w:pPr>
              <w:spacing w:after="0" w:line="20" w:lineRule="exact"/>
              <w:rPr>
                <w:sz w:val="1"/>
                <w:szCs w:val="1"/>
                <w:color w:val="auto"/>
              </w:rPr>
            </w:pPr>
          </w:p>
        </w:tc>
        <w:tc>
          <w:tcPr>
            <w:tcW w:w="1700" w:type="dxa"/>
            <w:vAlign w:val="bottom"/>
            <w:shd w:val="clear" w:color="auto" w:fill="1F2668"/>
          </w:tcPr>
          <w:p>
            <w:pPr>
              <w:spacing w:after="0" w:line="20" w:lineRule="exact"/>
              <w:rPr>
                <w:sz w:val="1"/>
                <w:szCs w:val="1"/>
                <w:color w:val="auto"/>
              </w:rPr>
            </w:pPr>
          </w:p>
        </w:tc>
        <w:tc>
          <w:tcPr>
            <w:tcW w:w="620" w:type="dxa"/>
            <w:vAlign w:val="bottom"/>
            <w:shd w:val="clear" w:color="auto" w:fill="1F266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6"/>
                <w:szCs w:val="16"/>
                <w:b w:val="1"/>
                <w:bCs w:val="1"/>
                <w:color w:val="auto"/>
              </w:rPr>
              <w:t>Marc Holliday</w:t>
            </w:r>
          </w:p>
        </w:tc>
        <w:tc>
          <w:tcPr>
            <w:tcW w:w="1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1420" w:type="dxa"/>
            <w:vAlign w:val="bottom"/>
          </w:tcPr>
          <w:p>
            <w:pPr>
              <w:spacing w:after="0"/>
              <w:rPr>
                <w:sz w:val="20"/>
                <w:szCs w:val="20"/>
                <w:color w:val="auto"/>
              </w:rPr>
            </w:pPr>
            <w:r>
              <w:rPr>
                <w:rFonts w:ascii="Arial" w:cs="Arial" w:eastAsia="Arial" w:hAnsi="Arial"/>
                <w:sz w:val="16"/>
                <w:szCs w:val="16"/>
                <w:color w:val="auto"/>
                <w:w w:val="99"/>
              </w:rPr>
              <w:t>December 27, 2024</w:t>
            </w:r>
          </w:p>
        </w:tc>
        <w:tc>
          <w:tcPr>
            <w:tcW w:w="140" w:type="dxa"/>
            <w:vAlign w:val="bottom"/>
          </w:tcPr>
          <w:p>
            <w:pPr>
              <w:spacing w:after="0"/>
              <w:rPr>
                <w:sz w:val="18"/>
                <w:szCs w:val="18"/>
                <w:color w:val="auto"/>
              </w:rPr>
            </w:pPr>
          </w:p>
        </w:tc>
        <w:tc>
          <w:tcPr>
            <w:tcW w:w="1020" w:type="dxa"/>
            <w:vAlign w:val="bottom"/>
            <w:gridSpan w:val="2"/>
          </w:tcPr>
          <w:p>
            <w:pPr>
              <w:ind w:left="120"/>
              <w:spacing w:after="0" w:line="210" w:lineRule="exact"/>
              <w:rPr>
                <w:sz w:val="20"/>
                <w:szCs w:val="20"/>
                <w:color w:val="auto"/>
              </w:rPr>
            </w:pPr>
            <w:r>
              <w:rPr>
                <w:rFonts w:ascii="Arial" w:cs="Arial" w:eastAsia="Arial" w:hAnsi="Arial"/>
                <w:sz w:val="16"/>
                <w:szCs w:val="16"/>
                <w:color w:val="auto"/>
              </w:rPr>
              <w:t>​217,917</w:t>
            </w:r>
            <w:r>
              <w:rPr>
                <w:rFonts w:ascii="Arial" w:cs="Arial" w:eastAsia="Arial" w:hAnsi="Arial"/>
                <w:sz w:val="19"/>
                <w:szCs w:val="19"/>
                <w:color w:val="auto"/>
                <w:vertAlign w:val="superscript"/>
              </w:rPr>
              <w:t>(1)</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$ 68.07</w:t>
            </w:r>
          </w:p>
        </w:tc>
        <w:tc>
          <w:tcPr>
            <w:tcW w:w="1160" w:type="dxa"/>
            <w:vAlign w:val="bottom"/>
            <w:gridSpan w:val="4"/>
          </w:tcPr>
          <w:p>
            <w:pPr>
              <w:jc w:val="right"/>
              <w:ind w:right="154"/>
              <w:spacing w:after="0"/>
              <w:rPr>
                <w:sz w:val="20"/>
                <w:szCs w:val="20"/>
                <w:color w:val="auto"/>
              </w:rPr>
            </w:pPr>
            <w:r>
              <w:rPr>
                <w:rFonts w:ascii="Arial" w:cs="Arial" w:eastAsia="Arial" w:hAnsi="Arial"/>
                <w:sz w:val="16"/>
                <w:szCs w:val="16"/>
                <w:color w:val="auto"/>
              </w:rPr>
              <w:t>$4,499,986</w:t>
            </w:r>
          </w:p>
        </w:tc>
        <w:tc>
          <w:tcPr>
            <w:tcW w:w="17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​3.18%</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1"/>
        </w:trPr>
        <w:tc>
          <w:tcPr>
            <w:tcW w:w="820" w:type="dxa"/>
            <w:vAlign w:val="bottom"/>
          </w:tcPr>
          <w:p>
            <w:pPr>
              <w:spacing w:after="0"/>
              <w:rPr>
                <w:sz w:val="7"/>
                <w:szCs w:val="7"/>
                <w:color w:val="auto"/>
              </w:rPr>
            </w:pPr>
          </w:p>
        </w:tc>
        <w:tc>
          <w:tcPr>
            <w:tcW w:w="21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420" w:type="dxa"/>
            <w:vAlign w:val="bottom"/>
          </w:tcPr>
          <w:p>
            <w:pPr>
              <w:spacing w:after="0"/>
              <w:rPr>
                <w:sz w:val="7"/>
                <w:szCs w:val="7"/>
                <w:color w:val="auto"/>
              </w:rPr>
            </w:pPr>
          </w:p>
        </w:tc>
        <w:tc>
          <w:tcPr>
            <w:tcW w:w="920" w:type="dxa"/>
            <w:vAlign w:val="bottom"/>
            <w:gridSpan w:val="2"/>
          </w:tcPr>
          <w:p>
            <w:pPr>
              <w:jc w:val="right"/>
              <w:ind w:right="546"/>
              <w:spacing w:after="0" w:line="81" w:lineRule="exact"/>
              <w:rPr>
                <w:sz w:val="20"/>
                <w:szCs w:val="20"/>
                <w:color w:val="auto"/>
              </w:rPr>
            </w:pPr>
            <w:r>
              <w:rPr>
                <w:rFonts w:ascii="Arial" w:cs="Arial" w:eastAsia="Arial" w:hAnsi="Arial"/>
                <w:sz w:val="9"/>
                <w:szCs w:val="9"/>
                <w:color w:val="auto"/>
              </w:rPr>
              <w:t>​ ​ ​</w:t>
            </w:r>
          </w:p>
        </w:tc>
        <w:tc>
          <w:tcPr>
            <w:tcW w:w="880" w:type="dxa"/>
            <w:vAlign w:val="bottom"/>
            <w:gridSpan w:val="3"/>
          </w:tcPr>
          <w:p>
            <w:pPr>
              <w:jc w:val="right"/>
              <w:ind w:right="560"/>
              <w:spacing w:after="0" w:line="81" w:lineRule="exact"/>
              <w:rPr>
                <w:sz w:val="20"/>
                <w:szCs w:val="20"/>
                <w:color w:val="auto"/>
              </w:rPr>
            </w:pPr>
            <w:r>
              <w:rPr>
                <w:rFonts w:ascii="Arial" w:cs="Arial" w:eastAsia="Arial" w:hAnsi="Arial"/>
                <w:sz w:val="9"/>
                <w:szCs w:val="9"/>
                <w:color w:val="auto"/>
              </w:rPr>
              <w:t>​​ ​ ​</w:t>
            </w:r>
          </w:p>
        </w:tc>
        <w:tc>
          <w:tcPr>
            <w:tcW w:w="200" w:type="dxa"/>
            <w:vAlign w:val="bottom"/>
            <w:gridSpan w:val="2"/>
          </w:tcPr>
          <w:p>
            <w:pPr>
              <w:jc w:val="right"/>
              <w:ind w:right="20"/>
              <w:spacing w:after="0" w:line="81" w:lineRule="exact"/>
              <w:rPr>
                <w:sz w:val="20"/>
                <w:szCs w:val="20"/>
                <w:color w:val="auto"/>
              </w:rPr>
            </w:pPr>
            <w:r>
              <w:rPr>
                <w:rFonts w:ascii="Arial" w:cs="Arial" w:eastAsia="Arial" w:hAnsi="Arial"/>
                <w:sz w:val="9"/>
                <w:szCs w:val="9"/>
                <w:color w:val="auto"/>
              </w:rPr>
              <w:t>​​ ​​</w:t>
            </w:r>
          </w:p>
        </w:tc>
        <w:tc>
          <w:tcPr>
            <w:tcW w:w="760" w:type="dxa"/>
            <w:vAlign w:val="bottom"/>
          </w:tcPr>
          <w:p>
            <w:pPr>
              <w:spacing w:after="0"/>
              <w:rPr>
                <w:sz w:val="7"/>
                <w:szCs w:val="7"/>
                <w:color w:val="auto"/>
              </w:rPr>
            </w:pPr>
          </w:p>
        </w:tc>
        <w:tc>
          <w:tcPr>
            <w:tcW w:w="200" w:type="dxa"/>
            <w:vAlign w:val="bottom"/>
          </w:tcPr>
          <w:p>
            <w:pPr>
              <w:jc w:val="right"/>
              <w:spacing w:after="0" w:line="81" w:lineRule="exact"/>
              <w:rPr>
                <w:sz w:val="20"/>
                <w:szCs w:val="20"/>
                <w:color w:val="auto"/>
              </w:rPr>
            </w:pPr>
            <w:r>
              <w:rPr>
                <w:rFonts w:ascii="Arial" w:cs="Arial" w:eastAsia="Arial" w:hAnsi="Arial"/>
                <w:sz w:val="9"/>
                <w:szCs w:val="9"/>
                <w:color w:val="auto"/>
              </w:rPr>
              <w:t>​​ ​</w:t>
            </w:r>
          </w:p>
        </w:tc>
        <w:tc>
          <w:tcPr>
            <w:tcW w:w="1700" w:type="dxa"/>
            <w:vAlign w:val="bottom"/>
          </w:tcPr>
          <w:p>
            <w:pPr>
              <w:spacing w:after="0"/>
              <w:rPr>
                <w:sz w:val="7"/>
                <w:szCs w:val="7"/>
                <w:color w:val="auto"/>
              </w:rPr>
            </w:pPr>
          </w:p>
        </w:tc>
        <w:tc>
          <w:tcPr>
            <w:tcW w:w="620" w:type="dxa"/>
            <w:vAlign w:val="bottom"/>
          </w:tcPr>
          <w:p>
            <w:pPr>
              <w:jc w:val="right"/>
              <w:ind w:right="382"/>
              <w:spacing w:after="0" w:line="81" w:lineRule="exact"/>
              <w:rPr>
                <w:sz w:val="20"/>
                <w:szCs w:val="20"/>
                <w:color w:val="auto"/>
              </w:rPr>
            </w:pPr>
            <w:r>
              <w:rPr>
                <w:rFonts w:ascii="Arial" w:cs="Arial" w:eastAsia="Arial" w:hAnsi="Arial"/>
                <w:sz w:val="9"/>
                <w:szCs w:val="9"/>
                <w:color w:val="auto"/>
              </w:rPr>
              <w:t>​</w:t>
            </w: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180" w:type="dxa"/>
            <w:vAlign w:val="bottom"/>
            <w:shd w:val="clear" w:color="auto" w:fill="1F2668"/>
          </w:tcPr>
          <w:p>
            <w:pPr>
              <w:spacing w:after="0" w:line="20" w:lineRule="exact"/>
              <w:rPr>
                <w:sz w:val="1"/>
                <w:szCs w:val="1"/>
                <w:color w:val="auto"/>
              </w:rPr>
            </w:pPr>
          </w:p>
        </w:tc>
        <w:tc>
          <w:tcPr>
            <w:tcW w:w="180" w:type="dxa"/>
            <w:vAlign w:val="bottom"/>
            <w:tcBorders>
              <w:right w:val="single" w:sz="8" w:color="1F2668"/>
            </w:tcBorders>
          </w:tcPr>
          <w:p>
            <w:pPr>
              <w:spacing w:after="0" w:line="20" w:lineRule="exact"/>
              <w:rPr>
                <w:sz w:val="1"/>
                <w:szCs w:val="1"/>
                <w:color w:val="auto"/>
              </w:rPr>
            </w:pPr>
          </w:p>
        </w:tc>
        <w:tc>
          <w:tcPr>
            <w:tcW w:w="1420" w:type="dxa"/>
            <w:vAlign w:val="bottom"/>
            <w:shd w:val="clear" w:color="auto" w:fill="1F266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1F266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1F266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1F2668"/>
          </w:tcPr>
          <w:p>
            <w:pPr>
              <w:spacing w:after="0" w:line="20" w:lineRule="exact"/>
              <w:rPr>
                <w:sz w:val="1"/>
                <w:szCs w:val="1"/>
                <w:color w:val="auto"/>
              </w:rPr>
            </w:pPr>
          </w:p>
        </w:tc>
        <w:tc>
          <w:tcPr>
            <w:tcW w:w="760" w:type="dxa"/>
            <w:vAlign w:val="bottom"/>
            <w:shd w:val="clear" w:color="auto" w:fill="1F2668"/>
          </w:tcPr>
          <w:p>
            <w:pPr>
              <w:spacing w:after="0" w:line="20" w:lineRule="exact"/>
              <w:rPr>
                <w:sz w:val="1"/>
                <w:szCs w:val="1"/>
                <w:color w:val="auto"/>
              </w:rPr>
            </w:pPr>
          </w:p>
        </w:tc>
        <w:tc>
          <w:tcPr>
            <w:tcW w:w="200" w:type="dxa"/>
            <w:vAlign w:val="bottom"/>
            <w:tcBorders>
              <w:right w:val="single" w:sz="8" w:color="1F2668"/>
            </w:tcBorders>
          </w:tcPr>
          <w:p>
            <w:pPr>
              <w:spacing w:after="0" w:line="20" w:lineRule="exact"/>
              <w:rPr>
                <w:sz w:val="1"/>
                <w:szCs w:val="1"/>
                <w:color w:val="auto"/>
              </w:rPr>
            </w:pPr>
          </w:p>
        </w:tc>
        <w:tc>
          <w:tcPr>
            <w:tcW w:w="1700" w:type="dxa"/>
            <w:vAlign w:val="bottom"/>
            <w:shd w:val="clear" w:color="auto" w:fill="1F2668"/>
          </w:tcPr>
          <w:p>
            <w:pPr>
              <w:spacing w:after="0" w:line="20" w:lineRule="exact"/>
              <w:rPr>
                <w:sz w:val="1"/>
                <w:szCs w:val="1"/>
                <w:color w:val="auto"/>
              </w:rPr>
            </w:pPr>
          </w:p>
        </w:tc>
        <w:tc>
          <w:tcPr>
            <w:tcW w:w="620" w:type="dxa"/>
            <w:vAlign w:val="bottom"/>
            <w:shd w:val="clear" w:color="auto" w:fill="1F266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180" w:right="60" w:hanging="364"/>
        <w:spacing w:after="0" w:line="274" w:lineRule="auto"/>
        <w:tabs>
          <w:tab w:leader="none" w:pos="118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This grant of Class O LTIP units was awarded in connection with the extension of Mr. Holliday’s employment. This grant reflects an award of Class O LTIP units with a mandatory conversion date that is 10 years after the date of grant, which vests in three equal installments on each of December 31, 2025, December 31, 2026 and December 31, 2027, subject to continued employment. In addition, the Class O LTIP units are subject to performance-based vesting conditions and will only be eligible for conversion if the average per share price of our common stock equals or exceeds $100.00 as of any trailing twenty trading day period between the grant date and the fifth anniversary thereafter. The conversion threshold for the Class O LTIP units, which is equivalent to the exercise price for a stock option, was determined by reference to the fair market value under our Fifth Amended and Restated 2005 Stock Option and Incentive Plan of one share of our common stock, meaning, in this instance, the closing stock price of one share of our common stock on the NYSE on December 26, 2024, the last preceding trading date prior to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5346700</wp:posOffset>
            </wp:positionV>
            <wp:extent cx="6831965"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91"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1F2668"/>
        </w:rPr>
        <w:t>82</w:t>
      </w:r>
    </w:p>
    <w:p>
      <w:pPr>
        <w:sectPr>
          <w:pgSz w:w="11900" w:h="16838" w:orient="portrait"/>
          <w:cols w:equalWidth="0" w:num="1">
            <w:col w:w="9940"/>
          </w:cols>
          <w:pgMar w:left="580" w:top="97" w:right="1379" w:bottom="1440" w:gutter="0" w:footer="0" w:header="0"/>
        </w:sectPr>
      </w:pPr>
    </w:p>
    <w:p>
      <w:pPr>
        <w:spacing w:after="0" w:line="35"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1F2668"/>
        </w:rPr>
        <w:t>​</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1F2668"/>
        </w:rPr>
        <w:t>​ ​</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1F2668"/>
        </w:rPr>
        <w:t>​</w:t>
      </w:r>
    </w:p>
    <w:p>
      <w:pPr>
        <w:spacing w:after="0" w:line="200" w:lineRule="exact"/>
        <w:rPr>
          <w:sz w:val="20"/>
          <w:szCs w:val="20"/>
          <w:color w:val="auto"/>
        </w:rPr>
      </w:pPr>
    </w:p>
    <w:p>
      <w:pPr>
        <w:sectPr>
          <w:pgSz w:w="11900" w:h="16838" w:orient="portrait"/>
          <w:cols w:equalWidth="0" w:num="3">
            <w:col w:w="880" w:space="580"/>
            <w:col w:w="7700" w:space="720"/>
            <w:col w:w="60"/>
          </w:cols>
          <w:pgMar w:left="580" w:top="97" w:right="1379" w:bottom="1440" w:gutter="0" w:footer="0" w:header="0"/>
          <w:type w:val="continuous"/>
        </w:sectPr>
      </w:pPr>
    </w:p>
    <w:p>
      <w:pPr>
        <w:spacing w:after="0" w:line="258" w:lineRule="exact"/>
        <w:rPr>
          <w:sz w:val="20"/>
          <w:szCs w:val="20"/>
          <w:color w:val="auto"/>
        </w:rPr>
      </w:pPr>
    </w:p>
    <w:p>
      <w:pPr>
        <w:ind w:left="820"/>
        <w:spacing w:after="0"/>
        <w:rPr>
          <w:sz w:val="20"/>
          <w:szCs w:val="20"/>
          <w:color w:val="auto"/>
        </w:rPr>
      </w:pPr>
      <w:r>
        <w:rPr>
          <w:rFonts w:ascii="Arial" w:cs="Arial" w:eastAsia="Arial" w:hAnsi="Arial"/>
          <w:sz w:val="38"/>
          <w:szCs w:val="38"/>
          <w:b w:val="1"/>
          <w:bCs w:val="1"/>
          <w:color w:val="1F2668"/>
        </w:rPr>
        <w:t>AUDIT COMMITTEE MATTERS</w:t>
      </w:r>
    </w:p>
    <w:p>
      <w:pPr>
        <w:spacing w:after="0" w:line="382" w:lineRule="exact"/>
        <w:rPr>
          <w:sz w:val="20"/>
          <w:szCs w:val="20"/>
          <w:color w:val="auto"/>
        </w:rPr>
      </w:pPr>
    </w:p>
    <w:p>
      <w:pPr>
        <w:ind w:left="820" w:right="380"/>
        <w:spacing w:after="0" w:line="268" w:lineRule="auto"/>
        <w:rPr>
          <w:sz w:val="20"/>
          <w:szCs w:val="20"/>
          <w:color w:val="auto"/>
        </w:rPr>
      </w:pPr>
      <w:r>
        <w:rPr>
          <w:rFonts w:ascii="Arial" w:cs="Arial" w:eastAsia="Arial" w:hAnsi="Arial"/>
          <w:sz w:val="29"/>
          <w:szCs w:val="29"/>
          <w:b w:val="1"/>
          <w:bCs w:val="1"/>
          <w:color w:val="83AD40"/>
        </w:rPr>
        <w:t>CHANGE IN INDEPENDENT REGISTERED PUBLIC ACCOUNTING FIRM</w:t>
      </w:r>
    </w:p>
    <w:p>
      <w:pPr>
        <w:spacing w:after="0" w:line="58" w:lineRule="exact"/>
        <w:rPr>
          <w:sz w:val="20"/>
          <w:szCs w:val="20"/>
          <w:color w:val="auto"/>
        </w:rPr>
      </w:pPr>
    </w:p>
    <w:p>
      <w:pPr>
        <w:ind w:left="820" w:right="60"/>
        <w:spacing w:after="0" w:line="295" w:lineRule="auto"/>
        <w:rPr>
          <w:sz w:val="20"/>
          <w:szCs w:val="20"/>
          <w:color w:val="auto"/>
        </w:rPr>
      </w:pPr>
      <w:r>
        <w:rPr>
          <w:rFonts w:ascii="Arial" w:cs="Arial" w:eastAsia="Arial" w:hAnsi="Arial"/>
          <w:sz w:val="15"/>
          <w:szCs w:val="15"/>
          <w:color w:val="auto"/>
        </w:rPr>
        <w:t>As disclosed in our current report on Form 8-K filed with the SEC on November 29, 2023, management and our Audit Committee undertook and completed a process to review the appointment of the Company’s independent registered public accounting firm for the year ending December 31, 2024. The Audit Committee invited several firms to participate in this process, including Ernst &amp; Young LLP (“EY”), the Company’s independent registered accounting firm since 1997. As a result of this process and following careful deliberation, on November 27, 2023, the Audit Committee approved the engagement of Deloitte &amp; Touche LLP (“Deloitte”) as the Company’s independent registered public accounting firm for the year ending December 31, 2024, commencing January 1, 2024, and dismissed EY from that role following the completion of EY’s audits of the financial statements for each of the Company and SL Green Operating Partnership, L.P. (“SLGOP”) for the fiscal year ending December 31, 2023.</w:t>
      </w:r>
    </w:p>
    <w:p>
      <w:pPr>
        <w:spacing w:after="0" w:line="9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audits conducted by EY of the financial statements of the Company and SLGOP as of and for the years ended</w:t>
      </w:r>
    </w:p>
    <w:p>
      <w:pPr>
        <w:spacing w:after="0" w:line="32" w:lineRule="exact"/>
        <w:rPr>
          <w:sz w:val="20"/>
          <w:szCs w:val="20"/>
          <w:color w:val="auto"/>
        </w:rPr>
      </w:pPr>
    </w:p>
    <w:p>
      <w:pPr>
        <w:ind w:left="820" w:right="100"/>
        <w:spacing w:after="0" w:line="304" w:lineRule="auto"/>
        <w:rPr>
          <w:sz w:val="20"/>
          <w:szCs w:val="20"/>
          <w:color w:val="auto"/>
        </w:rPr>
      </w:pPr>
      <w:r>
        <w:rPr>
          <w:rFonts w:ascii="Arial" w:cs="Arial" w:eastAsia="Arial" w:hAnsi="Arial"/>
          <w:sz w:val="16"/>
          <w:szCs w:val="16"/>
          <w:color w:val="auto"/>
        </w:rPr>
        <w:t>December 31, 2023 and 2022 did not contain any adverse opinion or disclaimer of opinion, nor were they qualified or modified as to uncertainty, audit scope or accounting principles.</w:t>
      </w:r>
    </w:p>
    <w:p>
      <w:pPr>
        <w:spacing w:after="0" w:line="87" w:lineRule="exact"/>
        <w:rPr>
          <w:sz w:val="20"/>
          <w:szCs w:val="20"/>
          <w:color w:val="auto"/>
        </w:rPr>
      </w:pPr>
    </w:p>
    <w:p>
      <w:pPr>
        <w:ind w:left="820" w:right="200"/>
        <w:spacing w:after="0" w:line="278" w:lineRule="auto"/>
        <w:rPr>
          <w:sz w:val="20"/>
          <w:szCs w:val="20"/>
          <w:color w:val="auto"/>
        </w:rPr>
      </w:pPr>
      <w:r>
        <w:rPr>
          <w:rFonts w:ascii="Arial" w:cs="Arial" w:eastAsia="Arial" w:hAnsi="Arial"/>
          <w:sz w:val="16"/>
          <w:szCs w:val="16"/>
          <w:color w:val="auto"/>
        </w:rPr>
        <w:t>During the fiscal years ended December 31, 2023 and 2022, there were no “disagreements,” as that term is defined in Item 304(a)(1)(iv) of Regulation S-K and the related instructions, among the Company, SLGOP and EY, on any matter of accounting principles or practices, financial statement disclosure, or auditing scope or procedures, which disagreements, if not resolved to the satisfaction of EY, would have caused EY to make reference in connection with its report to the subject matter of the disagreement.</w:t>
      </w:r>
    </w:p>
    <w:p>
      <w:pPr>
        <w:spacing w:after="0" w:line="109" w:lineRule="exact"/>
        <w:rPr>
          <w:sz w:val="20"/>
          <w:szCs w:val="20"/>
          <w:color w:val="auto"/>
        </w:rPr>
      </w:pPr>
    </w:p>
    <w:p>
      <w:pPr>
        <w:ind w:left="820" w:right="120"/>
        <w:spacing w:after="0" w:line="340" w:lineRule="auto"/>
        <w:rPr>
          <w:sz w:val="20"/>
          <w:szCs w:val="20"/>
          <w:color w:val="auto"/>
        </w:rPr>
      </w:pPr>
      <w:r>
        <w:rPr>
          <w:rFonts w:ascii="Arial" w:cs="Arial" w:eastAsia="Arial" w:hAnsi="Arial"/>
          <w:sz w:val="15"/>
          <w:szCs w:val="15"/>
          <w:color w:val="auto"/>
        </w:rPr>
        <w:t>In connection with the filing of this proxy statement, the Company furnished a copy of the above disclosures to EY and Deloitte, and has not received a statement from either accounting firm indicating that such firm does not agree with the above statements.</w:t>
      </w:r>
    </w:p>
    <w:p>
      <w:pPr>
        <w:spacing w:after="0" w:line="261" w:lineRule="exact"/>
        <w:rPr>
          <w:sz w:val="20"/>
          <w:szCs w:val="20"/>
          <w:color w:val="auto"/>
        </w:rPr>
      </w:pPr>
    </w:p>
    <w:p>
      <w:pPr>
        <w:ind w:left="820"/>
        <w:spacing w:after="0"/>
        <w:rPr>
          <w:sz w:val="20"/>
          <w:szCs w:val="20"/>
          <w:color w:val="auto"/>
        </w:rPr>
      </w:pPr>
      <w:r>
        <w:rPr>
          <w:rFonts w:ascii="Arial" w:cs="Arial" w:eastAsia="Arial" w:hAnsi="Arial"/>
          <w:sz w:val="29"/>
          <w:szCs w:val="29"/>
          <w:b w:val="1"/>
          <w:bCs w:val="1"/>
          <w:color w:val="83AD40"/>
        </w:rPr>
        <w:t>AUDIT COMMITTEE REPORT</w:t>
      </w:r>
    </w:p>
    <w:p>
      <w:pPr>
        <w:spacing w:after="0" w:line="159" w:lineRule="exact"/>
        <w:rPr>
          <w:sz w:val="20"/>
          <w:szCs w:val="20"/>
          <w:color w:val="auto"/>
        </w:rPr>
      </w:pPr>
    </w:p>
    <w:p>
      <w:pPr>
        <w:ind w:left="820" w:right="60"/>
        <w:spacing w:after="0" w:line="292" w:lineRule="auto"/>
        <w:rPr>
          <w:sz w:val="20"/>
          <w:szCs w:val="20"/>
          <w:color w:val="auto"/>
        </w:rPr>
      </w:pPr>
      <w:r>
        <w:rPr>
          <w:rFonts w:ascii="Arial" w:cs="Arial" w:eastAsia="Arial" w:hAnsi="Arial"/>
          <w:sz w:val="16"/>
          <w:szCs w:val="16"/>
          <w:color w:val="auto"/>
        </w:rPr>
        <w:t>The following report of the Audit Committee of the Board will not be deemed to be incorporated by reference in any previous or future documents filed by us with the SEC under the Securities Act of 1933, as amended, or the Securities Exchange Act of 1934, as amended, except to the extent that we specifically incorporate this report by reference in any such document.</w:t>
      </w:r>
    </w:p>
    <w:p>
      <w:pPr>
        <w:spacing w:after="0" w:line="98" w:lineRule="exact"/>
        <w:rPr>
          <w:sz w:val="20"/>
          <w:szCs w:val="20"/>
          <w:color w:val="auto"/>
        </w:rPr>
      </w:pPr>
    </w:p>
    <w:p>
      <w:pPr>
        <w:ind w:left="820" w:right="100"/>
        <w:spacing w:after="0" w:line="275" w:lineRule="auto"/>
        <w:rPr>
          <w:sz w:val="20"/>
          <w:szCs w:val="20"/>
          <w:color w:val="auto"/>
        </w:rPr>
      </w:pPr>
      <w:r>
        <w:rPr>
          <w:rFonts w:ascii="Arial" w:cs="Arial" w:eastAsia="Arial" w:hAnsi="Arial"/>
          <w:sz w:val="16"/>
          <w:szCs w:val="16"/>
          <w:color w:val="auto"/>
        </w:rPr>
        <w:t>Our Audit Committee oversees our financial reporting process on behalf of the Board, in accordance with our Audit Committee Charter. Management has the primary responsibility for the preparation, presentation and integrity of our financial statements, accounting and financial reporting principles, internal controls, and procedures designed to ensure compliance with accounting standards, applicable laws and regulations. In fulfilling its oversight responsibilities, our Audit Committee reviewed and discussed the audited financial statements in the Annual Report on Form 10-K for the year ended December 31, 2024 filed by the Company with management.</w:t>
      </w:r>
    </w:p>
    <w:p>
      <w:pPr>
        <w:spacing w:after="0" w:line="112" w:lineRule="exact"/>
        <w:rPr>
          <w:sz w:val="20"/>
          <w:szCs w:val="20"/>
          <w:color w:val="auto"/>
        </w:rPr>
      </w:pPr>
    </w:p>
    <w:p>
      <w:pPr>
        <w:ind w:left="820" w:right="180"/>
        <w:spacing w:after="0" w:line="282" w:lineRule="auto"/>
        <w:rPr>
          <w:sz w:val="20"/>
          <w:szCs w:val="20"/>
          <w:color w:val="auto"/>
        </w:rPr>
      </w:pPr>
      <w:r>
        <w:rPr>
          <w:rFonts w:ascii="Arial" w:cs="Arial" w:eastAsia="Arial" w:hAnsi="Arial"/>
          <w:sz w:val="16"/>
          <w:szCs w:val="16"/>
          <w:color w:val="auto"/>
        </w:rPr>
        <w:t>Our Audit Committee reviewed and discussed with Deloitte, our independent registered public accounting firm, the matters required to be discussed with the Audit Committee by the applicable requirements of the Public Company Accounting Oversight Board and the SEC. Our Audit Committee received from Deloitte the written disclosures and the letter required by the applicable requirements of the Public Company Accounting Oversight Board regarding communications with the Audit Committee concerning independence, and has discussed with Deloitte their independence.</w:t>
      </w:r>
    </w:p>
    <w:p>
      <w:pPr>
        <w:spacing w:after="0" w:line="107" w:lineRule="exact"/>
        <w:rPr>
          <w:sz w:val="20"/>
          <w:szCs w:val="20"/>
          <w:color w:val="auto"/>
        </w:rPr>
      </w:pPr>
    </w:p>
    <w:p>
      <w:pPr>
        <w:ind w:left="820" w:right="620"/>
        <w:spacing w:after="0" w:line="284" w:lineRule="auto"/>
        <w:rPr>
          <w:sz w:val="20"/>
          <w:szCs w:val="20"/>
          <w:color w:val="auto"/>
        </w:rPr>
      </w:pPr>
      <w:r>
        <w:rPr>
          <w:rFonts w:ascii="Arial" w:cs="Arial" w:eastAsia="Arial" w:hAnsi="Arial"/>
          <w:sz w:val="16"/>
          <w:szCs w:val="16"/>
          <w:color w:val="auto"/>
        </w:rPr>
        <w:t>Based on the review and discussions referred to above, our Audit Committee recommended to the Board that the audited financial statements be included in the Annual Report on Form 10-K for the year ended December 31, 2024 filed by the Company.</w:t>
      </w:r>
    </w:p>
    <w:p>
      <w:pPr>
        <w:spacing w:after="0" w:line="103" w:lineRule="exact"/>
        <w:rPr>
          <w:sz w:val="20"/>
          <w:szCs w:val="20"/>
          <w:color w:val="auto"/>
        </w:rPr>
      </w:pPr>
    </w:p>
    <w:p>
      <w:pPr>
        <w:ind w:left="820" w:right="100"/>
        <w:spacing w:after="0" w:line="283" w:lineRule="auto"/>
        <w:rPr>
          <w:sz w:val="20"/>
          <w:szCs w:val="20"/>
          <w:color w:val="auto"/>
        </w:rPr>
      </w:pPr>
      <w:r>
        <w:rPr>
          <w:rFonts w:ascii="Arial" w:cs="Arial" w:eastAsia="Arial" w:hAnsi="Arial"/>
          <w:sz w:val="16"/>
          <w:szCs w:val="16"/>
          <w:color w:val="auto"/>
        </w:rPr>
        <w:t>The members of our Audit Committee are not engaged professionally in the practice of auditing or accounting. Committee members rely, without independent investigation or verification, on the information provided to them and on the representations made by management and our independent registered public accounting firm. Accordingly, our Audit Committee’s oversight does not provide an independent basis to determine that management has maintained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62230</wp:posOffset>
            </wp:positionV>
            <wp:extent cx="6831965"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5120" w:type="dxa"/>
            <w:vAlign w:val="bottom"/>
          </w:tcPr>
          <w:p>
            <w:pPr>
              <w:spacing w:after="0"/>
              <w:rPr>
                <w:sz w:val="20"/>
                <w:szCs w:val="20"/>
                <w:color w:val="auto"/>
              </w:rPr>
            </w:pPr>
            <w:r>
              <w:rPr>
                <w:rFonts w:ascii="Arial" w:cs="Arial" w:eastAsia="Arial" w:hAnsi="Arial"/>
                <w:sz w:val="14"/>
                <w:szCs w:val="14"/>
                <w:b w:val="1"/>
                <w:bCs w:val="1"/>
                <w:color w:val="auto"/>
              </w:rPr>
              <w:t>​</w:t>
            </w:r>
          </w:p>
        </w:tc>
        <w:tc>
          <w:tcPr>
            <w:tcW w:w="3460" w:type="dxa"/>
            <w:vAlign w:val="bottom"/>
          </w:tcPr>
          <w:p>
            <w:pPr>
              <w:ind w:left="3080"/>
              <w:spacing w:after="0"/>
              <w:rPr>
                <w:sz w:val="20"/>
                <w:szCs w:val="20"/>
                <w:color w:val="auto"/>
              </w:rPr>
            </w:pPr>
            <w:r>
              <w:rPr>
                <w:rFonts w:ascii="Arial" w:cs="Arial" w:eastAsia="Arial" w:hAnsi="Arial"/>
                <w:sz w:val="14"/>
                <w:szCs w:val="14"/>
                <w:b w:val="1"/>
                <w:bCs w:val="1"/>
                <w:color w:val="auto"/>
              </w:rPr>
              <w:t>​ ​</w:t>
            </w:r>
          </w:p>
        </w:tc>
        <w:tc>
          <w:tcPr>
            <w:tcW w:w="480" w:type="dxa"/>
            <w:vAlign w:val="bottom"/>
            <w:vMerge w:val="restart"/>
          </w:tcPr>
          <w:p>
            <w:pPr>
              <w:jc w:val="right"/>
              <w:spacing w:after="0"/>
              <w:rPr>
                <w:sz w:val="20"/>
                <w:szCs w:val="20"/>
                <w:color w:val="auto"/>
              </w:rPr>
            </w:pPr>
            <w:r>
              <w:rPr>
                <w:rFonts w:ascii="Arial" w:cs="Arial" w:eastAsia="Arial" w:hAnsi="Arial"/>
                <w:sz w:val="22"/>
                <w:szCs w:val="22"/>
                <w:b w:val="1"/>
                <w:bCs w:val="1"/>
                <w:color w:val="1F2668"/>
              </w:rPr>
              <w:t>83</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5120" w:type="dxa"/>
            <w:vAlign w:val="bottom"/>
          </w:tcPr>
          <w:p>
            <w:pPr>
              <w:spacing w:after="0"/>
              <w:rPr>
                <w:sz w:val="20"/>
                <w:szCs w:val="20"/>
                <w:color w:val="auto"/>
              </w:rPr>
            </w:pPr>
            <w:r>
              <w:rPr>
                <w:rFonts w:ascii="Arial" w:cs="Arial" w:eastAsia="Arial" w:hAnsi="Arial"/>
                <w:sz w:val="14"/>
                <w:szCs w:val="14"/>
                <w:b w:val="1"/>
                <w:bCs w:val="1"/>
                <w:color w:val="auto"/>
              </w:rPr>
              <w:t>AUDIT COMMITTEE MATTERS</w:t>
            </w:r>
          </w:p>
        </w:tc>
        <w:tc>
          <w:tcPr>
            <w:tcW w:w="346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57" w:lineRule="exact"/>
        <w:rPr>
          <w:sz w:val="20"/>
          <w:szCs w:val="20"/>
          <w:color w:val="auto"/>
        </w:rPr>
      </w:pPr>
    </w:p>
    <w:p>
      <w:pPr>
        <w:ind w:left="820" w:right="120"/>
        <w:spacing w:after="0" w:line="288" w:lineRule="auto"/>
        <w:rPr>
          <w:sz w:val="20"/>
          <w:szCs w:val="20"/>
          <w:color w:val="auto"/>
        </w:rPr>
      </w:pPr>
      <w:r>
        <w:rPr>
          <w:rFonts w:ascii="Arial" w:cs="Arial" w:eastAsia="Arial" w:hAnsi="Arial"/>
          <w:sz w:val="16"/>
          <w:szCs w:val="16"/>
          <w:color w:val="auto"/>
        </w:rPr>
        <w:t>accounting and financial reporting principles or appropriate internal controls and procedures designed to assure compliance with accounting standards and applicable laws and regulations. Furthermore, our Audit Committee’s considerations and discussions referred to above do not assure that the audit of our financial statements has been carried out in accordance with the standards of the Public Company Accounting Oversight Board, that the financial statements are presented in accordance with accounting principles generally accepted in the U.S. or that our registered public accounting firm is in fact independent. The audit committee also appointed Deloitte to serve as our independent registered public accounting firm for the fiscal year ending December 31, 2025 and is seeking ratification of such appointment by the stockholders.</w:t>
      </w:r>
    </w:p>
    <w:p>
      <w:pPr>
        <w:spacing w:after="0" w:line="18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Submitted by our Audit Committee</w:t>
      </w:r>
    </w:p>
    <w:p>
      <w:pPr>
        <w:spacing w:after="0" w:line="208" w:lineRule="exact"/>
        <w:rPr>
          <w:sz w:val="20"/>
          <w:szCs w:val="20"/>
          <w:color w:val="auto"/>
        </w:rPr>
      </w:pPr>
    </w:p>
    <w:p>
      <w:pPr>
        <w:ind w:left="820"/>
        <w:spacing w:after="0"/>
        <w:tabs>
          <w:tab w:leader="none" w:pos="3680" w:val="left"/>
          <w:tab w:leader="none" w:pos="4760" w:val="left"/>
          <w:tab w:leader="none" w:pos="6760" w:val="left"/>
          <w:tab w:leader="none" w:pos="8620" w:val="left"/>
        </w:tabs>
        <w:rPr>
          <w:sz w:val="20"/>
          <w:szCs w:val="20"/>
          <w:color w:val="auto"/>
        </w:rPr>
      </w:pPr>
      <w:r>
        <w:rPr>
          <w:rFonts w:ascii="Arial" w:cs="Arial" w:eastAsia="Arial" w:hAnsi="Arial"/>
          <w:sz w:val="16"/>
          <w:szCs w:val="16"/>
          <w:b w:val="1"/>
          <w:bCs w:val="1"/>
          <w:color w:val="1F2668"/>
        </w:rPr>
        <w:t>​Lauren B. Dillard (Chair)</w:t>
      </w:r>
      <w:r>
        <w:rPr>
          <w:sz w:val="20"/>
          <w:szCs w:val="20"/>
          <w:color w:val="auto"/>
        </w:rPr>
        <w:tab/>
      </w:r>
      <w:r>
        <w:rPr>
          <w:rFonts w:ascii="Arial" w:cs="Arial" w:eastAsia="Arial" w:hAnsi="Arial"/>
          <w:sz w:val="16"/>
          <w:szCs w:val="16"/>
          <w:b w:val="1"/>
          <w:bCs w:val="1"/>
          <w:color w:val="1F2668"/>
        </w:rPr>
        <w:t>​ ​</w:t>
      </w:r>
      <w:r>
        <w:rPr>
          <w:sz w:val="20"/>
          <w:szCs w:val="20"/>
          <w:color w:val="auto"/>
        </w:rPr>
        <w:tab/>
      </w:r>
      <w:r>
        <w:rPr>
          <w:rFonts w:ascii="Arial" w:cs="Arial" w:eastAsia="Arial" w:hAnsi="Arial"/>
          <w:sz w:val="16"/>
          <w:szCs w:val="16"/>
          <w:b w:val="1"/>
          <w:bCs w:val="1"/>
          <w:color w:val="1F2668"/>
        </w:rPr>
        <w:t>Carol N. Brown</w:t>
      </w:r>
      <w:r>
        <w:rPr>
          <w:sz w:val="20"/>
          <w:szCs w:val="20"/>
          <w:color w:val="auto"/>
        </w:rPr>
        <w:tab/>
      </w:r>
      <w:r>
        <w:rPr>
          <w:rFonts w:ascii="Arial" w:cs="Arial" w:eastAsia="Arial" w:hAnsi="Arial"/>
          <w:sz w:val="16"/>
          <w:szCs w:val="16"/>
          <w:b w:val="1"/>
          <w:bCs w:val="1"/>
          <w:color w:val="1F2668"/>
        </w:rPr>
        <w:t>​ ​</w:t>
      </w:r>
      <w:r>
        <w:rPr>
          <w:sz w:val="20"/>
          <w:szCs w:val="20"/>
          <w:color w:val="auto"/>
        </w:rPr>
        <w:tab/>
      </w:r>
      <w:r>
        <w:rPr>
          <w:rFonts w:ascii="Arial" w:cs="Arial" w:eastAsia="Arial" w:hAnsi="Arial"/>
          <w:sz w:val="16"/>
          <w:szCs w:val="16"/>
          <w:b w:val="1"/>
          <w:bCs w:val="1"/>
          <w:color w:val="1F2668"/>
        </w:rPr>
        <w:t>Craig M. Hatkoff​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6437630</wp:posOffset>
            </wp:positionV>
            <wp:extent cx="6831965"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78" w:lineRule="exact"/>
        <w:rPr>
          <w:sz w:val="20"/>
          <w:szCs w:val="20"/>
          <w:color w:val="auto"/>
        </w:rPr>
      </w:pPr>
    </w:p>
    <w:p>
      <w:pPr>
        <w:ind w:left="820"/>
        <w:spacing w:after="0"/>
        <w:tabs>
          <w:tab w:leader="none" w:pos="1440" w:val="left"/>
          <w:tab w:leader="none" w:pos="9860" w:val="left"/>
        </w:tabs>
        <w:rPr>
          <w:sz w:val="20"/>
          <w:szCs w:val="20"/>
          <w:color w:val="auto"/>
        </w:rPr>
      </w:pPr>
      <w:r>
        <w:rPr>
          <w:rFonts w:ascii="Arial" w:cs="Arial" w:eastAsia="Arial" w:hAnsi="Arial"/>
          <w:sz w:val="22"/>
          <w:szCs w:val="22"/>
          <w:b w:val="1"/>
          <w:bCs w:val="1"/>
          <w:color w:val="1F2668"/>
        </w:rPr>
        <w:t>​84</w:t>
      </w:r>
      <w:r>
        <w:rPr>
          <w:sz w:val="20"/>
          <w:szCs w:val="20"/>
          <w:color w:val="auto"/>
        </w:rPr>
        <w:tab/>
      </w:r>
      <w:r>
        <w:rPr>
          <w:rFonts w:ascii="Arial" w:cs="Arial" w:eastAsia="Arial" w:hAnsi="Arial"/>
          <w:sz w:val="22"/>
          <w:szCs w:val="22"/>
          <w:b w:val="1"/>
          <w:bCs w:val="1"/>
          <w:color w:val="1F2668"/>
        </w:rPr>
        <w:t xml:space="preserve">​ ​ </w:t>
      </w:r>
      <w:r>
        <w:rPr>
          <w:rFonts w:ascii="Arial" w:cs="Arial" w:eastAsia="Arial" w:hAnsi="Arial"/>
          <w:sz w:val="14"/>
          <w:szCs w:val="14"/>
          <w:b w:val="1"/>
          <w:bCs w:val="1"/>
          <w:color w:val="1F2668"/>
        </w:rPr>
        <w:t>SL GREEN REALTY CORP. 2025 PROXY STATEMENT</w:t>
      </w:r>
      <w:r>
        <w:rPr>
          <w:sz w:val="20"/>
          <w:szCs w:val="20"/>
          <w:color w:val="auto"/>
        </w:rPr>
        <w:tab/>
      </w:r>
      <w:r>
        <w:rPr>
          <w:rFonts w:ascii="Arial" w:cs="Arial" w:eastAsia="Arial" w:hAnsi="Arial"/>
          <w:sz w:val="22"/>
          <w:szCs w:val="22"/>
          <w:b w:val="1"/>
          <w:bCs w:val="1"/>
          <w:color w:val="1F2668"/>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320675</wp:posOffset>
            </wp:positionV>
            <wp:extent cx="6789420" cy="561467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6789420" cy="5614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83AD40"/>
        </w:rPr>
        <w:t>PROPOSAL 3</w:t>
      </w:r>
      <w:r>
        <w:rPr>
          <w:rFonts w:ascii="Arial" w:cs="Arial" w:eastAsia="Arial" w:hAnsi="Arial"/>
          <w:sz w:val="16"/>
          <w:szCs w:val="16"/>
          <w:color w:val="000000"/>
        </w:rPr>
        <w:t>​</w:t>
      </w:r>
    </w:p>
    <w:p>
      <w:pPr>
        <w:sectPr>
          <w:pgSz w:w="11900" w:h="16838" w:orient="portrait"/>
          <w:cols w:equalWidth="0" w:num="1">
            <w:col w:w="9980"/>
          </w:cols>
          <w:pgMar w:left="580" w:top="97" w:right="1339" w:bottom="1440" w:gutter="0" w:footer="0" w:header="0"/>
        </w:sectPr>
      </w:pPr>
    </w:p>
    <w:p>
      <w:pPr>
        <w:spacing w:after="0" w:line="326" w:lineRule="exact"/>
        <w:rPr>
          <w:sz w:val="20"/>
          <w:szCs w:val="20"/>
          <w:color w:val="auto"/>
        </w:rPr>
      </w:pPr>
    </w:p>
    <w:p>
      <w:pPr>
        <w:jc w:val="both"/>
        <w:ind w:left="820" w:right="2600" w:hanging="814"/>
        <w:spacing w:after="0" w:line="261" w:lineRule="auto"/>
        <w:tabs>
          <w:tab w:leader="none" w:pos="820" w:val="left"/>
        </w:tabs>
        <w:numPr>
          <w:ilvl w:val="0"/>
          <w:numId w:val="115"/>
        </w:numPr>
        <w:rPr>
          <w:rFonts w:ascii="Arial" w:cs="Arial" w:eastAsia="Arial" w:hAnsi="Arial"/>
          <w:sz w:val="31"/>
          <w:szCs w:val="31"/>
          <w:b w:val="1"/>
          <w:bCs w:val="1"/>
          <w:color w:val="1F2668"/>
        </w:rPr>
      </w:pPr>
      <w:r>
        <w:rPr>
          <w:rFonts w:ascii="Arial" w:cs="Arial" w:eastAsia="Arial" w:hAnsi="Arial"/>
          <w:sz w:val="31"/>
          <w:szCs w:val="31"/>
          <w:b w:val="1"/>
          <w:bCs w:val="1"/>
          <w:color w:val="1F2668"/>
        </w:rPr>
        <w:t>RATIFICATION OF APPOINTMENT OF INDEPENDENT REGISTERED PUBLIC</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rPr>
          <w:sz w:val="20"/>
          <w:szCs w:val="20"/>
          <w:color w:val="auto"/>
        </w:rPr>
      </w:pPr>
      <w:r>
        <w:rPr>
          <w:rFonts w:ascii="Arial" w:cs="Arial" w:eastAsia="Arial" w:hAnsi="Arial"/>
          <w:sz w:val="32"/>
          <w:szCs w:val="32"/>
          <w:b w:val="1"/>
          <w:bCs w:val="1"/>
          <w:color w:val="1F2668"/>
        </w:rPr>
        <w:t>​</w:t>
      </w:r>
    </w:p>
    <w:p>
      <w:pPr>
        <w:spacing w:after="0" w:line="421" w:lineRule="exact"/>
        <w:rPr>
          <w:sz w:val="20"/>
          <w:szCs w:val="20"/>
          <w:color w:val="auto"/>
        </w:rPr>
      </w:pPr>
    </w:p>
    <w:p>
      <w:pPr>
        <w:sectPr>
          <w:pgSz w:w="11900" w:h="16838" w:orient="portrait"/>
          <w:cols w:equalWidth="0" w:num="2">
            <w:col w:w="9160" w:space="720"/>
            <w:col w:w="100"/>
          </w:cols>
          <w:pgMar w:left="580" w:top="97" w:right="1339" w:bottom="1440" w:gutter="0" w:footer="0" w:header="0"/>
          <w:type w:val="continuous"/>
        </w:sect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32"/>
          <w:szCs w:val="32"/>
          <w:b w:val="1"/>
          <w:bCs w:val="1"/>
          <w:color w:val="1F2668"/>
        </w:rPr>
        <w:t>ACCOUNTING FIRM</w:t>
      </w:r>
      <w:r>
        <w:rPr>
          <w:rFonts w:ascii="Arial" w:cs="Arial" w:eastAsia="Arial" w:hAnsi="Arial"/>
          <w:sz w:val="16"/>
          <w:szCs w:val="16"/>
          <w:color w:val="000000"/>
        </w:rPr>
        <w:t>​</w:t>
      </w:r>
    </w:p>
    <w:p>
      <w:pPr>
        <w:spacing w:after="0" w:line="181"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Audit Committee of the Board has appointed the accounting firm of Deloitte &amp; Touche LLP to serve as our independent registered public accounting firm for the fiscal year ending December 31, 2025. Stockholder ratification of the appointment of Deloitte &amp; Touche LLP is not required by law, the NYSE or the Company’s organizational documents. However, as a matter of good corporate governance, the Board has elected to submit the appointment of Deloitte &amp; Touche LLP to the stockholders for ratification at the 2025 Annual Meeting. Even if the appointment is ratified, the Audit Committee, in its discretion, may select a different independent registered public accounting firm at any time if the Audit Committee believes that such a change would be in the best interests of the Company and its stockholders. If our stockholders do not ratify the appointment of Deloitte &amp; Touche LLP, the Audit Committee will take that fact into consideration, together with such other factors it deems relevant, in determining its next selection of an independent registered public accounting firm. Deloitte &amp; Touche LLP has served as our independent registered public accounting firm commencing with our fiscal year beginning January 1, 2024 and is considered by our management to be well-qualified. See “Audit Committee Matters—Change in Independent Registered Public Accounting Firm” above. Deloitte &amp; Touche LLP has advised us that neither it nor any member thereof has any financial interest, direct or indirect, in the Company or any of our subsidiaries in any capacity.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738" w:lineRule="exact"/>
        <w:rPr>
          <w:sz w:val="20"/>
          <w:szCs w:val="20"/>
          <w:color w:val="auto"/>
        </w:rPr>
      </w:pPr>
    </w:p>
    <w:p>
      <w:pPr>
        <w:sectPr>
          <w:pgSz w:w="11900" w:h="16838" w:orient="portrait"/>
          <w:cols w:equalWidth="0" w:num="3">
            <w:col w:w="100" w:space="720"/>
            <w:col w:w="8920" w:space="140"/>
            <w:col w:w="100"/>
          </w:cols>
          <w:pgMar w:left="580" w:top="97" w:right="1339" w:bottom="1440" w:gutter="0" w:footer="0" w:header="0"/>
          <w:type w:val="continuous"/>
        </w:sectPr>
      </w:pPr>
    </w:p>
    <w:p>
      <w:pPr>
        <w:spacing w:after="0" w:line="88" w:lineRule="exact"/>
        <w:rPr>
          <w:sz w:val="20"/>
          <w:szCs w:val="20"/>
          <w:color w:val="auto"/>
        </w:rPr>
      </w:pPr>
    </w:p>
    <w:p>
      <w:pPr>
        <w:spacing w:after="0"/>
        <w:tabs>
          <w:tab w:leader="none" w:pos="800" w:val="left"/>
        </w:tabs>
        <w:rPr>
          <w:sz w:val="20"/>
          <w:szCs w:val="20"/>
          <w:color w:val="auto"/>
        </w:rPr>
      </w:pPr>
      <w:r>
        <w:rPr>
          <w:rFonts w:ascii="Arial" w:cs="Arial" w:eastAsia="Arial" w:hAnsi="Arial"/>
          <w:sz w:val="29"/>
          <w:szCs w:val="29"/>
          <w:color w:val="auto"/>
          <w:vertAlign w:val="superscript"/>
        </w:rPr>
        <w:t>​</w:t>
      </w:r>
      <w:r>
        <w:rPr>
          <w:sz w:val="20"/>
          <w:szCs w:val="20"/>
          <w:color w:val="auto"/>
        </w:rPr>
        <w:tab/>
      </w:r>
      <w:r>
        <w:rPr>
          <w:rFonts w:ascii="Arial" w:cs="Arial" w:eastAsia="Arial" w:hAnsi="Arial"/>
          <w:sz w:val="15"/>
          <w:szCs w:val="15"/>
          <w:color w:val="auto"/>
        </w:rPr>
        <w:t>A representative of Deloitte &amp; Touche LLP will attend the Annual Meeting, will be given the opportunity to make a statement at the</w:t>
      </w:r>
      <w:r>
        <w:rPr>
          <w:rFonts w:ascii="Arial" w:cs="Arial" w:eastAsia="Arial" w:hAnsi="Arial"/>
          <w:sz w:val="29"/>
          <w:szCs w:val="29"/>
          <w:color w:val="auto"/>
          <w:vertAlign w:val="superscript"/>
        </w:rPr>
        <w:t>​</w:t>
      </w:r>
    </w:p>
    <w:p>
      <w:pPr>
        <w:spacing w:after="0" w:line="7" w:lineRule="exact"/>
        <w:rPr>
          <w:sz w:val="20"/>
          <w:szCs w:val="20"/>
          <w:color w:val="auto"/>
        </w:rPr>
      </w:pPr>
    </w:p>
    <w:p>
      <w:pPr>
        <w:ind w:left="820" w:right="500"/>
        <w:spacing w:after="0" w:line="283" w:lineRule="auto"/>
        <w:rPr>
          <w:sz w:val="20"/>
          <w:szCs w:val="20"/>
          <w:color w:val="auto"/>
        </w:rPr>
      </w:pPr>
      <w:r>
        <w:rPr>
          <w:rFonts w:ascii="Arial" w:cs="Arial" w:eastAsia="Arial" w:hAnsi="Arial"/>
          <w:sz w:val="16"/>
          <w:szCs w:val="16"/>
          <w:color w:val="auto"/>
        </w:rPr>
        <w:t>Annual Meeting if he or she so desires and will be available to respond to appropriate questions. A representative of Ernst &amp; Young is not expected to attend the Annual Meeting.</w:t>
      </w:r>
    </w:p>
    <w:p>
      <w:pPr>
        <w:spacing w:after="0" w:line="3" w:lineRule="exact"/>
        <w:rPr>
          <w:sz w:val="20"/>
          <w:szCs w:val="20"/>
          <w:color w:val="auto"/>
        </w:rPr>
      </w:pPr>
    </w:p>
    <w:p>
      <w:pPr>
        <w:spacing w:after="0"/>
        <w:tabs>
          <w:tab w:leader="none" w:pos="98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ind w:left="820" w:right="260"/>
        <w:spacing w:after="0" w:line="264" w:lineRule="auto"/>
        <w:rPr>
          <w:sz w:val="20"/>
          <w:szCs w:val="20"/>
          <w:color w:val="auto"/>
        </w:rPr>
      </w:pPr>
      <w:r>
        <w:rPr>
          <w:rFonts w:ascii="Arial" w:cs="Arial" w:eastAsia="Arial" w:hAnsi="Arial"/>
          <w:sz w:val="16"/>
          <w:szCs w:val="16"/>
          <w:color w:val="auto"/>
        </w:rPr>
        <w:t>A majority of all of the votes cast with respect to this proposal is required for the ratification of the appointment of Deloitte &amp; Touche LLP as our independent registered public accounting firm for the fiscal year ending December 31, 2025. Abstentions do not constitute a vote “for” or “against” and will not be counted as “votes cast”. Therefore, abstentions will have no effect on this proposal.</w:t>
      </w:r>
    </w:p>
    <w:p>
      <w:pPr>
        <w:spacing w:after="0" w:line="285" w:lineRule="exact"/>
        <w:rPr>
          <w:sz w:val="20"/>
          <w:szCs w:val="20"/>
          <w:color w:val="auto"/>
        </w:rPr>
      </w:pPr>
    </w:p>
    <w:p>
      <w:pPr>
        <w:ind w:left="820"/>
        <w:spacing w:after="0"/>
        <w:tabs>
          <w:tab w:leader="none" w:pos="7580" w:val="left"/>
          <w:tab w:leader="none" w:pos="7820" w:val="left"/>
          <w:tab w:leader="none" w:pos="9400" w:val="left"/>
        </w:tabs>
        <w:rPr>
          <w:sz w:val="20"/>
          <w:szCs w:val="20"/>
          <w:color w:val="auto"/>
        </w:rPr>
      </w:pPr>
      <w:r>
        <w:rPr>
          <w:rFonts w:ascii="Arial" w:cs="Arial" w:eastAsia="Arial" w:hAnsi="Arial"/>
          <w:sz w:val="20"/>
          <w:szCs w:val="20"/>
          <w:b w:val="1"/>
          <w:bCs w:val="1"/>
          <w:color w:val="1F2668"/>
        </w:rPr>
        <w:t>​</w:t>
      </w:r>
      <w:r>
        <w:rPr>
          <w:sz w:val="20"/>
          <w:szCs w:val="20"/>
          <w:color w:val="auto"/>
        </w:rPr>
        <w:tab/>
      </w:r>
      <w:r>
        <w:rPr>
          <w:rFonts w:ascii="Arial" w:cs="Arial" w:eastAsia="Arial" w:hAnsi="Arial"/>
          <w:sz w:val="20"/>
          <w:szCs w:val="20"/>
          <w:b w:val="1"/>
          <w:bCs w:val="1"/>
          <w:color w:val="1F2668"/>
        </w:rPr>
        <w:t>​</w:t>
        <w:tab/>
        <w:t>​</w:t>
      </w:r>
      <w:r>
        <w:rPr>
          <w:sz w:val="20"/>
          <w:szCs w:val="20"/>
          <w:color w:val="auto"/>
        </w:rPr>
        <w:tab/>
      </w:r>
      <w:r>
        <w:rPr>
          <w:rFonts w:ascii="Arial" w:cs="Arial" w:eastAsia="Arial" w:hAnsi="Arial"/>
          <w:sz w:val="20"/>
          <w:szCs w:val="20"/>
          <w:b w:val="1"/>
          <w:bCs w:val="1"/>
          <w:color w:val="1F2668"/>
        </w:rPr>
        <w:t>​</w:t>
      </w:r>
    </w:p>
    <w:p>
      <w:pPr>
        <w:spacing w:after="0" w:line="94" w:lineRule="exact"/>
        <w:rPr>
          <w:sz w:val="20"/>
          <w:szCs w:val="20"/>
          <w:color w:val="auto"/>
        </w:rPr>
      </w:pPr>
    </w:p>
    <w:p>
      <w:pPr>
        <w:ind w:left="1080" w:right="2520"/>
        <w:spacing w:after="0" w:line="269" w:lineRule="auto"/>
        <w:rPr>
          <w:sz w:val="20"/>
          <w:szCs w:val="20"/>
          <w:color w:val="auto"/>
        </w:rPr>
      </w:pPr>
      <w:r>
        <w:rPr>
          <w:rFonts w:ascii="Arial" w:cs="Arial" w:eastAsia="Arial" w:hAnsi="Arial"/>
          <w:sz w:val="20"/>
          <w:szCs w:val="20"/>
          <w:b w:val="1"/>
          <w:bCs w:val="1"/>
          <w:color w:val="1F2668"/>
        </w:rPr>
        <w:t xml:space="preserve">The Board unanimously recommends a vote </w:t>
      </w:r>
      <w:r>
        <w:rPr>
          <w:rFonts w:ascii="Arial" w:cs="Arial" w:eastAsia="Arial" w:hAnsi="Arial"/>
          <w:sz w:val="20"/>
          <w:szCs w:val="20"/>
          <w:b w:val="1"/>
          <w:bCs w:val="1"/>
          <w:color w:val="83AD40"/>
        </w:rPr>
        <w:t>“FOR”</w:t>
      </w:r>
      <w:r>
        <w:rPr>
          <w:rFonts w:ascii="Arial" w:cs="Arial" w:eastAsia="Arial" w:hAnsi="Arial"/>
          <w:sz w:val="20"/>
          <w:szCs w:val="20"/>
          <w:b w:val="1"/>
          <w:bCs w:val="1"/>
          <w:color w:val="1F2668"/>
        </w:rPr>
        <w:t xml:space="preserve"> the ratification of the appointment of Deloitte &amp; Touche LLP as our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2828925</wp:posOffset>
            </wp:positionV>
            <wp:extent cx="6831965"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80"/>
          </w:cols>
          <w:pgMar w:left="580" w:top="97" w:right="1339" w:bottom="1440" w:gutter="0" w:footer="0" w:header="0"/>
          <w:type w:val="continuous"/>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5120" w:type="dxa"/>
            <w:vAlign w:val="bottom"/>
          </w:tcPr>
          <w:p>
            <w:pPr>
              <w:spacing w:after="0"/>
              <w:rPr>
                <w:sz w:val="20"/>
                <w:szCs w:val="20"/>
                <w:color w:val="auto"/>
              </w:rPr>
            </w:pPr>
            <w:r>
              <w:rPr>
                <w:rFonts w:ascii="Arial" w:cs="Arial" w:eastAsia="Arial" w:hAnsi="Arial"/>
                <w:sz w:val="14"/>
                <w:szCs w:val="14"/>
                <w:b w:val="1"/>
                <w:bCs w:val="1"/>
                <w:color w:val="auto"/>
              </w:rPr>
              <w:t>​</w:t>
            </w:r>
          </w:p>
        </w:tc>
        <w:tc>
          <w:tcPr>
            <w:tcW w:w="3460" w:type="dxa"/>
            <w:vAlign w:val="bottom"/>
          </w:tcPr>
          <w:p>
            <w:pPr>
              <w:ind w:left="3080"/>
              <w:spacing w:after="0"/>
              <w:rPr>
                <w:sz w:val="20"/>
                <w:szCs w:val="20"/>
                <w:color w:val="auto"/>
              </w:rPr>
            </w:pPr>
            <w:r>
              <w:rPr>
                <w:rFonts w:ascii="Arial" w:cs="Arial" w:eastAsia="Arial" w:hAnsi="Arial"/>
                <w:sz w:val="14"/>
                <w:szCs w:val="14"/>
                <w:b w:val="1"/>
                <w:bCs w:val="1"/>
                <w:color w:val="auto"/>
              </w:rPr>
              <w:t>​ ​</w:t>
            </w:r>
          </w:p>
        </w:tc>
        <w:tc>
          <w:tcPr>
            <w:tcW w:w="480" w:type="dxa"/>
            <w:vAlign w:val="bottom"/>
            <w:vMerge w:val="restart"/>
          </w:tcPr>
          <w:p>
            <w:pPr>
              <w:jc w:val="right"/>
              <w:spacing w:after="0"/>
              <w:rPr>
                <w:sz w:val="20"/>
                <w:szCs w:val="20"/>
                <w:color w:val="auto"/>
              </w:rPr>
            </w:pPr>
            <w:r>
              <w:rPr>
                <w:rFonts w:ascii="Arial" w:cs="Arial" w:eastAsia="Arial" w:hAnsi="Arial"/>
                <w:sz w:val="22"/>
                <w:szCs w:val="22"/>
                <w:b w:val="1"/>
                <w:bCs w:val="1"/>
                <w:color w:val="1F2668"/>
              </w:rPr>
              <w:t>85</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5120" w:type="dxa"/>
            <w:vAlign w:val="bottom"/>
          </w:tcPr>
          <w:p>
            <w:pPr>
              <w:spacing w:after="0"/>
              <w:rPr>
                <w:sz w:val="20"/>
                <w:szCs w:val="20"/>
                <w:color w:val="auto"/>
              </w:rPr>
            </w:pPr>
            <w:r>
              <w:rPr>
                <w:rFonts w:ascii="Arial" w:cs="Arial" w:eastAsia="Arial" w:hAnsi="Arial"/>
                <w:sz w:val="14"/>
                <w:szCs w:val="14"/>
                <w:b w:val="1"/>
                <w:bCs w:val="1"/>
                <w:color w:val="auto"/>
              </w:rPr>
              <w:t>AUDIT COMMITTEE MATTERS</w:t>
            </w:r>
          </w:p>
        </w:tc>
        <w:tc>
          <w:tcPr>
            <w:tcW w:w="346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820" w:right="2240"/>
        <w:spacing w:after="0" w:line="278" w:lineRule="auto"/>
        <w:rPr>
          <w:sz w:val="20"/>
          <w:szCs w:val="20"/>
          <w:color w:val="auto"/>
        </w:rPr>
      </w:pPr>
      <w:r>
        <w:rPr>
          <w:rFonts w:ascii="Arial" w:cs="Arial" w:eastAsia="Arial" w:hAnsi="Arial"/>
          <w:sz w:val="29"/>
          <w:szCs w:val="29"/>
          <w:b w:val="1"/>
          <w:bCs w:val="1"/>
          <w:color w:val="83AD40"/>
        </w:rPr>
        <w:t>PRE-APPROVAL POLICIES AND PROCEDURES OF OUR AUDIT COMMITTEE</w:t>
      </w:r>
    </w:p>
    <w:p>
      <w:pPr>
        <w:spacing w:after="0" w:line="44" w:lineRule="exact"/>
        <w:rPr>
          <w:sz w:val="20"/>
          <w:szCs w:val="20"/>
          <w:color w:val="auto"/>
        </w:rPr>
      </w:pPr>
    </w:p>
    <w:p>
      <w:pPr>
        <w:ind w:left="820" w:right="180"/>
        <w:spacing w:after="0" w:line="290" w:lineRule="auto"/>
        <w:rPr>
          <w:sz w:val="20"/>
          <w:szCs w:val="20"/>
          <w:color w:val="auto"/>
        </w:rPr>
      </w:pPr>
      <w:r>
        <w:rPr>
          <w:rFonts w:ascii="Arial" w:cs="Arial" w:eastAsia="Arial" w:hAnsi="Arial"/>
          <w:sz w:val="15"/>
          <w:szCs w:val="15"/>
          <w:color w:val="auto"/>
        </w:rPr>
        <w:t>Our Audit Committee must pre-approve all audit services and permissible non-audit services provided by our independent registered public accounting firm, except for any de minimis non-audit services. Non-audit services are considered de minimis if:</w:t>
      </w:r>
    </w:p>
    <w:p>
      <w:pPr>
        <w:ind w:left="820" w:right="100" w:hanging="4"/>
        <w:spacing w:after="0" w:line="273" w:lineRule="auto"/>
        <w:tabs>
          <w:tab w:leader="none" w:pos="1057"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aggregate amount of all such non-audit services constitutes less than five percent of the total amount of revenues we paid to our independent registered public accounting firm during the fiscal year in which they are provided; (2) we did not recognize such services at the time of the engagement to be non-audit services; and (3) such services are promptly brought to our Audit Committee’s or any of its members’ attention and approved by our Audit Committee or any of its members who has authority to give such approval prior to the completion of the audit. None of the fees reflected below were incurred as a result of non-audit services provided by our independent registered public accounting firm pursuant to this de minimis exception. All services provided by Deloitte &amp; Touche LLP, our independent registered public accounting firm, in 2024 were pre-approved by our Audit Committee. Our Audit Committee may delegate to one or more of its members who is an independent director the authority to grant pre-approvals.</w:t>
      </w:r>
    </w:p>
    <w:p>
      <w:pPr>
        <w:spacing w:after="0" w:line="312" w:lineRule="exact"/>
        <w:rPr>
          <w:sz w:val="20"/>
          <w:szCs w:val="20"/>
          <w:color w:val="auto"/>
        </w:rPr>
      </w:pPr>
    </w:p>
    <w:p>
      <w:pPr>
        <w:ind w:left="820"/>
        <w:spacing w:after="0"/>
        <w:rPr>
          <w:sz w:val="20"/>
          <w:szCs w:val="20"/>
          <w:color w:val="auto"/>
        </w:rPr>
      </w:pPr>
      <w:r>
        <w:rPr>
          <w:rFonts w:ascii="Arial" w:cs="Arial" w:eastAsia="Arial" w:hAnsi="Arial"/>
          <w:sz w:val="29"/>
          <w:szCs w:val="29"/>
          <w:b w:val="1"/>
          <w:bCs w:val="1"/>
          <w:color w:val="83AD40"/>
        </w:rPr>
        <w:t>FEE DISCLOSURE</w:t>
      </w:r>
    </w:p>
    <w:p>
      <w:pPr>
        <w:spacing w:after="0" w:line="159" w:lineRule="exact"/>
        <w:rPr>
          <w:sz w:val="20"/>
          <w:szCs w:val="20"/>
          <w:color w:val="auto"/>
        </w:rPr>
      </w:pPr>
    </w:p>
    <w:p>
      <w:pPr>
        <w:ind w:left="820" w:right="120"/>
        <w:spacing w:after="0" w:line="278" w:lineRule="auto"/>
        <w:rPr>
          <w:sz w:val="20"/>
          <w:szCs w:val="20"/>
          <w:color w:val="auto"/>
        </w:rPr>
      </w:pPr>
      <w:r>
        <w:rPr>
          <w:rFonts w:ascii="Arial" w:cs="Arial" w:eastAsia="Arial" w:hAnsi="Arial"/>
          <w:sz w:val="16"/>
          <w:szCs w:val="16"/>
          <w:color w:val="auto"/>
        </w:rPr>
        <w:t>The fees billed to us by Deloitte &amp; Touche LLP for services rendered relating to fiscal 2024 are set forth below. On November 27, 2023, the Audit Committee approved the engagement of Deloitte &amp; Touche LLP as the Company’s independent registered public accounting firm for the year ending December 31, 2024, commencing January 1, 2024, and dismissed Ernst &amp; Young LLP from that role following their completion of audits of the financial statements for each of the Company and SLGOP for the fiscal year ending December 31, 2023.</w:t>
      </w:r>
    </w:p>
    <w:p>
      <w:pPr>
        <w:sectPr>
          <w:pgSz w:w="11900" w:h="16838" w:orient="portrait"/>
          <w:cols w:equalWidth="0" w:num="1">
            <w:col w:w="9940"/>
          </w:cols>
          <w:pgMar w:left="580" w:top="97" w:right="1379" w:bottom="1440" w:gutter="0" w:footer="0" w:header="0"/>
        </w:sectPr>
      </w:pPr>
    </w:p>
    <w:p>
      <w:pPr>
        <w:spacing w:after="0" w:line="330"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1F2668"/>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40640</wp:posOffset>
            </wp:positionV>
            <wp:extent cx="5194935"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5194935" cy="8890"/>
                    </a:xfrm>
                    <a:prstGeom prst="rect">
                      <a:avLst/>
                    </a:prstGeom>
                    <a:noFill/>
                  </pic:spPr>
                </pic:pic>
              </a:graphicData>
            </a:graphic>
          </wp:anchor>
        </w:drawing>
      </w:r>
    </w:p>
    <w:p>
      <w:pPr>
        <w:spacing w:after="0" w:line="98"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Audit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38100</wp:posOffset>
            </wp:positionV>
            <wp:extent cx="5194935"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5194935" cy="8890"/>
                    </a:xfrm>
                    <a:prstGeom prst="rect">
                      <a:avLst/>
                    </a:prstGeom>
                    <a:noFill/>
                  </pic:spPr>
                </pic:pic>
              </a:graphicData>
            </a:graphic>
          </wp:anchor>
        </w:drawing>
      </w:r>
    </w:p>
    <w:p>
      <w:pPr>
        <w:spacing w:after="0" w:line="93" w:lineRule="exact"/>
        <w:rPr>
          <w:sz w:val="20"/>
          <w:szCs w:val="20"/>
          <w:color w:val="auto"/>
        </w:rPr>
      </w:pPr>
    </w:p>
    <w:p>
      <w:pPr>
        <w:ind w:left="820"/>
        <w:spacing w:after="0"/>
        <w:rPr>
          <w:sz w:val="20"/>
          <w:szCs w:val="20"/>
          <w:color w:val="auto"/>
        </w:rPr>
      </w:pPr>
      <w:r>
        <w:rPr>
          <w:rFonts w:ascii="Arial" w:cs="Arial" w:eastAsia="Arial" w:hAnsi="Arial"/>
          <w:sz w:val="15"/>
          <w:szCs w:val="15"/>
          <w:color w:val="auto"/>
        </w:rPr>
        <w:t>Audit-Related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45085</wp:posOffset>
            </wp:positionV>
            <wp:extent cx="519493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10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Tax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38100</wp:posOffset>
            </wp:positionV>
            <wp:extent cx="519493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9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All Other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38100</wp:posOffset>
            </wp:positionV>
            <wp:extent cx="5194935"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5194935" cy="8890"/>
                    </a:xfrm>
                    <a:prstGeom prst="rect">
                      <a:avLst/>
                    </a:prstGeom>
                    <a:noFill/>
                  </pic:spPr>
                </pic:pic>
              </a:graphicData>
            </a:graphic>
          </wp:anchor>
        </w:drawing>
      </w:r>
    </w:p>
    <w:p>
      <w:pPr>
        <w:spacing w:after="0" w:line="93"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38100</wp:posOffset>
            </wp:positionV>
            <wp:extent cx="5194935"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51949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523"/>
        <w:spacing w:after="0"/>
        <w:rPr>
          <w:sz w:val="20"/>
          <w:szCs w:val="20"/>
          <w:color w:val="auto"/>
        </w:rPr>
      </w:pPr>
      <w:r>
        <w:rPr>
          <w:rFonts w:ascii="Arial" w:cs="Arial" w:eastAsia="Arial" w:hAnsi="Arial"/>
          <w:sz w:val="14"/>
          <w:szCs w:val="14"/>
          <w:b w:val="1"/>
          <w:bCs w:val="1"/>
          <w:color w:val="1F2668"/>
        </w:rPr>
        <w:t>2024</w:t>
      </w:r>
    </w:p>
    <w:p>
      <w:pPr>
        <w:ind w:left="703" w:hanging="703"/>
        <w:spacing w:after="0" w:line="180" w:lineRule="auto"/>
        <w:tabs>
          <w:tab w:leader="none" w:pos="703" w:val="left"/>
        </w:tabs>
        <w:numPr>
          <w:ilvl w:val="0"/>
          <w:numId w:val="117"/>
        </w:numPr>
        <w:rPr>
          <w:rFonts w:ascii="Arial" w:cs="Arial" w:eastAsia="Arial" w:hAnsi="Arial"/>
          <w:sz w:val="29"/>
          <w:szCs w:val="29"/>
          <w:b w:val="1"/>
          <w:bCs w:val="1"/>
          <w:color w:val="1F2668"/>
          <w:vertAlign w:val="subscript"/>
        </w:rPr>
      </w:pPr>
      <w:r>
        <w:rPr>
          <w:rFonts w:ascii="Arial" w:cs="Arial" w:eastAsia="Arial" w:hAnsi="Arial"/>
          <w:sz w:val="14"/>
          <w:szCs w:val="14"/>
          <w:b w:val="1"/>
          <w:bCs w:val="1"/>
          <w:color w:val="1F2668"/>
        </w:rPr>
        <w:t>($)</w:t>
      </w:r>
      <w:r>
        <w:rPr>
          <w:rFonts w:ascii="Arial" w:cs="Arial" w:eastAsia="Arial" w:hAnsi="Arial"/>
          <w:sz w:val="28"/>
          <w:szCs w:val="28"/>
          <w:b w:val="1"/>
          <w:bCs w:val="1"/>
          <w:color w:val="1F2668"/>
          <w:vertAlign w:val="subscript"/>
        </w:rPr>
        <w:t>​</w:t>
      </w:r>
    </w:p>
    <w:p>
      <w:pPr>
        <w:spacing w:after="0" w:line="1" w:lineRule="exact"/>
        <w:rPr>
          <w:rFonts w:ascii="Arial" w:cs="Arial" w:eastAsia="Arial" w:hAnsi="Arial"/>
          <w:sz w:val="29"/>
          <w:szCs w:val="29"/>
          <w:b w:val="1"/>
          <w:bCs w:val="1"/>
          <w:color w:val="1F2668"/>
          <w:vertAlign w:val="subscript"/>
        </w:rPr>
      </w:pPr>
    </w:p>
    <w:p>
      <w:pPr>
        <w:ind w:left="23"/>
        <w:spacing w:after="0" w:line="193" w:lineRule="auto"/>
        <w:rPr>
          <w:rFonts w:ascii="Arial" w:cs="Arial" w:eastAsia="Arial" w:hAnsi="Arial"/>
          <w:sz w:val="29"/>
          <w:szCs w:val="29"/>
          <w:b w:val="1"/>
          <w:bCs w:val="1"/>
          <w:color w:val="1F2668"/>
          <w:vertAlign w:val="subscript"/>
        </w:rPr>
      </w:pPr>
      <w:r>
        <w:rPr>
          <w:rFonts w:ascii="Arial" w:cs="Arial" w:eastAsia="Arial" w:hAnsi="Arial"/>
          <w:sz w:val="32"/>
          <w:szCs w:val="32"/>
          <w:color w:val="auto"/>
          <w:vertAlign w:val="subscript"/>
        </w:rPr>
        <w:t>​​​</w:t>
      </w:r>
      <w:r>
        <w:rPr>
          <w:rFonts w:ascii="Arial" w:cs="Arial" w:eastAsia="Arial" w:hAnsi="Arial"/>
          <w:sz w:val="16"/>
          <w:szCs w:val="16"/>
          <w:color w:val="auto"/>
        </w:rPr>
        <w:t>​3,027,685</w:t>
      </w:r>
      <w:r>
        <w:rPr>
          <w:rFonts w:ascii="Arial" w:cs="Arial" w:eastAsia="Arial" w:hAnsi="Arial"/>
          <w:sz w:val="32"/>
          <w:szCs w:val="32"/>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-14605</wp:posOffset>
            </wp:positionV>
            <wp:extent cx="497205"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-203200</wp:posOffset>
            </wp:positionV>
            <wp:extent cx="497205"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ind w:left="23"/>
        <w:spacing w:after="0" w:line="194" w:lineRule="auto"/>
        <w:tabs>
          <w:tab w:leader="none" w:pos="382" w:val="left"/>
        </w:tabs>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w:t>
        <w:tab/>
        <w:t>52,530</w:t>
      </w:r>
      <w:r>
        <w:rPr>
          <w:rFonts w:ascii="Arial" w:cs="Arial" w:eastAsia="Arial" w:hAnsi="Arial"/>
          <w:sz w:val="32"/>
          <w:szCs w:val="32"/>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-14605</wp:posOffset>
            </wp:positionV>
            <wp:extent cx="49720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ind w:left="23"/>
        <w:spacing w:after="0" w:line="223" w:lineRule="auto"/>
        <w:tabs>
          <w:tab w:leader="none" w:pos="702" w:val="left"/>
        </w:tabs>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w:t>
      </w:r>
      <w:r>
        <w:rPr>
          <w:sz w:val="20"/>
          <w:szCs w:val="20"/>
          <w:color w:val="auto"/>
        </w:rPr>
        <w:tab/>
      </w:r>
      <w:r>
        <w:rPr>
          <w:rFonts w:ascii="Arial" w:cs="Arial" w:eastAsia="Arial" w:hAnsi="Arial"/>
          <w:sz w:val="32"/>
          <w:szCs w:val="32"/>
          <w:color w:val="auto"/>
          <w:vertAlign w:val="superscript"/>
        </w:rPr>
        <w:t>—</w:t>
      </w:r>
      <w:r>
        <w:rPr>
          <w:rFonts w:ascii="Arial" w:cs="Arial" w:eastAsia="Arial" w:hAnsi="Arial"/>
          <w:sz w:val="32"/>
          <w:szCs w:val="3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-43180</wp:posOffset>
            </wp:positionV>
            <wp:extent cx="49720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ind w:left="23"/>
        <w:spacing w:after="0" w:line="181" w:lineRule="auto"/>
        <w:tabs>
          <w:tab w:leader="none" w:pos="462" w:val="left"/>
        </w:tabs>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2,000</w:t>
      </w:r>
      <w:r>
        <w:rPr>
          <w:rFonts w:ascii="Arial" w:cs="Arial" w:eastAsia="Arial" w:hAnsi="Arial"/>
          <w:sz w:val="29"/>
          <w:szCs w:val="29"/>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-14605</wp:posOffset>
            </wp:positionV>
            <wp:extent cx="497205"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ind w:left="23"/>
        <w:spacing w:after="0" w:line="199" w:lineRule="auto"/>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b w:val="1"/>
          <w:bCs w:val="1"/>
          <w:color w:val="auto"/>
        </w:rPr>
        <w:t>​3,082,215</w:t>
      </w:r>
      <w:r>
        <w:rPr>
          <w:rFonts w:ascii="Arial" w:cs="Arial" w:eastAsia="Arial" w:hAnsi="Arial"/>
          <w:sz w:val="32"/>
          <w:szCs w:val="32"/>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-19685</wp:posOffset>
            </wp:positionV>
            <wp:extent cx="497205"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77" w:space="720"/>
            <w:col w:w="943"/>
          </w:cols>
          <w:pgMar w:left="580" w:top="97" w:right="1379" w:bottom="1440" w:gutter="0" w:footer="0" w:header="0"/>
          <w:type w:val="continuous"/>
        </w:sectPr>
      </w:pPr>
    </w:p>
    <w:p>
      <w:pPr>
        <w:spacing w:after="0" w:line="113"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Audit Fees</w:t>
      </w:r>
    </w:p>
    <w:p>
      <w:pPr>
        <w:spacing w:after="0" w:line="119" w:lineRule="exact"/>
        <w:rPr>
          <w:sz w:val="20"/>
          <w:szCs w:val="20"/>
          <w:color w:val="auto"/>
        </w:rPr>
      </w:pPr>
    </w:p>
    <w:p>
      <w:pPr>
        <w:ind w:left="820" w:right="240"/>
        <w:spacing w:after="0" w:line="275" w:lineRule="auto"/>
        <w:rPr>
          <w:sz w:val="20"/>
          <w:szCs w:val="20"/>
          <w:color w:val="auto"/>
        </w:rPr>
      </w:pPr>
      <w:r>
        <w:rPr>
          <w:rFonts w:ascii="Arial" w:cs="Arial" w:eastAsia="Arial" w:hAnsi="Arial"/>
          <w:sz w:val="16"/>
          <w:szCs w:val="16"/>
          <w:color w:val="auto"/>
        </w:rPr>
        <w:t>Fees, including out-of-pocket expenses, for audit services totaled approximately $3,027,685 in fiscal year 2024. Audit fees include fees associated with our annual audits and related reviews of our annual reports on Form 10-K and quarterly reports on Form 10-Q. In addition, audit fees include Sarbanes-Oxley Section 404 planning and testing, fees for joint venture audits, and services relating to public filings in connection with our preferred and common stock and debt offerings and certain other transactions. Our joint venture partners paid their pro rata share of any joint venture audit fees. Audit fees also include fees for accounting research and consultations.</w:t>
      </w:r>
    </w:p>
    <w:p>
      <w:pPr>
        <w:spacing w:after="0" w:line="295"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Audit-Related Fees</w:t>
      </w:r>
    </w:p>
    <w:p>
      <w:pPr>
        <w:spacing w:after="0" w:line="119" w:lineRule="exact"/>
        <w:rPr>
          <w:sz w:val="20"/>
          <w:szCs w:val="20"/>
          <w:color w:val="auto"/>
        </w:rPr>
      </w:pPr>
    </w:p>
    <w:p>
      <w:pPr>
        <w:ind w:left="820" w:right="500"/>
        <w:spacing w:after="0" w:line="304" w:lineRule="auto"/>
        <w:rPr>
          <w:sz w:val="20"/>
          <w:szCs w:val="20"/>
          <w:color w:val="auto"/>
        </w:rPr>
      </w:pPr>
      <w:r>
        <w:rPr>
          <w:rFonts w:ascii="Arial" w:cs="Arial" w:eastAsia="Arial" w:hAnsi="Arial"/>
          <w:sz w:val="16"/>
          <w:szCs w:val="16"/>
          <w:color w:val="auto"/>
        </w:rPr>
        <w:t>Fees for audit-related services totaled approximately $52,530 in 2024. The audit-related services principally include fees for operating expense audits and agreed-upon procedures projects.</w:t>
      </w:r>
    </w:p>
    <w:p>
      <w:pPr>
        <w:spacing w:after="0" w:line="257"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Tax Fees</w:t>
      </w:r>
    </w:p>
    <w:p>
      <w:pPr>
        <w:spacing w:after="0" w:line="13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There were no fees for tax services, including tax compliance, tax advice and tax planning, in 2024.</w:t>
      </w:r>
    </w:p>
    <w:p>
      <w:pPr>
        <w:spacing w:after="0" w:line="337"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All Other Fees</w:t>
      </w:r>
    </w:p>
    <w:p>
      <w:pPr>
        <w:spacing w:after="0" w:line="13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Fees for other services not included above totaled approximately $2,000 in 2024.</w:t>
      </w:r>
    </w:p>
    <w:p>
      <w:pPr>
        <w:spacing w:after="0" w:line="167" w:lineRule="exact"/>
        <w:rPr>
          <w:sz w:val="20"/>
          <w:szCs w:val="20"/>
          <w:color w:val="auto"/>
        </w:rPr>
      </w:pPr>
    </w:p>
    <w:p>
      <w:pPr>
        <w:ind w:left="820" w:right="440"/>
        <w:spacing w:after="0" w:line="292" w:lineRule="auto"/>
        <w:rPr>
          <w:sz w:val="20"/>
          <w:szCs w:val="20"/>
          <w:color w:val="auto"/>
        </w:rPr>
      </w:pPr>
      <w:r>
        <w:rPr>
          <w:rFonts w:ascii="Arial" w:cs="Arial" w:eastAsia="Arial" w:hAnsi="Arial"/>
          <w:sz w:val="16"/>
          <w:szCs w:val="16"/>
          <w:color w:val="auto"/>
        </w:rPr>
        <w:t>Our Audit Committee considers whether the provision by Deloitte &amp; Touche LLP of any services that would be required to be described under “All Other Fees” would be compatible with maintaining Deloitte &amp; Touche LLP’s independence from both management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50165</wp:posOffset>
            </wp:positionV>
            <wp:extent cx="6831965"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20" w:type="dxa"/>
            <w:vAlign w:val="bottom"/>
          </w:tcPr>
          <w:p>
            <w:pPr>
              <w:spacing w:after="0"/>
              <w:rPr>
                <w:sz w:val="21"/>
                <w:szCs w:val="21"/>
                <w:color w:val="auto"/>
              </w:rPr>
            </w:pPr>
          </w:p>
        </w:tc>
        <w:tc>
          <w:tcPr>
            <w:tcW w:w="1920" w:type="dxa"/>
            <w:vAlign w:val="bottom"/>
            <w:gridSpan w:val="2"/>
          </w:tcPr>
          <w:p>
            <w:pPr>
              <w:spacing w:after="0"/>
              <w:rPr>
                <w:sz w:val="20"/>
                <w:szCs w:val="20"/>
                <w:color w:val="auto"/>
              </w:rPr>
            </w:pPr>
            <w:r>
              <w:rPr>
                <w:rFonts w:ascii="Arial" w:cs="Arial" w:eastAsia="Arial" w:hAnsi="Arial"/>
                <w:sz w:val="22"/>
                <w:szCs w:val="22"/>
                <w:b w:val="1"/>
                <w:bCs w:val="1"/>
                <w:color w:val="1F2668"/>
              </w:rPr>
              <w:t>86</w:t>
            </w:r>
          </w:p>
        </w:tc>
        <w:tc>
          <w:tcPr>
            <w:tcW w:w="220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2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22"/>
                <w:szCs w:val="22"/>
                <w:b w:val="1"/>
                <w:bCs w:val="1"/>
                <w:color w:val="1F2668"/>
              </w:rPr>
              <w:t>​</w:t>
            </w:r>
          </w:p>
        </w:tc>
        <w:tc>
          <w:tcPr>
            <w:tcW w:w="8860" w:type="dxa"/>
            <w:vAlign w:val="bottom"/>
            <w:gridSpan w:val="3"/>
          </w:tcPr>
          <w:p>
            <w:pPr>
              <w:ind w:left="500"/>
              <w:spacing w:after="0"/>
              <w:rPr>
                <w:sz w:val="20"/>
                <w:szCs w:val="20"/>
                <w:color w:val="auto"/>
              </w:rPr>
            </w:pPr>
            <w:r>
              <w:rPr>
                <w:rFonts w:ascii="Arial" w:cs="Arial" w:eastAsia="Arial" w:hAnsi="Arial"/>
                <w:sz w:val="22"/>
                <w:szCs w:val="22"/>
                <w:b w:val="1"/>
                <w:bCs w:val="1"/>
                <w:color w:val="1F2668"/>
              </w:rPr>
              <w:t>​ ​</w:t>
            </w:r>
          </w:p>
        </w:tc>
        <w:tc>
          <w:tcPr>
            <w:tcW w:w="880" w:type="dxa"/>
            <w:vAlign w:val="bottom"/>
          </w:tcPr>
          <w:p>
            <w:pPr>
              <w:ind w:left="60"/>
              <w:spacing w:after="0"/>
              <w:rPr>
                <w:sz w:val="20"/>
                <w:szCs w:val="20"/>
                <w:color w:val="auto"/>
              </w:rPr>
            </w:pPr>
            <w:r>
              <w:rPr>
                <w:rFonts w:ascii="Arial" w:cs="Arial" w:eastAsia="Arial" w:hAnsi="Arial"/>
                <w:sz w:val="22"/>
                <w:szCs w:val="22"/>
                <w:b w:val="1"/>
                <w:bCs w:val="1"/>
                <w:color w:val="1F2668"/>
              </w:rPr>
              <w:t>​</w:t>
            </w:r>
          </w:p>
        </w:tc>
        <w:tc>
          <w:tcPr>
            <w:tcW w:w="0" w:type="dxa"/>
            <w:vAlign w:val="bottom"/>
          </w:tcPr>
          <w:p>
            <w:pPr>
              <w:spacing w:after="0"/>
              <w:rPr>
                <w:sz w:val="1"/>
                <w:szCs w:val="1"/>
                <w:color w:val="auto"/>
              </w:rPr>
            </w:pPr>
          </w:p>
        </w:tc>
      </w:tr>
      <w:tr>
        <w:trPr>
          <w:trHeight w:val="978"/>
        </w:trPr>
        <w:tc>
          <w:tcPr>
            <w:tcW w:w="820" w:type="dxa"/>
            <w:vAlign w:val="bottom"/>
          </w:tcPr>
          <w:p>
            <w:pPr>
              <w:spacing w:after="0"/>
              <w:rPr>
                <w:sz w:val="24"/>
                <w:szCs w:val="24"/>
                <w:color w:val="auto"/>
              </w:rPr>
            </w:pPr>
          </w:p>
        </w:tc>
        <w:tc>
          <w:tcPr>
            <w:tcW w:w="9000" w:type="dxa"/>
            <w:vAlign w:val="bottom"/>
            <w:gridSpan w:val="4"/>
          </w:tcPr>
          <w:p>
            <w:pPr>
              <w:spacing w:after="0"/>
              <w:rPr>
                <w:sz w:val="20"/>
                <w:szCs w:val="20"/>
                <w:color w:val="auto"/>
              </w:rPr>
            </w:pPr>
            <w:r>
              <w:rPr>
                <w:rFonts w:ascii="Arial" w:cs="Arial" w:eastAsia="Arial" w:hAnsi="Arial"/>
                <w:sz w:val="38"/>
                <w:szCs w:val="38"/>
                <w:b w:val="1"/>
                <w:bCs w:val="1"/>
                <w:color w:val="1F2668"/>
              </w:rPr>
              <w:t>OTHER MANAGEMENT PROPOSALS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20" w:type="dxa"/>
            <w:vAlign w:val="bottom"/>
          </w:tcPr>
          <w:p>
            <w:pPr>
              <w:spacing w:after="0"/>
              <w:rPr>
                <w:sz w:val="24"/>
                <w:szCs w:val="24"/>
                <w:color w:val="auto"/>
              </w:rPr>
            </w:pPr>
          </w:p>
        </w:tc>
        <w:tc>
          <w:tcPr>
            <w:tcW w:w="1920" w:type="dxa"/>
            <w:vAlign w:val="bottom"/>
            <w:gridSpan w:val="2"/>
          </w:tcPr>
          <w:p>
            <w:pPr>
              <w:spacing w:after="0"/>
              <w:rPr>
                <w:sz w:val="24"/>
                <w:szCs w:val="24"/>
                <w:color w:val="auto"/>
              </w:rPr>
            </w:pPr>
          </w:p>
        </w:tc>
        <w:tc>
          <w:tcPr>
            <w:tcW w:w="22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20" w:type="dxa"/>
            <w:vAlign w:val="bottom"/>
            <w:tcBorders>
              <w:bottom w:val="single" w:sz="8" w:color="E9F9D8"/>
            </w:tcBorders>
            <w:shd w:val="clear" w:color="auto" w:fill="E9F9D8"/>
          </w:tcPr>
          <w:p>
            <w:pPr>
              <w:spacing w:after="0"/>
              <w:rPr>
                <w:sz w:val="24"/>
                <w:szCs w:val="24"/>
                <w:color w:val="auto"/>
              </w:rPr>
            </w:pPr>
          </w:p>
        </w:tc>
        <w:tc>
          <w:tcPr>
            <w:tcW w:w="1920" w:type="dxa"/>
            <w:vAlign w:val="bottom"/>
            <w:tcBorders>
              <w:bottom w:val="single" w:sz="8" w:color="E9F9D8"/>
            </w:tcBorders>
            <w:gridSpan w:val="2"/>
            <w:vMerge w:val="restart"/>
            <w:shd w:val="clear" w:color="auto" w:fill="E9F9D8"/>
          </w:tcPr>
          <w:p>
            <w:pPr>
              <w:spacing w:after="0"/>
              <w:rPr>
                <w:sz w:val="20"/>
                <w:szCs w:val="20"/>
                <w:color w:val="auto"/>
              </w:rPr>
            </w:pPr>
            <w:r>
              <w:rPr>
                <w:rFonts w:ascii="Arial" w:cs="Arial" w:eastAsia="Arial" w:hAnsi="Arial"/>
                <w:sz w:val="22"/>
                <w:szCs w:val="22"/>
                <w:b w:val="1"/>
                <w:bCs w:val="1"/>
                <w:color w:val="83AD40"/>
              </w:rPr>
              <w:t>PROPOSAL 4</w:t>
            </w:r>
            <w:r>
              <w:rPr>
                <w:rFonts w:ascii="Arial" w:cs="Arial" w:eastAsia="Arial" w:hAnsi="Arial"/>
                <w:sz w:val="16"/>
                <w:szCs w:val="16"/>
                <w:color w:val="000000"/>
              </w:rPr>
              <w:t>​</w:t>
            </w:r>
          </w:p>
        </w:tc>
        <w:tc>
          <w:tcPr>
            <w:tcW w:w="2200" w:type="dxa"/>
            <w:vAlign w:val="bottom"/>
            <w:tcBorders>
              <w:bottom w:val="single" w:sz="8" w:color="83AD40"/>
            </w:tcBorders>
            <w:shd w:val="clear" w:color="auto" w:fill="E9F9D8"/>
          </w:tcPr>
          <w:p>
            <w:pPr>
              <w:spacing w:after="0"/>
              <w:rPr>
                <w:sz w:val="24"/>
                <w:szCs w:val="24"/>
                <w:color w:val="auto"/>
              </w:rPr>
            </w:pPr>
          </w:p>
        </w:tc>
        <w:tc>
          <w:tcPr>
            <w:tcW w:w="4880" w:type="dxa"/>
            <w:vAlign w:val="bottom"/>
            <w:tcBorders>
              <w:bottom w:val="single" w:sz="8" w:color="E9F9D8"/>
            </w:tcBorders>
            <w:shd w:val="clear" w:color="auto" w:fill="E9F9D8"/>
          </w:tcPr>
          <w:p>
            <w:pPr>
              <w:spacing w:after="0"/>
              <w:rPr>
                <w:sz w:val="24"/>
                <w:szCs w:val="24"/>
                <w:color w:val="auto"/>
              </w:rPr>
            </w:pPr>
          </w:p>
        </w:tc>
        <w:tc>
          <w:tcPr>
            <w:tcW w:w="880" w:type="dxa"/>
            <w:vAlign w:val="bottom"/>
            <w:tcBorders>
              <w:bottom w:val="single" w:sz="8" w:color="E9F9D8"/>
            </w:tcBorders>
            <w:vMerge w:val="restart"/>
            <w:shd w:val="clear" w:color="auto" w:fill="E9F9D8"/>
          </w:tcPr>
          <w:p>
            <w:pPr>
              <w:ind w:left="60"/>
              <w:spacing w:after="0"/>
              <w:rPr>
                <w:sz w:val="20"/>
                <w:szCs w:val="20"/>
                <w:color w:val="auto"/>
              </w:rPr>
            </w:pPr>
            <w:r>
              <w:rPr>
                <w:rFonts w:ascii="Arial" w:cs="Arial" w:eastAsia="Arial" w:hAnsi="Arial"/>
                <w:sz w:val="32"/>
                <w:szCs w:val="32"/>
                <w:b w:val="1"/>
                <w:bCs w:val="1"/>
                <w:color w:val="1F2668"/>
              </w:rPr>
              <w:t>​</w:t>
            </w:r>
          </w:p>
        </w:tc>
        <w:tc>
          <w:tcPr>
            <w:tcW w:w="0" w:type="dxa"/>
            <w:vAlign w:val="bottom"/>
          </w:tcPr>
          <w:p>
            <w:pPr>
              <w:spacing w:after="0"/>
              <w:rPr>
                <w:sz w:val="1"/>
                <w:szCs w:val="1"/>
                <w:color w:val="auto"/>
              </w:rPr>
            </w:pPr>
          </w:p>
        </w:tc>
      </w:tr>
      <w:tr>
        <w:trPr>
          <w:trHeight w:val="141"/>
        </w:trPr>
        <w:tc>
          <w:tcPr>
            <w:tcW w:w="820" w:type="dxa"/>
            <w:vAlign w:val="bottom"/>
            <w:shd w:val="clear" w:color="auto" w:fill="E9F9D8"/>
          </w:tcPr>
          <w:p>
            <w:pPr>
              <w:spacing w:after="0"/>
              <w:rPr>
                <w:sz w:val="12"/>
                <w:szCs w:val="12"/>
                <w:color w:val="auto"/>
              </w:rPr>
            </w:pPr>
          </w:p>
        </w:tc>
        <w:tc>
          <w:tcPr>
            <w:tcW w:w="1920" w:type="dxa"/>
            <w:vAlign w:val="bottom"/>
            <w:gridSpan w:val="2"/>
            <w:vMerge w:val="continue"/>
            <w:shd w:val="clear" w:color="auto" w:fill="E9F9D8"/>
          </w:tcPr>
          <w:p>
            <w:pPr>
              <w:spacing w:after="0"/>
              <w:rPr>
                <w:sz w:val="12"/>
                <w:szCs w:val="12"/>
                <w:color w:val="auto"/>
              </w:rPr>
            </w:pPr>
          </w:p>
        </w:tc>
        <w:tc>
          <w:tcPr>
            <w:tcW w:w="2200" w:type="dxa"/>
            <w:vAlign w:val="bottom"/>
            <w:shd w:val="clear" w:color="auto" w:fill="E9F9D8"/>
          </w:tcPr>
          <w:p>
            <w:pPr>
              <w:spacing w:after="0"/>
              <w:rPr>
                <w:sz w:val="12"/>
                <w:szCs w:val="12"/>
                <w:color w:val="auto"/>
              </w:rPr>
            </w:pPr>
          </w:p>
        </w:tc>
        <w:tc>
          <w:tcPr>
            <w:tcW w:w="4880" w:type="dxa"/>
            <w:vAlign w:val="bottom"/>
            <w:shd w:val="clear" w:color="auto" w:fill="E9F9D8"/>
          </w:tcPr>
          <w:p>
            <w:pPr>
              <w:spacing w:after="0"/>
              <w:rPr>
                <w:sz w:val="12"/>
                <w:szCs w:val="12"/>
                <w:color w:val="auto"/>
              </w:rPr>
            </w:pPr>
          </w:p>
        </w:tc>
        <w:tc>
          <w:tcPr>
            <w:tcW w:w="880" w:type="dxa"/>
            <w:vAlign w:val="bottom"/>
            <w:vMerge w:val="continue"/>
            <w:shd w:val="clear" w:color="auto" w:fill="E9F9D8"/>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820" w:type="dxa"/>
            <w:vAlign w:val="bottom"/>
            <w:shd w:val="clear" w:color="auto" w:fill="E9F9D8"/>
          </w:tcPr>
          <w:p>
            <w:pPr>
              <w:spacing w:after="0"/>
              <w:rPr>
                <w:sz w:val="24"/>
                <w:szCs w:val="24"/>
                <w:color w:val="auto"/>
              </w:rPr>
            </w:pPr>
          </w:p>
        </w:tc>
        <w:tc>
          <w:tcPr>
            <w:tcW w:w="9000" w:type="dxa"/>
            <w:vAlign w:val="bottom"/>
            <w:gridSpan w:val="4"/>
            <w:vMerge w:val="restart"/>
            <w:shd w:val="clear" w:color="auto" w:fill="E9F9D8"/>
          </w:tcPr>
          <w:p>
            <w:pPr>
              <w:spacing w:after="0"/>
              <w:rPr>
                <w:sz w:val="20"/>
                <w:szCs w:val="20"/>
                <w:color w:val="auto"/>
              </w:rPr>
            </w:pPr>
            <w:r>
              <w:rPr>
                <w:rFonts w:ascii="Arial" w:cs="Arial" w:eastAsia="Arial" w:hAnsi="Arial"/>
                <w:sz w:val="32"/>
                <w:szCs w:val="32"/>
                <w:b w:val="1"/>
                <w:bCs w:val="1"/>
                <w:color w:val="1F2668"/>
              </w:rPr>
              <w:t>APPROVAL OF THE SIXTH AMENDED AND RESTATED</w:t>
            </w:r>
          </w:p>
        </w:tc>
        <w:tc>
          <w:tcPr>
            <w:tcW w:w="880" w:type="dxa"/>
            <w:vAlign w:val="bottom"/>
            <w:vMerge w:val="continue"/>
            <w:shd w:val="clear" w:color="auto" w:fill="E9F9D8"/>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820" w:type="dxa"/>
            <w:vAlign w:val="bottom"/>
          </w:tcPr>
          <w:p>
            <w:pPr>
              <w:spacing w:after="0" w:line="347" w:lineRule="exact"/>
              <w:rPr>
                <w:sz w:val="20"/>
                <w:szCs w:val="20"/>
                <w:color w:val="auto"/>
              </w:rPr>
            </w:pPr>
            <w:r>
              <w:rPr>
                <w:rFonts w:ascii="Arial" w:cs="Arial" w:eastAsia="Arial" w:hAnsi="Arial"/>
                <w:sz w:val="32"/>
                <w:szCs w:val="32"/>
                <w:b w:val="1"/>
                <w:bCs w:val="1"/>
                <w:color w:val="1F2668"/>
              </w:rPr>
              <w:t>​</w:t>
            </w:r>
          </w:p>
        </w:tc>
        <w:tc>
          <w:tcPr>
            <w:tcW w:w="9000" w:type="dxa"/>
            <w:vAlign w:val="bottom"/>
            <w:gridSpan w:val="4"/>
            <w:vMerge w:val="continue"/>
            <w:shd w:val="clear" w:color="auto" w:fill="E9F9D8"/>
          </w:tcPr>
          <w:p>
            <w:pPr>
              <w:spacing w:after="0"/>
              <w:rPr>
                <w:sz w:val="24"/>
                <w:szCs w:val="24"/>
                <w:color w:val="auto"/>
              </w:rPr>
            </w:pPr>
          </w:p>
        </w:tc>
        <w:tc>
          <w:tcPr>
            <w:tcW w:w="880" w:type="dxa"/>
            <w:vAlign w:val="bottom"/>
            <w:vMerge w:val="continue"/>
            <w:shd w:val="clear" w:color="auto" w:fill="E9F9D8"/>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820" w:type="dxa"/>
            <w:vAlign w:val="bottom"/>
          </w:tcPr>
          <w:p>
            <w:pPr>
              <w:spacing w:after="0"/>
              <w:rPr>
                <w:sz w:val="24"/>
                <w:szCs w:val="24"/>
                <w:color w:val="auto"/>
              </w:rPr>
            </w:pPr>
          </w:p>
        </w:tc>
        <w:tc>
          <w:tcPr>
            <w:tcW w:w="9000" w:type="dxa"/>
            <w:vAlign w:val="bottom"/>
            <w:gridSpan w:val="4"/>
            <w:shd w:val="clear" w:color="auto" w:fill="E9F9D8"/>
          </w:tcPr>
          <w:p>
            <w:pPr>
              <w:spacing w:after="0"/>
              <w:rPr>
                <w:sz w:val="20"/>
                <w:szCs w:val="20"/>
                <w:color w:val="auto"/>
              </w:rPr>
            </w:pPr>
            <w:r>
              <w:rPr>
                <w:rFonts w:ascii="Arial" w:cs="Arial" w:eastAsia="Arial" w:hAnsi="Arial"/>
                <w:sz w:val="32"/>
                <w:szCs w:val="32"/>
                <w:b w:val="1"/>
                <w:bCs w:val="1"/>
                <w:color w:val="1F2668"/>
              </w:rPr>
              <w:t>2005 STOCK OPTION AND INCENTIVE PLAN</w:t>
            </w:r>
            <w:r>
              <w:rPr>
                <w:rFonts w:ascii="Arial" w:cs="Arial" w:eastAsia="Arial" w:hAnsi="Arial"/>
                <w:sz w:val="16"/>
                <w:szCs w:val="16"/>
                <w:color w:val="000000"/>
              </w:rPr>
              <w:t>​</w:t>
            </w:r>
          </w:p>
        </w:tc>
        <w:tc>
          <w:tcPr>
            <w:tcW w:w="880" w:type="dxa"/>
            <w:vAlign w:val="bottom"/>
            <w:shd w:val="clear" w:color="auto" w:fill="E9F9D8"/>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820" w:type="dxa"/>
            <w:vAlign w:val="bottom"/>
            <w:vMerge w:val="restart"/>
          </w:tcPr>
          <w:p>
            <w:pPr>
              <w:spacing w:after="0"/>
              <w:rPr>
                <w:sz w:val="20"/>
                <w:szCs w:val="20"/>
                <w:color w:val="auto"/>
              </w:rPr>
            </w:pPr>
            <w:r>
              <w:rPr>
                <w:rFonts w:ascii="Arial" w:cs="Arial" w:eastAsia="Arial" w:hAnsi="Arial"/>
                <w:sz w:val="16"/>
                <w:szCs w:val="16"/>
                <w:color w:val="auto"/>
              </w:rPr>
              <w:t>​</w:t>
            </w:r>
          </w:p>
        </w:tc>
        <w:tc>
          <w:tcPr>
            <w:tcW w:w="9880" w:type="dxa"/>
            <w:vAlign w:val="bottom"/>
            <w:gridSpan w:val="5"/>
            <w:shd w:val="clear" w:color="auto" w:fill="E9F9D8"/>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20" w:type="dxa"/>
            <w:vAlign w:val="bottom"/>
            <w:vMerge w:val="continue"/>
          </w:tcPr>
          <w:p>
            <w:pPr>
              <w:spacing w:after="0"/>
              <w:rPr>
                <w:sz w:val="24"/>
                <w:szCs w:val="24"/>
                <w:color w:val="auto"/>
              </w:rPr>
            </w:pPr>
          </w:p>
        </w:tc>
        <w:tc>
          <w:tcPr>
            <w:tcW w:w="9880" w:type="dxa"/>
            <w:vAlign w:val="bottom"/>
            <w:gridSpan w:val="5"/>
          </w:tcPr>
          <w:p>
            <w:pPr>
              <w:spacing w:after="0" w:line="310" w:lineRule="exact"/>
              <w:rPr>
                <w:sz w:val="20"/>
                <w:szCs w:val="20"/>
                <w:color w:val="auto"/>
              </w:rPr>
            </w:pPr>
            <w:r>
              <w:rPr>
                <w:rFonts w:ascii="Arial" w:cs="Arial" w:eastAsia="Arial" w:hAnsi="Arial"/>
                <w:sz w:val="16"/>
                <w:szCs w:val="16"/>
                <w:color w:val="auto"/>
              </w:rPr>
              <w:t xml:space="preserve">On April 22, 2025, the Board voted to amend and restate our Fifth Amended and Restated 2005 Stock Option and Incentive Plan </w:t>
            </w:r>
            <w:r>
              <w:rPr>
                <w:rFonts w:ascii="Arial" w:cs="Arial" w:eastAsia="Arial" w:hAnsi="Arial"/>
                <w:sz w:val="32"/>
                <w:szCs w:val="32"/>
                <w:color w:val="auto"/>
                <w:vertAlign w:val="superscript"/>
              </w:rPr>
              <w:t>​</w:t>
            </w:r>
          </w:p>
        </w:tc>
        <w:tc>
          <w:tcPr>
            <w:tcW w:w="0" w:type="dxa"/>
            <w:vAlign w:val="bottom"/>
          </w:tcPr>
          <w:p>
            <w:pPr>
              <w:spacing w:after="0"/>
              <w:rPr>
                <w:sz w:val="1"/>
                <w:szCs w:val="1"/>
                <w:color w:val="auto"/>
              </w:rPr>
            </w:pPr>
          </w:p>
        </w:tc>
      </w:tr>
      <w:tr>
        <w:trPr>
          <w:trHeight w:val="189"/>
        </w:trPr>
        <w:tc>
          <w:tcPr>
            <w:tcW w:w="820" w:type="dxa"/>
            <w:vAlign w:val="bottom"/>
          </w:tcPr>
          <w:p>
            <w:pPr>
              <w:spacing w:after="0"/>
              <w:rPr>
                <w:sz w:val="16"/>
                <w:szCs w:val="16"/>
                <w:color w:val="auto"/>
              </w:rPr>
            </w:pPr>
          </w:p>
        </w:tc>
        <w:tc>
          <w:tcPr>
            <w:tcW w:w="9000" w:type="dxa"/>
            <w:vAlign w:val="bottom"/>
            <w:gridSpan w:val="4"/>
          </w:tcPr>
          <w:p>
            <w:pPr>
              <w:spacing w:after="0"/>
              <w:rPr>
                <w:sz w:val="20"/>
                <w:szCs w:val="20"/>
                <w:color w:val="auto"/>
              </w:rPr>
            </w:pPr>
            <w:r>
              <w:rPr>
                <w:rFonts w:ascii="Arial" w:cs="Arial" w:eastAsia="Arial" w:hAnsi="Arial"/>
                <w:sz w:val="16"/>
                <w:szCs w:val="16"/>
                <w:color w:val="auto"/>
              </w:rPr>
              <w:t>(the “Fifth Amended 2005 Plan”) to increase the number of Fungible Units (as defined below) available for issuance thereunder</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9000" w:type="dxa"/>
            <w:vAlign w:val="bottom"/>
            <w:gridSpan w:val="4"/>
          </w:tcPr>
          <w:p>
            <w:pPr>
              <w:spacing w:after="0"/>
              <w:rPr>
                <w:sz w:val="20"/>
                <w:szCs w:val="20"/>
                <w:color w:val="auto"/>
              </w:rPr>
            </w:pPr>
            <w:r>
              <w:rPr>
                <w:rFonts w:ascii="Arial" w:cs="Arial" w:eastAsia="Arial" w:hAnsi="Arial"/>
                <w:sz w:val="16"/>
                <w:szCs w:val="16"/>
                <w:color w:val="auto"/>
                <w:w w:val="99"/>
              </w:rPr>
              <w:t>and make certain other amendments. At our annual meeting, the stockholders are being asked to vote on a proposal to approve</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9000" w:type="dxa"/>
            <w:vAlign w:val="bottom"/>
            <w:gridSpan w:val="4"/>
          </w:tcPr>
          <w:p>
            <w:pPr>
              <w:spacing w:after="0"/>
              <w:rPr>
                <w:sz w:val="20"/>
                <w:szCs w:val="20"/>
                <w:color w:val="auto"/>
              </w:rPr>
            </w:pPr>
            <w:r>
              <w:rPr>
                <w:rFonts w:ascii="Arial" w:cs="Arial" w:eastAsia="Arial" w:hAnsi="Arial"/>
                <w:sz w:val="16"/>
                <w:szCs w:val="16"/>
                <w:color w:val="auto"/>
              </w:rPr>
              <w:t>the adoption of our Sixth Amended and Restated 2005 Stock Option and Incentive Plan (the “Sixth Amended 2005 Plan”).</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4"/>
        </w:trPr>
        <w:tc>
          <w:tcPr>
            <w:tcW w:w="820" w:type="dxa"/>
            <w:vAlign w:val="bottom"/>
          </w:tcPr>
          <w:p>
            <w:pPr>
              <w:spacing w:after="0"/>
              <w:rPr>
                <w:sz w:val="20"/>
                <w:szCs w:val="20"/>
                <w:color w:val="auto"/>
              </w:rPr>
            </w:pPr>
            <w:r>
              <w:rPr>
                <w:rFonts w:ascii="Arial" w:cs="Arial" w:eastAsia="Arial" w:hAnsi="Arial"/>
                <w:sz w:val="23"/>
                <w:szCs w:val="23"/>
                <w:b w:val="1"/>
                <w:bCs w:val="1"/>
                <w:color w:val="auto"/>
              </w:rPr>
              <w:t>​</w:t>
            </w:r>
          </w:p>
        </w:tc>
        <w:tc>
          <w:tcPr>
            <w:tcW w:w="9000" w:type="dxa"/>
            <w:vAlign w:val="bottom"/>
            <w:gridSpan w:val="4"/>
            <w:vMerge w:val="restart"/>
          </w:tcPr>
          <w:p>
            <w:pPr>
              <w:spacing w:after="0"/>
              <w:rPr>
                <w:sz w:val="20"/>
                <w:szCs w:val="20"/>
                <w:color w:val="auto"/>
              </w:rPr>
            </w:pPr>
            <w:r>
              <w:rPr>
                <w:rFonts w:ascii="Arial" w:cs="Arial" w:eastAsia="Arial" w:hAnsi="Arial"/>
                <w:sz w:val="23"/>
                <w:szCs w:val="23"/>
                <w:b w:val="1"/>
                <w:bCs w:val="1"/>
                <w:color w:val="auto"/>
              </w:rPr>
              <w:t>WHY YOU SHOULD VOTE FOR PROPOSAL 4</w:t>
            </w:r>
            <w:r>
              <w:rPr>
                <w:rFonts w:ascii="Arial" w:cs="Arial" w:eastAsia="Arial" w:hAnsi="Arial"/>
                <w:sz w:val="16"/>
                <w:szCs w:val="16"/>
                <w:color w:val="auto"/>
              </w:rPr>
              <w:t>​</w:t>
            </w:r>
          </w:p>
        </w:tc>
        <w:tc>
          <w:tcPr>
            <w:tcW w:w="880" w:type="dxa"/>
            <w:vAlign w:val="bottom"/>
          </w:tcPr>
          <w:p>
            <w:pPr>
              <w:ind w:left="60"/>
              <w:spacing w:after="0"/>
              <w:rPr>
                <w:sz w:val="20"/>
                <w:szCs w:val="20"/>
                <w:color w:val="auto"/>
              </w:rPr>
            </w:pPr>
            <w:r>
              <w:rPr>
                <w:rFonts w:ascii="Arial" w:cs="Arial" w:eastAsia="Arial" w:hAnsi="Arial"/>
                <w:sz w:val="23"/>
                <w:szCs w:val="23"/>
                <w:b w:val="1"/>
                <w:bCs w:val="1"/>
                <w:color w:val="auto"/>
              </w:rPr>
              <w:t>​</w:t>
            </w: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9000" w:type="dxa"/>
            <w:vAlign w:val="bottom"/>
            <w:gridSpan w:val="4"/>
            <w:vMerge w:val="continue"/>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2"/>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000" w:type="dxa"/>
            <w:vAlign w:val="bottom"/>
            <w:gridSpan w:val="4"/>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Long-term equity awards are a critical design element of our compensation program for key employees.</w:t>
            </w:r>
          </w:p>
        </w:tc>
        <w:tc>
          <w:tcPr>
            <w:tcW w:w="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17"/>
        </w:trPr>
        <w:tc>
          <w:tcPr>
            <w:tcW w:w="820" w:type="dxa"/>
            <w:vAlign w:val="bottom"/>
          </w:tcPr>
          <w:p>
            <w:pPr>
              <w:spacing w:after="0"/>
              <w:rPr>
                <w:sz w:val="20"/>
                <w:szCs w:val="20"/>
                <w:color w:val="auto"/>
              </w:rPr>
            </w:pPr>
            <w:r>
              <w:rPr>
                <w:rFonts w:ascii="Arial" w:cs="Arial" w:eastAsia="Arial" w:hAnsi="Arial"/>
                <w:sz w:val="16"/>
                <w:szCs w:val="16"/>
                <w:color w:val="auto"/>
              </w:rPr>
              <w:t>​</w:t>
            </w:r>
          </w:p>
        </w:tc>
        <w:tc>
          <w:tcPr>
            <w:tcW w:w="9000" w:type="dxa"/>
            <w:vAlign w:val="bottom"/>
            <w:gridSpan w:val="4"/>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Unlike cash-based incentives, equity incentives have the dual benefit of allowing the Company to align the interests of our</w:t>
            </w:r>
          </w:p>
        </w:tc>
        <w:tc>
          <w:tcPr>
            <w:tcW w:w="880" w:type="dxa"/>
            <w:vAlign w:val="bottom"/>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60" w:type="dxa"/>
            <w:vAlign w:val="bottom"/>
            <w:gridSpan w:val="3"/>
          </w:tcPr>
          <w:p>
            <w:pPr>
              <w:ind w:left="80"/>
              <w:spacing w:after="0"/>
              <w:rPr>
                <w:sz w:val="20"/>
                <w:szCs w:val="20"/>
                <w:color w:val="auto"/>
              </w:rPr>
            </w:pPr>
            <w:r>
              <w:rPr>
                <w:rFonts w:ascii="Arial" w:cs="Arial" w:eastAsia="Arial" w:hAnsi="Arial"/>
                <w:sz w:val="16"/>
                <w:szCs w:val="16"/>
                <w:color w:val="auto"/>
              </w:rPr>
              <w:t>employees with those of long-term stockholders as well as deploy cash into creating incremental stockholder value.</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5"/>
        </w:trPr>
        <w:tc>
          <w:tcPr>
            <w:tcW w:w="820" w:type="dxa"/>
            <w:vAlign w:val="bottom"/>
          </w:tcPr>
          <w:p>
            <w:pPr>
              <w:spacing w:after="0"/>
              <w:rPr>
                <w:sz w:val="20"/>
                <w:szCs w:val="20"/>
                <w:color w:val="auto"/>
              </w:rPr>
            </w:pPr>
            <w:r>
              <w:rPr>
                <w:rFonts w:ascii="Arial" w:cs="Arial" w:eastAsia="Arial" w:hAnsi="Arial"/>
                <w:sz w:val="16"/>
                <w:szCs w:val="16"/>
                <w:color w:val="auto"/>
              </w:rPr>
              <w:t>​</w:t>
            </w:r>
          </w:p>
        </w:tc>
        <w:tc>
          <w:tcPr>
            <w:tcW w:w="9000" w:type="dxa"/>
            <w:vAlign w:val="bottom"/>
            <w:gridSpan w:val="4"/>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If SLG is not able to offer equity compensation, our ability to attract and retain employees who are critical to the creation of</w:t>
            </w:r>
          </w:p>
        </w:tc>
        <w:tc>
          <w:tcPr>
            <w:tcW w:w="880" w:type="dxa"/>
            <w:vAlign w:val="bottom"/>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60" w:type="dxa"/>
            <w:vAlign w:val="bottom"/>
            <w:gridSpan w:val="3"/>
          </w:tcPr>
          <w:p>
            <w:pPr>
              <w:ind w:left="80"/>
              <w:spacing w:after="0"/>
              <w:rPr>
                <w:sz w:val="20"/>
                <w:szCs w:val="20"/>
                <w:color w:val="auto"/>
              </w:rPr>
            </w:pPr>
            <w:r>
              <w:rPr>
                <w:rFonts w:ascii="Arial" w:cs="Arial" w:eastAsia="Arial" w:hAnsi="Arial"/>
                <w:sz w:val="16"/>
                <w:szCs w:val="16"/>
                <w:color w:val="auto"/>
              </w:rPr>
              <w:t>incremental stockholder value would be significantly impacted.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5"/>
        </w:trPr>
        <w:tc>
          <w:tcPr>
            <w:tcW w:w="820" w:type="dxa"/>
            <w:vAlign w:val="bottom"/>
          </w:tcPr>
          <w:p>
            <w:pPr>
              <w:spacing w:after="0"/>
              <w:rPr>
                <w:sz w:val="20"/>
                <w:szCs w:val="20"/>
                <w:color w:val="auto"/>
              </w:rPr>
            </w:pPr>
            <w:r>
              <w:rPr>
                <w:rFonts w:ascii="Arial" w:cs="Arial" w:eastAsia="Arial" w:hAnsi="Arial"/>
                <w:sz w:val="16"/>
                <w:szCs w:val="16"/>
                <w:color w:val="auto"/>
              </w:rPr>
              <w:t>​</w:t>
            </w:r>
          </w:p>
        </w:tc>
        <w:tc>
          <w:tcPr>
            <w:tcW w:w="9880" w:type="dxa"/>
            <w:vAlign w:val="bottom"/>
            <w:gridSpan w:val="5"/>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We therefore request that stockholders support the amendment of the 2005 Stock Option and Incentive Plan, the key features ​</w:t>
            </w: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60" w:type="dxa"/>
            <w:vAlign w:val="bottom"/>
            <w:gridSpan w:val="3"/>
          </w:tcPr>
          <w:p>
            <w:pPr>
              <w:ind w:left="80"/>
              <w:spacing w:after="0"/>
              <w:rPr>
                <w:sz w:val="20"/>
                <w:szCs w:val="20"/>
                <w:color w:val="auto"/>
              </w:rPr>
            </w:pPr>
            <w:r>
              <w:rPr>
                <w:rFonts w:ascii="Arial" w:cs="Arial" w:eastAsia="Arial" w:hAnsi="Arial"/>
                <w:sz w:val="16"/>
                <w:szCs w:val="16"/>
                <w:color w:val="auto"/>
              </w:rPr>
              <w:t>of which are highlighted below:</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-3529965</wp:posOffset>
            </wp:positionV>
            <wp:extent cx="6789420" cy="677227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6789420" cy="677227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p>
      <w:pPr>
        <w:spacing w:after="0" w:line="212" w:lineRule="exact"/>
        <w:rPr>
          <w:sz w:val="20"/>
          <w:szCs w:val="20"/>
          <w:color w:val="auto"/>
        </w:rPr>
      </w:pPr>
    </w:p>
    <w:p>
      <w:pPr>
        <w:ind w:left="820" w:right="20" w:hanging="814"/>
        <w:spacing w:after="0" w:line="181" w:lineRule="auto"/>
        <w:tabs>
          <w:tab w:leader="none" w:pos="820" w:val="left"/>
        </w:tabs>
        <w:numPr>
          <w:ilvl w:val="0"/>
          <w:numId w:val="118"/>
        </w:numPr>
        <w:rPr>
          <w:rFonts w:ascii="Arial" w:cs="Arial" w:eastAsia="Arial" w:hAnsi="Arial"/>
          <w:sz w:val="45"/>
          <w:szCs w:val="45"/>
          <w:b w:val="1"/>
          <w:bCs w:val="1"/>
          <w:color w:val="auto"/>
          <w:vertAlign w:val="superscript"/>
        </w:rPr>
      </w:pPr>
      <w:r>
        <w:rPr>
          <w:rFonts w:ascii="Arial" w:cs="Arial" w:eastAsia="Arial" w:hAnsi="Arial"/>
          <w:sz w:val="23"/>
          <w:szCs w:val="23"/>
          <w:b w:val="1"/>
          <w:bCs w:val="1"/>
          <w:color w:val="auto"/>
        </w:rPr>
        <w:t>Reasonable Plan Cost Allows Continued Alignment of Employee and Stockholder Interests</w:t>
      </w:r>
      <w:r>
        <w:rPr>
          <w:rFonts w:ascii="Arial" w:cs="Arial" w:eastAsia="Arial" w:hAnsi="Arial"/>
          <w:sz w:val="16"/>
          <w:szCs w:val="16"/>
          <w:color w:val="auto"/>
        </w:rPr>
        <w:t>​</w:t>
      </w:r>
    </w:p>
    <w:p>
      <w:pPr>
        <w:spacing w:after="0" w:line="28" w:lineRule="exact"/>
        <w:rPr>
          <w:rFonts w:ascii="Arial" w:cs="Arial" w:eastAsia="Arial" w:hAnsi="Arial"/>
          <w:sz w:val="45"/>
          <w:szCs w:val="45"/>
          <w:b w:val="1"/>
          <w:bCs w:val="1"/>
          <w:color w:val="auto"/>
          <w:vertAlign w:val="superscript"/>
        </w:rPr>
      </w:pPr>
    </w:p>
    <w:p>
      <w:pPr>
        <w:ind w:left="820" w:hanging="814"/>
        <w:spacing w:after="0" w:line="184" w:lineRule="exact"/>
        <w:tabs>
          <w:tab w:leader="none" w:pos="820" w:val="left"/>
        </w:tabs>
        <w:numPr>
          <w:ilvl w:val="0"/>
          <w:numId w:val="118"/>
        </w:numPr>
        <w:rPr>
          <w:rFonts w:ascii="Arial" w:cs="Arial" w:eastAsia="Arial" w:hAnsi="Arial"/>
          <w:sz w:val="16"/>
          <w:szCs w:val="16"/>
          <w:color w:val="auto"/>
        </w:rPr>
      </w:pPr>
      <w:r>
        <w:rPr>
          <w:rFonts w:ascii="MS PGothic" w:cs="MS PGothic" w:eastAsia="MS PGothic" w:hAnsi="MS PGothic"/>
          <w:sz w:val="16"/>
          <w:szCs w:val="16"/>
          <w:color w:val="83AD40"/>
        </w:rPr>
        <w:t>✓</w:t>
      </w:r>
      <w:r>
        <w:rPr>
          <w:rFonts w:ascii="Arial" w:cs="Arial" w:eastAsia="Arial" w:hAnsi="Arial"/>
          <w:sz w:val="16"/>
          <w:szCs w:val="16"/>
          <w:color w:val="auto"/>
        </w:rPr>
        <w:t xml:space="preserve"> Permits continued alignment of interests through use of equity compensation</w:t>
      </w:r>
    </w:p>
    <w:p>
      <w:pPr>
        <w:spacing w:after="0" w:line="140" w:lineRule="exact"/>
        <w:rPr>
          <w:rFonts w:ascii="Arial" w:cs="Arial" w:eastAsia="Arial" w:hAnsi="Arial"/>
          <w:sz w:val="16"/>
          <w:szCs w:val="16"/>
          <w:color w:val="auto"/>
        </w:rPr>
      </w:pPr>
    </w:p>
    <w:p>
      <w:pPr>
        <w:ind w:left="820" w:hanging="814"/>
        <w:spacing w:after="0" w:line="184" w:lineRule="exact"/>
        <w:tabs>
          <w:tab w:leader="none" w:pos="820" w:val="left"/>
        </w:tabs>
        <w:numPr>
          <w:ilvl w:val="0"/>
          <w:numId w:val="118"/>
        </w:numPr>
        <w:rPr>
          <w:rFonts w:ascii="Arial" w:cs="Arial" w:eastAsia="Arial" w:hAnsi="Arial"/>
          <w:sz w:val="16"/>
          <w:szCs w:val="16"/>
          <w:color w:val="auto"/>
        </w:rPr>
      </w:pPr>
      <w:r>
        <w:rPr>
          <w:rFonts w:ascii="MS PGothic" w:cs="MS PGothic" w:eastAsia="MS PGothic" w:hAnsi="MS PGothic"/>
          <w:sz w:val="16"/>
          <w:szCs w:val="16"/>
          <w:color w:val="83AD40"/>
        </w:rPr>
        <w:t>✓</w:t>
      </w:r>
      <w:r>
        <w:rPr>
          <w:rFonts w:ascii="Arial" w:cs="Arial" w:eastAsia="Arial" w:hAnsi="Arial"/>
          <w:sz w:val="16"/>
          <w:szCs w:val="16"/>
          <w:color w:val="auto"/>
        </w:rPr>
        <w:t xml:space="preserve"> Reasonable number of additional shares requested—7,680,000 fungible units = 2,400,000 full-value awards</w:t>
      </w:r>
    </w:p>
    <w:p>
      <w:pPr>
        <w:spacing w:after="0" w:line="153" w:lineRule="exact"/>
        <w:rPr>
          <w:rFonts w:ascii="Arial" w:cs="Arial" w:eastAsia="Arial" w:hAnsi="Arial"/>
          <w:sz w:val="16"/>
          <w:szCs w:val="16"/>
          <w:color w:val="auto"/>
        </w:rPr>
      </w:pPr>
    </w:p>
    <w:p>
      <w:pPr>
        <w:ind w:left="820" w:hanging="814"/>
        <w:spacing w:after="0" w:line="173" w:lineRule="exact"/>
        <w:tabs>
          <w:tab w:leader="none" w:pos="820" w:val="left"/>
        </w:tabs>
        <w:numPr>
          <w:ilvl w:val="0"/>
          <w:numId w:val="118"/>
        </w:numPr>
        <w:rPr>
          <w:rFonts w:ascii="Arial" w:cs="Arial" w:eastAsia="Arial" w:hAnsi="Arial"/>
          <w:sz w:val="15"/>
          <w:szCs w:val="15"/>
          <w:color w:val="auto"/>
        </w:rPr>
      </w:pPr>
      <w:r>
        <w:rPr>
          <w:rFonts w:ascii="MS PGothic" w:cs="MS PGothic" w:eastAsia="MS PGothic" w:hAnsi="MS PGothic"/>
          <w:sz w:val="15"/>
          <w:szCs w:val="15"/>
          <w:color w:val="83AD40"/>
        </w:rPr>
        <w:t>✓</w:t>
      </w:r>
      <w:r>
        <w:rPr>
          <w:rFonts w:ascii="Arial" w:cs="Arial" w:eastAsia="Arial" w:hAnsi="Arial"/>
          <w:sz w:val="15"/>
          <w:szCs w:val="15"/>
          <w:color w:val="auto"/>
        </w:rPr>
        <w:t xml:space="preserve"> Awards would not have a substantially dilutive effect (issuance of all full-value awards = less than 4% of shares outstanding)</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9720" w:space="160"/>
            <w:col w:w="840"/>
          </w:cols>
          <w:pgMar w:left="580" w:top="97" w:right="599" w:bottom="1440" w:gutter="0" w:footer="0" w:header="0"/>
          <w:type w:val="continuous"/>
        </w:sectPr>
      </w:pPr>
    </w:p>
    <w:p>
      <w:pPr>
        <w:spacing w:after="0" w:line="66" w:lineRule="exact"/>
        <w:rPr>
          <w:sz w:val="20"/>
          <w:szCs w:val="20"/>
          <w:color w:val="auto"/>
        </w:rPr>
      </w:pPr>
    </w:p>
    <w:p>
      <w:pPr>
        <w:spacing w:after="0" w:line="184" w:lineRule="exact"/>
        <w:tabs>
          <w:tab w:leader="none" w:pos="800" w:val="left"/>
          <w:tab w:leader="none" w:pos="9860" w:val="left"/>
        </w:tabs>
        <w:rPr>
          <w:sz w:val="20"/>
          <w:szCs w:val="20"/>
          <w:color w:val="auto"/>
        </w:rPr>
      </w:pPr>
      <w:r>
        <w:rPr>
          <w:rFonts w:ascii="Arial" w:cs="Arial" w:eastAsia="Arial" w:hAnsi="Arial"/>
          <w:sz w:val="16"/>
          <w:szCs w:val="16"/>
          <w:color w:val="auto"/>
        </w:rPr>
        <w:t>​</w:t>
      </w:r>
      <w:r>
        <w:rPr>
          <w:sz w:val="20"/>
          <w:szCs w:val="20"/>
          <w:color w:val="auto"/>
        </w:rPr>
        <w:tab/>
      </w:r>
      <w:r>
        <w:rPr>
          <w:rFonts w:ascii="MS PGothic" w:cs="MS PGothic" w:eastAsia="MS PGothic" w:hAnsi="MS PGothic"/>
          <w:sz w:val="16"/>
          <w:szCs w:val="16"/>
          <w:color w:val="83AD40"/>
        </w:rPr>
        <w:t>✓</w:t>
      </w:r>
      <w:r>
        <w:rPr>
          <w:rFonts w:ascii="Arial" w:cs="Arial" w:eastAsia="Arial" w:hAnsi="Arial"/>
          <w:sz w:val="16"/>
          <w:szCs w:val="16"/>
          <w:color w:val="auto"/>
        </w:rPr>
        <w:t xml:space="preserve"> Estimated duration of approximately three years</w:t>
      </w:r>
      <w:r>
        <w:rPr>
          <w:sz w:val="20"/>
          <w:szCs w:val="20"/>
          <w:color w:val="auto"/>
        </w:rPr>
        <w:tab/>
      </w:r>
      <w:r>
        <w:rPr>
          <w:rFonts w:ascii="Arial" w:cs="Arial" w:eastAsia="Arial" w:hAnsi="Arial"/>
          <w:sz w:val="16"/>
          <w:szCs w:val="16"/>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440" w:type="dxa"/>
            <w:vAlign w:val="bottom"/>
          </w:tcPr>
          <w:p>
            <w:pPr>
              <w:spacing w:after="0"/>
              <w:rPr>
                <w:sz w:val="20"/>
                <w:szCs w:val="20"/>
                <w:color w:val="auto"/>
              </w:rPr>
            </w:pPr>
            <w:r>
              <w:rPr>
                <w:rFonts w:ascii="Arial" w:cs="Arial" w:eastAsia="Arial" w:hAnsi="Arial"/>
                <w:sz w:val="23"/>
                <w:szCs w:val="23"/>
                <w:b w:val="1"/>
                <w:bCs w:val="1"/>
                <w:color w:val="auto"/>
              </w:rPr>
              <w:t>​</w:t>
            </w:r>
          </w:p>
        </w:tc>
        <w:tc>
          <w:tcPr>
            <w:tcW w:w="9340" w:type="dxa"/>
            <w:vAlign w:val="bottom"/>
            <w:vMerge w:val="restart"/>
          </w:tcPr>
          <w:p>
            <w:pPr>
              <w:ind w:left="380"/>
              <w:spacing w:after="0"/>
              <w:rPr>
                <w:sz w:val="20"/>
                <w:szCs w:val="20"/>
                <w:color w:val="auto"/>
              </w:rPr>
            </w:pPr>
            <w:r>
              <w:rPr>
                <w:rFonts w:ascii="Arial" w:cs="Arial" w:eastAsia="Arial" w:hAnsi="Arial"/>
                <w:sz w:val="23"/>
                <w:szCs w:val="23"/>
                <w:b w:val="1"/>
                <w:bCs w:val="1"/>
                <w:color w:val="auto"/>
              </w:rPr>
              <w:t>Responsible Grant Practices Enables Continued Focus on Pay-For-Performance</w:t>
            </w:r>
          </w:p>
        </w:tc>
        <w:tc>
          <w:tcPr>
            <w:tcW w:w="940" w:type="dxa"/>
            <w:vAlign w:val="bottom"/>
          </w:tcPr>
          <w:p>
            <w:pPr>
              <w:ind w:left="100"/>
              <w:spacing w:after="0"/>
              <w:rPr>
                <w:sz w:val="20"/>
                <w:szCs w:val="20"/>
                <w:color w:val="auto"/>
              </w:rPr>
            </w:pPr>
            <w:r>
              <w:rPr>
                <w:rFonts w:ascii="Arial" w:cs="Arial" w:eastAsia="Arial" w:hAnsi="Arial"/>
                <w:sz w:val="23"/>
                <w:szCs w:val="23"/>
                <w:b w:val="1"/>
                <w:bCs w:val="1"/>
                <w:color w:val="auto"/>
              </w:rPr>
              <w:t>​</w:t>
            </w:r>
          </w:p>
        </w:tc>
        <w:tc>
          <w:tcPr>
            <w:tcW w:w="0" w:type="dxa"/>
            <w:vAlign w:val="bottom"/>
          </w:tcPr>
          <w:p>
            <w:pPr>
              <w:spacing w:after="0"/>
              <w:rPr>
                <w:sz w:val="1"/>
                <w:szCs w:val="1"/>
                <w:color w:val="auto"/>
              </w:rPr>
            </w:pPr>
          </w:p>
        </w:tc>
      </w:tr>
      <w:tr>
        <w:trPr>
          <w:trHeight w:val="70"/>
        </w:trPr>
        <w:tc>
          <w:tcPr>
            <w:tcW w:w="440" w:type="dxa"/>
            <w:vAlign w:val="bottom"/>
          </w:tcPr>
          <w:p>
            <w:pPr>
              <w:spacing w:after="0"/>
              <w:rPr>
                <w:sz w:val="6"/>
                <w:szCs w:val="6"/>
                <w:color w:val="auto"/>
              </w:rPr>
            </w:pPr>
          </w:p>
        </w:tc>
        <w:tc>
          <w:tcPr>
            <w:tcW w:w="934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2"/>
        </w:trPr>
        <w:tc>
          <w:tcPr>
            <w:tcW w:w="440" w:type="dxa"/>
            <w:vAlign w:val="bottom"/>
          </w:tcPr>
          <w:p>
            <w:pPr>
              <w:spacing w:after="0"/>
              <w:rPr>
                <w:sz w:val="24"/>
                <w:szCs w:val="24"/>
                <w:color w:val="auto"/>
              </w:rPr>
            </w:pPr>
          </w:p>
        </w:tc>
        <w:tc>
          <w:tcPr>
            <w:tcW w:w="9340" w:type="dxa"/>
            <w:vAlign w:val="bottom"/>
          </w:tcPr>
          <w:p>
            <w:pPr>
              <w:ind w:left="380"/>
              <w:spacing w:after="0"/>
              <w:rPr>
                <w:sz w:val="20"/>
                <w:szCs w:val="20"/>
                <w:color w:val="auto"/>
              </w:rPr>
            </w:pPr>
            <w:r>
              <w:rPr>
                <w:rFonts w:ascii="Arial" w:cs="Arial" w:eastAsia="Arial" w:hAnsi="Arial"/>
                <w:sz w:val="23"/>
                <w:szCs w:val="23"/>
                <w:b w:val="1"/>
                <w:bCs w:val="1"/>
                <w:color w:val="auto"/>
              </w:rPr>
              <w:t>Philosophy</w:t>
            </w:r>
            <w:r>
              <w:rPr>
                <w:rFonts w:ascii="Arial" w:cs="Arial" w:eastAsia="Arial" w:hAnsi="Arial"/>
                <w:sz w:val="16"/>
                <w:szCs w:val="16"/>
                <w:color w:val="auto"/>
              </w:rPr>
              <w:t>​</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40" w:type="dxa"/>
            <w:vAlign w:val="bottom"/>
          </w:tcPr>
          <w:p>
            <w:pPr>
              <w:spacing w:after="0"/>
              <w:rPr>
                <w:sz w:val="20"/>
                <w:szCs w:val="20"/>
                <w:color w:val="auto"/>
              </w:rPr>
            </w:pPr>
            <w:r>
              <w:rPr>
                <w:rFonts w:ascii="Arial" w:cs="Arial" w:eastAsia="Arial" w:hAnsi="Arial"/>
                <w:sz w:val="16"/>
                <w:szCs w:val="16"/>
                <w:color w:val="auto"/>
              </w:rPr>
              <w:t>​</w:t>
            </w:r>
          </w:p>
        </w:tc>
        <w:tc>
          <w:tcPr>
            <w:tcW w:w="9340" w:type="dxa"/>
            <w:vAlign w:val="bottom"/>
          </w:tcPr>
          <w:p>
            <w:pPr>
              <w:ind w:left="380"/>
              <w:spacing w:after="0" w:line="184" w:lineRule="exact"/>
              <w:rPr>
                <w:sz w:val="20"/>
                <w:szCs w:val="20"/>
                <w:color w:val="auto"/>
              </w:rPr>
            </w:pPr>
            <w:r>
              <w:rPr>
                <w:rFonts w:ascii="MS PGothic" w:cs="MS PGothic" w:eastAsia="MS PGothic" w:hAnsi="MS PGothic"/>
                <w:sz w:val="16"/>
                <w:szCs w:val="16"/>
                <w:color w:val="83AD40"/>
              </w:rPr>
              <w:t>✓</w:t>
            </w:r>
            <w:r>
              <w:rPr>
                <w:rFonts w:ascii="Arial" w:cs="Arial" w:eastAsia="Arial" w:hAnsi="Arial"/>
                <w:sz w:val="16"/>
                <w:szCs w:val="16"/>
                <w:color w:val="auto"/>
              </w:rPr>
              <w:t xml:space="preserve"> All full-value equity awards for our CEO have vesting of at least three years and in 2024 more than 60% were performance-</w:t>
            </w:r>
          </w:p>
        </w:tc>
        <w:tc>
          <w:tcPr>
            <w:tcW w:w="940" w:type="dxa"/>
            <w:vAlign w:val="bottom"/>
          </w:tcPr>
          <w:p>
            <w:pPr>
              <w:ind w:lef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40" w:type="dxa"/>
            <w:vAlign w:val="bottom"/>
          </w:tcPr>
          <w:p>
            <w:pPr>
              <w:spacing w:after="0"/>
              <w:rPr>
                <w:sz w:val="18"/>
                <w:szCs w:val="18"/>
                <w:color w:val="auto"/>
              </w:rPr>
            </w:pPr>
          </w:p>
        </w:tc>
        <w:tc>
          <w:tcPr>
            <w:tcW w:w="9340" w:type="dxa"/>
            <w:vAlign w:val="bottom"/>
          </w:tcPr>
          <w:p>
            <w:pPr>
              <w:ind w:left="600"/>
              <w:spacing w:after="0"/>
              <w:rPr>
                <w:sz w:val="20"/>
                <w:szCs w:val="20"/>
                <w:color w:val="auto"/>
              </w:rPr>
            </w:pPr>
            <w:r>
              <w:rPr>
                <w:rFonts w:ascii="Arial" w:cs="Arial" w:eastAsia="Arial" w:hAnsi="Arial"/>
                <w:sz w:val="16"/>
                <w:szCs w:val="16"/>
                <w:color w:val="auto"/>
              </w:rPr>
              <w:t>based (excluding equity granted in lieu of cash for annual bonus)</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440" w:type="dxa"/>
            <w:vAlign w:val="bottom"/>
          </w:tcPr>
          <w:p>
            <w:pPr>
              <w:spacing w:after="0"/>
              <w:rPr>
                <w:sz w:val="20"/>
                <w:szCs w:val="20"/>
                <w:color w:val="auto"/>
              </w:rPr>
            </w:pPr>
            <w:r>
              <w:rPr>
                <w:rFonts w:ascii="Arial" w:cs="Arial" w:eastAsia="Arial" w:hAnsi="Arial"/>
                <w:sz w:val="16"/>
                <w:szCs w:val="16"/>
                <w:color w:val="auto"/>
              </w:rPr>
              <w:t>​</w:t>
            </w:r>
          </w:p>
        </w:tc>
        <w:tc>
          <w:tcPr>
            <w:tcW w:w="9340" w:type="dxa"/>
            <w:vAlign w:val="bottom"/>
          </w:tcPr>
          <w:p>
            <w:pPr>
              <w:ind w:left="380"/>
              <w:spacing w:after="0" w:line="184" w:lineRule="exact"/>
              <w:rPr>
                <w:sz w:val="20"/>
                <w:szCs w:val="20"/>
                <w:color w:val="auto"/>
              </w:rPr>
            </w:pPr>
            <w:r>
              <w:rPr>
                <w:rFonts w:ascii="MS PGothic" w:cs="MS PGothic" w:eastAsia="MS PGothic" w:hAnsi="MS PGothic"/>
                <w:sz w:val="16"/>
                <w:szCs w:val="16"/>
                <w:color w:val="83AD40"/>
              </w:rPr>
              <w:t>✓</w:t>
            </w:r>
            <w:r>
              <w:rPr>
                <w:rFonts w:ascii="Arial" w:cs="Arial" w:eastAsia="Arial" w:hAnsi="Arial"/>
                <w:sz w:val="16"/>
                <w:szCs w:val="16"/>
                <w:color w:val="auto"/>
              </w:rPr>
              <w:t xml:space="preserve"> Broad-based equity grants beyond NEOs include over 175 additional employees</w:t>
            </w:r>
          </w:p>
        </w:tc>
        <w:tc>
          <w:tcPr>
            <w:tcW w:w="940" w:type="dxa"/>
            <w:vAlign w:val="bottom"/>
          </w:tcPr>
          <w:p>
            <w:pPr>
              <w:ind w:lef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4"/>
        </w:trPr>
        <w:tc>
          <w:tcPr>
            <w:tcW w:w="440" w:type="dxa"/>
            <w:vAlign w:val="bottom"/>
          </w:tcPr>
          <w:p>
            <w:pPr>
              <w:spacing w:after="0"/>
              <w:rPr>
                <w:sz w:val="20"/>
                <w:szCs w:val="20"/>
                <w:color w:val="auto"/>
              </w:rPr>
            </w:pPr>
            <w:r>
              <w:rPr>
                <w:rFonts w:ascii="Arial" w:cs="Arial" w:eastAsia="Arial" w:hAnsi="Arial"/>
                <w:sz w:val="16"/>
                <w:szCs w:val="16"/>
                <w:color w:val="auto"/>
              </w:rPr>
              <w:t>​</w:t>
            </w:r>
          </w:p>
        </w:tc>
        <w:tc>
          <w:tcPr>
            <w:tcW w:w="9340" w:type="dxa"/>
            <w:vAlign w:val="bottom"/>
          </w:tcPr>
          <w:p>
            <w:pPr>
              <w:ind w:left="380"/>
              <w:spacing w:after="0" w:line="184" w:lineRule="exact"/>
              <w:rPr>
                <w:sz w:val="20"/>
                <w:szCs w:val="20"/>
                <w:color w:val="auto"/>
              </w:rPr>
            </w:pPr>
            <w:r>
              <w:rPr>
                <w:rFonts w:ascii="MS PGothic" w:cs="MS PGothic" w:eastAsia="MS PGothic" w:hAnsi="MS PGothic"/>
                <w:sz w:val="16"/>
                <w:szCs w:val="16"/>
                <w:color w:val="83AD40"/>
              </w:rPr>
              <w:t>✓</w:t>
            </w:r>
            <w:r>
              <w:rPr>
                <w:rFonts w:ascii="Arial" w:cs="Arial" w:eastAsia="Arial" w:hAnsi="Arial"/>
                <w:sz w:val="16"/>
                <w:szCs w:val="16"/>
                <w:color w:val="auto"/>
              </w:rPr>
              <w:t xml:space="preserve"> Clawback policy applies to equity awards and protects against undeserved earnings</w:t>
            </w:r>
          </w:p>
        </w:tc>
        <w:tc>
          <w:tcPr>
            <w:tcW w:w="940" w:type="dxa"/>
            <w:vAlign w:val="bottom"/>
          </w:tcPr>
          <w:p>
            <w:pPr>
              <w:ind w:lef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4"/>
        </w:trPr>
        <w:tc>
          <w:tcPr>
            <w:tcW w:w="440" w:type="dxa"/>
            <w:vAlign w:val="bottom"/>
          </w:tcPr>
          <w:p>
            <w:pPr>
              <w:spacing w:after="0"/>
              <w:rPr>
                <w:sz w:val="20"/>
                <w:szCs w:val="20"/>
                <w:color w:val="auto"/>
              </w:rPr>
            </w:pPr>
            <w:r>
              <w:rPr>
                <w:rFonts w:ascii="Arial" w:cs="Arial" w:eastAsia="Arial" w:hAnsi="Arial"/>
                <w:sz w:val="16"/>
                <w:szCs w:val="16"/>
                <w:color w:val="auto"/>
              </w:rPr>
              <w:t>​</w:t>
            </w:r>
          </w:p>
        </w:tc>
        <w:tc>
          <w:tcPr>
            <w:tcW w:w="9340" w:type="dxa"/>
            <w:vAlign w:val="bottom"/>
          </w:tcPr>
          <w:p>
            <w:pPr>
              <w:ind w:left="380"/>
              <w:spacing w:after="0" w:line="184" w:lineRule="exact"/>
              <w:rPr>
                <w:sz w:val="20"/>
                <w:szCs w:val="20"/>
                <w:color w:val="auto"/>
              </w:rPr>
            </w:pPr>
            <w:r>
              <w:rPr>
                <w:rFonts w:ascii="MS PGothic" w:cs="MS PGothic" w:eastAsia="MS PGothic" w:hAnsi="MS PGothic"/>
                <w:sz w:val="16"/>
                <w:szCs w:val="16"/>
                <w:color w:val="83AD40"/>
              </w:rPr>
              <w:t>✓</w:t>
            </w:r>
            <w:r>
              <w:rPr>
                <w:rFonts w:ascii="Arial" w:cs="Arial" w:eastAsia="Arial" w:hAnsi="Arial"/>
                <w:sz w:val="16"/>
                <w:szCs w:val="16"/>
                <w:color w:val="auto"/>
              </w:rPr>
              <w:t xml:space="preserve"> Robust performance-based hurdles for equity awards ensure earned vesting only for superior performance</w:t>
            </w:r>
          </w:p>
        </w:tc>
        <w:tc>
          <w:tcPr>
            <w:tcW w:w="940" w:type="dxa"/>
            <w:vAlign w:val="bottom"/>
          </w:tcPr>
          <w:p>
            <w:pPr>
              <w:ind w:lef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4"/>
        </w:trPr>
        <w:tc>
          <w:tcPr>
            <w:tcW w:w="440" w:type="dxa"/>
            <w:vAlign w:val="bottom"/>
          </w:tcPr>
          <w:p>
            <w:pPr>
              <w:spacing w:after="0"/>
              <w:rPr>
                <w:sz w:val="20"/>
                <w:szCs w:val="20"/>
                <w:color w:val="auto"/>
              </w:rPr>
            </w:pPr>
            <w:r>
              <w:rPr>
                <w:rFonts w:ascii="Arial" w:cs="Arial" w:eastAsia="Arial" w:hAnsi="Arial"/>
                <w:sz w:val="16"/>
                <w:szCs w:val="16"/>
                <w:color w:val="auto"/>
              </w:rPr>
              <w:t>​</w:t>
            </w:r>
          </w:p>
        </w:tc>
        <w:tc>
          <w:tcPr>
            <w:tcW w:w="9340" w:type="dxa"/>
            <w:vAlign w:val="bottom"/>
          </w:tcPr>
          <w:p>
            <w:pPr>
              <w:ind w:left="380"/>
              <w:spacing w:after="0" w:line="184" w:lineRule="exact"/>
              <w:rPr>
                <w:sz w:val="20"/>
                <w:szCs w:val="20"/>
                <w:color w:val="auto"/>
              </w:rPr>
            </w:pPr>
            <w:r>
              <w:rPr>
                <w:rFonts w:ascii="MS PGothic" w:cs="MS PGothic" w:eastAsia="MS PGothic" w:hAnsi="MS PGothic"/>
                <w:sz w:val="16"/>
                <w:szCs w:val="16"/>
                <w:color w:val="83AD40"/>
              </w:rPr>
              <w:t>✓</w:t>
            </w:r>
            <w:r>
              <w:rPr>
                <w:rFonts w:ascii="Arial" w:cs="Arial" w:eastAsia="Arial" w:hAnsi="Arial"/>
                <w:sz w:val="16"/>
                <w:szCs w:val="16"/>
                <w:color w:val="auto"/>
              </w:rPr>
              <w:t xml:space="preserve"> Robust stock ownership guidelines ensure employees think and act like owners</w:t>
            </w:r>
          </w:p>
        </w:tc>
        <w:tc>
          <w:tcPr>
            <w:tcW w:w="940" w:type="dxa"/>
            <w:vAlign w:val="bottom"/>
          </w:tcPr>
          <w:p>
            <w:pPr>
              <w:ind w:lef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40"/>
        </w:trPr>
        <w:tc>
          <w:tcPr>
            <w:tcW w:w="440" w:type="dxa"/>
            <w:vAlign w:val="bottom"/>
            <w:tcBorders>
              <w:bottom w:val="single" w:sz="8" w:color="9A9A9A"/>
            </w:tcBorders>
          </w:tcPr>
          <w:p>
            <w:pPr>
              <w:spacing w:after="0"/>
              <w:rPr>
                <w:sz w:val="24"/>
                <w:szCs w:val="24"/>
                <w:color w:val="auto"/>
              </w:rPr>
            </w:pPr>
          </w:p>
        </w:tc>
        <w:tc>
          <w:tcPr>
            <w:tcW w:w="93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171"/>
        </w:trPr>
        <w:tc>
          <w:tcPr>
            <w:tcW w:w="7440" w:type="dxa"/>
            <w:vAlign w:val="bottom"/>
            <w:gridSpan w:val="2"/>
          </w:tcPr>
          <w:p>
            <w:pPr>
              <w:spacing w:after="0"/>
              <w:rPr>
                <w:sz w:val="20"/>
                <w:szCs w:val="20"/>
                <w:color w:val="auto"/>
              </w:rPr>
            </w:pPr>
            <w:r>
              <w:rPr>
                <w:rFonts w:ascii="Calibri" w:cs="Calibri" w:eastAsia="Calibri" w:hAnsi="Calibri"/>
                <w:sz w:val="14"/>
                <w:szCs w:val="14"/>
                <w:color w:val="003366"/>
              </w:rPr>
              <w:t>TABLE OF CONTENTS</w:t>
            </w:r>
          </w:p>
        </w:tc>
        <w:tc>
          <w:tcPr>
            <w:tcW w:w="1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2"/>
        </w:trPr>
        <w:tc>
          <w:tcPr>
            <w:tcW w:w="82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Arial" w:cs="Arial" w:eastAsia="Arial" w:hAnsi="Arial"/>
                <w:sz w:val="14"/>
                <w:szCs w:val="14"/>
                <w:b w:val="1"/>
                <w:bCs w:val="1"/>
                <w:color w:val="auto"/>
              </w:rPr>
              <w:t>​</w:t>
            </w:r>
          </w:p>
        </w:tc>
        <w:tc>
          <w:tcPr>
            <w:tcW w:w="1920" w:type="dxa"/>
            <w:vAlign w:val="bottom"/>
          </w:tcPr>
          <w:p>
            <w:pPr>
              <w:ind w:left="1580"/>
              <w:spacing w:after="0"/>
              <w:rPr>
                <w:sz w:val="20"/>
                <w:szCs w:val="20"/>
                <w:color w:val="auto"/>
              </w:rPr>
            </w:pPr>
            <w:r>
              <w:rPr>
                <w:rFonts w:ascii="Arial" w:cs="Arial" w:eastAsia="Arial" w:hAnsi="Arial"/>
                <w:sz w:val="14"/>
                <w:szCs w:val="14"/>
                <w:b w:val="1"/>
                <w:bCs w:val="1"/>
                <w:color w:val="auto"/>
              </w:rPr>
              <w:t>​ ​</w:t>
            </w:r>
          </w:p>
        </w:tc>
        <w:tc>
          <w:tcPr>
            <w:tcW w:w="520" w:type="dxa"/>
            <w:vAlign w:val="bottom"/>
            <w:vMerge w:val="restart"/>
          </w:tcPr>
          <w:p>
            <w:pPr>
              <w:jc w:val="right"/>
              <w:spacing w:after="0"/>
              <w:rPr>
                <w:sz w:val="20"/>
                <w:szCs w:val="20"/>
                <w:color w:val="auto"/>
              </w:rPr>
            </w:pPr>
            <w:r>
              <w:rPr>
                <w:rFonts w:ascii="Arial" w:cs="Arial" w:eastAsia="Arial" w:hAnsi="Arial"/>
                <w:sz w:val="22"/>
                <w:szCs w:val="22"/>
                <w:b w:val="1"/>
                <w:bCs w:val="1"/>
                <w:color w:val="1F2668"/>
              </w:rPr>
              <w:t>87</w:t>
            </w:r>
          </w:p>
        </w:tc>
        <w:tc>
          <w:tcPr>
            <w:tcW w:w="82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620" w:type="dxa"/>
            <w:vAlign w:val="bottom"/>
          </w:tcPr>
          <w:p>
            <w:pPr>
              <w:spacing w:after="0"/>
              <w:rPr>
                <w:sz w:val="20"/>
                <w:szCs w:val="20"/>
                <w:color w:val="auto"/>
              </w:rPr>
            </w:pPr>
            <w:r>
              <w:rPr>
                <w:rFonts w:ascii="Arial" w:cs="Arial" w:eastAsia="Arial" w:hAnsi="Arial"/>
                <w:sz w:val="14"/>
                <w:szCs w:val="14"/>
                <w:b w:val="1"/>
                <w:bCs w:val="1"/>
                <w:color w:val="auto"/>
              </w:rPr>
              <w:t>OTHER MANAGEMENT PROPOSALS</w:t>
            </w:r>
          </w:p>
        </w:tc>
        <w:tc>
          <w:tcPr>
            <w:tcW w:w="192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7"/>
        </w:trPr>
        <w:tc>
          <w:tcPr>
            <w:tcW w:w="8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20" w:type="dxa"/>
            <w:vAlign w:val="bottom"/>
            <w:tcBorders>
              <w:bottom w:val="single" w:sz="8" w:color="E9F9D8"/>
            </w:tcBorders>
            <w:shd w:val="clear" w:color="auto" w:fill="E9F9D8"/>
          </w:tcPr>
          <w:p>
            <w:pPr>
              <w:spacing w:after="0"/>
              <w:rPr>
                <w:sz w:val="20"/>
                <w:szCs w:val="20"/>
                <w:color w:val="auto"/>
              </w:rPr>
            </w:pPr>
            <w:r>
              <w:rPr>
                <w:rFonts w:ascii="Arial" w:cs="Arial" w:eastAsia="Arial" w:hAnsi="Arial"/>
                <w:sz w:val="16"/>
                <w:szCs w:val="16"/>
                <w:color w:val="auto"/>
              </w:rPr>
              <w:t>​</w:t>
            </w:r>
          </w:p>
        </w:tc>
        <w:tc>
          <w:tcPr>
            <w:tcW w:w="6620" w:type="dxa"/>
            <w:vAlign w:val="bottom"/>
            <w:tcBorders>
              <w:bottom w:val="single" w:sz="8" w:color="E9F9D8"/>
            </w:tcBorders>
            <w:shd w:val="clear" w:color="auto" w:fill="E9F9D8"/>
          </w:tcPr>
          <w:p>
            <w:pPr>
              <w:spacing w:after="0"/>
              <w:rPr>
                <w:sz w:val="20"/>
                <w:szCs w:val="20"/>
                <w:color w:val="auto"/>
              </w:rPr>
            </w:pPr>
            <w:r>
              <w:rPr>
                <w:rFonts w:ascii="Arial" w:cs="Arial" w:eastAsia="Arial" w:hAnsi="Arial"/>
                <w:sz w:val="16"/>
                <w:szCs w:val="16"/>
                <w:color w:val="auto"/>
              </w:rPr>
              <w:t> </w:t>
            </w:r>
          </w:p>
        </w:tc>
        <w:tc>
          <w:tcPr>
            <w:tcW w:w="1920" w:type="dxa"/>
            <w:vAlign w:val="bottom"/>
            <w:tcBorders>
              <w:bottom w:val="single" w:sz="8" w:color="E9F9D8"/>
            </w:tcBorders>
            <w:shd w:val="clear" w:color="auto" w:fill="E9F9D8"/>
          </w:tcPr>
          <w:p>
            <w:pPr>
              <w:spacing w:after="0"/>
              <w:rPr>
                <w:sz w:val="21"/>
                <w:szCs w:val="21"/>
                <w:color w:val="auto"/>
              </w:rPr>
            </w:pPr>
          </w:p>
        </w:tc>
        <w:tc>
          <w:tcPr>
            <w:tcW w:w="520" w:type="dxa"/>
            <w:vAlign w:val="bottom"/>
            <w:tcBorders>
              <w:bottom w:val="single" w:sz="8" w:color="E9F9D8"/>
            </w:tcBorders>
            <w:shd w:val="clear" w:color="auto" w:fill="E9F9D8"/>
          </w:tcPr>
          <w:p>
            <w:pPr>
              <w:spacing w:after="0"/>
              <w:rPr>
                <w:sz w:val="21"/>
                <w:szCs w:val="21"/>
                <w:color w:val="auto"/>
              </w:rPr>
            </w:pPr>
          </w:p>
        </w:tc>
        <w:tc>
          <w:tcPr>
            <w:tcW w:w="820" w:type="dxa"/>
            <w:vAlign w:val="bottom"/>
            <w:tcBorders>
              <w:bottom w:val="single" w:sz="8" w:color="E9F9D8"/>
            </w:tcBorders>
            <w:shd w:val="clear" w:color="auto" w:fill="E9F9D8"/>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04"/>
        </w:trPr>
        <w:tc>
          <w:tcPr>
            <w:tcW w:w="820" w:type="dxa"/>
            <w:vAlign w:val="bottom"/>
          </w:tcPr>
          <w:p>
            <w:pPr>
              <w:spacing w:after="0"/>
              <w:rPr>
                <w:sz w:val="20"/>
                <w:szCs w:val="20"/>
                <w:color w:val="auto"/>
              </w:rPr>
            </w:pPr>
            <w:r>
              <w:rPr>
                <w:rFonts w:ascii="Arial" w:cs="Arial" w:eastAsia="Arial" w:hAnsi="Arial"/>
                <w:sz w:val="23"/>
                <w:szCs w:val="23"/>
                <w:b w:val="1"/>
                <w:bCs w:val="1"/>
                <w:color w:val="auto"/>
              </w:rPr>
              <w:t>​</w:t>
            </w:r>
          </w:p>
        </w:tc>
        <w:tc>
          <w:tcPr>
            <w:tcW w:w="8540" w:type="dxa"/>
            <w:vAlign w:val="bottom"/>
            <w:tcBorders>
              <w:bottom w:val="single" w:sz="8" w:color="E9F9D8"/>
            </w:tcBorders>
            <w:gridSpan w:val="2"/>
            <w:shd w:val="clear" w:color="auto" w:fill="E9F9D8"/>
          </w:tcPr>
          <w:p>
            <w:pPr>
              <w:spacing w:after="0"/>
              <w:rPr>
                <w:sz w:val="20"/>
                <w:szCs w:val="20"/>
                <w:color w:val="auto"/>
              </w:rPr>
            </w:pPr>
            <w:r>
              <w:rPr>
                <w:rFonts w:ascii="Arial" w:cs="Arial" w:eastAsia="Arial" w:hAnsi="Arial"/>
                <w:sz w:val="23"/>
                <w:szCs w:val="23"/>
                <w:b w:val="1"/>
                <w:bCs w:val="1"/>
                <w:color w:val="auto"/>
              </w:rPr>
              <w:t>Stockholder-Friendly Plan Features Protect Stockholder Interests</w:t>
            </w:r>
            <w:r>
              <w:rPr>
                <w:rFonts w:ascii="Arial" w:cs="Arial" w:eastAsia="Arial" w:hAnsi="Arial"/>
                <w:sz w:val="16"/>
                <w:szCs w:val="16"/>
                <w:color w:val="auto"/>
              </w:rPr>
              <w:t>​</w:t>
            </w:r>
          </w:p>
        </w:tc>
        <w:tc>
          <w:tcPr>
            <w:tcW w:w="520" w:type="dxa"/>
            <w:vAlign w:val="bottom"/>
            <w:tcBorders>
              <w:bottom w:val="single" w:sz="8" w:color="E9F9D8"/>
            </w:tcBorders>
            <w:shd w:val="clear" w:color="auto" w:fill="E9F9D8"/>
          </w:tcPr>
          <w:p>
            <w:pPr>
              <w:spacing w:after="0"/>
              <w:rPr>
                <w:sz w:val="24"/>
                <w:szCs w:val="24"/>
                <w:color w:val="auto"/>
              </w:rPr>
            </w:pPr>
          </w:p>
        </w:tc>
        <w:tc>
          <w:tcPr>
            <w:tcW w:w="820" w:type="dxa"/>
            <w:vAlign w:val="bottom"/>
            <w:tcBorders>
              <w:bottom w:val="single" w:sz="8" w:color="E9F9D8"/>
            </w:tcBorders>
            <w:shd w:val="clear" w:color="auto" w:fill="E9F9D8"/>
          </w:tcPr>
          <w:p>
            <w:pPr>
              <w:spacing w:after="0"/>
              <w:rPr>
                <w:sz w:val="20"/>
                <w:szCs w:val="20"/>
                <w:color w:val="auto"/>
              </w:rPr>
            </w:pPr>
            <w:r>
              <w:rPr>
                <w:rFonts w:ascii="Arial" w:cs="Arial" w:eastAsia="Arial" w:hAnsi="Arial"/>
                <w:sz w:val="23"/>
                <w:szCs w:val="23"/>
                <w:b w:val="1"/>
                <w:bCs w:val="1"/>
                <w:color w:val="auto"/>
              </w:rPr>
              <w:t>​</w:t>
            </w:r>
          </w:p>
        </w:tc>
        <w:tc>
          <w:tcPr>
            <w:tcW w:w="0" w:type="dxa"/>
            <w:vAlign w:val="bottom"/>
          </w:tcPr>
          <w:p>
            <w:pPr>
              <w:spacing w:after="0"/>
              <w:rPr>
                <w:sz w:val="1"/>
                <w:szCs w:val="1"/>
                <w:color w:val="auto"/>
              </w:rPr>
            </w:pPr>
          </w:p>
        </w:tc>
      </w:tr>
      <w:tr>
        <w:trPr>
          <w:trHeight w:val="223"/>
        </w:trPr>
        <w:tc>
          <w:tcPr>
            <w:tcW w:w="820" w:type="dxa"/>
            <w:vAlign w:val="bottom"/>
          </w:tcPr>
          <w:p>
            <w:pPr>
              <w:spacing w:after="0"/>
              <w:rPr>
                <w:sz w:val="20"/>
                <w:szCs w:val="20"/>
                <w:color w:val="auto"/>
              </w:rPr>
            </w:pPr>
            <w:r>
              <w:rPr>
                <w:rFonts w:ascii="Arial" w:cs="Arial" w:eastAsia="Arial" w:hAnsi="Arial"/>
                <w:sz w:val="16"/>
                <w:szCs w:val="16"/>
                <w:color w:val="auto"/>
              </w:rPr>
              <w:t>​</w:t>
            </w:r>
          </w:p>
        </w:tc>
        <w:tc>
          <w:tcPr>
            <w:tcW w:w="6620" w:type="dxa"/>
            <w:vAlign w:val="bottom"/>
            <w:shd w:val="clear" w:color="auto" w:fill="E9F9D8"/>
          </w:tcPr>
          <w:p>
            <w:pPr>
              <w:spacing w:after="0" w:line="184" w:lineRule="exact"/>
              <w:rPr>
                <w:sz w:val="20"/>
                <w:szCs w:val="20"/>
                <w:color w:val="auto"/>
              </w:rPr>
            </w:pPr>
            <w:r>
              <w:rPr>
                <w:rFonts w:ascii="MS PGothic" w:cs="MS PGothic" w:eastAsia="MS PGothic" w:hAnsi="MS PGothic"/>
                <w:sz w:val="16"/>
                <w:szCs w:val="16"/>
                <w:color w:val="83AD40"/>
              </w:rPr>
              <w:t>✓</w:t>
            </w:r>
            <w:r>
              <w:rPr>
                <w:rFonts w:ascii="Arial" w:cs="Arial" w:eastAsia="Arial" w:hAnsi="Arial"/>
                <w:sz w:val="16"/>
                <w:szCs w:val="16"/>
                <w:color w:val="auto"/>
              </w:rPr>
              <w:t xml:space="preserve"> No single trigger change in control vesting acceleration</w:t>
            </w:r>
          </w:p>
        </w:tc>
        <w:tc>
          <w:tcPr>
            <w:tcW w:w="1920" w:type="dxa"/>
            <w:vAlign w:val="bottom"/>
            <w:shd w:val="clear" w:color="auto" w:fill="E9F9D8"/>
          </w:tcPr>
          <w:p>
            <w:pPr>
              <w:spacing w:after="0"/>
              <w:rPr>
                <w:sz w:val="19"/>
                <w:szCs w:val="19"/>
                <w:color w:val="auto"/>
              </w:rPr>
            </w:pPr>
          </w:p>
        </w:tc>
        <w:tc>
          <w:tcPr>
            <w:tcW w:w="520" w:type="dxa"/>
            <w:vAlign w:val="bottom"/>
            <w:shd w:val="clear" w:color="auto" w:fill="E9F9D8"/>
          </w:tcPr>
          <w:p>
            <w:pPr>
              <w:spacing w:after="0"/>
              <w:rPr>
                <w:sz w:val="19"/>
                <w:szCs w:val="19"/>
                <w:color w:val="auto"/>
              </w:rPr>
            </w:pPr>
          </w:p>
        </w:tc>
        <w:tc>
          <w:tcPr>
            <w:tcW w:w="82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4"/>
        </w:trPr>
        <w:tc>
          <w:tcPr>
            <w:tcW w:w="820" w:type="dxa"/>
            <w:vAlign w:val="bottom"/>
          </w:tcPr>
          <w:p>
            <w:pPr>
              <w:spacing w:after="0"/>
              <w:rPr>
                <w:sz w:val="20"/>
                <w:szCs w:val="20"/>
                <w:color w:val="auto"/>
              </w:rPr>
            </w:pPr>
            <w:r>
              <w:rPr>
                <w:rFonts w:ascii="Arial" w:cs="Arial" w:eastAsia="Arial" w:hAnsi="Arial"/>
                <w:sz w:val="16"/>
                <w:szCs w:val="16"/>
                <w:color w:val="auto"/>
              </w:rPr>
              <w:t>​</w:t>
            </w:r>
          </w:p>
        </w:tc>
        <w:tc>
          <w:tcPr>
            <w:tcW w:w="6620" w:type="dxa"/>
            <w:vAlign w:val="bottom"/>
            <w:shd w:val="clear" w:color="auto" w:fill="E9F9D8"/>
          </w:tcPr>
          <w:p>
            <w:pPr>
              <w:spacing w:after="0" w:line="184" w:lineRule="exact"/>
              <w:rPr>
                <w:sz w:val="20"/>
                <w:szCs w:val="20"/>
                <w:color w:val="auto"/>
              </w:rPr>
            </w:pPr>
            <w:r>
              <w:rPr>
                <w:rFonts w:ascii="MS PGothic" w:cs="MS PGothic" w:eastAsia="MS PGothic" w:hAnsi="MS PGothic"/>
                <w:sz w:val="16"/>
                <w:szCs w:val="16"/>
                <w:color w:val="83AD40"/>
              </w:rPr>
              <w:t>✓</w:t>
            </w:r>
            <w:r>
              <w:rPr>
                <w:rFonts w:ascii="Arial" w:cs="Arial" w:eastAsia="Arial" w:hAnsi="Arial"/>
                <w:sz w:val="16"/>
                <w:szCs w:val="16"/>
                <w:color w:val="auto"/>
              </w:rPr>
              <w:t xml:space="preserve"> No repricing permitted without stockholder approval</w:t>
            </w:r>
          </w:p>
        </w:tc>
        <w:tc>
          <w:tcPr>
            <w:tcW w:w="1920" w:type="dxa"/>
            <w:vAlign w:val="bottom"/>
            <w:shd w:val="clear" w:color="auto" w:fill="E9F9D8"/>
          </w:tcPr>
          <w:p>
            <w:pPr>
              <w:spacing w:after="0"/>
              <w:rPr>
                <w:sz w:val="24"/>
                <w:szCs w:val="24"/>
                <w:color w:val="auto"/>
              </w:rPr>
            </w:pPr>
          </w:p>
        </w:tc>
        <w:tc>
          <w:tcPr>
            <w:tcW w:w="520" w:type="dxa"/>
            <w:vAlign w:val="bottom"/>
            <w:shd w:val="clear" w:color="auto" w:fill="E9F9D8"/>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4"/>
        </w:trPr>
        <w:tc>
          <w:tcPr>
            <w:tcW w:w="820" w:type="dxa"/>
            <w:vAlign w:val="bottom"/>
          </w:tcPr>
          <w:p>
            <w:pPr>
              <w:spacing w:after="0"/>
              <w:rPr>
                <w:sz w:val="20"/>
                <w:szCs w:val="20"/>
                <w:color w:val="auto"/>
              </w:rPr>
            </w:pPr>
            <w:r>
              <w:rPr>
                <w:rFonts w:ascii="Arial" w:cs="Arial" w:eastAsia="Arial" w:hAnsi="Arial"/>
                <w:sz w:val="16"/>
                <w:szCs w:val="16"/>
                <w:color w:val="auto"/>
              </w:rPr>
              <w:t>​</w:t>
            </w:r>
          </w:p>
        </w:tc>
        <w:tc>
          <w:tcPr>
            <w:tcW w:w="6620" w:type="dxa"/>
            <w:vAlign w:val="bottom"/>
            <w:shd w:val="clear" w:color="auto" w:fill="E9F9D8"/>
          </w:tcPr>
          <w:p>
            <w:pPr>
              <w:spacing w:after="0" w:line="184" w:lineRule="exact"/>
              <w:rPr>
                <w:sz w:val="20"/>
                <w:szCs w:val="20"/>
                <w:color w:val="auto"/>
              </w:rPr>
            </w:pPr>
            <w:r>
              <w:rPr>
                <w:rFonts w:ascii="MS PGothic" w:cs="MS PGothic" w:eastAsia="MS PGothic" w:hAnsi="MS PGothic"/>
                <w:sz w:val="16"/>
                <w:szCs w:val="16"/>
                <w:color w:val="83AD40"/>
              </w:rPr>
              <w:t>✓</w:t>
            </w:r>
            <w:r>
              <w:rPr>
                <w:rFonts w:ascii="Arial" w:cs="Arial" w:eastAsia="Arial" w:hAnsi="Arial"/>
                <w:sz w:val="16"/>
                <w:szCs w:val="16"/>
                <w:color w:val="auto"/>
              </w:rPr>
              <w:t xml:space="preserve"> Stockholder approval required to increase the share reserve (i.e., no “evergreen” feature)</w:t>
            </w:r>
          </w:p>
        </w:tc>
        <w:tc>
          <w:tcPr>
            <w:tcW w:w="1920" w:type="dxa"/>
            <w:vAlign w:val="bottom"/>
            <w:shd w:val="clear" w:color="auto" w:fill="E9F9D8"/>
          </w:tcPr>
          <w:p>
            <w:pPr>
              <w:spacing w:after="0"/>
              <w:rPr>
                <w:sz w:val="24"/>
                <w:szCs w:val="24"/>
                <w:color w:val="auto"/>
              </w:rPr>
            </w:pPr>
          </w:p>
        </w:tc>
        <w:tc>
          <w:tcPr>
            <w:tcW w:w="520" w:type="dxa"/>
            <w:vAlign w:val="bottom"/>
            <w:shd w:val="clear" w:color="auto" w:fill="E9F9D8"/>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4"/>
        </w:trPr>
        <w:tc>
          <w:tcPr>
            <w:tcW w:w="820" w:type="dxa"/>
            <w:vAlign w:val="bottom"/>
          </w:tcPr>
          <w:p>
            <w:pPr>
              <w:spacing w:after="0"/>
              <w:rPr>
                <w:sz w:val="20"/>
                <w:szCs w:val="20"/>
                <w:color w:val="auto"/>
              </w:rPr>
            </w:pPr>
            <w:r>
              <w:rPr>
                <w:rFonts w:ascii="Arial" w:cs="Arial" w:eastAsia="Arial" w:hAnsi="Arial"/>
                <w:sz w:val="16"/>
                <w:szCs w:val="16"/>
                <w:color w:val="auto"/>
              </w:rPr>
              <w:t>​</w:t>
            </w:r>
          </w:p>
        </w:tc>
        <w:tc>
          <w:tcPr>
            <w:tcW w:w="6620" w:type="dxa"/>
            <w:vAlign w:val="bottom"/>
            <w:shd w:val="clear" w:color="auto" w:fill="E9F9D8"/>
          </w:tcPr>
          <w:p>
            <w:pPr>
              <w:spacing w:after="0" w:line="184" w:lineRule="exact"/>
              <w:rPr>
                <w:sz w:val="20"/>
                <w:szCs w:val="20"/>
                <w:color w:val="auto"/>
              </w:rPr>
            </w:pPr>
            <w:r>
              <w:rPr>
                <w:rFonts w:ascii="MS PGothic" w:cs="MS PGothic" w:eastAsia="MS PGothic" w:hAnsi="MS PGothic"/>
                <w:sz w:val="16"/>
                <w:szCs w:val="16"/>
                <w:color w:val="83AD40"/>
              </w:rPr>
              <w:t>✓</w:t>
            </w:r>
            <w:r>
              <w:rPr>
                <w:rFonts w:ascii="Arial" w:cs="Arial" w:eastAsia="Arial" w:hAnsi="Arial"/>
                <w:sz w:val="16"/>
                <w:szCs w:val="16"/>
                <w:color w:val="auto"/>
              </w:rPr>
              <w:t xml:space="preserve"> No dividends or distributions paid on unearned performance-based awards</w:t>
            </w:r>
          </w:p>
        </w:tc>
        <w:tc>
          <w:tcPr>
            <w:tcW w:w="1920" w:type="dxa"/>
            <w:vAlign w:val="bottom"/>
            <w:shd w:val="clear" w:color="auto" w:fill="E9F9D8"/>
          </w:tcPr>
          <w:p>
            <w:pPr>
              <w:spacing w:after="0"/>
              <w:rPr>
                <w:sz w:val="24"/>
                <w:szCs w:val="24"/>
                <w:color w:val="auto"/>
              </w:rPr>
            </w:pPr>
          </w:p>
        </w:tc>
        <w:tc>
          <w:tcPr>
            <w:tcW w:w="520" w:type="dxa"/>
            <w:vAlign w:val="bottom"/>
            <w:shd w:val="clear" w:color="auto" w:fill="E9F9D8"/>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4"/>
        </w:trPr>
        <w:tc>
          <w:tcPr>
            <w:tcW w:w="820" w:type="dxa"/>
            <w:vAlign w:val="bottom"/>
          </w:tcPr>
          <w:p>
            <w:pPr>
              <w:spacing w:after="0"/>
              <w:rPr>
                <w:sz w:val="20"/>
                <w:szCs w:val="20"/>
                <w:color w:val="auto"/>
              </w:rPr>
            </w:pPr>
            <w:r>
              <w:rPr>
                <w:rFonts w:ascii="Arial" w:cs="Arial" w:eastAsia="Arial" w:hAnsi="Arial"/>
                <w:sz w:val="16"/>
                <w:szCs w:val="16"/>
                <w:color w:val="auto"/>
              </w:rPr>
              <w:t>​</w:t>
            </w:r>
          </w:p>
        </w:tc>
        <w:tc>
          <w:tcPr>
            <w:tcW w:w="8540" w:type="dxa"/>
            <w:vAlign w:val="bottom"/>
            <w:gridSpan w:val="2"/>
            <w:shd w:val="clear" w:color="auto" w:fill="E9F9D8"/>
          </w:tcPr>
          <w:p>
            <w:pPr>
              <w:spacing w:after="0" w:line="184" w:lineRule="exact"/>
              <w:rPr>
                <w:sz w:val="20"/>
                <w:szCs w:val="20"/>
                <w:color w:val="auto"/>
              </w:rPr>
            </w:pPr>
            <w:r>
              <w:rPr>
                <w:rFonts w:ascii="MS PGothic" w:cs="MS PGothic" w:eastAsia="MS PGothic" w:hAnsi="MS PGothic"/>
                <w:sz w:val="16"/>
                <w:szCs w:val="16"/>
                <w:color w:val="83AD40"/>
                <w:w w:val="99"/>
              </w:rPr>
              <w:t>✓</w:t>
            </w:r>
            <w:r>
              <w:rPr>
                <w:rFonts w:ascii="Arial" w:cs="Arial" w:eastAsia="Arial" w:hAnsi="Arial"/>
                <w:sz w:val="16"/>
                <w:szCs w:val="16"/>
                <w:color w:val="auto"/>
                <w:w w:val="99"/>
              </w:rPr>
              <w:t xml:space="preserve"> The provisions of the 2005 Stock Option and Incentive Plan are identical to the plan approved by stockholders in 2022</w:t>
            </w:r>
          </w:p>
        </w:tc>
        <w:tc>
          <w:tcPr>
            <w:tcW w:w="520" w:type="dxa"/>
            <w:vAlign w:val="bottom"/>
            <w:shd w:val="clear" w:color="auto" w:fill="E9F9D8"/>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8"/>
        </w:trPr>
        <w:tc>
          <w:tcPr>
            <w:tcW w:w="820" w:type="dxa"/>
            <w:vAlign w:val="bottom"/>
          </w:tcPr>
          <w:p>
            <w:pPr>
              <w:spacing w:after="0"/>
              <w:rPr>
                <w:sz w:val="24"/>
                <w:szCs w:val="24"/>
                <w:color w:val="auto"/>
              </w:rPr>
            </w:pPr>
          </w:p>
        </w:tc>
        <w:tc>
          <w:tcPr>
            <w:tcW w:w="6620" w:type="dxa"/>
            <w:vAlign w:val="bottom"/>
            <w:shd w:val="clear" w:color="auto" w:fill="E9F9D8"/>
          </w:tcPr>
          <w:p>
            <w:pPr>
              <w:spacing w:after="0"/>
              <w:rPr>
                <w:sz w:val="24"/>
                <w:szCs w:val="24"/>
                <w:color w:val="auto"/>
              </w:rPr>
            </w:pPr>
          </w:p>
        </w:tc>
        <w:tc>
          <w:tcPr>
            <w:tcW w:w="1920" w:type="dxa"/>
            <w:vAlign w:val="bottom"/>
            <w:shd w:val="clear" w:color="auto" w:fill="E9F9D8"/>
          </w:tcPr>
          <w:p>
            <w:pPr>
              <w:spacing w:after="0"/>
              <w:rPr>
                <w:sz w:val="24"/>
                <w:szCs w:val="24"/>
                <w:color w:val="auto"/>
              </w:rPr>
            </w:pPr>
          </w:p>
        </w:tc>
        <w:tc>
          <w:tcPr>
            <w:tcW w:w="520" w:type="dxa"/>
            <w:vAlign w:val="bottom"/>
            <w:shd w:val="clear" w:color="auto" w:fill="E9F9D8"/>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820" w:type="dxa"/>
            <w:vAlign w:val="bottom"/>
          </w:tcPr>
          <w:p>
            <w:pPr>
              <w:spacing w:after="0"/>
              <w:rPr>
                <w:sz w:val="23"/>
                <w:szCs w:val="23"/>
                <w:color w:val="auto"/>
              </w:rPr>
            </w:pPr>
          </w:p>
        </w:tc>
        <w:tc>
          <w:tcPr>
            <w:tcW w:w="6620" w:type="dxa"/>
            <w:vAlign w:val="bottom"/>
          </w:tcPr>
          <w:p>
            <w:pPr>
              <w:spacing w:after="0"/>
              <w:rPr>
                <w:sz w:val="20"/>
                <w:szCs w:val="20"/>
                <w:color w:val="auto"/>
              </w:rPr>
            </w:pPr>
            <w:r>
              <w:rPr>
                <w:rFonts w:ascii="Arial" w:cs="Arial" w:eastAsia="Arial" w:hAnsi="Arial"/>
                <w:sz w:val="20"/>
                <w:szCs w:val="20"/>
                <w:b w:val="1"/>
                <w:bCs w:val="1"/>
                <w:color w:val="1F2668"/>
              </w:rPr>
              <w:t>​</w:t>
            </w:r>
          </w:p>
        </w:tc>
        <w:tc>
          <w:tcPr>
            <w:tcW w:w="1920" w:type="dxa"/>
            <w:vAlign w:val="bottom"/>
          </w:tcPr>
          <w:p>
            <w:pPr>
              <w:ind w:left="160"/>
              <w:spacing w:after="0"/>
              <w:rPr>
                <w:sz w:val="20"/>
                <w:szCs w:val="20"/>
                <w:color w:val="auto"/>
              </w:rPr>
            </w:pPr>
            <w:r>
              <w:rPr>
                <w:rFonts w:ascii="Arial" w:cs="Arial" w:eastAsia="Arial" w:hAnsi="Arial"/>
                <w:sz w:val="20"/>
                <w:szCs w:val="20"/>
                <w:b w:val="1"/>
                <w:bCs w:val="1"/>
                <w:color w:val="1F2668"/>
              </w:rPr>
              <w:t>​  ​</w:t>
            </w:r>
          </w:p>
        </w:tc>
        <w:tc>
          <w:tcPr>
            <w:tcW w:w="520" w:type="dxa"/>
            <w:vAlign w:val="bottom"/>
          </w:tcPr>
          <w:p>
            <w:pPr>
              <w:jc w:val="right"/>
              <w:ind w:right="297"/>
              <w:spacing w:after="0"/>
              <w:rPr>
                <w:sz w:val="20"/>
                <w:szCs w:val="20"/>
                <w:color w:val="auto"/>
              </w:rPr>
            </w:pPr>
            <w:r>
              <w:rPr>
                <w:rFonts w:ascii="Arial" w:cs="Arial" w:eastAsia="Arial" w:hAnsi="Arial"/>
                <w:sz w:val="20"/>
                <w:szCs w:val="20"/>
                <w:b w:val="1"/>
                <w:bCs w:val="1"/>
                <w:color w:val="1F2668"/>
              </w:rPr>
              <w:t>​</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820" w:type="dxa"/>
            <w:vAlign w:val="bottom"/>
          </w:tcPr>
          <w:p>
            <w:pPr>
              <w:spacing w:after="0"/>
              <w:rPr>
                <w:sz w:val="24"/>
                <w:szCs w:val="24"/>
                <w:color w:val="auto"/>
              </w:rPr>
            </w:pPr>
          </w:p>
        </w:tc>
        <w:tc>
          <w:tcPr>
            <w:tcW w:w="6620" w:type="dxa"/>
            <w:vAlign w:val="bottom"/>
          </w:tcPr>
          <w:p>
            <w:pPr>
              <w:ind w:left="260"/>
              <w:spacing w:after="0"/>
              <w:rPr>
                <w:sz w:val="20"/>
                <w:szCs w:val="20"/>
                <w:color w:val="auto"/>
              </w:rPr>
            </w:pPr>
            <w:r>
              <w:rPr>
                <w:rFonts w:ascii="Arial" w:cs="Arial" w:eastAsia="Arial" w:hAnsi="Arial"/>
                <w:sz w:val="20"/>
                <w:szCs w:val="20"/>
                <w:b w:val="1"/>
                <w:bCs w:val="1"/>
                <w:color w:val="1F2668"/>
                <w:w w:val="99"/>
              </w:rPr>
              <w:t xml:space="preserve">The Board unanimously recommends a vote </w:t>
            </w:r>
            <w:r>
              <w:rPr>
                <w:rFonts w:ascii="Arial" w:cs="Arial" w:eastAsia="Arial" w:hAnsi="Arial"/>
                <w:sz w:val="20"/>
                <w:szCs w:val="20"/>
                <w:b w:val="1"/>
                <w:bCs w:val="1"/>
                <w:color w:val="83AD40"/>
                <w:w w:val="99"/>
              </w:rPr>
              <w:t>“FOR”</w:t>
            </w:r>
            <w:r>
              <w:rPr>
                <w:rFonts w:ascii="Arial" w:cs="Arial" w:eastAsia="Arial" w:hAnsi="Arial"/>
                <w:sz w:val="20"/>
                <w:szCs w:val="20"/>
                <w:b w:val="1"/>
                <w:bCs w:val="1"/>
                <w:color w:val="1F2668"/>
                <w:w w:val="99"/>
              </w:rPr>
              <w:t xml:space="preserve"> the approval of</w:t>
            </w:r>
          </w:p>
        </w:tc>
        <w:tc>
          <w:tcPr>
            <w:tcW w:w="1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6277610</wp:posOffset>
            </wp:positionH>
            <wp:positionV relativeFrom="paragraph">
              <wp:posOffset>-1522730</wp:posOffset>
            </wp:positionV>
            <wp:extent cx="514350" cy="224599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514350" cy="224599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-1899920</wp:posOffset>
            </wp:positionV>
            <wp:extent cx="514350" cy="262318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514350" cy="2623185"/>
                    </a:xfrm>
                    <a:prstGeom prst="rect">
                      <a:avLst/>
                    </a:prstGeom>
                    <a:noFill/>
                  </pic:spPr>
                </pic:pic>
              </a:graphicData>
            </a:graphic>
          </wp:anchor>
        </w:drawing>
        <w:drawing>
          <wp:anchor simplePos="0" relativeHeight="251657728" behindDoc="1" locked="0" layoutInCell="0" allowOverlap="1">
            <wp:simplePos x="0" y="0"/>
            <wp:positionH relativeFrom="column">
              <wp:posOffset>5351780</wp:posOffset>
            </wp:positionH>
            <wp:positionV relativeFrom="paragraph">
              <wp:posOffset>-160020</wp:posOffset>
            </wp:positionV>
            <wp:extent cx="411480" cy="41148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ind w:left="1080" w:right="3540"/>
        <w:spacing w:after="0" w:line="263" w:lineRule="auto"/>
        <w:rPr>
          <w:sz w:val="20"/>
          <w:szCs w:val="20"/>
          <w:color w:val="auto"/>
        </w:rPr>
      </w:pPr>
      <w:r>
        <w:rPr>
          <w:rFonts w:ascii="Arial" w:cs="Arial" w:eastAsia="Arial" w:hAnsi="Arial"/>
          <w:sz w:val="20"/>
          <w:szCs w:val="20"/>
          <w:b w:val="1"/>
          <w:bCs w:val="1"/>
          <w:color w:val="1F2668"/>
        </w:rPr>
        <w:t>our Sixth Amended and Restated 2005 Stock Option and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231140</wp:posOffset>
            </wp:positionV>
            <wp:extent cx="5760720" cy="17145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5760720" cy="17145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5764530</wp:posOffset>
            </wp:positionV>
            <wp:extent cx="6831965"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700"/>
          </w:cols>
          <w:pgMar w:left="580" w:top="97" w:right="619" w:bottom="1440" w:gutter="0" w:footer="0" w:header="0"/>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78" w:lineRule="exact"/>
        <w:rPr>
          <w:sz w:val="20"/>
          <w:szCs w:val="20"/>
          <w:color w:val="auto"/>
        </w:rPr>
      </w:pPr>
    </w:p>
    <w:p>
      <w:pPr>
        <w:ind w:left="820"/>
        <w:spacing w:after="0"/>
        <w:tabs>
          <w:tab w:leader="none" w:pos="1440" w:val="left"/>
          <w:tab w:leader="none" w:pos="9860" w:val="left"/>
        </w:tabs>
        <w:rPr>
          <w:sz w:val="20"/>
          <w:szCs w:val="20"/>
          <w:color w:val="auto"/>
        </w:rPr>
      </w:pPr>
      <w:r>
        <w:rPr>
          <w:rFonts w:ascii="Arial" w:cs="Arial" w:eastAsia="Arial" w:hAnsi="Arial"/>
          <w:sz w:val="22"/>
          <w:szCs w:val="22"/>
          <w:b w:val="1"/>
          <w:bCs w:val="1"/>
          <w:color w:val="1F2668"/>
        </w:rPr>
        <w:t>​88</w:t>
      </w:r>
      <w:r>
        <w:rPr>
          <w:sz w:val="20"/>
          <w:szCs w:val="20"/>
          <w:color w:val="auto"/>
        </w:rPr>
        <w:tab/>
      </w:r>
      <w:r>
        <w:rPr>
          <w:rFonts w:ascii="Arial" w:cs="Arial" w:eastAsia="Arial" w:hAnsi="Arial"/>
          <w:sz w:val="22"/>
          <w:szCs w:val="22"/>
          <w:b w:val="1"/>
          <w:bCs w:val="1"/>
          <w:color w:val="1F2668"/>
        </w:rPr>
        <w:t xml:space="preserve">​ ​ </w:t>
      </w:r>
      <w:r>
        <w:rPr>
          <w:rFonts w:ascii="Arial" w:cs="Arial" w:eastAsia="Arial" w:hAnsi="Arial"/>
          <w:sz w:val="14"/>
          <w:szCs w:val="14"/>
          <w:b w:val="1"/>
          <w:bCs w:val="1"/>
          <w:color w:val="1F2668"/>
        </w:rPr>
        <w:t>SL GREEN REALTY CORP. 2025 PROXY STATEMENT</w:t>
      </w:r>
      <w:r>
        <w:rPr>
          <w:sz w:val="20"/>
          <w:szCs w:val="20"/>
          <w:color w:val="auto"/>
        </w:rPr>
        <w:tab/>
      </w:r>
      <w:r>
        <w:rPr>
          <w:rFonts w:ascii="Arial" w:cs="Arial" w:eastAsia="Arial" w:hAnsi="Arial"/>
          <w:sz w:val="22"/>
          <w:szCs w:val="22"/>
          <w:b w:val="1"/>
          <w:bCs w:val="1"/>
          <w:color w:val="1F2668"/>
        </w:rPr>
        <w:t>​</w:t>
      </w:r>
    </w:p>
    <w:p>
      <w:pPr>
        <w:spacing w:after="0" w:line="200" w:lineRule="exact"/>
        <w:rPr>
          <w:sz w:val="20"/>
          <w:szCs w:val="20"/>
          <w:color w:val="auto"/>
        </w:rPr>
      </w:pPr>
    </w:p>
    <w:p>
      <w:pPr>
        <w:spacing w:after="0" w:line="270" w:lineRule="exact"/>
        <w:rPr>
          <w:sz w:val="20"/>
          <w:szCs w:val="20"/>
          <w:color w:val="auto"/>
        </w:rPr>
      </w:pPr>
    </w:p>
    <w:p>
      <w:pPr>
        <w:ind w:left="820"/>
        <w:spacing w:after="0"/>
        <w:rPr>
          <w:sz w:val="20"/>
          <w:szCs w:val="20"/>
          <w:color w:val="auto"/>
        </w:rPr>
      </w:pPr>
      <w:r>
        <w:rPr>
          <w:rFonts w:ascii="Arial" w:cs="Arial" w:eastAsia="Arial" w:hAnsi="Arial"/>
          <w:sz w:val="29"/>
          <w:szCs w:val="29"/>
          <w:b w:val="1"/>
          <w:bCs w:val="1"/>
          <w:color w:val="83AD40"/>
        </w:rPr>
        <w:t>SHARES AVAILABLE FOR ISSUANCE</w:t>
      </w:r>
    </w:p>
    <w:p>
      <w:pPr>
        <w:spacing w:after="0" w:line="159" w:lineRule="exact"/>
        <w:rPr>
          <w:sz w:val="20"/>
          <w:szCs w:val="20"/>
          <w:color w:val="auto"/>
        </w:rPr>
      </w:pPr>
    </w:p>
    <w:p>
      <w:pPr>
        <w:ind w:left="820" w:right="60"/>
        <w:spacing w:after="0" w:line="276" w:lineRule="auto"/>
        <w:rPr>
          <w:sz w:val="20"/>
          <w:szCs w:val="20"/>
          <w:color w:val="auto"/>
        </w:rPr>
      </w:pPr>
      <w:r>
        <w:rPr>
          <w:rFonts w:ascii="Arial" w:cs="Arial" w:eastAsia="Arial" w:hAnsi="Arial"/>
          <w:sz w:val="16"/>
          <w:szCs w:val="16"/>
          <w:color w:val="auto"/>
        </w:rPr>
        <w:t>The Sixth Amended 2005 Plan increases the reserved number of units used for purposes of the Fifth Amended 2005 Plan to determine the number of shares that may be subject to awards thereunder (the “Fungible Units”) by 7,680,000 Fungible Units. As of March 31, 2025, there were 1,454,240 Fungible Units available under our Fifth Amended 2005 Plan. The Fungible Units represent the baseline for the number of shares of common stock available for issuance under our Fifth Amended 2005 Plan from which, as described in more detail below, different types of awards are counted differently against the Fungible Unit limit. By increasing the reserved Fungible Units, we will be able to continue to use equity awards to attract, retain and motivate employees.</w:t>
      </w:r>
    </w:p>
    <w:p>
      <w:pPr>
        <w:spacing w:after="0" w:line="112" w:lineRule="exact"/>
        <w:rPr>
          <w:sz w:val="20"/>
          <w:szCs w:val="20"/>
          <w:color w:val="auto"/>
        </w:rPr>
      </w:pPr>
    </w:p>
    <w:p>
      <w:pPr>
        <w:ind w:left="820" w:right="140"/>
        <w:spacing w:after="0" w:line="276" w:lineRule="auto"/>
        <w:rPr>
          <w:sz w:val="20"/>
          <w:szCs w:val="20"/>
          <w:color w:val="auto"/>
        </w:rPr>
      </w:pPr>
      <w:r>
        <w:rPr>
          <w:rFonts w:ascii="Arial" w:cs="Arial" w:eastAsia="Arial" w:hAnsi="Arial"/>
          <w:sz w:val="16"/>
          <w:szCs w:val="16"/>
          <w:color w:val="auto"/>
        </w:rPr>
        <w:t>Equity awards, or in some cases cash awards, under the Sixth Amended 2005 Plan will be granted in exchange for services provided by key employees, directors, officers, advisors, consultants or other personnel or other persons. Therefore, we believe that having an equity plan in place with a sufficient number of shares is critical to our ability to attract, retain and motivate employees in a highly competitive marketplace and ensure that our executive compensation is structured in a manner that aligns the executives’ interests with our success. If our stockholders approve this increase in the Fungible Units for grants under the Sixth Amended 2005 Plan, we anticipate we will have sufficient shares to provide equity awards to attract, retain and motivate employees for approximately the next three years.</w:t>
      </w:r>
    </w:p>
    <w:p>
      <w:pPr>
        <w:spacing w:after="0" w:line="112" w:lineRule="exact"/>
        <w:rPr>
          <w:sz w:val="20"/>
          <w:szCs w:val="20"/>
          <w:color w:val="auto"/>
        </w:rPr>
      </w:pPr>
    </w:p>
    <w:p>
      <w:pPr>
        <w:ind w:left="820" w:right="100"/>
        <w:spacing w:after="0" w:line="271" w:lineRule="auto"/>
        <w:rPr>
          <w:sz w:val="20"/>
          <w:szCs w:val="20"/>
          <w:color w:val="auto"/>
        </w:rPr>
      </w:pPr>
      <w:r>
        <w:rPr>
          <w:rFonts w:ascii="Arial" w:cs="Arial" w:eastAsia="Arial" w:hAnsi="Arial"/>
          <w:sz w:val="16"/>
          <w:szCs w:val="16"/>
          <w:color w:val="auto"/>
        </w:rPr>
        <w:t>As of the record date for the annual meeting, March 31, 2025, there were an aggregate of 75,680,656 shares of common stock, common operating partnership units outstanding and LTIP units (excluding unearned performance-based LTIP units). As of March 31, 2025, the latest practical date prior to the date hereof, our common stock was $57.70 per share. In addition, as of March 31, 2025, the number of securities to be issued upon the exercise of outstanding options, warrants and unvested full value awards for which we have reserved shares under our Fifth Amended 2005 Plan is equal to 2,680,549, which consists of</w:t>
      </w:r>
    </w:p>
    <w:p>
      <w:pPr>
        <w:spacing w:after="0" w:line="1" w:lineRule="exact"/>
        <w:rPr>
          <w:sz w:val="20"/>
          <w:szCs w:val="20"/>
          <w:color w:val="auto"/>
        </w:rPr>
      </w:pPr>
    </w:p>
    <w:p>
      <w:pPr>
        <w:ind w:left="820" w:right="100" w:hanging="4"/>
        <w:spacing w:after="0" w:line="294" w:lineRule="auto"/>
        <w:tabs>
          <w:tab w:leader="none" w:pos="1002" w:val="left"/>
        </w:tabs>
        <w:numPr>
          <w:ilvl w:val="0"/>
          <w:numId w:val="119"/>
        </w:numPr>
        <w:rPr>
          <w:rFonts w:ascii="Arial" w:cs="Arial" w:eastAsia="Arial" w:hAnsi="Arial"/>
          <w:sz w:val="15"/>
          <w:szCs w:val="15"/>
          <w:color w:val="auto"/>
        </w:rPr>
      </w:pPr>
      <w:r>
        <w:rPr>
          <w:rFonts w:ascii="Arial" w:cs="Arial" w:eastAsia="Arial" w:hAnsi="Arial"/>
          <w:sz w:val="15"/>
          <w:szCs w:val="15"/>
          <w:color w:val="auto"/>
        </w:rPr>
        <w:t>352,917 shares of common stock issuable upon the exercise of outstanding options, which amount includes Class O LTIP units (135,000 of which options and Class O LTIP units are vested and exercisable), (ii) 1,245,724 unvested shares of restricted common stock and unvested LTIP units that, upon the satisfaction of certain conditions, are convertible into common units, which may be presented to us for redemption and acquired by us for shares of our common stock and (iii) 1,081,908 shares of common stock reserved in connection with LTIP units that could be earned, subject to performance-based vesting. No awards other than the foregoing were outstanding as of March 31, 2025, under any of our existing or prior equity compensation plans, except for vested full value awards (phantom stock units and vested LTIP units that have not yet been settled for shares of common stock).</w:t>
      </w:r>
    </w:p>
    <w:p>
      <w:pPr>
        <w:spacing w:after="0" w:line="296" w:lineRule="exact"/>
        <w:rPr>
          <w:sz w:val="20"/>
          <w:szCs w:val="20"/>
          <w:color w:val="auto"/>
        </w:rPr>
      </w:pPr>
    </w:p>
    <w:p>
      <w:pPr>
        <w:ind w:left="820"/>
        <w:spacing w:after="0"/>
        <w:rPr>
          <w:sz w:val="20"/>
          <w:szCs w:val="20"/>
          <w:color w:val="auto"/>
        </w:rPr>
      </w:pPr>
      <w:r>
        <w:rPr>
          <w:rFonts w:ascii="Arial" w:cs="Arial" w:eastAsia="Arial" w:hAnsi="Arial"/>
          <w:sz w:val="29"/>
          <w:szCs w:val="29"/>
          <w:b w:val="1"/>
          <w:bCs w:val="1"/>
          <w:color w:val="83AD40"/>
        </w:rPr>
        <w:t>BURN RATE</w:t>
      </w:r>
    </w:p>
    <w:p>
      <w:pPr>
        <w:spacing w:after="0" w:line="159" w:lineRule="exact"/>
        <w:rPr>
          <w:sz w:val="20"/>
          <w:szCs w:val="20"/>
          <w:color w:val="auto"/>
        </w:rPr>
      </w:pPr>
    </w:p>
    <w:p>
      <w:pPr>
        <w:jc w:val="both"/>
        <w:ind w:left="820" w:right="160"/>
        <w:spacing w:after="0" w:line="283" w:lineRule="auto"/>
        <w:rPr>
          <w:sz w:val="20"/>
          <w:szCs w:val="20"/>
          <w:color w:val="auto"/>
        </w:rPr>
      </w:pPr>
      <w:r>
        <w:rPr>
          <w:rFonts w:ascii="Arial" w:cs="Arial" w:eastAsia="Arial" w:hAnsi="Arial"/>
          <w:sz w:val="16"/>
          <w:szCs w:val="16"/>
          <w:color w:val="auto"/>
        </w:rPr>
        <w:t>The following table sets forth information regarding historical awards granted and earned for the 2022 through 2024 period, and the corresponding burn rate, which is defined as the number of shares subject to stock awards granted (or, for awards subject to performance based vesting, earned) in a fiscal year divided by the weighted average common shares outstanding for that fiscal year, for each of the last three fiscal years:</w:t>
      </w:r>
    </w:p>
    <w:p>
      <w:pPr>
        <w:sectPr>
          <w:pgSz w:w="11900" w:h="16838" w:orient="portrait"/>
          <w:cols w:equalWidth="0" w:num="1">
            <w:col w:w="9940"/>
          </w:cols>
          <w:pgMar w:left="580" w:top="97" w:right="1379" w:bottom="1440" w:gutter="0" w:footer="0" w:header="0"/>
        </w:sectPr>
      </w:pPr>
    </w:p>
    <w:p>
      <w:pPr>
        <w:spacing w:after="0" w:line="190" w:lineRule="exact"/>
        <w:rPr>
          <w:sz w:val="20"/>
          <w:szCs w:val="20"/>
          <w:color w:val="auto"/>
        </w:rPr>
      </w:pPr>
    </w:p>
    <w:p>
      <w:pPr>
        <w:ind w:left="820"/>
        <w:spacing w:after="0"/>
        <w:rPr>
          <w:sz w:val="20"/>
          <w:szCs w:val="20"/>
          <w:color w:val="auto"/>
        </w:rPr>
      </w:pPr>
      <w:r>
        <w:rPr>
          <w:rFonts w:ascii="Arial" w:cs="Arial" w:eastAsia="Arial" w:hAnsi="Arial"/>
          <w:sz w:val="14"/>
          <w:szCs w:val="14"/>
          <w:color w:val="1F2668"/>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15240</wp:posOffset>
            </wp:positionV>
            <wp:extent cx="3960495"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3960495" cy="8890"/>
                    </a:xfrm>
                    <a:prstGeom prst="rect">
                      <a:avLst/>
                    </a:prstGeom>
                    <a:noFill/>
                  </pic:spPr>
                </pic:pic>
              </a:graphicData>
            </a:graphic>
          </wp:anchor>
        </w:drawing>
      </w:r>
    </w:p>
    <w:p>
      <w:pPr>
        <w:spacing w:after="0" w:line="68" w:lineRule="exact"/>
        <w:rPr>
          <w:sz w:val="20"/>
          <w:szCs w:val="20"/>
          <w:color w:val="auto"/>
        </w:rPr>
      </w:pPr>
    </w:p>
    <w:p>
      <w:pPr>
        <w:ind w:left="820"/>
        <w:spacing w:after="0"/>
        <w:rPr>
          <w:sz w:val="20"/>
          <w:szCs w:val="20"/>
          <w:color w:val="auto"/>
        </w:rPr>
      </w:pPr>
      <w:r>
        <w:rPr>
          <w:rFonts w:ascii="Arial" w:cs="Arial" w:eastAsia="Arial" w:hAnsi="Arial"/>
          <w:sz w:val="16"/>
          <w:szCs w:val="16"/>
          <w:color w:val="auto"/>
        </w:rPr>
        <w:t>Stock options granted</w:t>
      </w:r>
      <w:r>
        <w:rPr>
          <w:rFonts w:ascii="Arial" w:cs="Arial" w:eastAsia="Arial" w:hAnsi="Arial"/>
          <w:sz w:val="19"/>
          <w:szCs w:val="1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34925</wp:posOffset>
            </wp:positionV>
            <wp:extent cx="3960495"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3960495" cy="8890"/>
                    </a:xfrm>
                    <a:prstGeom prst="rect">
                      <a:avLst/>
                    </a:prstGeom>
                    <a:noFill/>
                  </pic:spPr>
                </pic:pic>
              </a:graphicData>
            </a:graphic>
          </wp:anchor>
        </w:drawing>
      </w:r>
    </w:p>
    <w:p>
      <w:pPr>
        <w:spacing w:after="0" w:line="8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Time-based full-value shares and units granted</w:t>
      </w:r>
      <w:r>
        <w:rPr>
          <w:rFonts w:ascii="Arial" w:cs="Arial" w:eastAsia="Arial" w:hAnsi="Arial"/>
          <w:sz w:val="19"/>
          <w:szCs w:val="1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34925</wp:posOffset>
            </wp:positionV>
            <wp:extent cx="396049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8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Performance-based full-value shares and units earned during the year</w:t>
      </w:r>
      <w:r>
        <w:rPr>
          <w:rFonts w:ascii="Arial" w:cs="Arial" w:eastAsia="Arial" w:hAnsi="Arial"/>
          <w:sz w:val="19"/>
          <w:szCs w:val="19"/>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34925</wp:posOffset>
            </wp:positionV>
            <wp:extent cx="3960495"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3960495" cy="8890"/>
                    </a:xfrm>
                    <a:prstGeom prst="rect">
                      <a:avLst/>
                    </a:prstGeom>
                    <a:noFill/>
                  </pic:spPr>
                </pic:pic>
              </a:graphicData>
            </a:graphic>
          </wp:anchor>
        </w:drawing>
      </w:r>
    </w:p>
    <w:p>
      <w:pPr>
        <w:spacing w:after="0" w:line="74" w:lineRule="exact"/>
        <w:rPr>
          <w:sz w:val="20"/>
          <w:szCs w:val="20"/>
          <w:color w:val="auto"/>
        </w:rPr>
      </w:pPr>
    </w:p>
    <w:p>
      <w:pPr>
        <w:ind w:left="820"/>
        <w:spacing w:after="0" w:line="268" w:lineRule="auto"/>
        <w:rPr>
          <w:sz w:val="20"/>
          <w:szCs w:val="20"/>
          <w:color w:val="auto"/>
        </w:rPr>
      </w:pPr>
      <w:r>
        <w:rPr>
          <w:rFonts w:ascii="Arial" w:cs="Arial" w:eastAsia="Arial" w:hAnsi="Arial"/>
          <w:sz w:val="16"/>
          <w:szCs w:val="16"/>
          <w:color w:val="auto"/>
        </w:rPr>
        <w:t>Total time-based full-value awards granted and performance-based full-value awards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22225</wp:posOffset>
            </wp:positionV>
            <wp:extent cx="396049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6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Total Awards Granted/Earned</w:t>
      </w:r>
      <w:r>
        <w:rPr>
          <w:rFonts w:ascii="Arial" w:cs="Arial" w:eastAsia="Arial" w:hAnsi="Arial"/>
          <w:sz w:val="19"/>
          <w:szCs w:val="19"/>
          <w:b w:val="1"/>
          <w:bCs w:val="1"/>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36195</wp:posOffset>
            </wp:positionV>
            <wp:extent cx="396049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88" w:lineRule="exact"/>
        <w:rPr>
          <w:sz w:val="20"/>
          <w:szCs w:val="20"/>
          <w:color w:val="auto"/>
        </w:rPr>
      </w:pPr>
    </w:p>
    <w:p>
      <w:pPr>
        <w:ind w:left="820"/>
        <w:spacing w:after="0"/>
        <w:rPr>
          <w:sz w:val="20"/>
          <w:szCs w:val="20"/>
          <w:color w:val="auto"/>
        </w:rPr>
      </w:pPr>
      <w:r>
        <w:rPr>
          <w:rFonts w:ascii="Arial" w:cs="Arial" w:eastAsia="Arial" w:hAnsi="Arial"/>
          <w:sz w:val="16"/>
          <w:szCs w:val="16"/>
          <w:color w:val="auto"/>
        </w:rPr>
        <w:t>Weighted average common shares/units outstanding during the fiscal year</w:t>
      </w:r>
      <w:r>
        <w:rPr>
          <w:rFonts w:ascii="Arial" w:cs="Arial" w:eastAsia="Arial" w:hAnsi="Arial"/>
          <w:sz w:val="19"/>
          <w:szCs w:val="19"/>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34925</wp:posOffset>
            </wp:positionV>
            <wp:extent cx="3960495"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3960495" cy="8890"/>
                    </a:xfrm>
                    <a:prstGeom prst="rect">
                      <a:avLst/>
                    </a:prstGeom>
                    <a:noFill/>
                  </pic:spPr>
                </pic:pic>
              </a:graphicData>
            </a:graphic>
          </wp:anchor>
        </w:drawing>
      </w:r>
    </w:p>
    <w:p>
      <w:pPr>
        <w:spacing w:after="0" w:line="8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Annual Burn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38100</wp:posOffset>
            </wp:positionV>
            <wp:extent cx="396049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67"/>
        </w:trPr>
        <w:tc>
          <w:tcPr>
            <w:tcW w:w="240" w:type="dxa"/>
            <w:vAlign w:val="bottom"/>
            <w:gridSpan w:val="2"/>
          </w:tcPr>
          <w:p>
            <w:pPr>
              <w:jc w:val="center"/>
              <w:ind w:right="100"/>
              <w:spacing w:after="0"/>
              <w:rPr>
                <w:sz w:val="20"/>
                <w:szCs w:val="20"/>
                <w:color w:val="auto"/>
              </w:rPr>
            </w:pPr>
            <w:r>
              <w:rPr>
                <w:rFonts w:ascii="Arial" w:cs="Arial" w:eastAsia="Arial" w:hAnsi="Arial"/>
                <w:sz w:val="14"/>
                <w:szCs w:val="14"/>
                <w:color w:val="1F2668"/>
              </w:rPr>
              <w:t>​​</w:t>
            </w:r>
          </w:p>
        </w:tc>
        <w:tc>
          <w:tcPr>
            <w:tcW w:w="1080" w:type="dxa"/>
            <w:vAlign w:val="bottom"/>
            <w:gridSpan w:val="3"/>
          </w:tcPr>
          <w:p>
            <w:pPr>
              <w:jc w:val="right"/>
              <w:ind w:right="260"/>
              <w:spacing w:after="0"/>
              <w:rPr>
                <w:sz w:val="20"/>
                <w:szCs w:val="20"/>
                <w:color w:val="auto"/>
              </w:rPr>
            </w:pPr>
            <w:r>
              <w:rPr>
                <w:rFonts w:ascii="Arial" w:cs="Arial" w:eastAsia="Arial" w:hAnsi="Arial"/>
                <w:sz w:val="14"/>
                <w:szCs w:val="14"/>
                <w:color w:val="1F2668"/>
              </w:rPr>
              <w:t xml:space="preserve">2024 </w:t>
            </w:r>
            <w:r>
              <w:rPr>
                <w:rFonts w:ascii="Arial" w:cs="Arial" w:eastAsia="Arial" w:hAnsi="Arial"/>
                <w:sz w:val="28"/>
                <w:szCs w:val="28"/>
                <w:color w:val="1F2668"/>
                <w:vertAlign w:val="subscript"/>
              </w:rPr>
              <w:t>​​</w:t>
            </w:r>
          </w:p>
        </w:tc>
        <w:tc>
          <w:tcPr>
            <w:tcW w:w="800" w:type="dxa"/>
            <w:vAlign w:val="bottom"/>
            <w:gridSpan w:val="3"/>
          </w:tcPr>
          <w:p>
            <w:pPr>
              <w:jc w:val="right"/>
              <w:ind w:right="100"/>
              <w:spacing w:after="0"/>
              <w:rPr>
                <w:sz w:val="20"/>
                <w:szCs w:val="20"/>
                <w:color w:val="auto"/>
              </w:rPr>
            </w:pPr>
            <w:r>
              <w:rPr>
                <w:rFonts w:ascii="Arial" w:cs="Arial" w:eastAsia="Arial" w:hAnsi="Arial"/>
                <w:sz w:val="14"/>
                <w:szCs w:val="14"/>
                <w:color w:val="1F2668"/>
              </w:rPr>
              <w:t xml:space="preserve">2023 </w:t>
            </w:r>
            <w:r>
              <w:rPr>
                <w:rFonts w:ascii="Arial" w:cs="Arial" w:eastAsia="Arial" w:hAnsi="Arial"/>
                <w:sz w:val="28"/>
                <w:szCs w:val="28"/>
                <w:color w:val="1F2668"/>
                <w:vertAlign w:val="subscript"/>
              </w:rPr>
              <w:t>​​</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1F2668"/>
              </w:rPr>
              <w:t>2022</w:t>
            </w:r>
            <w:r>
              <w:rPr>
                <w:rFonts w:ascii="Arial" w:cs="Arial" w:eastAsia="Arial" w:hAnsi="Arial"/>
                <w:sz w:val="28"/>
                <w:szCs w:val="28"/>
                <w:color w:val="1F2668"/>
                <w:vertAlign w:val="subscript"/>
              </w:rPr>
              <w:t>​</w:t>
            </w:r>
          </w:p>
        </w:tc>
      </w:tr>
      <w:tr>
        <w:trPr>
          <w:trHeight w:val="20"/>
        </w:trPr>
        <w:tc>
          <w:tcPr>
            <w:tcW w:w="80" w:type="dxa"/>
            <w:vAlign w:val="bottom"/>
          </w:tcPr>
          <w:p>
            <w:pPr>
              <w:spacing w:after="0" w:line="20" w:lineRule="exact"/>
              <w:rPr>
                <w:sz w:val="1"/>
                <w:szCs w:val="1"/>
                <w:color w:val="auto"/>
              </w:rPr>
            </w:pPr>
          </w:p>
        </w:tc>
        <w:tc>
          <w:tcPr>
            <w:tcW w:w="160" w:type="dxa"/>
            <w:vAlign w:val="bottom"/>
            <w:shd w:val="clear" w:color="auto" w:fill="1F2668"/>
          </w:tcPr>
          <w:p>
            <w:pPr>
              <w:spacing w:after="0" w:line="20" w:lineRule="exact"/>
              <w:rPr>
                <w:sz w:val="1"/>
                <w:szCs w:val="1"/>
                <w:color w:val="auto"/>
              </w:rPr>
            </w:pPr>
          </w:p>
        </w:tc>
        <w:tc>
          <w:tcPr>
            <w:tcW w:w="68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1F2668"/>
          </w:tcPr>
          <w:p>
            <w:pPr>
              <w:spacing w:after="0" w:line="20" w:lineRule="exact"/>
              <w:rPr>
                <w:sz w:val="1"/>
                <w:szCs w:val="1"/>
                <w:color w:val="auto"/>
              </w:rPr>
            </w:pPr>
          </w:p>
        </w:tc>
        <w:tc>
          <w:tcPr>
            <w:tcW w:w="54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1F2668"/>
          </w:tcPr>
          <w:p>
            <w:pPr>
              <w:spacing w:after="0" w:line="20" w:lineRule="exact"/>
              <w:rPr>
                <w:sz w:val="1"/>
                <w:szCs w:val="1"/>
                <w:color w:val="auto"/>
              </w:rPr>
            </w:pPr>
          </w:p>
        </w:tc>
        <w:tc>
          <w:tcPr>
            <w:tcW w:w="680" w:type="dxa"/>
            <w:vAlign w:val="bottom"/>
            <w:shd w:val="clear" w:color="auto" w:fill="1F266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240" w:type="dxa"/>
            <w:vAlign w:val="bottom"/>
            <w:gridSpan w:val="2"/>
          </w:tcPr>
          <w:p>
            <w:pPr>
              <w:jc w:val="center"/>
              <w:ind w:right="100"/>
              <w:spacing w:after="0" w:line="318"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1080" w:type="dxa"/>
            <w:vAlign w:val="bottom"/>
            <w:gridSpan w:val="3"/>
          </w:tcPr>
          <w:p>
            <w:pPr>
              <w:jc w:val="right"/>
              <w:ind w:right="240"/>
              <w:spacing w:after="0" w:line="318" w:lineRule="exact"/>
              <w:rPr>
                <w:sz w:val="20"/>
                <w:szCs w:val="20"/>
                <w:color w:val="auto"/>
              </w:rPr>
            </w:pPr>
            <w:r>
              <w:rPr>
                <w:rFonts w:ascii="Arial" w:cs="Arial" w:eastAsia="Arial" w:hAnsi="Arial"/>
                <w:sz w:val="32"/>
                <w:szCs w:val="32"/>
                <w:color w:val="auto"/>
                <w:vertAlign w:val="superscript"/>
              </w:rPr>
              <w:t>0</w:t>
            </w: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800" w:type="dxa"/>
            <w:vAlign w:val="bottom"/>
            <w:gridSpan w:val="3"/>
          </w:tcPr>
          <w:p>
            <w:pPr>
              <w:jc w:val="right"/>
              <w:ind w:right="100"/>
              <w:spacing w:after="0" w:line="318" w:lineRule="exact"/>
              <w:rPr>
                <w:sz w:val="20"/>
                <w:szCs w:val="20"/>
                <w:color w:val="auto"/>
              </w:rPr>
            </w:pPr>
            <w:r>
              <w:rPr>
                <w:rFonts w:ascii="Arial" w:cs="Arial" w:eastAsia="Arial" w:hAnsi="Arial"/>
                <w:sz w:val="32"/>
                <w:szCs w:val="32"/>
                <w:color w:val="auto"/>
                <w:vertAlign w:val="superscript"/>
              </w:rPr>
              <w:t>0</w:t>
            </w: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740" w:type="dxa"/>
            <w:vAlign w:val="bottom"/>
            <w:gridSpan w:val="2"/>
          </w:tcPr>
          <w:p>
            <w:pPr>
              <w:jc w:val="right"/>
              <w:spacing w:after="0" w:line="318" w:lineRule="exact"/>
              <w:rPr>
                <w:sz w:val="20"/>
                <w:szCs w:val="20"/>
                <w:color w:val="auto"/>
              </w:rPr>
            </w:pPr>
            <w:r>
              <w:rPr>
                <w:rFonts w:ascii="Arial" w:cs="Arial" w:eastAsia="Arial" w:hAnsi="Arial"/>
                <w:sz w:val="32"/>
                <w:szCs w:val="32"/>
                <w:color w:val="auto"/>
                <w:vertAlign w:val="superscript"/>
              </w:rPr>
              <w:t>0</w:t>
            </w:r>
            <w:r>
              <w:rPr>
                <w:rFonts w:ascii="Arial" w:cs="Arial" w:eastAsia="Arial" w:hAnsi="Arial"/>
                <w:sz w:val="16"/>
                <w:szCs w:val="16"/>
                <w:color w:val="auto"/>
              </w:rPr>
              <w:t>​</w:t>
            </w:r>
          </w:p>
        </w:tc>
      </w:tr>
      <w:tr>
        <w:trPr>
          <w:trHeight w:val="20"/>
        </w:trPr>
        <w:tc>
          <w:tcPr>
            <w:tcW w:w="80" w:type="dxa"/>
            <w:vAlign w:val="bottom"/>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68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680" w:type="dxa"/>
            <w:vAlign w:val="bottom"/>
            <w:shd w:val="clear" w:color="auto" w:fill="4B5088"/>
          </w:tcPr>
          <w:p>
            <w:pPr>
              <w:spacing w:after="0" w:line="20" w:lineRule="exact"/>
              <w:rPr>
                <w:sz w:val="1"/>
                <w:szCs w:val="1"/>
                <w:color w:val="auto"/>
              </w:rPr>
            </w:pPr>
          </w:p>
        </w:tc>
        <w:tc>
          <w:tcPr>
            <w:tcW w:w="60" w:type="dxa"/>
            <w:vAlign w:val="bottom"/>
            <w:tcBorders>
              <w:left w:val="single" w:sz="8" w:color="4B5088"/>
            </w:tcBorders>
          </w:tcPr>
          <w:p>
            <w:pPr>
              <w:spacing w:after="0" w:line="20" w:lineRule="exact"/>
              <w:rPr>
                <w:sz w:val="1"/>
                <w:szCs w:val="1"/>
                <w:color w:val="auto"/>
              </w:rPr>
            </w:pPr>
          </w:p>
        </w:tc>
      </w:tr>
      <w:tr>
        <w:trPr>
          <w:trHeight w:val="304"/>
        </w:trPr>
        <w:tc>
          <w:tcPr>
            <w:tcW w:w="240" w:type="dxa"/>
            <w:vAlign w:val="bottom"/>
            <w:gridSpan w:val="2"/>
          </w:tcPr>
          <w:p>
            <w:pPr>
              <w:jc w:val="center"/>
              <w:ind w:right="100"/>
              <w:spacing w:after="0" w:line="304"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1880" w:type="dxa"/>
            <w:vAlign w:val="bottom"/>
            <w:gridSpan w:val="6"/>
          </w:tcPr>
          <w:p>
            <w:pPr>
              <w:jc w:val="right"/>
              <w:ind w:right="100"/>
              <w:spacing w:after="0" w:line="304" w:lineRule="exact"/>
              <w:rPr>
                <w:sz w:val="20"/>
                <w:szCs w:val="20"/>
                <w:color w:val="auto"/>
              </w:rPr>
            </w:pPr>
            <w:r>
              <w:rPr>
                <w:rFonts w:ascii="Arial" w:cs="Arial" w:eastAsia="Arial" w:hAnsi="Arial"/>
                <w:sz w:val="16"/>
                <w:szCs w:val="16"/>
                <w:color w:val="auto"/>
              </w:rPr>
              <w:t>981,204</w:t>
            </w:r>
            <w:r>
              <w:rPr>
                <w:rFonts w:ascii="Arial" w:cs="Arial" w:eastAsia="Arial" w:hAnsi="Arial"/>
                <w:sz w:val="32"/>
                <w:szCs w:val="32"/>
                <w:color w:val="auto"/>
                <w:vertAlign w:val="subscript"/>
              </w:rPr>
              <w:t>​​​​</w:t>
            </w:r>
            <w:r>
              <w:rPr>
                <w:rFonts w:ascii="Arial" w:cs="Arial" w:eastAsia="Arial" w:hAnsi="Arial"/>
                <w:sz w:val="16"/>
                <w:szCs w:val="16"/>
                <w:color w:val="auto"/>
              </w:rPr>
              <w:t>​  991,682</w:t>
            </w:r>
            <w:r>
              <w:rPr>
                <w:rFonts w:ascii="Arial" w:cs="Arial" w:eastAsia="Arial" w:hAnsi="Arial"/>
                <w:sz w:val="32"/>
                <w:szCs w:val="32"/>
                <w:color w:val="auto"/>
                <w:vertAlign w:val="subscript"/>
              </w:rPr>
              <w:t>​​​​</w:t>
            </w:r>
            <w:r>
              <w:rPr>
                <w:rFonts w:ascii="Arial" w:cs="Arial" w:eastAsia="Arial" w:hAnsi="Arial"/>
                <w:sz w:val="16"/>
                <w:szCs w:val="16"/>
                <w:color w:val="auto"/>
              </w:rPr>
              <w:t>​</w:t>
            </w:r>
          </w:p>
        </w:tc>
        <w:tc>
          <w:tcPr>
            <w:tcW w:w="740" w:type="dxa"/>
            <w:vAlign w:val="bottom"/>
            <w:gridSpan w:val="2"/>
          </w:tcPr>
          <w:p>
            <w:pPr>
              <w:jc w:val="right"/>
              <w:spacing w:after="0" w:line="304" w:lineRule="exact"/>
              <w:rPr>
                <w:sz w:val="20"/>
                <w:szCs w:val="20"/>
                <w:color w:val="auto"/>
              </w:rPr>
            </w:pPr>
            <w:r>
              <w:rPr>
                <w:rFonts w:ascii="Arial" w:cs="Arial" w:eastAsia="Arial" w:hAnsi="Arial"/>
                <w:sz w:val="16"/>
                <w:szCs w:val="16"/>
                <w:color w:val="auto"/>
              </w:rPr>
              <w:t>765,405</w:t>
            </w:r>
            <w:r>
              <w:rPr>
                <w:rFonts w:ascii="Arial" w:cs="Arial" w:eastAsia="Arial" w:hAnsi="Arial"/>
                <w:sz w:val="32"/>
                <w:szCs w:val="32"/>
                <w:color w:val="auto"/>
                <w:vertAlign w:val="subscript"/>
              </w:rPr>
              <w:t>​</w:t>
            </w:r>
          </w:p>
        </w:tc>
      </w:tr>
      <w:tr>
        <w:trPr>
          <w:trHeight w:val="20"/>
        </w:trPr>
        <w:tc>
          <w:tcPr>
            <w:tcW w:w="80" w:type="dxa"/>
            <w:vAlign w:val="bottom"/>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68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680" w:type="dxa"/>
            <w:vAlign w:val="bottom"/>
            <w:shd w:val="clear" w:color="auto" w:fill="4B5088"/>
          </w:tcPr>
          <w:p>
            <w:pPr>
              <w:spacing w:after="0" w:line="20" w:lineRule="exact"/>
              <w:rPr>
                <w:sz w:val="1"/>
                <w:szCs w:val="1"/>
                <w:color w:val="auto"/>
              </w:rPr>
            </w:pPr>
          </w:p>
        </w:tc>
        <w:tc>
          <w:tcPr>
            <w:tcW w:w="60" w:type="dxa"/>
            <w:vAlign w:val="bottom"/>
            <w:tcBorders>
              <w:left w:val="single" w:sz="8" w:color="4B5088"/>
            </w:tcBorders>
          </w:tcPr>
          <w:p>
            <w:pPr>
              <w:spacing w:after="0" w:line="20" w:lineRule="exact"/>
              <w:rPr>
                <w:sz w:val="1"/>
                <w:szCs w:val="1"/>
                <w:color w:val="auto"/>
              </w:rPr>
            </w:pPr>
          </w:p>
        </w:tc>
      </w:tr>
      <w:tr>
        <w:trPr>
          <w:trHeight w:val="304"/>
        </w:trPr>
        <w:tc>
          <w:tcPr>
            <w:tcW w:w="240" w:type="dxa"/>
            <w:vAlign w:val="bottom"/>
            <w:gridSpan w:val="2"/>
          </w:tcPr>
          <w:p>
            <w:pPr>
              <w:jc w:val="center"/>
              <w:ind w:right="100"/>
              <w:spacing w:after="0" w:line="304"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1880" w:type="dxa"/>
            <w:vAlign w:val="bottom"/>
            <w:gridSpan w:val="6"/>
          </w:tcPr>
          <w:p>
            <w:pPr>
              <w:jc w:val="right"/>
              <w:ind w:right="100"/>
              <w:spacing w:after="0" w:line="304" w:lineRule="exact"/>
              <w:rPr>
                <w:sz w:val="20"/>
                <w:szCs w:val="20"/>
                <w:color w:val="auto"/>
              </w:rPr>
            </w:pPr>
            <w:r>
              <w:rPr>
                <w:rFonts w:ascii="Arial" w:cs="Arial" w:eastAsia="Arial" w:hAnsi="Arial"/>
                <w:sz w:val="16"/>
                <w:szCs w:val="16"/>
                <w:color w:val="auto"/>
              </w:rPr>
              <w:t>368,699</w:t>
            </w:r>
            <w:r>
              <w:rPr>
                <w:rFonts w:ascii="Arial" w:cs="Arial" w:eastAsia="Arial" w:hAnsi="Arial"/>
                <w:sz w:val="32"/>
                <w:szCs w:val="32"/>
                <w:color w:val="auto"/>
                <w:vertAlign w:val="subscript"/>
              </w:rPr>
              <w:t>​​​​</w:t>
            </w:r>
            <w:r>
              <w:rPr>
                <w:rFonts w:ascii="Arial" w:cs="Arial" w:eastAsia="Arial" w:hAnsi="Arial"/>
                <w:sz w:val="16"/>
                <w:szCs w:val="16"/>
                <w:color w:val="auto"/>
              </w:rPr>
              <w:t>​  400,066</w:t>
            </w:r>
            <w:r>
              <w:rPr>
                <w:rFonts w:ascii="Arial" w:cs="Arial" w:eastAsia="Arial" w:hAnsi="Arial"/>
                <w:sz w:val="32"/>
                <w:szCs w:val="32"/>
                <w:color w:val="auto"/>
                <w:vertAlign w:val="subscript"/>
              </w:rPr>
              <w:t>​​​​</w:t>
            </w:r>
            <w:r>
              <w:rPr>
                <w:rFonts w:ascii="Arial" w:cs="Arial" w:eastAsia="Arial" w:hAnsi="Arial"/>
                <w:sz w:val="16"/>
                <w:szCs w:val="16"/>
                <w:color w:val="auto"/>
              </w:rPr>
              <w:t>​</w:t>
            </w:r>
          </w:p>
        </w:tc>
        <w:tc>
          <w:tcPr>
            <w:tcW w:w="740" w:type="dxa"/>
            <w:vAlign w:val="bottom"/>
            <w:gridSpan w:val="2"/>
          </w:tcPr>
          <w:p>
            <w:pPr>
              <w:jc w:val="right"/>
              <w:spacing w:after="0" w:line="304" w:lineRule="exact"/>
              <w:rPr>
                <w:sz w:val="20"/>
                <w:szCs w:val="20"/>
                <w:color w:val="auto"/>
              </w:rPr>
            </w:pPr>
            <w:r>
              <w:rPr>
                <w:rFonts w:ascii="Arial" w:cs="Arial" w:eastAsia="Arial" w:hAnsi="Arial"/>
                <w:sz w:val="16"/>
                <w:szCs w:val="16"/>
                <w:color w:val="auto"/>
              </w:rPr>
              <w:t>143,253</w:t>
            </w:r>
            <w:r>
              <w:rPr>
                <w:rFonts w:ascii="Arial" w:cs="Arial" w:eastAsia="Arial" w:hAnsi="Arial"/>
                <w:sz w:val="32"/>
                <w:szCs w:val="32"/>
                <w:color w:val="auto"/>
                <w:vertAlign w:val="subscript"/>
              </w:rPr>
              <w:t>​</w:t>
            </w:r>
          </w:p>
        </w:tc>
      </w:tr>
      <w:tr>
        <w:trPr>
          <w:trHeight w:val="20"/>
        </w:trPr>
        <w:tc>
          <w:tcPr>
            <w:tcW w:w="80" w:type="dxa"/>
            <w:vAlign w:val="bottom"/>
          </w:tcPr>
          <w:p>
            <w:pPr>
              <w:spacing w:after="0" w:line="20" w:lineRule="exact"/>
              <w:rPr>
                <w:sz w:val="1"/>
                <w:szCs w:val="1"/>
                <w:color w:val="auto"/>
              </w:rPr>
            </w:pPr>
          </w:p>
        </w:tc>
        <w:tc>
          <w:tcPr>
            <w:tcW w:w="840" w:type="dxa"/>
            <w:vAlign w:val="bottom"/>
            <w:gridSpan w:val="2"/>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680" w:type="dxa"/>
            <w:vAlign w:val="bottom"/>
            <w:shd w:val="clear" w:color="auto" w:fill="4B5088"/>
          </w:tcPr>
          <w:p>
            <w:pPr>
              <w:spacing w:after="0" w:line="20" w:lineRule="exact"/>
              <w:rPr>
                <w:sz w:val="1"/>
                <w:szCs w:val="1"/>
                <w:color w:val="auto"/>
              </w:rPr>
            </w:pPr>
          </w:p>
        </w:tc>
        <w:tc>
          <w:tcPr>
            <w:tcW w:w="60" w:type="dxa"/>
            <w:vAlign w:val="bottom"/>
            <w:tcBorders>
              <w:left w:val="single" w:sz="8" w:color="4B5088"/>
            </w:tcBorders>
          </w:tcPr>
          <w:p>
            <w:pPr>
              <w:spacing w:after="0" w:line="20" w:lineRule="exact"/>
              <w:rPr>
                <w:sz w:val="1"/>
                <w:szCs w:val="1"/>
                <w:color w:val="auto"/>
              </w:rPr>
            </w:pPr>
          </w:p>
        </w:tc>
      </w:tr>
      <w:tr>
        <w:trPr>
          <w:trHeight w:val="466"/>
        </w:trPr>
        <w:tc>
          <w:tcPr>
            <w:tcW w:w="2120" w:type="dxa"/>
            <w:vAlign w:val="bottom"/>
            <w:gridSpan w:val="8"/>
          </w:tcPr>
          <w:p>
            <w:pPr>
              <w:jc w:val="right"/>
              <w:ind w:right="100"/>
              <w:spacing w:after="0"/>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 1,349,903</w:t>
            </w:r>
            <w:r>
              <w:rPr>
                <w:rFonts w:ascii="Arial" w:cs="Arial" w:eastAsia="Arial" w:hAnsi="Arial"/>
                <w:sz w:val="32"/>
                <w:szCs w:val="32"/>
                <w:color w:val="auto"/>
                <w:vertAlign w:val="subscript"/>
              </w:rPr>
              <w:t>​​​​</w:t>
            </w:r>
            <w:r>
              <w:rPr>
                <w:rFonts w:ascii="Arial" w:cs="Arial" w:eastAsia="Arial" w:hAnsi="Arial"/>
                <w:sz w:val="16"/>
                <w:szCs w:val="16"/>
                <w:color w:val="auto"/>
              </w:rPr>
              <w:t>​ 1,391,748</w:t>
            </w:r>
            <w:r>
              <w:rPr>
                <w:rFonts w:ascii="Arial" w:cs="Arial" w:eastAsia="Arial" w:hAnsi="Arial"/>
                <w:sz w:val="32"/>
                <w:szCs w:val="32"/>
                <w:color w:val="auto"/>
                <w:vertAlign w:val="subscript"/>
              </w:rPr>
              <w:t>​​​​</w:t>
            </w:r>
            <w:r>
              <w:rPr>
                <w:rFonts w:ascii="Arial" w:cs="Arial" w:eastAsia="Arial" w:hAnsi="Arial"/>
                <w:sz w:val="16"/>
                <w:szCs w:val="16"/>
                <w:color w:val="auto"/>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908,658</w:t>
            </w:r>
            <w:r>
              <w:rPr>
                <w:rFonts w:ascii="Arial" w:cs="Arial" w:eastAsia="Arial" w:hAnsi="Arial"/>
                <w:sz w:val="32"/>
                <w:szCs w:val="32"/>
                <w:color w:val="auto"/>
                <w:vertAlign w:val="subscript"/>
              </w:rPr>
              <w:t>​</w:t>
            </w:r>
          </w:p>
        </w:tc>
      </w:tr>
      <w:tr>
        <w:trPr>
          <w:trHeight w:val="20"/>
        </w:trPr>
        <w:tc>
          <w:tcPr>
            <w:tcW w:w="80" w:type="dxa"/>
            <w:vAlign w:val="bottom"/>
          </w:tcPr>
          <w:p>
            <w:pPr>
              <w:spacing w:after="0" w:line="20" w:lineRule="exact"/>
              <w:rPr>
                <w:sz w:val="1"/>
                <w:szCs w:val="1"/>
                <w:color w:val="auto"/>
              </w:rPr>
            </w:pPr>
          </w:p>
        </w:tc>
        <w:tc>
          <w:tcPr>
            <w:tcW w:w="840" w:type="dxa"/>
            <w:vAlign w:val="bottom"/>
            <w:gridSpan w:val="2"/>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680" w:type="dxa"/>
            <w:vAlign w:val="bottom"/>
            <w:shd w:val="clear" w:color="auto" w:fill="4B5088"/>
          </w:tcPr>
          <w:p>
            <w:pPr>
              <w:spacing w:after="0" w:line="20" w:lineRule="exact"/>
              <w:rPr>
                <w:sz w:val="1"/>
                <w:szCs w:val="1"/>
                <w:color w:val="auto"/>
              </w:rPr>
            </w:pPr>
          </w:p>
        </w:tc>
        <w:tc>
          <w:tcPr>
            <w:tcW w:w="60" w:type="dxa"/>
            <w:vAlign w:val="bottom"/>
            <w:tcBorders>
              <w:left w:val="single" w:sz="8" w:color="4B5088"/>
            </w:tcBorders>
          </w:tcPr>
          <w:p>
            <w:pPr>
              <w:spacing w:after="0" w:line="20" w:lineRule="exact"/>
              <w:rPr>
                <w:sz w:val="1"/>
                <w:szCs w:val="1"/>
                <w:color w:val="auto"/>
              </w:rPr>
            </w:pPr>
          </w:p>
        </w:tc>
      </w:tr>
      <w:tr>
        <w:trPr>
          <w:trHeight w:val="304"/>
        </w:trPr>
        <w:tc>
          <w:tcPr>
            <w:tcW w:w="2120" w:type="dxa"/>
            <w:vAlign w:val="bottom"/>
            <w:gridSpan w:val="8"/>
          </w:tcPr>
          <w:p>
            <w:pPr>
              <w:jc w:val="right"/>
              <w:ind w:right="100"/>
              <w:spacing w:after="0" w:line="304"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 1,349,903</w:t>
            </w:r>
            <w:r>
              <w:rPr>
                <w:rFonts w:ascii="Arial" w:cs="Arial" w:eastAsia="Arial" w:hAnsi="Arial"/>
                <w:sz w:val="32"/>
                <w:szCs w:val="32"/>
                <w:color w:val="auto"/>
                <w:vertAlign w:val="subscript"/>
              </w:rPr>
              <w:t>​​​​</w:t>
            </w:r>
            <w:r>
              <w:rPr>
                <w:rFonts w:ascii="Arial" w:cs="Arial" w:eastAsia="Arial" w:hAnsi="Arial"/>
                <w:sz w:val="16"/>
                <w:szCs w:val="16"/>
                <w:color w:val="auto"/>
              </w:rPr>
              <w:t>​ 1,391,748</w:t>
            </w:r>
            <w:r>
              <w:rPr>
                <w:rFonts w:ascii="Arial" w:cs="Arial" w:eastAsia="Arial" w:hAnsi="Arial"/>
                <w:sz w:val="32"/>
                <w:szCs w:val="32"/>
                <w:color w:val="auto"/>
                <w:vertAlign w:val="subscript"/>
              </w:rPr>
              <w:t>​​​​</w:t>
            </w:r>
            <w:r>
              <w:rPr>
                <w:rFonts w:ascii="Arial" w:cs="Arial" w:eastAsia="Arial" w:hAnsi="Arial"/>
                <w:sz w:val="16"/>
                <w:szCs w:val="16"/>
                <w:color w:val="auto"/>
              </w:rPr>
              <w:t>​</w:t>
            </w:r>
          </w:p>
        </w:tc>
        <w:tc>
          <w:tcPr>
            <w:tcW w:w="740" w:type="dxa"/>
            <w:vAlign w:val="bottom"/>
            <w:gridSpan w:val="2"/>
          </w:tcPr>
          <w:p>
            <w:pPr>
              <w:jc w:val="right"/>
              <w:spacing w:after="0" w:line="304" w:lineRule="exact"/>
              <w:rPr>
                <w:sz w:val="20"/>
                <w:szCs w:val="20"/>
                <w:color w:val="auto"/>
              </w:rPr>
            </w:pPr>
            <w:r>
              <w:rPr>
                <w:rFonts w:ascii="Arial" w:cs="Arial" w:eastAsia="Arial" w:hAnsi="Arial"/>
                <w:sz w:val="16"/>
                <w:szCs w:val="16"/>
                <w:color w:val="auto"/>
              </w:rPr>
              <w:t>908,658</w:t>
            </w:r>
            <w:r>
              <w:rPr>
                <w:rFonts w:ascii="Arial" w:cs="Arial" w:eastAsia="Arial" w:hAnsi="Arial"/>
                <w:sz w:val="32"/>
                <w:szCs w:val="32"/>
                <w:color w:val="auto"/>
                <w:vertAlign w:val="subscript"/>
              </w:rPr>
              <w:t>​</w:t>
            </w:r>
          </w:p>
        </w:tc>
      </w:tr>
      <w:tr>
        <w:trPr>
          <w:trHeight w:val="20"/>
        </w:trPr>
        <w:tc>
          <w:tcPr>
            <w:tcW w:w="80" w:type="dxa"/>
            <w:vAlign w:val="bottom"/>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68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4B5088"/>
          </w:tcPr>
          <w:p>
            <w:pPr>
              <w:spacing w:after="0" w:line="20" w:lineRule="exact"/>
              <w:rPr>
                <w:sz w:val="1"/>
                <w:szCs w:val="1"/>
                <w:color w:val="auto"/>
              </w:rPr>
            </w:pPr>
          </w:p>
        </w:tc>
        <w:tc>
          <w:tcPr>
            <w:tcW w:w="5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680" w:type="dxa"/>
            <w:vAlign w:val="bottom"/>
            <w:shd w:val="clear" w:color="auto" w:fill="4B5088"/>
          </w:tcPr>
          <w:p>
            <w:pPr>
              <w:spacing w:after="0" w:line="20" w:lineRule="exact"/>
              <w:rPr>
                <w:sz w:val="1"/>
                <w:szCs w:val="1"/>
                <w:color w:val="auto"/>
              </w:rPr>
            </w:pPr>
          </w:p>
        </w:tc>
        <w:tc>
          <w:tcPr>
            <w:tcW w:w="60" w:type="dxa"/>
            <w:vAlign w:val="bottom"/>
            <w:tcBorders>
              <w:left w:val="single" w:sz="8" w:color="4B5088"/>
            </w:tcBorders>
          </w:tcPr>
          <w:p>
            <w:pPr>
              <w:spacing w:after="0" w:line="20" w:lineRule="exact"/>
              <w:rPr>
                <w:sz w:val="1"/>
                <w:szCs w:val="1"/>
                <w:color w:val="auto"/>
              </w:rPr>
            </w:pPr>
          </w:p>
        </w:tc>
      </w:tr>
    </w:tbl>
    <w:p>
      <w:pPr>
        <w:spacing w:after="0" w:line="218" w:lineRule="auto"/>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​68,736,221</w:t>
      </w:r>
      <w:r>
        <w:rPr>
          <w:rFonts w:ascii="Arial" w:cs="Arial" w:eastAsia="Arial" w:hAnsi="Arial"/>
          <w:sz w:val="32"/>
          <w:szCs w:val="32"/>
          <w:color w:val="auto"/>
          <w:vertAlign w:val="subscript"/>
        </w:rPr>
        <w:t>​​​​</w:t>
      </w:r>
      <w:r>
        <w:rPr>
          <w:rFonts w:ascii="Arial" w:cs="Arial" w:eastAsia="Arial" w:hAnsi="Arial"/>
          <w:sz w:val="16"/>
          <w:szCs w:val="16"/>
          <w:color w:val="auto"/>
        </w:rPr>
        <w:t>​67,971,593</w:t>
      </w:r>
      <w:r>
        <w:rPr>
          <w:rFonts w:ascii="Arial" w:cs="Arial" w:eastAsia="Arial" w:hAnsi="Arial"/>
          <w:sz w:val="32"/>
          <w:szCs w:val="32"/>
          <w:color w:val="auto"/>
          <w:vertAlign w:val="subscript"/>
        </w:rPr>
        <w:t>​​​​</w:t>
      </w:r>
      <w:r>
        <w:rPr>
          <w:rFonts w:ascii="Arial" w:cs="Arial" w:eastAsia="Arial" w:hAnsi="Arial"/>
          <w:sz w:val="16"/>
          <w:szCs w:val="16"/>
          <w:color w:val="auto"/>
        </w:rPr>
        <w:t>​67,928,924</w:t>
      </w:r>
      <w:r>
        <w:rPr>
          <w:rFonts w:ascii="Arial" w:cs="Arial" w:eastAsia="Arial" w:hAnsi="Arial"/>
          <w:sz w:val="32"/>
          <w:szCs w:val="32"/>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-14605</wp:posOffset>
            </wp:positionV>
            <wp:extent cx="1731645"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pacing w:after="0" w:line="194" w:lineRule="auto"/>
        <w:tabs>
          <w:tab w:leader="none" w:pos="440" w:val="left"/>
          <w:tab w:leader="none" w:pos="1380" w:val="left"/>
          <w:tab w:leader="none" w:pos="2320" w:val="left"/>
        </w:tabs>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1.96%</w:t>
      </w:r>
      <w:r>
        <w:rPr>
          <w:rFonts w:ascii="Arial" w:cs="Arial" w:eastAsia="Arial" w:hAnsi="Arial"/>
          <w:sz w:val="32"/>
          <w:szCs w:val="32"/>
          <w:color w:val="auto"/>
          <w:vertAlign w:val="subscript"/>
        </w:rPr>
        <w:t>​​​​</w:t>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2.05%</w:t>
      </w:r>
      <w:r>
        <w:rPr>
          <w:rFonts w:ascii="Arial" w:cs="Arial" w:eastAsia="Arial" w:hAnsi="Arial"/>
          <w:sz w:val="32"/>
          <w:szCs w:val="32"/>
          <w:color w:val="auto"/>
          <w:vertAlign w:val="subscript"/>
        </w:rPr>
        <w:t>​​​​</w:t>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1.34%</w:t>
      </w:r>
      <w:r>
        <w:rPr>
          <w:rFonts w:ascii="Arial" w:cs="Arial" w:eastAsia="Arial" w:hAnsi="Arial"/>
          <w:sz w:val="32"/>
          <w:szCs w:val="32"/>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-14605</wp:posOffset>
            </wp:positionV>
            <wp:extent cx="173164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6760" w:space="320"/>
            <w:col w:w="2860"/>
          </w:cols>
          <w:pgMar w:left="580" w:top="97" w:right="1379" w:bottom="1440" w:gutter="0" w:footer="0" w:header="0"/>
          <w:type w:val="continuous"/>
        </w:sectPr>
      </w:pPr>
    </w:p>
    <w:p>
      <w:pPr>
        <w:ind w:left="1180" w:right="740" w:hanging="364"/>
        <w:spacing w:after="0" w:line="305" w:lineRule="auto"/>
        <w:tabs>
          <w:tab w:leader="none" w:pos="118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Excludes 217,917 Class O LTIP units awarded to Mr. Holliday in December 2024 in connection with entering into his employment agreement, which were subject to performance-based vesting conditions.</w:t>
      </w:r>
    </w:p>
    <w:p>
      <w:pPr>
        <w:spacing w:after="0" w:line="22" w:lineRule="exact"/>
        <w:rPr>
          <w:rFonts w:ascii="Arial" w:cs="Arial" w:eastAsia="Arial" w:hAnsi="Arial"/>
          <w:sz w:val="14"/>
          <w:szCs w:val="14"/>
          <w:color w:val="auto"/>
        </w:rPr>
      </w:pPr>
    </w:p>
    <w:p>
      <w:pPr>
        <w:ind w:left="1180" w:right="420" w:hanging="364"/>
        <w:spacing w:after="0" w:line="305" w:lineRule="auto"/>
        <w:tabs>
          <w:tab w:leader="none" w:pos="118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For each year, includes the number of LTIP units and shares of common stock granted during such year that were vested or subject to vesting solely based on the grantee’s continued employment through one or more vesting dates.</w:t>
      </w:r>
    </w:p>
    <w:p>
      <w:pPr>
        <w:spacing w:after="0" w:line="9" w:lineRule="exact"/>
        <w:rPr>
          <w:rFonts w:ascii="Arial" w:cs="Arial" w:eastAsia="Arial" w:hAnsi="Arial"/>
          <w:sz w:val="14"/>
          <w:szCs w:val="14"/>
          <w:color w:val="auto"/>
        </w:rPr>
      </w:pPr>
    </w:p>
    <w:p>
      <w:pPr>
        <w:ind w:left="1180" w:right="500" w:hanging="364"/>
        <w:spacing w:after="0" w:line="322" w:lineRule="auto"/>
        <w:tabs>
          <w:tab w:leader="none" w:pos="118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For each year, includes the number of LTIP units and shares of common stock earned during such year based on the achievement of performance-based vesting criteria.</w:t>
      </w:r>
    </w:p>
    <w:p>
      <w:pPr>
        <w:ind w:left="1180" w:hanging="364"/>
        <w:spacing w:after="0"/>
        <w:tabs>
          <w:tab w:leader="none" w:pos="118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Total Awards Granted/Earned represents the sum of Stock Options Granted and Full-Value Awards Granted/Earned.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5340" w:type="dxa"/>
            <w:vAlign w:val="bottom"/>
          </w:tcPr>
          <w:p>
            <w:pPr>
              <w:spacing w:after="0"/>
              <w:rPr>
                <w:sz w:val="20"/>
                <w:szCs w:val="20"/>
                <w:color w:val="auto"/>
              </w:rPr>
            </w:pPr>
            <w:r>
              <w:rPr>
                <w:rFonts w:ascii="Arial" w:cs="Arial" w:eastAsia="Arial" w:hAnsi="Arial"/>
                <w:sz w:val="14"/>
                <w:szCs w:val="14"/>
                <w:b w:val="1"/>
                <w:bCs w:val="1"/>
                <w:color w:val="auto"/>
              </w:rPr>
              <w:t>​</w:t>
            </w:r>
          </w:p>
        </w:tc>
        <w:tc>
          <w:tcPr>
            <w:tcW w:w="3240" w:type="dxa"/>
            <w:vAlign w:val="bottom"/>
          </w:tcPr>
          <w:p>
            <w:pPr>
              <w:ind w:left="2860"/>
              <w:spacing w:after="0"/>
              <w:rPr>
                <w:sz w:val="20"/>
                <w:szCs w:val="20"/>
                <w:color w:val="auto"/>
              </w:rPr>
            </w:pPr>
            <w:r>
              <w:rPr>
                <w:rFonts w:ascii="Arial" w:cs="Arial" w:eastAsia="Arial" w:hAnsi="Arial"/>
                <w:sz w:val="14"/>
                <w:szCs w:val="14"/>
                <w:b w:val="1"/>
                <w:bCs w:val="1"/>
                <w:color w:val="auto"/>
              </w:rPr>
              <w:t>​ ​</w:t>
            </w:r>
          </w:p>
        </w:tc>
        <w:tc>
          <w:tcPr>
            <w:tcW w:w="480" w:type="dxa"/>
            <w:vAlign w:val="bottom"/>
            <w:vMerge w:val="restart"/>
          </w:tcPr>
          <w:p>
            <w:pPr>
              <w:jc w:val="right"/>
              <w:spacing w:after="0"/>
              <w:rPr>
                <w:sz w:val="20"/>
                <w:szCs w:val="20"/>
                <w:color w:val="auto"/>
              </w:rPr>
            </w:pPr>
            <w:r>
              <w:rPr>
                <w:rFonts w:ascii="Arial" w:cs="Arial" w:eastAsia="Arial" w:hAnsi="Arial"/>
                <w:sz w:val="22"/>
                <w:szCs w:val="22"/>
                <w:b w:val="1"/>
                <w:bCs w:val="1"/>
                <w:color w:val="1F2668"/>
              </w:rPr>
              <w:t>89</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5340" w:type="dxa"/>
            <w:vAlign w:val="bottom"/>
          </w:tcPr>
          <w:p>
            <w:pPr>
              <w:spacing w:after="0"/>
              <w:rPr>
                <w:sz w:val="20"/>
                <w:szCs w:val="20"/>
                <w:color w:val="auto"/>
              </w:rPr>
            </w:pPr>
            <w:r>
              <w:rPr>
                <w:rFonts w:ascii="Arial" w:cs="Arial" w:eastAsia="Arial" w:hAnsi="Arial"/>
                <w:sz w:val="14"/>
                <w:szCs w:val="14"/>
                <w:b w:val="1"/>
                <w:bCs w:val="1"/>
                <w:color w:val="auto"/>
              </w:rPr>
              <w:t>OTHER MANAGEMENT PROPOSALS</w:t>
            </w:r>
          </w:p>
        </w:tc>
        <w:tc>
          <w:tcPr>
            <w:tcW w:w="324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48" w:lineRule="exact"/>
        <w:rPr>
          <w:sz w:val="20"/>
          <w:szCs w:val="20"/>
          <w:color w:val="auto"/>
        </w:rPr>
      </w:pPr>
    </w:p>
    <w:p>
      <w:pPr>
        <w:ind w:left="1180" w:right="40" w:hanging="364"/>
        <w:spacing w:after="0" w:line="273" w:lineRule="auto"/>
        <w:tabs>
          <w:tab w:leader="none" w:pos="118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For each year, represents the weighted average number of shares of our common stock and common units, including LTIP units, in our operating partnership outstanding during the year. Because we are a real estate investment trust that conducts substantially all of its operations through an operating partnership, we include both shares of our common stock and common units in our operating partnership in the share count for purposes of calculating our burn rate. Each common unit is redeemable at the election of the holder for, at our option in our capacity as general partner of our operating partnership: (i) cash equal to the then fair value of one share of our common stock; or</w:t>
      </w:r>
    </w:p>
    <w:p>
      <w:pPr>
        <w:spacing w:after="0" w:line="2" w:lineRule="exact"/>
        <w:rPr>
          <w:rFonts w:ascii="Arial" w:cs="Arial" w:eastAsia="Arial" w:hAnsi="Arial"/>
          <w:sz w:val="14"/>
          <w:szCs w:val="14"/>
          <w:color w:val="auto"/>
        </w:rPr>
      </w:pPr>
    </w:p>
    <w:p>
      <w:pPr>
        <w:ind w:left="1180"/>
        <w:spacing w:after="0"/>
        <w:rPr>
          <w:rFonts w:ascii="Arial" w:cs="Arial" w:eastAsia="Arial" w:hAnsi="Arial"/>
          <w:sz w:val="14"/>
          <w:szCs w:val="14"/>
          <w:color w:val="auto"/>
        </w:rPr>
      </w:pPr>
      <w:r>
        <w:rPr>
          <w:rFonts w:ascii="Arial" w:cs="Arial" w:eastAsia="Arial" w:hAnsi="Arial"/>
          <w:sz w:val="14"/>
          <w:szCs w:val="14"/>
          <w:color w:val="auto"/>
        </w:rPr>
        <w:t>(ii) one share of our common stock.</w:t>
      </w:r>
    </w:p>
    <w:p>
      <w:pPr>
        <w:spacing w:after="0" w:line="340" w:lineRule="exact"/>
        <w:rPr>
          <w:sz w:val="20"/>
          <w:szCs w:val="20"/>
          <w:color w:val="auto"/>
        </w:rPr>
      </w:pPr>
    </w:p>
    <w:p>
      <w:pPr>
        <w:ind w:left="820"/>
        <w:spacing w:after="0"/>
        <w:rPr>
          <w:sz w:val="20"/>
          <w:szCs w:val="20"/>
          <w:color w:val="auto"/>
        </w:rPr>
      </w:pPr>
      <w:r>
        <w:rPr>
          <w:rFonts w:ascii="Arial" w:cs="Arial" w:eastAsia="Arial" w:hAnsi="Arial"/>
          <w:sz w:val="29"/>
          <w:szCs w:val="29"/>
          <w:b w:val="1"/>
          <w:bCs w:val="1"/>
          <w:color w:val="83AD40"/>
        </w:rPr>
        <w:t>SUMMARY OF MATERIAL AMENDMENTS</w:t>
      </w:r>
    </w:p>
    <w:p>
      <w:pPr>
        <w:spacing w:after="0" w:line="17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following is a brief summary of the material amendments that are included in the Sixth Amended 2005 Plan:</w:t>
      </w:r>
    </w:p>
    <w:p>
      <w:pPr>
        <w:spacing w:after="0" w:line="181" w:lineRule="exact"/>
        <w:rPr>
          <w:sz w:val="20"/>
          <w:szCs w:val="20"/>
          <w:color w:val="auto"/>
        </w:rPr>
      </w:pPr>
    </w:p>
    <w:p>
      <w:pPr>
        <w:ind w:left="1000" w:right="160" w:hanging="184"/>
        <w:spacing w:after="0" w:line="285" w:lineRule="auto"/>
        <w:tabs>
          <w:tab w:leader="none" w:pos="100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The maximum number of Fungible Units available under the Fifth Amended 2005 Plan will be increased under the Sixth Amended 2005 Plan by 7,680,000 Fungible Units from 32,210,000 Fungible Units to 39,890,000 Fungible Units. If the Sixth Amended 2005 Plan is approved by stockholders, the additional 7,680,000 Fungible Units will represent 2,400,000 shares of common stock that could be granted pursuant to full-value awards based on the 3.2 to 1 Fungible Unit-to-full value award conversion ratio in the Sixth Amended 2005 Plan. Based solely on the closing price of our common stock as reported on the NYSE on April 17, 2025, the maximum aggregate market value of those 2,400,000 shares of common stock is $125,544,000.</w:t>
      </w:r>
    </w:p>
    <w:p>
      <w:pPr>
        <w:spacing w:after="0" w:line="13" w:lineRule="exact"/>
        <w:rPr>
          <w:rFonts w:ascii="Arial" w:cs="Arial" w:eastAsia="Arial" w:hAnsi="Arial"/>
          <w:sz w:val="15"/>
          <w:szCs w:val="15"/>
          <w:color w:val="auto"/>
        </w:rPr>
      </w:pPr>
    </w:p>
    <w:p>
      <w:pPr>
        <w:ind w:left="1000" w:right="40" w:hanging="184"/>
        <w:spacing w:after="0" w:line="264" w:lineRule="auto"/>
        <w:tabs>
          <w:tab w:leader="none" w:pos="10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ratios governing the number of Fungible Units used by the different types of awards that may be granted under the Sixth Amended 2005 Plan will be changed for awards granted after the date the Sixth Amended 2005 Plan is approved. Under the Sixth Amended 2005 Plan, an award that delivers the full-value of the underlying shares (“Full-Value Award”) granted after the effective date of the Sixth Amended 2005 Plan will be counted as 3.2 Fungible Units per share. Additionally, stock options, stock appreciation rights, Class O LTIP units and other awards granted after the effective date of the Sixth Amended 2005 Plan that do not deliver the full-value of the underlying shares and that expire five years from the date of grant will be counted as 0.87 Fungible Units per share.</w:t>
      </w:r>
    </w:p>
    <w:p>
      <w:pPr>
        <w:spacing w:after="0" w:line="27" w:lineRule="exact"/>
        <w:rPr>
          <w:rFonts w:ascii="Arial" w:cs="Arial" w:eastAsia="Arial" w:hAnsi="Arial"/>
          <w:sz w:val="16"/>
          <w:szCs w:val="16"/>
          <w:color w:val="auto"/>
        </w:rPr>
      </w:pPr>
    </w:p>
    <w:p>
      <w:pPr>
        <w:ind w:left="1000" w:right="660" w:hanging="184"/>
        <w:spacing w:after="0" w:line="286" w:lineRule="auto"/>
        <w:tabs>
          <w:tab w:leader="none" w:pos="10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term of the Sixth Amended 2005 Plan will be extended from its current expiration date until June 3, 2035, which is ten years from the date of the annual meeting.</w:t>
      </w:r>
    </w:p>
    <w:p>
      <w:pPr>
        <w:spacing w:after="0" w:line="298" w:lineRule="exact"/>
        <w:rPr>
          <w:sz w:val="20"/>
          <w:szCs w:val="20"/>
          <w:color w:val="auto"/>
        </w:rPr>
      </w:pPr>
    </w:p>
    <w:p>
      <w:pPr>
        <w:ind w:left="820" w:right="400"/>
        <w:spacing w:after="0" w:line="278" w:lineRule="auto"/>
        <w:rPr>
          <w:sz w:val="20"/>
          <w:szCs w:val="20"/>
          <w:color w:val="auto"/>
        </w:rPr>
      </w:pPr>
      <w:r>
        <w:rPr>
          <w:rFonts w:ascii="Arial" w:cs="Arial" w:eastAsia="Arial" w:hAnsi="Arial"/>
          <w:sz w:val="29"/>
          <w:szCs w:val="29"/>
          <w:b w:val="1"/>
          <w:bCs w:val="1"/>
          <w:color w:val="83AD40"/>
        </w:rPr>
        <w:t>SUMMARY OF THE PROVISIONS OF OUR SIXTH AMENDED AND RESTATED 2005 STOCK OPTION AND INCENTIVE PLAN</w:t>
      </w:r>
    </w:p>
    <w:p>
      <w:pPr>
        <w:spacing w:after="0" w:line="44" w:lineRule="exact"/>
        <w:rPr>
          <w:sz w:val="20"/>
          <w:szCs w:val="20"/>
          <w:color w:val="auto"/>
        </w:rPr>
      </w:pPr>
    </w:p>
    <w:p>
      <w:pPr>
        <w:ind w:left="820" w:right="180"/>
        <w:spacing w:after="0" w:line="321" w:lineRule="auto"/>
        <w:rPr>
          <w:sz w:val="20"/>
          <w:szCs w:val="20"/>
          <w:color w:val="auto"/>
        </w:rPr>
      </w:pPr>
      <w:r>
        <w:rPr>
          <w:rFonts w:ascii="Arial" w:cs="Arial" w:eastAsia="Arial" w:hAnsi="Arial"/>
          <w:sz w:val="16"/>
          <w:szCs w:val="16"/>
          <w:color w:val="auto"/>
        </w:rPr>
        <w:t>The following summary of the Sixth Amended 2005 Plan is qualified in its entirety by the specific language of the plan, a copy of which is attached hereto as Appendix A.</w:t>
      </w:r>
    </w:p>
    <w:p>
      <w:pPr>
        <w:spacing w:after="0" w:line="245"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Effective Date of Plan</w:t>
      </w:r>
    </w:p>
    <w:p>
      <w:pPr>
        <w:spacing w:after="0" w:line="133" w:lineRule="exact"/>
        <w:rPr>
          <w:sz w:val="20"/>
          <w:szCs w:val="20"/>
          <w:color w:val="auto"/>
        </w:rPr>
      </w:pPr>
    </w:p>
    <w:p>
      <w:pPr>
        <w:ind w:left="820" w:right="140"/>
        <w:spacing w:after="0" w:line="301" w:lineRule="auto"/>
        <w:rPr>
          <w:sz w:val="20"/>
          <w:szCs w:val="20"/>
          <w:color w:val="auto"/>
        </w:rPr>
      </w:pPr>
      <w:r>
        <w:rPr>
          <w:rFonts w:ascii="Arial" w:cs="Arial" w:eastAsia="Arial" w:hAnsi="Arial"/>
          <w:sz w:val="16"/>
          <w:szCs w:val="16"/>
          <w:color w:val="auto"/>
        </w:rPr>
        <w:t>The Sixth Amended 2005 Plan was approved by our Board of Directors on April 22, 2025. Awards of incentive options may be granted under the Sixth Amended 2005 Plan until the tenth anniversary of June 3, 2025. No other awards may be granted under the Sixth Amended 2005 Plan after the date that is ten years from the date of stockholder approval.</w:t>
      </w:r>
    </w:p>
    <w:p>
      <w:pPr>
        <w:spacing w:after="0" w:line="261"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Administration</w:t>
      </w:r>
    </w:p>
    <w:p>
      <w:pPr>
        <w:spacing w:after="0" w:line="133" w:lineRule="exact"/>
        <w:rPr>
          <w:sz w:val="20"/>
          <w:szCs w:val="20"/>
          <w:color w:val="auto"/>
        </w:rPr>
      </w:pPr>
    </w:p>
    <w:p>
      <w:pPr>
        <w:ind w:left="820" w:right="60"/>
        <w:spacing w:after="0" w:line="285" w:lineRule="auto"/>
        <w:rPr>
          <w:sz w:val="20"/>
          <w:szCs w:val="20"/>
          <w:color w:val="auto"/>
        </w:rPr>
      </w:pPr>
      <w:r>
        <w:rPr>
          <w:rFonts w:ascii="Arial" w:cs="Arial" w:eastAsia="Arial" w:hAnsi="Arial"/>
          <w:sz w:val="16"/>
          <w:szCs w:val="16"/>
          <w:color w:val="auto"/>
        </w:rPr>
        <w:t>Our Compensation Committee has the authority to administer and interpret the Sixth Amended 2005 Plan, to authorize the granting of awards, to determine the eligibility of a person to receive an award, to determine the number of shares of common stock to be covered by each award, to determine the terms, provisions and conditions of each award, to prescribe the form of instruments evidencing awards and to take any other actions and make all other determinations that it deems necessary or appropriate. Our Compensation Committee may, among other things, establish performance goals that must be met in order for awards to be granted or to vest, or for the restrictions on any such awards to lapse. Nevertheless, grants to members of our Compensation Committee will be made and administered by the Board rather than our Compensation Committee. References below to our Compensation Committee include a reference to the Board for those awards with respect to which the Board acts as administrator. Our Compensation Committee, in its discretion, may delegate to our Chief Executive Officer all or part of our Compensation Committee’s authority and duties with respect to awards to be granted to our employees, subject to certain limitations and guidelines as provided by the Compensation Committee; however, our Compensation Committee may not delegate its authority and duties with respect to awards that have been, or will be, granted to certain of our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62865</wp:posOffset>
            </wp:positionV>
            <wp:extent cx="6831965"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p>
      <w:pPr>
        <w:ind w:left="820"/>
        <w:spacing w:after="0"/>
        <w:tabs>
          <w:tab w:leader="none" w:pos="1440" w:val="left"/>
          <w:tab w:leader="none" w:pos="9860" w:val="left"/>
        </w:tabs>
        <w:rPr>
          <w:sz w:val="20"/>
          <w:szCs w:val="20"/>
          <w:color w:val="auto"/>
        </w:rPr>
      </w:pPr>
      <w:r>
        <w:rPr>
          <w:rFonts w:ascii="Arial" w:cs="Arial" w:eastAsia="Arial" w:hAnsi="Arial"/>
          <w:sz w:val="22"/>
          <w:szCs w:val="22"/>
          <w:b w:val="1"/>
          <w:bCs w:val="1"/>
          <w:color w:val="1F2668"/>
        </w:rPr>
        <w:t>​90</w:t>
      </w:r>
      <w:r>
        <w:rPr>
          <w:sz w:val="20"/>
          <w:szCs w:val="20"/>
          <w:color w:val="auto"/>
        </w:rPr>
        <w:tab/>
      </w:r>
      <w:r>
        <w:rPr>
          <w:rFonts w:ascii="Arial" w:cs="Arial" w:eastAsia="Arial" w:hAnsi="Arial"/>
          <w:sz w:val="22"/>
          <w:szCs w:val="22"/>
          <w:b w:val="1"/>
          <w:bCs w:val="1"/>
          <w:color w:val="1F2668"/>
        </w:rPr>
        <w:t xml:space="preserve">​ ​ </w:t>
      </w:r>
      <w:r>
        <w:rPr>
          <w:rFonts w:ascii="Arial" w:cs="Arial" w:eastAsia="Arial" w:hAnsi="Arial"/>
          <w:sz w:val="14"/>
          <w:szCs w:val="14"/>
          <w:b w:val="1"/>
          <w:bCs w:val="1"/>
          <w:color w:val="1F2668"/>
        </w:rPr>
        <w:t>SL GREEN REALTY CORP. 2025 PROXY STATEMENT</w:t>
      </w:r>
      <w:r>
        <w:rPr>
          <w:sz w:val="20"/>
          <w:szCs w:val="20"/>
          <w:color w:val="auto"/>
        </w:rPr>
        <w:tab/>
      </w:r>
      <w:r>
        <w:rPr>
          <w:rFonts w:ascii="Arial" w:cs="Arial" w:eastAsia="Arial" w:hAnsi="Arial"/>
          <w:sz w:val="22"/>
          <w:szCs w:val="22"/>
          <w:b w:val="1"/>
          <w:bCs w:val="1"/>
          <w:color w:val="1F2668"/>
        </w:rPr>
        <w:t>​</w:t>
      </w:r>
    </w:p>
    <w:p>
      <w:pPr>
        <w:spacing w:after="0" w:line="200" w:lineRule="exact"/>
        <w:rPr>
          <w:sz w:val="20"/>
          <w:szCs w:val="20"/>
          <w:color w:val="auto"/>
        </w:rPr>
      </w:pPr>
    </w:p>
    <w:p>
      <w:pPr>
        <w:spacing w:after="0" w:line="285"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Available Shares</w:t>
      </w:r>
    </w:p>
    <w:p>
      <w:pPr>
        <w:spacing w:after="0" w:line="133" w:lineRule="exact"/>
        <w:rPr>
          <w:sz w:val="20"/>
          <w:szCs w:val="20"/>
          <w:color w:val="auto"/>
        </w:rPr>
      </w:pPr>
    </w:p>
    <w:p>
      <w:pPr>
        <w:ind w:left="820" w:right="60"/>
        <w:spacing w:after="0" w:line="283" w:lineRule="auto"/>
        <w:rPr>
          <w:sz w:val="20"/>
          <w:szCs w:val="20"/>
          <w:color w:val="auto"/>
        </w:rPr>
      </w:pPr>
      <w:r>
        <w:rPr>
          <w:rFonts w:ascii="Arial" w:cs="Arial" w:eastAsia="Arial" w:hAnsi="Arial"/>
          <w:sz w:val="16"/>
          <w:szCs w:val="16"/>
          <w:color w:val="auto"/>
        </w:rPr>
        <w:t>Subject to adjustments upon certain corporate transactions or events, awards with respect to up to a maximum of 39,890,000 Fungible Units (the “Fungible Pool Limit”) may be granted under the Sixth Amended 2005 Plan. A Full-Value Award granted on or after the effective date of the Sixth Amended 2005 Plan will be counted as 3.2 Fungible Units per share subject to such award as opposed to 2.59 Fungible Units per share subject to such award granted on or after the effective date of the Fifth Amended 2005 Plan and prior to the effective date of the Sixth Amended 2005 Plan, 3.74 Fungible Units per share subject to such award for a Full-Value Award granted on or after the effective date of the Fourth Amended and Restated 2005 Stock Option and Incentive Plan (the “Fourth Amended 2005 Plan”) and prior to the effective date of the Fifth Amended 2005 Plan, 2.76 Fungible Units per share subject to such award for a Full-Value Award granted on or after the effective date of the Third Amended and Restated 2005 Stock Option and Incentive Plan (the “Third Amended 2005 Plan”) and prior to the effective date of the Fourth Amended 2005 Plan and 1.65 Fungible Units per share subject to such award for a Full-Value Award granted on or after the effective date of the Second Amended and Restated 2005 Stock Option and Incentive Plan (the “Second Amended 2005 Plan”) and prior to the effective date of the Third Amended 2005 Plan. A Full-Value Award granted prior to the effective date of the Second Amended 2005 Plan that vested or was granted based on the achievement of certain performance goals will be counted as 2.0 Fungible Units per share subject to such award and all other Full-Value Awards granted prior to the effective date of the Second Amended 2005 Plan will be counted as 3.0 Fungible Units per share. Stock options, stock appreciation rights, Class O LTIP units and other awards granted on or after the effective date of the Sixth Amended 2005 Plan that do not deliver the full-value of the underlying shares and expire five years from the date of grant will be counted as 0.87 Fungible Units per share. Such awards granted on or after the effective date of the Fifth Amended 2005 Plan and prior to the effective date of the Sixth Amended 2005 Plan will be counted as 0.84 Fungible Units per share, such awards granted on or after the effective date of the Fourth Amended 2005 Plan and prior to the effective date of the Fifth Amended 2005 Plan will be counted as 0.73 Fungible Units per share, such awards granted on or after the effective date of the Third Amended 2005 Plan and prior to the effective date of the Fourth Amended 2005 Plan will be counted as 0.77 Fungible Units per share, such awards granted on or after the effective date of the Second Amended 2005 Plan and prior to the effective date of the Third Amended 2005 Plan will be counted as 0.79 Fungible Units per share and such awards granted prior to the effective date of the Second Amended 2005 Plan will be counted as 0.70 Fungible Units per share. All other awards will be counted as 1.0 Fungible Unit per share.</w:t>
      </w:r>
    </w:p>
    <w:p>
      <w:pPr>
        <w:spacing w:after="0" w:line="125" w:lineRule="exact"/>
        <w:rPr>
          <w:sz w:val="20"/>
          <w:szCs w:val="20"/>
          <w:color w:val="auto"/>
        </w:rPr>
      </w:pPr>
    </w:p>
    <w:p>
      <w:pPr>
        <w:ind w:left="820" w:right="80"/>
        <w:spacing w:after="0" w:line="286" w:lineRule="auto"/>
        <w:rPr>
          <w:sz w:val="20"/>
          <w:szCs w:val="20"/>
          <w:color w:val="auto"/>
        </w:rPr>
      </w:pPr>
      <w:r>
        <w:rPr>
          <w:rFonts w:ascii="Arial" w:cs="Arial" w:eastAsia="Arial" w:hAnsi="Arial"/>
          <w:sz w:val="16"/>
          <w:szCs w:val="16"/>
          <w:color w:val="auto"/>
        </w:rPr>
        <w:t>No award may be granted to any person who, assuming exercise of all options and payment of all awards held by such person, would own or be deemed to own more than 9.8% of the outstanding shares of our common stock. In addition, in any one year, no person may receive awards with respect to more than 700,000 shares of common stock, provided that this limit only applies to awards that are intended to qualify as “performance-based compensation” under Section 162(m) of the IRC and the regulations promulgated thereunder. In addition, notwithstanding anything to the contrary in the Sixth Amended 2005 Plan, the value of all awards awarded under the Sixth Amended 2005 Plan and all other cash compensation paid by the Company as regular compensation to any non-employee director other than the Chairman or Lead Independent Director in any calendar year shall not exceed $500,000, as determined in accordance with FASB ASC 718 (or any successor provision) but excluding the impact of estimated forfeitures related to service-based vesting provisions.</w:t>
      </w:r>
    </w:p>
    <w:p>
      <w:pPr>
        <w:spacing w:after="0" w:line="119" w:lineRule="exact"/>
        <w:rPr>
          <w:sz w:val="20"/>
          <w:szCs w:val="20"/>
          <w:color w:val="auto"/>
        </w:rPr>
      </w:pPr>
    </w:p>
    <w:p>
      <w:pPr>
        <w:ind w:left="820" w:right="80"/>
        <w:spacing w:after="0" w:line="287" w:lineRule="auto"/>
        <w:rPr>
          <w:sz w:val="20"/>
          <w:szCs w:val="20"/>
          <w:color w:val="auto"/>
        </w:rPr>
      </w:pPr>
      <w:r>
        <w:rPr>
          <w:rFonts w:ascii="Arial" w:cs="Arial" w:eastAsia="Arial" w:hAnsi="Arial"/>
          <w:sz w:val="16"/>
          <w:szCs w:val="16"/>
          <w:color w:val="auto"/>
        </w:rPr>
        <w:t>If an option or other award granted under the Sixth Amended 2005 Plan expires or terminates, the common stock subject to any portion of the award that expires or terminates without having been exercised or paid, as the case may be, will again become available for the issuance of additional awards by adding back Fungible Units to the Sixth Amended 2005 Plan using the same ratio that was in effect when the original awards were granted, except that the ratios for awards forfeited after the effective date of the Sixth Amended 2005 Plan shall not be less than the ratios in effect for such Awards as of the date of forfeiture. The following shares will not be added to the Fungible Pool Limit: (i) shares tendered or held back upon exercise of an option or settlement or vesting of an award to cover the exercise price or tax withholding, and (ii) shares subject to a stock appreciation right that are not issued in connection with the stock settlement of the stock appreciation right upon exercise thereof.</w:t>
      </w:r>
    </w:p>
    <w:p>
      <w:pPr>
        <w:spacing w:after="0" w:line="273"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Eligible Persons</w:t>
      </w:r>
    </w:p>
    <w:p>
      <w:pPr>
        <w:spacing w:after="0" w:line="133" w:lineRule="exact"/>
        <w:rPr>
          <w:sz w:val="20"/>
          <w:szCs w:val="20"/>
          <w:color w:val="auto"/>
        </w:rPr>
      </w:pPr>
    </w:p>
    <w:p>
      <w:pPr>
        <w:ind w:left="820" w:right="180"/>
        <w:spacing w:after="0" w:line="288" w:lineRule="auto"/>
        <w:rPr>
          <w:sz w:val="20"/>
          <w:szCs w:val="20"/>
          <w:color w:val="auto"/>
        </w:rPr>
      </w:pPr>
      <w:r>
        <w:rPr>
          <w:rFonts w:ascii="Arial" w:cs="Arial" w:eastAsia="Arial" w:hAnsi="Arial"/>
          <w:sz w:val="16"/>
          <w:szCs w:val="16"/>
          <w:color w:val="auto"/>
        </w:rPr>
        <w:t>Our key employees, directors, officers, advisors, consultants or other personnel or other persons expected to provide significant services (of a type expressly approved by our Compensation Committee as covered services for these purposes) to us or our subsidiaries are eligible to be granted Options, Restricted Stock, Phantom Shares, Dividend Equivalent Rights and other equity-based awards under the Sixth Amended 2005 Plan. Eligibility for awards under the Sixth Amended 2005 Plan generally is determined by our Compensation Committee. As of April 15, 2025, approximately 274 individuals, inclusive of 258 employees who are not officers, seven non-employee directors, nine officers, and no consultants or other persons expected to provided services, are eligible to participate in the Sixth Amended 2005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6831965"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5340" w:type="dxa"/>
            <w:vAlign w:val="bottom"/>
          </w:tcPr>
          <w:p>
            <w:pPr>
              <w:spacing w:after="0"/>
              <w:rPr>
                <w:sz w:val="20"/>
                <w:szCs w:val="20"/>
                <w:color w:val="auto"/>
              </w:rPr>
            </w:pPr>
            <w:r>
              <w:rPr>
                <w:rFonts w:ascii="Arial" w:cs="Arial" w:eastAsia="Arial" w:hAnsi="Arial"/>
                <w:sz w:val="14"/>
                <w:szCs w:val="14"/>
                <w:b w:val="1"/>
                <w:bCs w:val="1"/>
                <w:color w:val="auto"/>
              </w:rPr>
              <w:t>​</w:t>
            </w:r>
          </w:p>
        </w:tc>
        <w:tc>
          <w:tcPr>
            <w:tcW w:w="3240" w:type="dxa"/>
            <w:vAlign w:val="bottom"/>
          </w:tcPr>
          <w:p>
            <w:pPr>
              <w:ind w:left="2860"/>
              <w:spacing w:after="0"/>
              <w:rPr>
                <w:sz w:val="20"/>
                <w:szCs w:val="20"/>
                <w:color w:val="auto"/>
              </w:rPr>
            </w:pPr>
            <w:r>
              <w:rPr>
                <w:rFonts w:ascii="Arial" w:cs="Arial" w:eastAsia="Arial" w:hAnsi="Arial"/>
                <w:sz w:val="14"/>
                <w:szCs w:val="14"/>
                <w:b w:val="1"/>
                <w:bCs w:val="1"/>
                <w:color w:val="auto"/>
              </w:rPr>
              <w:t>​ ​</w:t>
            </w:r>
          </w:p>
        </w:tc>
        <w:tc>
          <w:tcPr>
            <w:tcW w:w="480" w:type="dxa"/>
            <w:vAlign w:val="bottom"/>
            <w:vMerge w:val="restart"/>
          </w:tcPr>
          <w:p>
            <w:pPr>
              <w:jc w:val="right"/>
              <w:spacing w:after="0"/>
              <w:rPr>
                <w:sz w:val="20"/>
                <w:szCs w:val="20"/>
                <w:color w:val="auto"/>
              </w:rPr>
            </w:pPr>
            <w:r>
              <w:rPr>
                <w:rFonts w:ascii="Arial" w:cs="Arial" w:eastAsia="Arial" w:hAnsi="Arial"/>
                <w:sz w:val="22"/>
                <w:szCs w:val="22"/>
                <w:b w:val="1"/>
                <w:bCs w:val="1"/>
                <w:color w:val="1F2668"/>
              </w:rPr>
              <w:t>91</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5340" w:type="dxa"/>
            <w:vAlign w:val="bottom"/>
          </w:tcPr>
          <w:p>
            <w:pPr>
              <w:spacing w:after="0"/>
              <w:rPr>
                <w:sz w:val="20"/>
                <w:szCs w:val="20"/>
                <w:color w:val="auto"/>
              </w:rPr>
            </w:pPr>
            <w:r>
              <w:rPr>
                <w:rFonts w:ascii="Arial" w:cs="Arial" w:eastAsia="Arial" w:hAnsi="Arial"/>
                <w:sz w:val="14"/>
                <w:szCs w:val="14"/>
                <w:b w:val="1"/>
                <w:bCs w:val="1"/>
                <w:color w:val="auto"/>
              </w:rPr>
              <w:t>OTHER MANAGEMENT PROPOSALS</w:t>
            </w:r>
          </w:p>
        </w:tc>
        <w:tc>
          <w:tcPr>
            <w:tcW w:w="324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38"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Awards Under the Sixth Amended 2005 Plan</w:t>
      </w:r>
    </w:p>
    <w:p>
      <w:pPr>
        <w:spacing w:after="0" w:line="119" w:lineRule="exact"/>
        <w:rPr>
          <w:sz w:val="20"/>
          <w:szCs w:val="20"/>
          <w:color w:val="auto"/>
        </w:rPr>
      </w:pPr>
    </w:p>
    <w:p>
      <w:pPr>
        <w:ind w:left="820" w:right="40"/>
        <w:spacing w:after="0" w:line="292" w:lineRule="auto"/>
        <w:rPr>
          <w:sz w:val="20"/>
          <w:szCs w:val="20"/>
          <w:color w:val="auto"/>
        </w:rPr>
      </w:pPr>
      <w:r>
        <w:rPr>
          <w:rFonts w:ascii="Arial" w:cs="Arial" w:eastAsia="Arial" w:hAnsi="Arial"/>
          <w:sz w:val="15"/>
          <w:szCs w:val="15"/>
          <w:i w:val="1"/>
          <w:iCs w:val="1"/>
          <w:color w:val="auto"/>
        </w:rPr>
        <w:t xml:space="preserve">Stock Options. </w:t>
      </w:r>
      <w:r>
        <w:rPr>
          <w:rFonts w:ascii="Arial" w:cs="Arial" w:eastAsia="Arial" w:hAnsi="Arial"/>
          <w:sz w:val="15"/>
          <w:szCs w:val="15"/>
          <w:color w:val="auto"/>
        </w:rPr>
        <w:t>The terms of specific options, including whether options shall constitute “incentive stock options” for purposes of</w:t>
      </w:r>
      <w:r>
        <w:rPr>
          <w:rFonts w:ascii="Arial" w:cs="Arial" w:eastAsia="Arial" w:hAnsi="Arial"/>
          <w:sz w:val="15"/>
          <w:szCs w:val="15"/>
          <w:i w:val="1"/>
          <w:iCs w:val="1"/>
          <w:color w:val="auto"/>
        </w:rPr>
        <w:t xml:space="preserve"> </w:t>
      </w:r>
      <w:r>
        <w:rPr>
          <w:rFonts w:ascii="Arial" w:cs="Arial" w:eastAsia="Arial" w:hAnsi="Arial"/>
          <w:sz w:val="15"/>
          <w:szCs w:val="15"/>
          <w:color w:val="auto"/>
        </w:rPr>
        <w:t>Section 422(b) of the Internal Revenue Code, will be determined by our Compensation Committee of the Board. The exercise price of an option will be determined by our Compensation Committee and reflected in the applicable award agreement. The exercise price may not be lower than 100% (110% in the case of an incentive stock option granted to a 10% stockholder, if permitted under the Sixth Amended 2005 Plan) of the fair market value of our common stock on the date of grant. Each option will be exercisable after the period or periods specified in the award agreement, which will not exceed ten years from the date of grant. Options will be exercisable at such times and subject to such terms as determined by our Compensation Committee; provided that, unless otherwise specified in an award agreement, options, whether or not otherwise exercisable, may be exercised if the grantee’s service relationship is terminated on account of death or disability. Upon exercise of options, the option exercise price must be paid in full either (i) by certified or bank check, or wire, (ii) by the proceeds of a company loan program or third-party sale program or a notice given as consideration under such program, in each case subject to the Compensation Committee’s discretion, or (iii) shares or previously owned common stock, which has been owned for more than six months, having an aggregate fair market value on the date of exercise equal to the aggregate option price, or (iv) a combination of (i)-(iii) or (iv) any other method acceptable to the Compensation Committee. Except in the case that an option is exercised by certified or bank check, the Compensation Committee may impose limitations an prohibitions on the exercise of options as it deems appropriate, and the Compensation Committee may provide that no option may be exercised with respect to a fractional share.</w:t>
      </w:r>
    </w:p>
    <w:p>
      <w:pPr>
        <w:spacing w:after="0" w:line="308" w:lineRule="exact"/>
        <w:rPr>
          <w:sz w:val="20"/>
          <w:szCs w:val="20"/>
          <w:color w:val="auto"/>
        </w:rPr>
      </w:pPr>
    </w:p>
    <w:p>
      <w:pPr>
        <w:ind w:left="820" w:right="60"/>
        <w:spacing w:after="0" w:line="305" w:lineRule="auto"/>
        <w:rPr>
          <w:sz w:val="20"/>
          <w:szCs w:val="20"/>
          <w:color w:val="auto"/>
        </w:rPr>
      </w:pPr>
      <w:r>
        <w:rPr>
          <w:rFonts w:ascii="Arial" w:cs="Arial" w:eastAsia="Arial" w:hAnsi="Arial"/>
          <w:sz w:val="15"/>
          <w:szCs w:val="15"/>
          <w:i w:val="1"/>
          <w:iCs w:val="1"/>
          <w:color w:val="auto"/>
        </w:rPr>
        <w:t xml:space="preserve">Stock Appreciation Rights. </w:t>
      </w:r>
      <w:r>
        <w:rPr>
          <w:rFonts w:ascii="Arial" w:cs="Arial" w:eastAsia="Arial" w:hAnsi="Arial"/>
          <w:sz w:val="15"/>
          <w:szCs w:val="15"/>
          <w:color w:val="auto"/>
        </w:rPr>
        <w:t>Stock appreciation rights, which are options that permit the recipient to exercise the option without the</w:t>
      </w:r>
      <w:r>
        <w:rPr>
          <w:rFonts w:ascii="Arial" w:cs="Arial" w:eastAsia="Arial" w:hAnsi="Arial"/>
          <w:sz w:val="15"/>
          <w:szCs w:val="15"/>
          <w:i w:val="1"/>
          <w:iCs w:val="1"/>
          <w:color w:val="auto"/>
        </w:rPr>
        <w:t xml:space="preserve"> </w:t>
      </w:r>
      <w:r>
        <w:rPr>
          <w:rFonts w:ascii="Arial" w:cs="Arial" w:eastAsia="Arial" w:hAnsi="Arial"/>
          <w:sz w:val="15"/>
          <w:szCs w:val="15"/>
          <w:color w:val="auto"/>
        </w:rPr>
        <w:t>payment of the exercise price and to receive shares of common stock with a fair market value equal to the excess of the fair market value of the shares with respect to which the option is being exercised over the exercise price of the option with respect to those shares. Any stock appreciation rights granted are subject to the same limitations as other options, including a maximum term of 10 years and an exercise price no lower than 100% of the fair market value of our common stock on the date of grant.</w:t>
      </w:r>
    </w:p>
    <w:p>
      <w:pPr>
        <w:spacing w:after="0" w:line="92" w:lineRule="exact"/>
        <w:rPr>
          <w:sz w:val="20"/>
          <w:szCs w:val="20"/>
          <w:color w:val="auto"/>
        </w:rPr>
      </w:pPr>
    </w:p>
    <w:p>
      <w:pPr>
        <w:ind w:left="820" w:right="40"/>
        <w:spacing w:after="0" w:line="291" w:lineRule="auto"/>
        <w:rPr>
          <w:sz w:val="20"/>
          <w:szCs w:val="20"/>
          <w:color w:val="auto"/>
        </w:rPr>
      </w:pPr>
      <w:r>
        <w:rPr>
          <w:rFonts w:ascii="Arial" w:cs="Arial" w:eastAsia="Arial" w:hAnsi="Arial"/>
          <w:sz w:val="15"/>
          <w:szCs w:val="15"/>
          <w:i w:val="1"/>
          <w:iCs w:val="1"/>
          <w:color w:val="auto"/>
        </w:rPr>
        <w:t xml:space="preserve">Restricted Stock. </w:t>
      </w:r>
      <w:r>
        <w:rPr>
          <w:rFonts w:ascii="Arial" w:cs="Arial" w:eastAsia="Arial" w:hAnsi="Arial"/>
          <w:sz w:val="15"/>
          <w:szCs w:val="15"/>
          <w:color w:val="auto"/>
        </w:rPr>
        <w:t>A restricted stock award is an award of shares of common stock that is subject to restrictions on transferability</w:t>
      </w:r>
      <w:r>
        <w:rPr>
          <w:rFonts w:ascii="Arial" w:cs="Arial" w:eastAsia="Arial" w:hAnsi="Arial"/>
          <w:sz w:val="15"/>
          <w:szCs w:val="15"/>
          <w:i w:val="1"/>
          <w:iCs w:val="1"/>
          <w:color w:val="auto"/>
        </w:rPr>
        <w:t xml:space="preserve"> </w:t>
      </w:r>
      <w:r>
        <w:rPr>
          <w:rFonts w:ascii="Arial" w:cs="Arial" w:eastAsia="Arial" w:hAnsi="Arial"/>
          <w:sz w:val="15"/>
          <w:szCs w:val="15"/>
          <w:color w:val="auto"/>
        </w:rPr>
        <w:t>and such other restrictions, if any, as the Board or Compensation Committee may impose at the date of grant. Grants of restricted stock may be subject to vesting schedules as determined by our Compensation Committee. The restrictions may lapse separately or in combination at such times, under such circumstances, including, without limitation, (i) a specified period of employment or the satisfaction of one or a combination of the performance goals set forth in Section 11 of the Sixth Amended 2005 Plan (which is attached hereto as Appendix A), or (ii) based on other goals established by our Compensation Committee. Unless otherwise provided in the applicable award agreement, upon a termination of employment or other service for cause or by the grantee for any reason, all shares of restricted stock still subject to restrictions will be forfeited. In addition, unless otherwise provided in an applicable award agreement, a participant granted restricted stock will have all the rights of a stockholder of our company, including the right to vote the shares and the right to receive any cash dividends currently. Dividends paid on all restricted stock will be at the same rate and on the same date as on shares of our common stock; provided that award recipients will be required to repay any cash dividends received on awards that are subject to performance-based vesting conditions unless and until such conditions have been met. Holders of restricted stock are prohibited from selling such shares until they vest.</w:t>
      </w:r>
    </w:p>
    <w:p>
      <w:pPr>
        <w:spacing w:after="0" w:line="103" w:lineRule="exact"/>
        <w:rPr>
          <w:sz w:val="20"/>
          <w:szCs w:val="20"/>
          <w:color w:val="auto"/>
        </w:rPr>
      </w:pPr>
    </w:p>
    <w:p>
      <w:pPr>
        <w:ind w:left="820" w:right="60"/>
        <w:spacing w:after="0" w:line="275" w:lineRule="auto"/>
        <w:rPr>
          <w:sz w:val="20"/>
          <w:szCs w:val="20"/>
          <w:color w:val="auto"/>
        </w:rPr>
      </w:pPr>
      <w:r>
        <w:rPr>
          <w:rFonts w:ascii="Arial" w:cs="Arial" w:eastAsia="Arial" w:hAnsi="Arial"/>
          <w:sz w:val="16"/>
          <w:szCs w:val="16"/>
          <w:i w:val="1"/>
          <w:iCs w:val="1"/>
          <w:color w:val="auto"/>
        </w:rPr>
        <w:t xml:space="preserve">Phantom Shares. </w:t>
      </w:r>
      <w:r>
        <w:rPr>
          <w:rFonts w:ascii="Arial" w:cs="Arial" w:eastAsia="Arial" w:hAnsi="Arial"/>
          <w:sz w:val="16"/>
          <w:szCs w:val="16"/>
          <w:color w:val="auto"/>
        </w:rPr>
        <w:t>Phantom shares will vest as provided in the applicable award agreement. A phantom share represents a right</w:t>
      </w:r>
      <w:r>
        <w:rPr>
          <w:rFonts w:ascii="Arial" w:cs="Arial" w:eastAsia="Arial" w:hAnsi="Arial"/>
          <w:sz w:val="16"/>
          <w:szCs w:val="16"/>
          <w:i w:val="1"/>
          <w:iCs w:val="1"/>
          <w:color w:val="auto"/>
        </w:rPr>
        <w:t xml:space="preserve"> </w:t>
      </w:r>
      <w:r>
        <w:rPr>
          <w:rFonts w:ascii="Arial" w:cs="Arial" w:eastAsia="Arial" w:hAnsi="Arial"/>
          <w:sz w:val="16"/>
          <w:szCs w:val="16"/>
          <w:color w:val="auto"/>
        </w:rPr>
        <w:t>to receive the fair market value of a share of our common stock, or, if provided by our Compensation Committee, the right to receive the fair market value of a share of our common stock in excess of a base value established by our Compensation Committee at the time of grant. Phantom shares generally may be settled in cash or by transfer of shares of common stock (as may be elected by the participant or our Compensation Committee, as may be provided by our Compensation Committee at grant). Unless otherwise provided in the applicable award agreement, subject to elections by the grantee in accordance with the plan, the settlement date with respect to a phantom share is the first day of the month to follow the date on which the phantom share vests. Our Compensation Committee, under certain circumstances, may permit a participant to receive as settlement of the phantom shares installments over a period not to exceed ten years. In addition, our Compensation Committee may establish a program under which distributions with respect to phantom shares may be deferred for additional periods as set forth in the preceding sentence.</w:t>
      </w:r>
    </w:p>
    <w:p>
      <w:pPr>
        <w:spacing w:after="0" w:line="111" w:lineRule="exact"/>
        <w:rPr>
          <w:sz w:val="20"/>
          <w:szCs w:val="20"/>
          <w:color w:val="auto"/>
        </w:rPr>
      </w:pPr>
    </w:p>
    <w:p>
      <w:pPr>
        <w:ind w:left="820" w:right="80"/>
        <w:spacing w:after="0" w:line="275" w:lineRule="auto"/>
        <w:rPr>
          <w:sz w:val="20"/>
          <w:szCs w:val="20"/>
          <w:color w:val="auto"/>
        </w:rPr>
      </w:pPr>
      <w:r>
        <w:rPr>
          <w:rFonts w:ascii="Arial" w:cs="Arial" w:eastAsia="Arial" w:hAnsi="Arial"/>
          <w:sz w:val="16"/>
          <w:szCs w:val="16"/>
          <w:i w:val="1"/>
          <w:iCs w:val="1"/>
          <w:color w:val="auto"/>
        </w:rPr>
        <w:t xml:space="preserve">Dividend Equivalents. </w:t>
      </w:r>
      <w:r>
        <w:rPr>
          <w:rFonts w:ascii="Arial" w:cs="Arial" w:eastAsia="Arial" w:hAnsi="Arial"/>
          <w:sz w:val="16"/>
          <w:szCs w:val="16"/>
          <w:color w:val="auto"/>
        </w:rPr>
        <w:t>A dividend equivalent is a right to receive (or have credited) the equivalent value (in cash or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of cash distributions made on shares of common stock otherwise subject to an award (e.g., an award of phantom shares); provided, however, that a dividend equivalent right may not be granted in connection with an award of options or stock appreciation rights. Our Compensation Committee may provide that amounts payable in the ordinary course with respect to dividend equivalents will be converted into cash or additional shares of common stock. Our Compensation Committee will establish all other limitations and conditions of awards of dividend equivalents as it deems appropriate.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67310</wp:posOffset>
            </wp:positionV>
            <wp:extent cx="6831965"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p>
      <w:pPr>
        <w:ind w:left="820"/>
        <w:spacing w:after="0"/>
        <w:tabs>
          <w:tab w:leader="none" w:pos="1440" w:val="left"/>
          <w:tab w:leader="none" w:pos="9860" w:val="left"/>
        </w:tabs>
        <w:rPr>
          <w:sz w:val="20"/>
          <w:szCs w:val="20"/>
          <w:color w:val="auto"/>
        </w:rPr>
      </w:pPr>
      <w:r>
        <w:rPr>
          <w:rFonts w:ascii="Arial" w:cs="Arial" w:eastAsia="Arial" w:hAnsi="Arial"/>
          <w:sz w:val="22"/>
          <w:szCs w:val="22"/>
          <w:b w:val="1"/>
          <w:bCs w:val="1"/>
          <w:color w:val="1F2668"/>
        </w:rPr>
        <w:t>​92</w:t>
      </w:r>
      <w:r>
        <w:rPr>
          <w:sz w:val="20"/>
          <w:szCs w:val="20"/>
          <w:color w:val="auto"/>
        </w:rPr>
        <w:tab/>
      </w:r>
      <w:r>
        <w:rPr>
          <w:rFonts w:ascii="Arial" w:cs="Arial" w:eastAsia="Arial" w:hAnsi="Arial"/>
          <w:sz w:val="22"/>
          <w:szCs w:val="22"/>
          <w:b w:val="1"/>
          <w:bCs w:val="1"/>
          <w:color w:val="1F2668"/>
        </w:rPr>
        <w:t xml:space="preserve">​ ​ </w:t>
      </w:r>
      <w:r>
        <w:rPr>
          <w:rFonts w:ascii="Arial" w:cs="Arial" w:eastAsia="Arial" w:hAnsi="Arial"/>
          <w:sz w:val="14"/>
          <w:szCs w:val="14"/>
          <w:b w:val="1"/>
          <w:bCs w:val="1"/>
          <w:color w:val="1F2668"/>
        </w:rPr>
        <w:t>SL GREEN REALTY CORP. 2025 PROXY STATEMENT</w:t>
      </w:r>
      <w:r>
        <w:rPr>
          <w:sz w:val="20"/>
          <w:szCs w:val="20"/>
          <w:color w:val="auto"/>
        </w:rPr>
        <w:tab/>
      </w:r>
      <w:r>
        <w:rPr>
          <w:rFonts w:ascii="Arial" w:cs="Arial" w:eastAsia="Arial" w:hAnsi="Arial"/>
          <w:sz w:val="22"/>
          <w:szCs w:val="22"/>
          <w:b w:val="1"/>
          <w:bCs w:val="1"/>
          <w:color w:val="1F2668"/>
        </w:rPr>
        <w:t>​</w:t>
      </w:r>
    </w:p>
    <w:p>
      <w:pPr>
        <w:spacing w:after="0" w:line="200" w:lineRule="exact"/>
        <w:rPr>
          <w:sz w:val="20"/>
          <w:szCs w:val="20"/>
          <w:color w:val="auto"/>
        </w:rPr>
      </w:pPr>
    </w:p>
    <w:p>
      <w:pPr>
        <w:spacing w:after="0" w:line="304" w:lineRule="exact"/>
        <w:rPr>
          <w:sz w:val="20"/>
          <w:szCs w:val="20"/>
          <w:color w:val="auto"/>
        </w:rPr>
      </w:pPr>
    </w:p>
    <w:p>
      <w:pPr>
        <w:ind w:left="820" w:right="60"/>
        <w:spacing w:after="0" w:line="321" w:lineRule="auto"/>
        <w:rPr>
          <w:sz w:val="20"/>
          <w:szCs w:val="20"/>
          <w:color w:val="auto"/>
        </w:rPr>
      </w:pPr>
      <w:r>
        <w:rPr>
          <w:rFonts w:ascii="Arial" w:cs="Arial" w:eastAsia="Arial" w:hAnsi="Arial"/>
          <w:sz w:val="16"/>
          <w:szCs w:val="16"/>
          <w:color w:val="auto"/>
        </w:rPr>
        <w:t>dividend equivalent granted with respect to an award subject to performance-based vesting conditions may not be payable unless and until such conditions have been met.</w:t>
      </w:r>
    </w:p>
    <w:p>
      <w:pPr>
        <w:spacing w:after="0" w:line="88" w:lineRule="exact"/>
        <w:rPr>
          <w:sz w:val="20"/>
          <w:szCs w:val="20"/>
          <w:color w:val="auto"/>
        </w:rPr>
      </w:pPr>
    </w:p>
    <w:p>
      <w:pPr>
        <w:ind w:left="820" w:right="380"/>
        <w:spacing w:after="0" w:line="301" w:lineRule="auto"/>
        <w:rPr>
          <w:sz w:val="20"/>
          <w:szCs w:val="20"/>
          <w:color w:val="auto"/>
        </w:rPr>
      </w:pPr>
      <w:r>
        <w:rPr>
          <w:rFonts w:ascii="Arial" w:cs="Arial" w:eastAsia="Arial" w:hAnsi="Arial"/>
          <w:sz w:val="16"/>
          <w:szCs w:val="16"/>
          <w:i w:val="1"/>
          <w:iCs w:val="1"/>
          <w:color w:val="auto"/>
        </w:rPr>
        <w:t xml:space="preserve">Cash-Based Awards. </w:t>
      </w:r>
      <w:r>
        <w:rPr>
          <w:rFonts w:ascii="Arial" w:cs="Arial" w:eastAsia="Arial" w:hAnsi="Arial"/>
          <w:sz w:val="16"/>
          <w:szCs w:val="16"/>
          <w:color w:val="auto"/>
        </w:rPr>
        <w:t>The Sixth Amended 2005 Plan will authorize the granting of awards payable in cash. Each cash-based</w:t>
      </w:r>
      <w:r>
        <w:rPr>
          <w:rFonts w:ascii="Arial" w:cs="Arial" w:eastAsia="Arial" w:hAnsi="Arial"/>
          <w:sz w:val="16"/>
          <w:szCs w:val="16"/>
          <w:i w:val="1"/>
          <w:iCs w:val="1"/>
          <w:color w:val="auto"/>
        </w:rPr>
        <w:t xml:space="preserve"> </w:t>
      </w:r>
      <w:r>
        <w:rPr>
          <w:rFonts w:ascii="Arial" w:cs="Arial" w:eastAsia="Arial" w:hAnsi="Arial"/>
          <w:sz w:val="16"/>
          <w:szCs w:val="16"/>
          <w:color w:val="auto"/>
        </w:rPr>
        <w:t>award will specify a cash-denominated payment amount, formula or payment ranges as determined by our Compensation Committee.</w:t>
      </w:r>
    </w:p>
    <w:p>
      <w:pPr>
        <w:spacing w:after="0" w:line="104" w:lineRule="exact"/>
        <w:rPr>
          <w:sz w:val="20"/>
          <w:szCs w:val="20"/>
          <w:color w:val="auto"/>
        </w:rPr>
      </w:pPr>
    </w:p>
    <w:p>
      <w:pPr>
        <w:ind w:left="820" w:right="60"/>
        <w:spacing w:after="0" w:line="307" w:lineRule="auto"/>
        <w:rPr>
          <w:sz w:val="20"/>
          <w:szCs w:val="20"/>
          <w:color w:val="auto"/>
        </w:rPr>
      </w:pPr>
      <w:r>
        <w:rPr>
          <w:rFonts w:ascii="Arial" w:cs="Arial" w:eastAsia="Arial" w:hAnsi="Arial"/>
          <w:sz w:val="15"/>
          <w:szCs w:val="15"/>
          <w:i w:val="1"/>
          <w:iCs w:val="1"/>
          <w:color w:val="auto"/>
        </w:rPr>
        <w:t xml:space="preserve">Other Stock-Based Awards. </w:t>
      </w:r>
      <w:r>
        <w:rPr>
          <w:rFonts w:ascii="Arial" w:cs="Arial" w:eastAsia="Arial" w:hAnsi="Arial"/>
          <w:sz w:val="15"/>
          <w:szCs w:val="15"/>
          <w:color w:val="auto"/>
        </w:rPr>
        <w:t>The Sixth Amended 2005 Plan will authorize the granting of (i) other awards based upon the</w:t>
      </w:r>
      <w:r>
        <w:rPr>
          <w:rFonts w:ascii="Arial" w:cs="Arial" w:eastAsia="Arial" w:hAnsi="Arial"/>
          <w:sz w:val="15"/>
          <w:szCs w:val="15"/>
          <w:i w:val="1"/>
          <w:iCs w:val="1"/>
          <w:color w:val="auto"/>
        </w:rPr>
        <w:t xml:space="preserve"> </w:t>
      </w:r>
      <w:r>
        <w:rPr>
          <w:rFonts w:ascii="Arial" w:cs="Arial" w:eastAsia="Arial" w:hAnsi="Arial"/>
          <w:sz w:val="15"/>
          <w:szCs w:val="15"/>
          <w:color w:val="auto"/>
        </w:rPr>
        <w:t>common stock, including shares based upon certain conditions, convertible preferred shares, convertible debentures and other exchangeable or redeemable securities or equity interests, and stock appreciation rights, (ii) limited-partnership or any other membership or ownership interests (which may be expressed as units, such as LTIP units or Class O LTIP units, or otherwise) in a subsidiary or operating or other partnership (or other affiliate of the company), with any shares issued in connection with the conversion of (or other distribution on account of) such interest subject to the Fungible Pool Limit and the other provisions of the Sixth Amended 2005 Plan, and (iii) awards valued by reference to book value, fair value or performance parameters relative to the company or any subsidiary or group of subsidiaries. Any awards subject to performance-based vesting conditions will not give the participant any right to receive cash dividends or dividend equivalent rights unless and until such conditions have been met.</w:t>
      </w:r>
    </w:p>
    <w:p>
      <w:pPr>
        <w:spacing w:after="0" w:line="263"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Adjustments in General; Certain Change in Control Provisions</w:t>
      </w:r>
    </w:p>
    <w:p>
      <w:pPr>
        <w:spacing w:after="0" w:line="133" w:lineRule="exact"/>
        <w:rPr>
          <w:sz w:val="20"/>
          <w:szCs w:val="20"/>
          <w:color w:val="auto"/>
        </w:rPr>
      </w:pPr>
    </w:p>
    <w:p>
      <w:pPr>
        <w:ind w:left="820" w:right="200"/>
        <w:spacing w:after="0" w:line="310" w:lineRule="auto"/>
        <w:rPr>
          <w:sz w:val="20"/>
          <w:szCs w:val="20"/>
          <w:color w:val="auto"/>
        </w:rPr>
      </w:pPr>
      <w:r>
        <w:rPr>
          <w:rFonts w:ascii="Arial" w:cs="Arial" w:eastAsia="Arial" w:hAnsi="Arial"/>
          <w:sz w:val="15"/>
          <w:szCs w:val="15"/>
          <w:color w:val="auto"/>
        </w:rPr>
        <w:t>In the event of certain corporate reorganizations or other events, our Compensation Committee generally may make certain adjustments in its discretion to the manner in which the Sixth Amended 2005 Plan operates (including, for example, to the number of Fungible Units and shares of common stock available under the Sixth Amended 2005 Plan), and may otherwise take actions which, in its judgment, are necessary to preserve the rights of plan participants. Upon a change in control (as defined in the Sixth Amended 2005 Plan), our Compensation Committee generally may make such adjustments as it, in its discretion, determines are necessary or appropriate in light of the change in control, if our Compensation Committee determines that the adjustments do not have an adverse economic impact on the participants, and certain other special provisions may apply.</w:t>
      </w:r>
    </w:p>
    <w:p>
      <w:pPr>
        <w:spacing w:after="0" w:line="257"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Tax Withholding</w:t>
      </w:r>
    </w:p>
    <w:p>
      <w:pPr>
        <w:spacing w:after="0" w:line="133" w:lineRule="exact"/>
        <w:rPr>
          <w:sz w:val="20"/>
          <w:szCs w:val="20"/>
          <w:color w:val="auto"/>
        </w:rPr>
      </w:pPr>
    </w:p>
    <w:p>
      <w:pPr>
        <w:ind w:left="820" w:right="160"/>
        <w:spacing w:after="0" w:line="286" w:lineRule="auto"/>
        <w:rPr>
          <w:sz w:val="20"/>
          <w:szCs w:val="20"/>
          <w:color w:val="auto"/>
        </w:rPr>
      </w:pPr>
      <w:r>
        <w:rPr>
          <w:rFonts w:ascii="Arial" w:cs="Arial" w:eastAsia="Arial" w:hAnsi="Arial"/>
          <w:sz w:val="16"/>
          <w:szCs w:val="16"/>
          <w:color w:val="auto"/>
        </w:rPr>
        <w:t>Participants under the Sixth Amended 2005 Plan are responsible for the payment of any federal, state or local taxes, including those that we are required by law to withhold upon any option exercise or vesting of other awards. Subject to approval by the Compensation Committee, participants may elect to have the tax withholding obligations satisfied either by authorizing the Company to withhold shares of common stock to be issued pursuant to an option exercise or other award, or by transferring to the Company shares of common stock having a value up to the amount of such taxes. Alternatively, the Compensation Committee may provide in an award agreement that a participant is required to satisfy the tax withholding obligation by having shares of common stock withheld by the Company from the shares of common stock otherwise to be received, or require a participant to do so, subject to the participant’s ability to elect to satisfy such liability in cash. Tax withholding may be in excess of the statutory withholding rate if doing so will not result in liability accounting under FASB ASC 718.</w:t>
      </w:r>
    </w:p>
    <w:p>
      <w:pPr>
        <w:spacing w:after="0" w:line="276"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Amendment and Termination</w:t>
      </w:r>
    </w:p>
    <w:p>
      <w:pPr>
        <w:spacing w:after="0" w:line="133" w:lineRule="exact"/>
        <w:rPr>
          <w:sz w:val="20"/>
          <w:szCs w:val="20"/>
          <w:color w:val="auto"/>
        </w:rPr>
      </w:pPr>
    </w:p>
    <w:p>
      <w:pPr>
        <w:ind w:left="820" w:right="80"/>
        <w:spacing w:after="0" w:line="286" w:lineRule="auto"/>
        <w:rPr>
          <w:sz w:val="20"/>
          <w:szCs w:val="20"/>
          <w:color w:val="auto"/>
        </w:rPr>
      </w:pPr>
      <w:r>
        <w:rPr>
          <w:rFonts w:ascii="Arial" w:cs="Arial" w:eastAsia="Arial" w:hAnsi="Arial"/>
          <w:sz w:val="16"/>
          <w:szCs w:val="16"/>
          <w:color w:val="auto"/>
        </w:rPr>
        <w:t>We may grant awards under the Sixth Amended 2005 Plan until June 3, 2035, the 10th anniversary of the approval of the Sixth Amended 2005 Plan at the annual meeting. The Board generally may amend our plan as it deems advisable, except that no amendment may adversely affect a participant with respect to an award previously granted unless such amendment is required in order to comply with applicable laws. The Board, in its discretion, may (a) determine to make any plan amendments subject to approval by our stockholders for purposes of complying with applicable stock exchange requirements, (b) ensuring that compensation earned under awards qualifies as performance-based compensation under Section 162(m) of the Internal Revenue Code or (c) ensuring that incentive stock options granted under the Sixth Amended 2005 Plan are qualified under Section 422 of the Internal Revenue Code. The Sixth Amended 2005 Plan provides that, to the extent required under the rules of any securities exchange or market system on which our common stock was listed, amendments would be subject to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6831965"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5340" w:type="dxa"/>
            <w:vAlign w:val="bottom"/>
          </w:tcPr>
          <w:p>
            <w:pPr>
              <w:spacing w:after="0"/>
              <w:rPr>
                <w:sz w:val="20"/>
                <w:szCs w:val="20"/>
                <w:color w:val="auto"/>
              </w:rPr>
            </w:pPr>
            <w:r>
              <w:rPr>
                <w:rFonts w:ascii="Arial" w:cs="Arial" w:eastAsia="Arial" w:hAnsi="Arial"/>
                <w:sz w:val="14"/>
                <w:szCs w:val="14"/>
                <w:b w:val="1"/>
                <w:bCs w:val="1"/>
                <w:color w:val="auto"/>
              </w:rPr>
              <w:t>​</w:t>
            </w:r>
          </w:p>
        </w:tc>
        <w:tc>
          <w:tcPr>
            <w:tcW w:w="3240" w:type="dxa"/>
            <w:vAlign w:val="bottom"/>
          </w:tcPr>
          <w:p>
            <w:pPr>
              <w:ind w:left="2860"/>
              <w:spacing w:after="0"/>
              <w:rPr>
                <w:sz w:val="20"/>
                <w:szCs w:val="20"/>
                <w:color w:val="auto"/>
              </w:rPr>
            </w:pPr>
            <w:r>
              <w:rPr>
                <w:rFonts w:ascii="Arial" w:cs="Arial" w:eastAsia="Arial" w:hAnsi="Arial"/>
                <w:sz w:val="14"/>
                <w:szCs w:val="14"/>
                <w:b w:val="1"/>
                <w:bCs w:val="1"/>
                <w:color w:val="auto"/>
              </w:rPr>
              <w:t>​ ​</w:t>
            </w:r>
          </w:p>
        </w:tc>
        <w:tc>
          <w:tcPr>
            <w:tcW w:w="480" w:type="dxa"/>
            <w:vAlign w:val="bottom"/>
            <w:vMerge w:val="restart"/>
          </w:tcPr>
          <w:p>
            <w:pPr>
              <w:jc w:val="right"/>
              <w:spacing w:after="0"/>
              <w:rPr>
                <w:sz w:val="20"/>
                <w:szCs w:val="20"/>
                <w:color w:val="auto"/>
              </w:rPr>
            </w:pPr>
            <w:r>
              <w:rPr>
                <w:rFonts w:ascii="Arial" w:cs="Arial" w:eastAsia="Arial" w:hAnsi="Arial"/>
                <w:sz w:val="22"/>
                <w:szCs w:val="22"/>
                <w:b w:val="1"/>
                <w:bCs w:val="1"/>
                <w:color w:val="1F2668"/>
              </w:rPr>
              <w:t>93</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5340" w:type="dxa"/>
            <w:vAlign w:val="bottom"/>
          </w:tcPr>
          <w:p>
            <w:pPr>
              <w:spacing w:after="0"/>
              <w:rPr>
                <w:sz w:val="20"/>
                <w:szCs w:val="20"/>
                <w:color w:val="auto"/>
              </w:rPr>
            </w:pPr>
            <w:r>
              <w:rPr>
                <w:rFonts w:ascii="Arial" w:cs="Arial" w:eastAsia="Arial" w:hAnsi="Arial"/>
                <w:sz w:val="14"/>
                <w:szCs w:val="14"/>
                <w:b w:val="1"/>
                <w:bCs w:val="1"/>
                <w:color w:val="auto"/>
              </w:rPr>
              <w:t>OTHER MANAGEMENT PROPOSALS</w:t>
            </w:r>
          </w:p>
        </w:tc>
        <w:tc>
          <w:tcPr>
            <w:tcW w:w="324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38"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Repricing</w:t>
      </w:r>
    </w:p>
    <w:p>
      <w:pPr>
        <w:spacing w:after="0" w:line="119" w:lineRule="exact"/>
        <w:rPr>
          <w:sz w:val="20"/>
          <w:szCs w:val="20"/>
          <w:color w:val="auto"/>
        </w:rPr>
      </w:pPr>
    </w:p>
    <w:p>
      <w:pPr>
        <w:ind w:left="820" w:right="180"/>
        <w:spacing w:after="0" w:line="269" w:lineRule="auto"/>
        <w:rPr>
          <w:sz w:val="20"/>
          <w:szCs w:val="20"/>
          <w:color w:val="auto"/>
        </w:rPr>
      </w:pPr>
      <w:r>
        <w:rPr>
          <w:rFonts w:ascii="Arial" w:cs="Arial" w:eastAsia="Arial" w:hAnsi="Arial"/>
          <w:sz w:val="16"/>
          <w:szCs w:val="16"/>
          <w:color w:val="auto"/>
        </w:rPr>
        <w:t>Except in certain circumstances regarding corporate transactions, without prior stockholder approval, neither the Board nor the Compensation Committee may reduce the option price of outstanding options or stock appreciation rights or cancel, exchange, substitute, buyout or surrender outstanding options or stock appreciation rights in exchange for cash, other awards or options or stock appreciation rights with an exercise price that is less than the exercise price of the original options or stock appreciation rights.</w:t>
      </w:r>
    </w:p>
    <w:p>
      <w:pPr>
        <w:spacing w:after="0" w:line="299" w:lineRule="exact"/>
        <w:rPr>
          <w:sz w:val="20"/>
          <w:szCs w:val="20"/>
          <w:color w:val="auto"/>
        </w:rPr>
      </w:pPr>
    </w:p>
    <w:p>
      <w:pPr>
        <w:ind w:left="820"/>
        <w:spacing w:after="0"/>
        <w:rPr>
          <w:sz w:val="20"/>
          <w:szCs w:val="20"/>
          <w:color w:val="auto"/>
        </w:rPr>
      </w:pPr>
      <w:r>
        <w:rPr>
          <w:rFonts w:ascii="Arial" w:cs="Arial" w:eastAsia="Arial" w:hAnsi="Arial"/>
          <w:sz w:val="29"/>
          <w:szCs w:val="29"/>
          <w:b w:val="1"/>
          <w:bCs w:val="1"/>
          <w:color w:val="83AD40"/>
        </w:rPr>
        <w:t>MATERIAL U.S. FEDERAL INCOME TAX CONSEQUENCES</w:t>
      </w:r>
    </w:p>
    <w:p>
      <w:pPr>
        <w:spacing w:after="0" w:line="159" w:lineRule="exact"/>
        <w:rPr>
          <w:sz w:val="20"/>
          <w:szCs w:val="20"/>
          <w:color w:val="auto"/>
        </w:rPr>
      </w:pPr>
    </w:p>
    <w:p>
      <w:pPr>
        <w:ind w:left="820" w:right="80"/>
        <w:spacing w:after="0" w:line="275" w:lineRule="auto"/>
        <w:rPr>
          <w:sz w:val="20"/>
          <w:szCs w:val="20"/>
          <w:color w:val="auto"/>
        </w:rPr>
      </w:pPr>
      <w:r>
        <w:rPr>
          <w:rFonts w:ascii="Arial" w:cs="Arial" w:eastAsia="Arial" w:hAnsi="Arial"/>
          <w:sz w:val="16"/>
          <w:szCs w:val="16"/>
          <w:color w:val="auto"/>
        </w:rPr>
        <w:t>The following is a summary of the principal U.S. federal income tax consequences of certain transactions under the Sixth Amended 2005 Plan. It does not describe all federal tax consequences under the Sixth Amended 2005 Plan, nor does it describe state, local, foreign or other tax consequences.</w:t>
      </w:r>
    </w:p>
    <w:p>
      <w:pPr>
        <w:spacing w:after="0" w:line="280"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Incentive Stock Options</w:t>
      </w:r>
    </w:p>
    <w:p>
      <w:pPr>
        <w:spacing w:after="0" w:line="119" w:lineRule="exact"/>
        <w:rPr>
          <w:sz w:val="20"/>
          <w:szCs w:val="20"/>
          <w:color w:val="auto"/>
        </w:rPr>
      </w:pPr>
    </w:p>
    <w:p>
      <w:pPr>
        <w:ind w:left="820" w:right="120"/>
        <w:spacing w:after="0" w:line="261" w:lineRule="auto"/>
        <w:rPr>
          <w:sz w:val="20"/>
          <w:szCs w:val="20"/>
          <w:color w:val="auto"/>
        </w:rPr>
      </w:pPr>
      <w:r>
        <w:rPr>
          <w:rFonts w:ascii="Arial" w:cs="Arial" w:eastAsia="Arial" w:hAnsi="Arial"/>
          <w:sz w:val="16"/>
          <w:szCs w:val="16"/>
          <w:color w:val="auto"/>
        </w:rPr>
        <w:t>In general, neither the grant nor the exercise of an incentive stock option will result in taxable income to an option holder or a deduction for the Company. To receive special tax treatment as an incentive stock option under the Internal Revenue Code as to shares acquired upon exercise of an incentive stock option, an option holder must neither dispose of the shares within two years after the incentive stock option is granted nor within one year after the transfer of the shares to the option holder pursuant to exercise of the option. In addition, the option holder must be an employee of the Company or a qualified subsidiary at all times between the date of grant and the date three months (one year in the case of disability) before exercise of the option. (Special rules apply in the case of the death of the option holder.) Incentive stock option treatment under the Internal Revenue Code generally allows the sale of shares of the Company’s common stock received upon the exercise of an incentive stock option to result in any gain being treated as a capital gain to the option holder, but the Company will not be entitled to a tax deduction. The exercise of an incentive stock option (if the holding period rules described in this paragraph are satisfied), however, will give rise to income includable by the option holder in his or her alternative minimum taxable income for purposes of the alternative minimum tax in an amount equal to the excess of the fair market value of the stock acquired on the date of the exercise of the option over the exercise price.</w:t>
      </w:r>
    </w:p>
    <w:p>
      <w:pPr>
        <w:spacing w:after="0" w:line="112" w:lineRule="exact"/>
        <w:rPr>
          <w:sz w:val="20"/>
          <w:szCs w:val="20"/>
          <w:color w:val="auto"/>
        </w:rPr>
      </w:pPr>
    </w:p>
    <w:p>
      <w:pPr>
        <w:ind w:left="820" w:right="100"/>
        <w:spacing w:after="0" w:line="264" w:lineRule="auto"/>
        <w:rPr>
          <w:sz w:val="20"/>
          <w:szCs w:val="20"/>
          <w:color w:val="auto"/>
        </w:rPr>
      </w:pPr>
      <w:r>
        <w:rPr>
          <w:rFonts w:ascii="Arial" w:cs="Arial" w:eastAsia="Arial" w:hAnsi="Arial"/>
          <w:sz w:val="16"/>
          <w:szCs w:val="16"/>
          <w:color w:val="auto"/>
        </w:rPr>
        <w:t>If the holding period rules noted above are not satisfied, gain recognized on the disposition of the shares acquired upon the exercise of an incentive stock option will be characterized as ordinary income. This gain will be equal to the difference between the exercise price and the fair market value of the shares at the time of exercise. (Special rules may apply to disqualifying dispositions where the amount realized is less than the value at exercise.) The Company will generally be entitled to a deduction equal to the amount of such gain included by an option holder as ordinary income. Any excess of the amount realized upon such disposition over the fair market value at exercise will generally be long-term or short-term capital gain depending on the holding period involved. Notwithstanding the foregoing, if exercise of the option is permitted other than by cash payment of the exercise price, various special tax rules may apply.</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Non-Qualified Stock Options</w:t>
      </w:r>
    </w:p>
    <w:p>
      <w:pPr>
        <w:spacing w:after="0" w:line="119" w:lineRule="exact"/>
        <w:rPr>
          <w:sz w:val="20"/>
          <w:szCs w:val="20"/>
          <w:color w:val="auto"/>
        </w:rPr>
      </w:pPr>
    </w:p>
    <w:p>
      <w:pPr>
        <w:ind w:left="820" w:right="60"/>
        <w:spacing w:after="0" w:line="262" w:lineRule="auto"/>
        <w:rPr>
          <w:sz w:val="20"/>
          <w:szCs w:val="20"/>
          <w:color w:val="auto"/>
        </w:rPr>
      </w:pPr>
      <w:r>
        <w:rPr>
          <w:rFonts w:ascii="Arial" w:cs="Arial" w:eastAsia="Arial" w:hAnsi="Arial"/>
          <w:sz w:val="16"/>
          <w:szCs w:val="16"/>
          <w:color w:val="auto"/>
        </w:rPr>
        <w:t>No income will be recognized by an option holder at the time a non-qualified option is granted. Ordinary income will generally be recognized by an option holder, however, at the time a non-qualified option is exercised in an amount equal to the excess of the fair market value of the underlying common stock on the exercise date over the exercise price. The Company will generally be entitled to a deduction for federal income tax purposes in the same amount as the amount included in ordinary income by the option holder with respect to his or her non-qualified option. Gain or loss on a subsequent sale or other disposition of the shares acquired upon the exercise of a non-qualified option will be measured by the difference between the amount realized on the disposition and the tax basis of such shares, and will generally be long-term or short-term capital gain depending on the holding period involved. The tax basis of the shares acquired upon the exercise of any non-qualified option will be equal to the sum of the exercise price of the non-qualified option and the amount included in income with respect to the option. Notwithstanding the foregoing, in the event that exercise of the option is permitted other than by cash payment of the exercise price, various special tax rules may apply.</w:t>
      </w:r>
    </w:p>
    <w:p>
      <w:pPr>
        <w:spacing w:after="0" w:line="309" w:lineRule="exact"/>
        <w:rPr>
          <w:sz w:val="20"/>
          <w:szCs w:val="20"/>
          <w:color w:val="auto"/>
        </w:rPr>
      </w:pPr>
    </w:p>
    <w:p>
      <w:pPr>
        <w:ind w:left="820"/>
        <w:spacing w:after="0"/>
        <w:rPr>
          <w:sz w:val="20"/>
          <w:szCs w:val="20"/>
          <w:color w:val="auto"/>
        </w:rPr>
      </w:pPr>
      <w:r>
        <w:rPr>
          <w:rFonts w:ascii="Arial" w:cs="Arial" w:eastAsia="Arial" w:hAnsi="Arial"/>
          <w:sz w:val="29"/>
          <w:szCs w:val="29"/>
          <w:b w:val="1"/>
          <w:bCs w:val="1"/>
          <w:color w:val="83AD40"/>
        </w:rPr>
        <w:t>NEW PLAN BENEFITS</w:t>
      </w:r>
    </w:p>
    <w:p>
      <w:pPr>
        <w:spacing w:after="0" w:line="159" w:lineRule="exact"/>
        <w:rPr>
          <w:sz w:val="20"/>
          <w:szCs w:val="20"/>
          <w:color w:val="auto"/>
        </w:rPr>
      </w:pPr>
    </w:p>
    <w:p>
      <w:pPr>
        <w:jc w:val="both"/>
        <w:ind w:left="820" w:right="260"/>
        <w:spacing w:after="0" w:line="292" w:lineRule="auto"/>
        <w:rPr>
          <w:sz w:val="20"/>
          <w:szCs w:val="20"/>
          <w:color w:val="auto"/>
        </w:rPr>
      </w:pPr>
      <w:r>
        <w:rPr>
          <w:rFonts w:ascii="Arial" w:cs="Arial" w:eastAsia="Arial" w:hAnsi="Arial"/>
          <w:sz w:val="16"/>
          <w:szCs w:val="16"/>
          <w:color w:val="auto"/>
        </w:rPr>
        <w:t>The number of shares and types of awards (including, without limitation, options) that may be granted to our executive officers, non-employee directors and other employees is indeterminable at this time, as such grants are subject to the discretion of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50165</wp:posOffset>
            </wp:positionV>
            <wp:extent cx="6831965"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p>
      <w:pPr>
        <w:ind w:left="820"/>
        <w:spacing w:after="0"/>
        <w:tabs>
          <w:tab w:leader="none" w:pos="1440" w:val="left"/>
          <w:tab w:leader="none" w:pos="9860" w:val="left"/>
        </w:tabs>
        <w:rPr>
          <w:sz w:val="20"/>
          <w:szCs w:val="20"/>
          <w:color w:val="auto"/>
        </w:rPr>
      </w:pPr>
      <w:r>
        <w:rPr>
          <w:rFonts w:ascii="Arial" w:cs="Arial" w:eastAsia="Arial" w:hAnsi="Arial"/>
          <w:sz w:val="22"/>
          <w:szCs w:val="22"/>
          <w:b w:val="1"/>
          <w:bCs w:val="1"/>
          <w:color w:val="1F2668"/>
        </w:rPr>
        <w:t>​94</w:t>
      </w:r>
      <w:r>
        <w:rPr>
          <w:sz w:val="20"/>
          <w:szCs w:val="20"/>
          <w:color w:val="auto"/>
        </w:rPr>
        <w:tab/>
      </w:r>
      <w:r>
        <w:rPr>
          <w:rFonts w:ascii="Arial" w:cs="Arial" w:eastAsia="Arial" w:hAnsi="Arial"/>
          <w:sz w:val="22"/>
          <w:szCs w:val="22"/>
          <w:b w:val="1"/>
          <w:bCs w:val="1"/>
          <w:color w:val="1F2668"/>
        </w:rPr>
        <w:t xml:space="preserve">​ ​ </w:t>
      </w:r>
      <w:r>
        <w:rPr>
          <w:rFonts w:ascii="Arial" w:cs="Arial" w:eastAsia="Arial" w:hAnsi="Arial"/>
          <w:sz w:val="14"/>
          <w:szCs w:val="14"/>
          <w:b w:val="1"/>
          <w:bCs w:val="1"/>
          <w:color w:val="1F2668"/>
        </w:rPr>
        <w:t>SL GREEN REALTY CORP. 2025 PROXY STATEMENT</w:t>
      </w:r>
      <w:r>
        <w:rPr>
          <w:sz w:val="20"/>
          <w:szCs w:val="20"/>
          <w:color w:val="auto"/>
        </w:rPr>
        <w:tab/>
      </w:r>
      <w:r>
        <w:rPr>
          <w:rFonts w:ascii="Arial" w:cs="Arial" w:eastAsia="Arial" w:hAnsi="Arial"/>
          <w:sz w:val="22"/>
          <w:szCs w:val="22"/>
          <w:b w:val="1"/>
          <w:bCs w:val="1"/>
          <w:color w:val="1F2668"/>
        </w:rPr>
        <w:t>​</w:t>
      </w:r>
    </w:p>
    <w:p>
      <w:pPr>
        <w:spacing w:after="0" w:line="200" w:lineRule="exact"/>
        <w:rPr>
          <w:sz w:val="20"/>
          <w:szCs w:val="20"/>
          <w:color w:val="auto"/>
        </w:rPr>
      </w:pPr>
    </w:p>
    <w:p>
      <w:pPr>
        <w:spacing w:after="0" w:line="285"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Equity Compensation Plan Information</w:t>
      </w:r>
    </w:p>
    <w:p>
      <w:pPr>
        <w:spacing w:after="0" w:line="13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following table summarizes the Company’s equity compensation plans as of December 31, 2024.</w:t>
      </w:r>
    </w:p>
    <w:p>
      <w:pPr>
        <w:spacing w:after="0" w:line="226"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4"/>
                <w:szCs w:val="14"/>
                <w:color w:val="1F2668"/>
              </w:rPr>
              <w:t>Number of securities</w:t>
            </w:r>
          </w:p>
        </w:tc>
      </w:tr>
      <w:tr>
        <w:trPr>
          <w:trHeight w:val="162"/>
        </w:trPr>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4"/>
                <w:szCs w:val="14"/>
                <w:color w:val="1F2668"/>
                <w:w w:val="99"/>
              </w:rPr>
              <w:t>remaining available for</w:t>
            </w:r>
          </w:p>
        </w:tc>
      </w:tr>
      <w:tr>
        <w:trPr>
          <w:trHeight w:val="162"/>
        </w:trPr>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4"/>
                <w:szCs w:val="14"/>
                <w:color w:val="1F2668"/>
              </w:rPr>
              <w:t>future issuance under</w:t>
            </w:r>
          </w:p>
        </w:tc>
      </w:tr>
      <w:tr>
        <w:trPr>
          <w:trHeight w:val="162"/>
        </w:trPr>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4"/>
                <w:szCs w:val="14"/>
                <w:color w:val="1F2668"/>
              </w:rPr>
              <w:t>Number of securities to</w:t>
            </w: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1F2668"/>
              </w:rPr>
              <w:t>Weighted-average</w:t>
            </w:r>
          </w:p>
        </w:tc>
        <w:tc>
          <w:tcPr>
            <w:tcW w:w="1500" w:type="dxa"/>
            <w:vAlign w:val="bottom"/>
            <w:gridSpan w:val="2"/>
          </w:tcPr>
          <w:p>
            <w:pPr>
              <w:jc w:val="right"/>
              <w:ind w:right="80"/>
              <w:spacing w:after="0"/>
              <w:rPr>
                <w:sz w:val="20"/>
                <w:szCs w:val="20"/>
                <w:color w:val="auto"/>
              </w:rPr>
            </w:pPr>
            <w:r>
              <w:rPr>
                <w:rFonts w:ascii="Arial" w:cs="Arial" w:eastAsia="Arial" w:hAnsi="Arial"/>
                <w:sz w:val="14"/>
                <w:szCs w:val="14"/>
                <w:color w:val="1F2668"/>
              </w:rPr>
              <w:t>equity compensation</w:t>
            </w:r>
          </w:p>
        </w:tc>
      </w:tr>
      <w:tr>
        <w:trPr>
          <w:trHeight w:val="162"/>
        </w:trPr>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3"/>
          </w:tcPr>
          <w:p>
            <w:pPr>
              <w:jc w:val="right"/>
              <w:ind w:right="200"/>
              <w:spacing w:after="0"/>
              <w:rPr>
                <w:sz w:val="20"/>
                <w:szCs w:val="20"/>
                <w:color w:val="auto"/>
              </w:rPr>
            </w:pPr>
            <w:r>
              <w:rPr>
                <w:rFonts w:ascii="Arial" w:cs="Arial" w:eastAsia="Arial" w:hAnsi="Arial"/>
                <w:sz w:val="14"/>
                <w:szCs w:val="14"/>
                <w:color w:val="1F2668"/>
              </w:rPr>
              <w:t>be issued upon exercise</w:t>
            </w: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1F2668"/>
              </w:rPr>
              <w:t>exercise price of</w:t>
            </w:r>
          </w:p>
        </w:tc>
        <w:tc>
          <w:tcPr>
            <w:tcW w:w="1500" w:type="dxa"/>
            <w:vAlign w:val="bottom"/>
            <w:gridSpan w:val="2"/>
          </w:tcPr>
          <w:p>
            <w:pPr>
              <w:jc w:val="right"/>
              <w:ind w:right="80"/>
              <w:spacing w:after="0"/>
              <w:rPr>
                <w:sz w:val="20"/>
                <w:szCs w:val="20"/>
                <w:color w:val="auto"/>
              </w:rPr>
            </w:pPr>
            <w:r>
              <w:rPr>
                <w:rFonts w:ascii="Arial" w:cs="Arial" w:eastAsia="Arial" w:hAnsi="Arial"/>
                <w:sz w:val="14"/>
                <w:szCs w:val="14"/>
                <w:color w:val="1F2668"/>
              </w:rPr>
              <w:t>plans (excluding</w:t>
            </w:r>
          </w:p>
        </w:tc>
      </w:tr>
      <w:tr>
        <w:trPr>
          <w:trHeight w:val="162"/>
        </w:trPr>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4"/>
                <w:szCs w:val="14"/>
                <w:color w:val="1F2668"/>
              </w:rPr>
              <w:t>of outstanding options,</w:t>
            </w: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1F2668"/>
                <w:w w:val="98"/>
              </w:rPr>
              <w:t>outstanding options,</w:t>
            </w:r>
          </w:p>
        </w:tc>
        <w:tc>
          <w:tcPr>
            <w:tcW w:w="1500" w:type="dxa"/>
            <w:vAlign w:val="bottom"/>
            <w:gridSpan w:val="2"/>
          </w:tcPr>
          <w:p>
            <w:pPr>
              <w:jc w:val="right"/>
              <w:ind w:right="80"/>
              <w:spacing w:after="0"/>
              <w:rPr>
                <w:sz w:val="20"/>
                <w:szCs w:val="20"/>
                <w:color w:val="auto"/>
              </w:rPr>
            </w:pPr>
            <w:r>
              <w:rPr>
                <w:rFonts w:ascii="Arial" w:cs="Arial" w:eastAsia="Arial" w:hAnsi="Arial"/>
                <w:sz w:val="14"/>
                <w:szCs w:val="14"/>
                <w:color w:val="1F2668"/>
              </w:rPr>
              <w:t>securities reflected in</w:t>
            </w:r>
          </w:p>
        </w:tc>
      </w:tr>
      <w:tr>
        <w:trPr>
          <w:trHeight w:val="162"/>
        </w:trPr>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4"/>
                <w:szCs w:val="14"/>
                <w:color w:val="1F2668"/>
              </w:rPr>
              <w:t>warrants and rights</w:t>
            </w: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1F2668"/>
              </w:rPr>
              <w:t>warrants and rights</w:t>
            </w:r>
          </w:p>
        </w:tc>
        <w:tc>
          <w:tcPr>
            <w:tcW w:w="1500" w:type="dxa"/>
            <w:vAlign w:val="bottom"/>
            <w:gridSpan w:val="2"/>
          </w:tcPr>
          <w:p>
            <w:pPr>
              <w:jc w:val="right"/>
              <w:ind w:right="80"/>
              <w:spacing w:after="0"/>
              <w:rPr>
                <w:sz w:val="20"/>
                <w:szCs w:val="20"/>
                <w:color w:val="auto"/>
              </w:rPr>
            </w:pPr>
            <w:r>
              <w:rPr>
                <w:rFonts w:ascii="Arial" w:cs="Arial" w:eastAsia="Arial" w:hAnsi="Arial"/>
                <w:sz w:val="14"/>
                <w:szCs w:val="14"/>
                <w:color w:val="1F2668"/>
              </w:rPr>
              <w:t>column (a))</w:t>
            </w:r>
          </w:p>
        </w:tc>
      </w:tr>
      <w:tr>
        <w:trPr>
          <w:trHeight w:val="225"/>
        </w:trPr>
        <w:tc>
          <w:tcPr>
            <w:tcW w:w="4260" w:type="dxa"/>
            <w:vAlign w:val="bottom"/>
          </w:tcPr>
          <w:p>
            <w:pPr>
              <w:spacing w:after="0"/>
              <w:rPr>
                <w:sz w:val="20"/>
                <w:szCs w:val="20"/>
                <w:color w:val="auto"/>
              </w:rPr>
            </w:pPr>
            <w:r>
              <w:rPr>
                <w:rFonts w:ascii="Arial" w:cs="Arial" w:eastAsia="Arial" w:hAnsi="Arial"/>
                <w:sz w:val="14"/>
                <w:szCs w:val="14"/>
                <w:color w:val="1F2668"/>
              </w:rPr>
              <w:t>Plan Category</w:t>
            </w:r>
          </w:p>
        </w:tc>
        <w:tc>
          <w:tcPr>
            <w:tcW w:w="180" w:type="dxa"/>
            <w:vAlign w:val="bottom"/>
            <w:gridSpan w:val="2"/>
          </w:tcPr>
          <w:p>
            <w:pPr>
              <w:ind w:left="60"/>
              <w:spacing w:after="0"/>
              <w:rPr>
                <w:sz w:val="20"/>
                <w:szCs w:val="20"/>
                <w:color w:val="auto"/>
              </w:rPr>
            </w:pPr>
            <w:r>
              <w:rPr>
                <w:rFonts w:ascii="Arial" w:cs="Arial" w:eastAsia="Arial" w:hAnsi="Arial"/>
                <w:sz w:val="14"/>
                <w:szCs w:val="14"/>
                <w:color w:val="1F2668"/>
              </w:rPr>
              <w:t>​​</w:t>
            </w:r>
          </w:p>
        </w:tc>
        <w:tc>
          <w:tcPr>
            <w:tcW w:w="1680" w:type="dxa"/>
            <w:vAlign w:val="bottom"/>
            <w:gridSpan w:val="2"/>
          </w:tcPr>
          <w:p>
            <w:pPr>
              <w:ind w:left="1340"/>
              <w:spacing w:after="0" w:line="225" w:lineRule="exact"/>
              <w:rPr>
                <w:sz w:val="20"/>
                <w:szCs w:val="20"/>
                <w:color w:val="auto"/>
              </w:rPr>
            </w:pPr>
            <w:r>
              <w:rPr>
                <w:rFonts w:ascii="Arial" w:cs="Arial" w:eastAsia="Arial" w:hAnsi="Arial"/>
                <w:sz w:val="14"/>
                <w:szCs w:val="14"/>
                <w:color w:val="1F2668"/>
              </w:rPr>
              <w:t xml:space="preserve">(a) </w:t>
            </w:r>
            <w:r>
              <w:rPr>
                <w:rFonts w:ascii="Arial" w:cs="Arial" w:eastAsia="Arial" w:hAnsi="Arial"/>
                <w:sz w:val="26"/>
                <w:szCs w:val="26"/>
                <w:color w:val="1F2668"/>
                <w:vertAlign w:val="subscript"/>
              </w:rPr>
              <w:t>​​</w:t>
            </w:r>
          </w:p>
        </w:tc>
        <w:tc>
          <w:tcPr>
            <w:tcW w:w="1480" w:type="dxa"/>
            <w:vAlign w:val="bottom"/>
            <w:gridSpan w:val="2"/>
          </w:tcPr>
          <w:p>
            <w:pPr>
              <w:ind w:left="1140"/>
              <w:spacing w:after="0" w:line="225" w:lineRule="exact"/>
              <w:rPr>
                <w:sz w:val="20"/>
                <w:szCs w:val="20"/>
                <w:color w:val="auto"/>
              </w:rPr>
            </w:pPr>
            <w:r>
              <w:rPr>
                <w:rFonts w:ascii="Arial" w:cs="Arial" w:eastAsia="Arial" w:hAnsi="Arial"/>
                <w:sz w:val="14"/>
                <w:szCs w:val="14"/>
                <w:color w:val="1F2668"/>
              </w:rPr>
              <w:t xml:space="preserve">(b) </w:t>
            </w:r>
            <w:r>
              <w:rPr>
                <w:rFonts w:ascii="Arial" w:cs="Arial" w:eastAsia="Arial" w:hAnsi="Arial"/>
                <w:sz w:val="26"/>
                <w:szCs w:val="26"/>
                <w:color w:val="1F2668"/>
                <w:vertAlign w:val="subscript"/>
              </w:rPr>
              <w:t>​​</w:t>
            </w:r>
          </w:p>
        </w:tc>
        <w:tc>
          <w:tcPr>
            <w:tcW w:w="1500" w:type="dxa"/>
            <w:vAlign w:val="bottom"/>
            <w:gridSpan w:val="2"/>
          </w:tcPr>
          <w:p>
            <w:pPr>
              <w:ind w:left="1300"/>
              <w:spacing w:after="0" w:line="225" w:lineRule="exact"/>
              <w:rPr>
                <w:sz w:val="20"/>
                <w:szCs w:val="20"/>
                <w:color w:val="auto"/>
              </w:rPr>
            </w:pPr>
            <w:r>
              <w:rPr>
                <w:rFonts w:ascii="Arial" w:cs="Arial" w:eastAsia="Arial" w:hAnsi="Arial"/>
                <w:sz w:val="14"/>
                <w:szCs w:val="14"/>
                <w:color w:val="1F2668"/>
              </w:rPr>
              <w:t>(c)</w:t>
            </w:r>
            <w:r>
              <w:rPr>
                <w:rFonts w:ascii="Arial" w:cs="Arial" w:eastAsia="Arial" w:hAnsi="Arial"/>
                <w:sz w:val="26"/>
                <w:szCs w:val="26"/>
                <w:color w:val="1F2668"/>
                <w:vertAlign w:val="subscript"/>
              </w:rPr>
              <w:t>​</w:t>
            </w:r>
          </w:p>
        </w:tc>
      </w:tr>
      <w:tr>
        <w:trPr>
          <w:trHeight w:val="20"/>
        </w:trPr>
        <w:tc>
          <w:tcPr>
            <w:tcW w:w="426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1F2668"/>
          </w:tcPr>
          <w:p>
            <w:pPr>
              <w:spacing w:after="0" w:line="20" w:lineRule="exact"/>
              <w:rPr>
                <w:sz w:val="1"/>
                <w:szCs w:val="1"/>
                <w:color w:val="auto"/>
              </w:rPr>
            </w:pPr>
          </w:p>
        </w:tc>
        <w:tc>
          <w:tcPr>
            <w:tcW w:w="1520" w:type="dxa"/>
            <w:vAlign w:val="bottom"/>
            <w:shd w:val="clear" w:color="auto" w:fill="1F2668"/>
          </w:tcPr>
          <w:p>
            <w:pPr>
              <w:spacing w:after="0" w:line="20" w:lineRule="exact"/>
              <w:rPr>
                <w:sz w:val="1"/>
                <w:szCs w:val="1"/>
                <w:color w:val="auto"/>
              </w:rPr>
            </w:pPr>
          </w:p>
        </w:tc>
        <w:tc>
          <w:tcPr>
            <w:tcW w:w="160" w:type="dxa"/>
            <w:vAlign w:val="bottom"/>
            <w:tcBorders>
              <w:right w:val="single" w:sz="8" w:color="1F2668"/>
            </w:tcBorders>
          </w:tcPr>
          <w:p>
            <w:pPr>
              <w:spacing w:after="0" w:line="20" w:lineRule="exact"/>
              <w:rPr>
                <w:sz w:val="1"/>
                <w:szCs w:val="1"/>
                <w:color w:val="auto"/>
              </w:rPr>
            </w:pPr>
          </w:p>
        </w:tc>
        <w:tc>
          <w:tcPr>
            <w:tcW w:w="1320" w:type="dxa"/>
            <w:vAlign w:val="bottom"/>
            <w:shd w:val="clear" w:color="auto" w:fill="1F2668"/>
          </w:tcPr>
          <w:p>
            <w:pPr>
              <w:spacing w:after="0" w:line="20" w:lineRule="exact"/>
              <w:rPr>
                <w:sz w:val="1"/>
                <w:szCs w:val="1"/>
                <w:color w:val="auto"/>
              </w:rPr>
            </w:pPr>
          </w:p>
        </w:tc>
        <w:tc>
          <w:tcPr>
            <w:tcW w:w="160" w:type="dxa"/>
            <w:vAlign w:val="bottom"/>
            <w:tcBorders>
              <w:right w:val="single" w:sz="8" w:color="1F2668"/>
            </w:tcBorders>
          </w:tcPr>
          <w:p>
            <w:pPr>
              <w:spacing w:after="0" w:line="20" w:lineRule="exact"/>
              <w:rPr>
                <w:sz w:val="1"/>
                <w:szCs w:val="1"/>
                <w:color w:val="auto"/>
              </w:rPr>
            </w:pPr>
          </w:p>
        </w:tc>
        <w:tc>
          <w:tcPr>
            <w:tcW w:w="1460" w:type="dxa"/>
            <w:vAlign w:val="bottom"/>
            <w:shd w:val="clear" w:color="auto" w:fill="1F266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6" w:lineRule="exact"/>
        <w:rPr>
          <w:sz w:val="20"/>
          <w:szCs w:val="20"/>
          <w:color w:val="auto"/>
        </w:rPr>
      </w:pPr>
    </w:p>
    <w:p>
      <w:pPr>
        <w:sectPr>
          <w:pgSz w:w="11900" w:h="16838" w:orient="portrait"/>
          <w:cols w:equalWidth="0" w:num="1">
            <w:col w:w="9940"/>
          </w:cols>
          <w:pgMar w:left="580" w:top="97" w:right="1379" w:bottom="1440" w:gutter="0" w:footer="0" w:header="0"/>
        </w:sectPr>
      </w:pPr>
    </w:p>
    <w:p>
      <w:pPr>
        <w:ind w:left="820" w:right="300"/>
        <w:spacing w:after="0" w:line="282" w:lineRule="auto"/>
        <w:rPr>
          <w:sz w:val="20"/>
          <w:szCs w:val="20"/>
          <w:color w:val="auto"/>
        </w:rPr>
      </w:pPr>
      <w:r>
        <w:rPr>
          <w:rFonts w:ascii="Arial" w:cs="Arial" w:eastAsia="Arial" w:hAnsi="Arial"/>
          <w:sz w:val="16"/>
          <w:szCs w:val="16"/>
          <w:b w:val="1"/>
          <w:bCs w:val="1"/>
          <w:color w:val="auto"/>
        </w:rPr>
        <w:t>Equity compensation plans approved by security holders</w:t>
      </w:r>
      <w:r>
        <w:rPr>
          <w:rFonts w:ascii="Arial" w:cs="Arial" w:eastAsia="Arial" w:hAnsi="Arial"/>
          <w:sz w:val="19"/>
          <w:szCs w:val="1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-7620</wp:posOffset>
            </wp:positionV>
            <wp:extent cx="270891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7" w:lineRule="exact"/>
        <w:rPr>
          <w:sz w:val="20"/>
          <w:szCs w:val="20"/>
          <w:color w:val="auto"/>
        </w:rPr>
      </w:pPr>
    </w:p>
    <w:p>
      <w:pPr>
        <w:ind w:left="820"/>
        <w:spacing w:after="0" w:line="279" w:lineRule="auto"/>
        <w:rPr>
          <w:sz w:val="20"/>
          <w:szCs w:val="20"/>
          <w:color w:val="auto"/>
        </w:rPr>
      </w:pPr>
      <w:r>
        <w:rPr>
          <w:rFonts w:ascii="Arial" w:cs="Arial" w:eastAsia="Arial" w:hAnsi="Arial"/>
          <w:sz w:val="16"/>
          <w:szCs w:val="16"/>
          <w:b w:val="1"/>
          <w:bCs w:val="1"/>
          <w:color w:val="auto"/>
        </w:rPr>
        <w:t>Equity compensation plans not approved by security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11430</wp:posOffset>
            </wp:positionV>
            <wp:extent cx="270891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52"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38100</wp:posOffset>
            </wp:positionV>
            <wp:extent cx="270891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48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1740" w:type="dxa"/>
            <w:vAlign w:val="bottom"/>
            <w:gridSpan w:val="4"/>
          </w:tcPr>
          <w:p>
            <w:pPr>
              <w:jc w:val="right"/>
              <w:ind w:right="500"/>
              <w:spacing w:after="0"/>
              <w:rPr>
                <w:sz w:val="20"/>
                <w:szCs w:val="20"/>
                <w:color w:val="auto"/>
              </w:rPr>
            </w:pPr>
            <w:r>
              <w:rPr>
                <w:rFonts w:ascii="Arial" w:cs="Arial" w:eastAsia="Arial" w:hAnsi="Arial"/>
                <w:sz w:val="16"/>
                <w:szCs w:val="16"/>
                <w:color w:val="auto"/>
              </w:rPr>
              <w:t>​5,162,791</w:t>
            </w:r>
            <w:r>
              <w:rPr>
                <w:rFonts w:ascii="Arial" w:cs="Arial" w:eastAsia="Arial" w:hAnsi="Arial"/>
                <w:sz w:val="19"/>
                <w:szCs w:val="19"/>
                <w:color w:val="auto"/>
                <w:vertAlign w:val="superscript"/>
              </w:rPr>
              <w:t>(2)</w:t>
            </w:r>
          </w:p>
        </w:tc>
        <w:tc>
          <w:tcPr>
            <w:tcW w:w="1060" w:type="dxa"/>
            <w:vAlign w:val="bottom"/>
            <w:gridSpan w:val="3"/>
          </w:tcPr>
          <w:p>
            <w:pPr>
              <w:jc w:val="right"/>
              <w:ind w:right="39"/>
              <w:spacing w:after="0"/>
              <w:rPr>
                <w:sz w:val="20"/>
                <w:szCs w:val="20"/>
                <w:color w:val="auto"/>
              </w:rPr>
            </w:pPr>
            <w:r>
              <w:rPr>
                <w:rFonts w:ascii="Arial" w:cs="Arial" w:eastAsia="Arial" w:hAnsi="Arial"/>
                <w:sz w:val="16"/>
                <w:szCs w:val="16"/>
                <w:color w:val="auto"/>
              </w:rPr>
              <w:t>​81.63</w:t>
            </w:r>
            <w:r>
              <w:rPr>
                <w:rFonts w:ascii="Arial" w:cs="Arial" w:eastAsia="Arial" w:hAnsi="Arial"/>
                <w:sz w:val="19"/>
                <w:szCs w:val="19"/>
                <w:color w:val="auto"/>
                <w:vertAlign w:val="superscript"/>
              </w:rPr>
              <w:t>(3)</w:t>
            </w:r>
          </w:p>
        </w:tc>
        <w:tc>
          <w:tcPr>
            <w:tcW w:w="1560" w:type="dxa"/>
            <w:vAlign w:val="bottom"/>
            <w:gridSpan w:val="3"/>
          </w:tcPr>
          <w:p>
            <w:pPr>
              <w:jc w:val="right"/>
              <w:spacing w:after="0"/>
              <w:rPr>
                <w:sz w:val="20"/>
                <w:szCs w:val="20"/>
                <w:color w:val="auto"/>
              </w:rPr>
            </w:pPr>
            <w:r>
              <w:rPr>
                <w:rFonts w:ascii="Arial" w:cs="Arial" w:eastAsia="Arial" w:hAnsi="Arial"/>
                <w:sz w:val="16"/>
                <w:szCs w:val="16"/>
                <w:color w:val="auto"/>
              </w:rPr>
              <w:t>​1,751,533</w:t>
            </w:r>
            <w:r>
              <w:rPr>
                <w:rFonts w:ascii="Arial" w:cs="Arial" w:eastAsia="Arial" w:hAnsi="Arial"/>
                <w:sz w:val="19"/>
                <w:szCs w:val="19"/>
                <w:color w:val="auto"/>
                <w:vertAlign w:val="superscript"/>
              </w:rPr>
              <w:t>(4)</w:t>
            </w:r>
          </w:p>
        </w:tc>
        <w:tc>
          <w:tcPr>
            <w:tcW w:w="0" w:type="dxa"/>
            <w:vAlign w:val="bottom"/>
          </w:tcPr>
          <w:p>
            <w:pPr>
              <w:spacing w:after="0"/>
              <w:rPr>
                <w:sz w:val="1"/>
                <w:szCs w:val="1"/>
                <w:color w:val="auto"/>
              </w:rPr>
            </w:pPr>
          </w:p>
        </w:tc>
      </w:tr>
      <w:tr>
        <w:trPr>
          <w:trHeight w:val="108"/>
        </w:trPr>
        <w:tc>
          <w:tcPr>
            <w:tcW w:w="480" w:type="dxa"/>
            <w:vAlign w:val="bottom"/>
            <w:gridSpan w:val="2"/>
            <w:vMerge w:val="continue"/>
          </w:tcPr>
          <w:p>
            <w:pPr>
              <w:spacing w:after="0"/>
              <w:rPr>
                <w:sz w:val="9"/>
                <w:szCs w:val="9"/>
                <w:color w:val="auto"/>
              </w:rPr>
            </w:pPr>
          </w:p>
        </w:tc>
        <w:tc>
          <w:tcPr>
            <w:tcW w:w="720" w:type="dxa"/>
            <w:vAlign w:val="bottom"/>
          </w:tcPr>
          <w:p>
            <w:pPr>
              <w:ind w:left="360"/>
              <w:spacing w:after="0" w:line="108" w:lineRule="exact"/>
              <w:rPr>
                <w:sz w:val="20"/>
                <w:szCs w:val="20"/>
                <w:color w:val="auto"/>
              </w:rPr>
            </w:pPr>
            <w:r>
              <w:rPr>
                <w:rFonts w:ascii="Arial" w:cs="Arial" w:eastAsia="Arial" w:hAnsi="Arial"/>
                <w:sz w:val="12"/>
                <w:szCs w:val="12"/>
                <w:color w:val="auto"/>
              </w:rPr>
              <w:t>​</w:t>
            </w:r>
          </w:p>
        </w:tc>
        <w:tc>
          <w:tcPr>
            <w:tcW w:w="480" w:type="dxa"/>
            <w:vAlign w:val="bottom"/>
          </w:tcPr>
          <w:p>
            <w:pPr>
              <w:spacing w:after="0"/>
              <w:rPr>
                <w:sz w:val="9"/>
                <w:szCs w:val="9"/>
                <w:color w:val="auto"/>
              </w:rPr>
            </w:pPr>
          </w:p>
        </w:tc>
        <w:tc>
          <w:tcPr>
            <w:tcW w:w="540" w:type="dxa"/>
            <w:vAlign w:val="bottom"/>
            <w:gridSpan w:val="2"/>
          </w:tcPr>
          <w:p>
            <w:pPr>
              <w:jc w:val="right"/>
              <w:ind w:right="420"/>
              <w:spacing w:after="0" w:line="108" w:lineRule="exact"/>
              <w:rPr>
                <w:sz w:val="20"/>
                <w:szCs w:val="20"/>
                <w:color w:val="auto"/>
              </w:rPr>
            </w:pPr>
            <w:r>
              <w:rPr>
                <w:rFonts w:ascii="Arial" w:cs="Arial" w:eastAsia="Arial" w:hAnsi="Arial"/>
                <w:sz w:val="12"/>
                <w:szCs w:val="12"/>
                <w:color w:val="auto"/>
              </w:rPr>
              <w:t>​​​</w:t>
            </w:r>
          </w:p>
        </w:tc>
        <w:tc>
          <w:tcPr>
            <w:tcW w:w="620" w:type="dxa"/>
            <w:vAlign w:val="bottom"/>
          </w:tcPr>
          <w:p>
            <w:pPr>
              <w:ind w:left="420"/>
              <w:spacing w:after="0" w:line="108" w:lineRule="exact"/>
              <w:rPr>
                <w:sz w:val="20"/>
                <w:szCs w:val="20"/>
                <w:color w:val="auto"/>
              </w:rPr>
            </w:pPr>
            <w:r>
              <w:rPr>
                <w:rFonts w:ascii="Arial" w:cs="Arial" w:eastAsia="Arial" w:hAnsi="Arial"/>
                <w:sz w:val="12"/>
                <w:szCs w:val="12"/>
                <w:color w:val="auto"/>
              </w:rPr>
              <w:t>​</w:t>
            </w:r>
          </w:p>
        </w:tc>
        <w:tc>
          <w:tcPr>
            <w:tcW w:w="320" w:type="dxa"/>
            <w:vAlign w:val="bottom"/>
          </w:tcPr>
          <w:p>
            <w:pPr>
              <w:spacing w:after="0"/>
              <w:rPr>
                <w:sz w:val="9"/>
                <w:szCs w:val="9"/>
                <w:color w:val="auto"/>
              </w:rPr>
            </w:pPr>
          </w:p>
        </w:tc>
        <w:tc>
          <w:tcPr>
            <w:tcW w:w="12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1040" w:type="dxa"/>
            <w:vAlign w:val="bottom"/>
          </w:tcPr>
          <w:p>
            <w:pPr>
              <w:ind w:left="660"/>
              <w:spacing w:after="0" w:line="108" w:lineRule="exact"/>
              <w:rPr>
                <w:sz w:val="20"/>
                <w:szCs w:val="20"/>
                <w:color w:val="auto"/>
              </w:rPr>
            </w:pPr>
            <w:r>
              <w:rPr>
                <w:rFonts w:ascii="Arial" w:cs="Arial" w:eastAsia="Arial" w:hAnsi="Arial"/>
                <w:sz w:val="12"/>
                <w:szCs w:val="12"/>
                <w:color w:val="auto"/>
              </w:rPr>
              <w:t>​</w:t>
            </w:r>
          </w:p>
        </w:tc>
        <w:tc>
          <w:tcPr>
            <w:tcW w:w="460" w:type="dxa"/>
            <w:vAlign w:val="bottom"/>
          </w:tcPr>
          <w:p>
            <w:pPr>
              <w:spacing w:after="0"/>
              <w:rPr>
                <w:sz w:val="9"/>
                <w:szCs w:val="9"/>
                <w:color w:val="auto"/>
              </w:rPr>
            </w:pPr>
          </w:p>
        </w:tc>
        <w:tc>
          <w:tcPr>
            <w:tcW w:w="6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4B5088"/>
          </w:tcPr>
          <w:p>
            <w:pPr>
              <w:spacing w:after="0" w:line="20" w:lineRule="exact"/>
              <w:rPr>
                <w:sz w:val="1"/>
                <w:szCs w:val="1"/>
                <w:color w:val="auto"/>
              </w:rPr>
            </w:pPr>
          </w:p>
        </w:tc>
        <w:tc>
          <w:tcPr>
            <w:tcW w:w="720" w:type="dxa"/>
            <w:vAlign w:val="bottom"/>
            <w:shd w:val="clear" w:color="auto" w:fill="4B5088"/>
          </w:tcPr>
          <w:p>
            <w:pPr>
              <w:spacing w:after="0" w:line="20" w:lineRule="exact"/>
              <w:rPr>
                <w:sz w:val="1"/>
                <w:szCs w:val="1"/>
                <w:color w:val="auto"/>
              </w:rPr>
            </w:pPr>
          </w:p>
        </w:tc>
        <w:tc>
          <w:tcPr>
            <w:tcW w:w="48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4B5088"/>
          </w:tcPr>
          <w:p>
            <w:pPr>
              <w:spacing w:after="0" w:line="20" w:lineRule="exact"/>
              <w:rPr>
                <w:sz w:val="1"/>
                <w:szCs w:val="1"/>
                <w:color w:val="auto"/>
              </w:rPr>
            </w:pPr>
          </w:p>
        </w:tc>
        <w:tc>
          <w:tcPr>
            <w:tcW w:w="620" w:type="dxa"/>
            <w:vAlign w:val="bottom"/>
            <w:shd w:val="clear" w:color="auto" w:fill="4B5088"/>
          </w:tcPr>
          <w:p>
            <w:pPr>
              <w:spacing w:after="0" w:line="20" w:lineRule="exact"/>
              <w:rPr>
                <w:sz w:val="1"/>
                <w:szCs w:val="1"/>
                <w:color w:val="auto"/>
              </w:rPr>
            </w:pPr>
          </w:p>
        </w:tc>
        <w:tc>
          <w:tcPr>
            <w:tcW w:w="32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4B5088"/>
          </w:tcPr>
          <w:p>
            <w:pPr>
              <w:spacing w:after="0" w:line="20" w:lineRule="exact"/>
              <w:rPr>
                <w:sz w:val="1"/>
                <w:szCs w:val="1"/>
                <w:color w:val="auto"/>
              </w:rPr>
            </w:pPr>
          </w:p>
        </w:tc>
        <w:tc>
          <w:tcPr>
            <w:tcW w:w="460" w:type="dxa"/>
            <w:vAlign w:val="bottom"/>
            <w:shd w:val="clear" w:color="auto" w:fill="4B50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80" w:type="dxa"/>
            <w:vAlign w:val="bottom"/>
            <w:gridSpan w:val="2"/>
          </w:tcPr>
          <w:p>
            <w:pPr>
              <w:spacing w:after="0"/>
              <w:rPr>
                <w:sz w:val="20"/>
                <w:szCs w:val="20"/>
                <w:color w:val="auto"/>
              </w:rPr>
            </w:pPr>
            <w:r>
              <w:rPr>
                <w:rFonts w:ascii="Arial" w:cs="Arial" w:eastAsia="Arial" w:hAnsi="Arial"/>
                <w:sz w:val="16"/>
                <w:szCs w:val="16"/>
                <w:color w:val="auto"/>
              </w:rPr>
              <w:t>​​</w:t>
            </w:r>
          </w:p>
        </w:tc>
        <w:tc>
          <w:tcPr>
            <w:tcW w:w="720" w:type="dxa"/>
            <w:vAlign w:val="bottom"/>
          </w:tcPr>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1020" w:type="dxa"/>
            <w:vAlign w:val="bottom"/>
            <w:gridSpan w:val="3"/>
          </w:tcPr>
          <w:p>
            <w:pPr>
              <w:jc w:val="right"/>
              <w:ind w:right="420"/>
              <w:spacing w:after="0"/>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w:t>
            </w:r>
          </w:p>
        </w:tc>
        <w:tc>
          <w:tcPr>
            <w:tcW w:w="620" w:type="dxa"/>
            <w:vAlign w:val="bottom"/>
          </w:tcPr>
          <w:p>
            <w:pPr>
              <w:ind w:left="420"/>
              <w:spacing w:after="0"/>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440" w:type="dxa"/>
            <w:vAlign w:val="bottom"/>
            <w:gridSpan w:val="2"/>
          </w:tcPr>
          <w:p>
            <w:pPr>
              <w:jc w:val="right"/>
              <w:spacing w:after="0"/>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w:t>
            </w:r>
          </w:p>
        </w:tc>
        <w:tc>
          <w:tcPr>
            <w:tcW w:w="1040" w:type="dxa"/>
            <w:vAlign w:val="bottom"/>
          </w:tcPr>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520" w:type="dxa"/>
            <w:vAlign w:val="bottom"/>
            <w:gridSpan w:val="2"/>
          </w:tcPr>
          <w:p>
            <w:pPr>
              <w:jc w:val="right"/>
              <w:spacing w:after="0"/>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4B5088"/>
          </w:tcPr>
          <w:p>
            <w:pPr>
              <w:spacing w:after="0" w:line="20" w:lineRule="exact"/>
              <w:rPr>
                <w:sz w:val="1"/>
                <w:szCs w:val="1"/>
                <w:color w:val="auto"/>
              </w:rPr>
            </w:pPr>
          </w:p>
        </w:tc>
        <w:tc>
          <w:tcPr>
            <w:tcW w:w="1200" w:type="dxa"/>
            <w:vAlign w:val="bottom"/>
            <w:gridSpan w:val="2"/>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4B5088"/>
          </w:tcPr>
          <w:p>
            <w:pPr>
              <w:spacing w:after="0" w:line="20" w:lineRule="exact"/>
              <w:rPr>
                <w:sz w:val="1"/>
                <w:szCs w:val="1"/>
                <w:color w:val="auto"/>
              </w:rPr>
            </w:pPr>
          </w:p>
        </w:tc>
        <w:tc>
          <w:tcPr>
            <w:tcW w:w="940" w:type="dxa"/>
            <w:vAlign w:val="bottom"/>
            <w:gridSpan w:val="2"/>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gridSpan w:val="2"/>
            <w:shd w:val="clear" w:color="auto" w:fill="4B5088"/>
          </w:tcPr>
          <w:p>
            <w:pPr>
              <w:spacing w:after="0" w:line="20" w:lineRule="exact"/>
              <w:rPr>
                <w:sz w:val="1"/>
                <w:szCs w:val="1"/>
                <w:color w:val="auto"/>
              </w:rPr>
            </w:pPr>
          </w:p>
        </w:tc>
        <w:tc>
          <w:tcPr>
            <w:tcW w:w="60" w:type="dxa"/>
            <w:vAlign w:val="bottom"/>
            <w:tcBorders>
              <w:left w:val="single" w:sz="8" w:color="4B50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80" w:type="dxa"/>
            <w:vAlign w:val="bottom"/>
            <w:gridSpan w:val="2"/>
          </w:tcPr>
          <w:p>
            <w:pPr>
              <w:spacing w:after="0"/>
              <w:rPr>
                <w:sz w:val="20"/>
                <w:szCs w:val="20"/>
                <w:color w:val="auto"/>
              </w:rPr>
            </w:pPr>
            <w:r>
              <w:rPr>
                <w:rFonts w:ascii="Arial" w:cs="Arial" w:eastAsia="Arial" w:hAnsi="Arial"/>
                <w:sz w:val="16"/>
                <w:szCs w:val="16"/>
                <w:color w:val="auto"/>
              </w:rPr>
              <w:t>​​</w:t>
            </w:r>
          </w:p>
        </w:tc>
        <w:tc>
          <w:tcPr>
            <w:tcW w:w="1740" w:type="dxa"/>
            <w:vAlign w:val="bottom"/>
            <w:gridSpan w:val="4"/>
          </w:tcPr>
          <w:p>
            <w:pPr>
              <w:jc w:val="right"/>
              <w:ind w:right="42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 5,162,791</w:t>
            </w:r>
            <w:r>
              <w:rPr>
                <w:rFonts w:ascii="Arial" w:cs="Arial" w:eastAsia="Arial" w:hAnsi="Arial"/>
                <w:sz w:val="32"/>
                <w:szCs w:val="32"/>
                <w:color w:val="auto"/>
                <w:vertAlign w:val="subscript"/>
              </w:rPr>
              <w:t>​​​</w:t>
            </w:r>
          </w:p>
        </w:tc>
        <w:tc>
          <w:tcPr>
            <w:tcW w:w="1060" w:type="dxa"/>
            <w:vAlign w:val="bottom"/>
            <w:gridSpan w:val="3"/>
          </w:tcPr>
          <w:p>
            <w:pPr>
              <w:jc w:val="right"/>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 81.63</w:t>
            </w:r>
            <w:r>
              <w:rPr>
                <w:rFonts w:ascii="Arial" w:cs="Arial" w:eastAsia="Arial" w:hAnsi="Arial"/>
                <w:sz w:val="32"/>
                <w:szCs w:val="32"/>
                <w:color w:val="auto"/>
                <w:vertAlign w:val="subscript"/>
              </w:rPr>
              <w:t>​​​</w:t>
            </w:r>
          </w:p>
        </w:tc>
        <w:tc>
          <w:tcPr>
            <w:tcW w:w="1560" w:type="dxa"/>
            <w:vAlign w:val="bottom"/>
            <w:gridSpan w:val="3"/>
          </w:tcPr>
          <w:p>
            <w:pPr>
              <w:jc w:val="right"/>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 1,751,533</w:t>
            </w:r>
            <w:r>
              <w:rPr>
                <w:rFonts w:ascii="Arial" w:cs="Arial" w:eastAsia="Arial" w:hAnsi="Arial"/>
                <w:sz w:val="32"/>
                <w:szCs w:val="32"/>
                <w:color w:val="auto"/>
                <w:vertAlign w:val="subscript"/>
              </w:rPr>
              <w:t>​</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1F2668"/>
          </w:tcPr>
          <w:p>
            <w:pPr>
              <w:spacing w:after="0" w:line="20" w:lineRule="exact"/>
              <w:rPr>
                <w:sz w:val="1"/>
                <w:szCs w:val="1"/>
                <w:color w:val="auto"/>
              </w:rPr>
            </w:pPr>
          </w:p>
        </w:tc>
        <w:tc>
          <w:tcPr>
            <w:tcW w:w="720" w:type="dxa"/>
            <w:vAlign w:val="bottom"/>
            <w:shd w:val="clear" w:color="auto" w:fill="1F2668"/>
          </w:tcPr>
          <w:p>
            <w:pPr>
              <w:spacing w:after="0" w:line="20" w:lineRule="exact"/>
              <w:rPr>
                <w:sz w:val="1"/>
                <w:szCs w:val="1"/>
                <w:color w:val="auto"/>
              </w:rPr>
            </w:pPr>
          </w:p>
        </w:tc>
        <w:tc>
          <w:tcPr>
            <w:tcW w:w="48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1F2668"/>
          </w:tcPr>
          <w:p>
            <w:pPr>
              <w:spacing w:after="0" w:line="20" w:lineRule="exact"/>
              <w:rPr>
                <w:sz w:val="1"/>
                <w:szCs w:val="1"/>
                <w:color w:val="auto"/>
              </w:rPr>
            </w:pPr>
          </w:p>
        </w:tc>
        <w:tc>
          <w:tcPr>
            <w:tcW w:w="620" w:type="dxa"/>
            <w:vAlign w:val="bottom"/>
            <w:shd w:val="clear" w:color="auto" w:fill="1F2668"/>
          </w:tcPr>
          <w:p>
            <w:pPr>
              <w:spacing w:after="0" w:line="20" w:lineRule="exact"/>
              <w:rPr>
                <w:sz w:val="1"/>
                <w:szCs w:val="1"/>
                <w:color w:val="auto"/>
              </w:rPr>
            </w:pPr>
          </w:p>
        </w:tc>
        <w:tc>
          <w:tcPr>
            <w:tcW w:w="320" w:type="dxa"/>
            <w:vAlign w:val="bottom"/>
            <w:shd w:val="clear" w:color="auto" w:fill="1F266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1F2668"/>
          </w:tcPr>
          <w:p>
            <w:pPr>
              <w:spacing w:after="0" w:line="20" w:lineRule="exact"/>
              <w:rPr>
                <w:sz w:val="1"/>
                <w:szCs w:val="1"/>
                <w:color w:val="auto"/>
              </w:rPr>
            </w:pPr>
          </w:p>
        </w:tc>
        <w:tc>
          <w:tcPr>
            <w:tcW w:w="460" w:type="dxa"/>
            <w:vAlign w:val="bottom"/>
            <w:shd w:val="clear" w:color="auto" w:fill="1F2668"/>
          </w:tcPr>
          <w:p>
            <w:pPr>
              <w:spacing w:after="0" w:line="20" w:lineRule="exact"/>
              <w:rPr>
                <w:sz w:val="1"/>
                <w:szCs w:val="1"/>
                <w:color w:val="auto"/>
              </w:rPr>
            </w:pPr>
          </w:p>
        </w:tc>
        <w:tc>
          <w:tcPr>
            <w:tcW w:w="60" w:type="dxa"/>
            <w:vAlign w:val="bottom"/>
            <w:tcBorders>
              <w:left w:val="single" w:sz="8" w:color="1F266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820" w:space="280"/>
            <w:col w:w="4840"/>
          </w:cols>
          <w:pgMar w:left="580" w:top="97" w:right="1379" w:bottom="1440" w:gutter="0" w:footer="0" w:header="0"/>
          <w:type w:val="continuous"/>
        </w:sectPr>
      </w:pPr>
    </w:p>
    <w:p>
      <w:pPr>
        <w:spacing w:after="0" w:line="7" w:lineRule="exact"/>
        <w:rPr>
          <w:sz w:val="20"/>
          <w:szCs w:val="20"/>
          <w:color w:val="auto"/>
        </w:rPr>
      </w:pPr>
    </w:p>
    <w:p>
      <w:pPr>
        <w:ind w:left="1180" w:right="80" w:hanging="364"/>
        <w:spacing w:after="0" w:line="305" w:lineRule="auto"/>
        <w:tabs>
          <w:tab w:leader="none" w:pos="118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Includes our Fifth Amended 2005 Plan, Amended 1997 Stock Option and Incentive Plan, as amended, and 2008 Employee Stock Purchase Plan.</w:t>
      </w:r>
    </w:p>
    <w:p>
      <w:pPr>
        <w:spacing w:after="0" w:line="22" w:lineRule="exact"/>
        <w:rPr>
          <w:rFonts w:ascii="Arial" w:cs="Arial" w:eastAsia="Arial" w:hAnsi="Arial"/>
          <w:sz w:val="14"/>
          <w:szCs w:val="14"/>
          <w:color w:val="auto"/>
        </w:rPr>
      </w:pPr>
    </w:p>
    <w:p>
      <w:pPr>
        <w:ind w:left="1180" w:right="740" w:hanging="364"/>
        <w:spacing w:after="0" w:line="272" w:lineRule="auto"/>
        <w:tabs>
          <w:tab w:leader="none" w:pos="118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Includes (i) 333,897 shares of common stock issuable upon the exercise of outstanding options (115,980 of which are vested and exercisable), (ii) 125,654 phantom stock units that may be settled in shares of common stock (125,654 of which are vested) and</w:t>
      </w:r>
    </w:p>
    <w:p>
      <w:pPr>
        <w:ind w:left="1180" w:right="200"/>
        <w:spacing w:after="0" w:line="303" w:lineRule="auto"/>
        <w:rPr>
          <w:rFonts w:ascii="Arial" w:cs="Arial" w:eastAsia="Arial" w:hAnsi="Arial"/>
          <w:sz w:val="14"/>
          <w:szCs w:val="14"/>
          <w:color w:val="auto"/>
        </w:rPr>
      </w:pPr>
      <w:r>
        <w:rPr>
          <w:rFonts w:ascii="Arial" w:cs="Arial" w:eastAsia="Arial" w:hAnsi="Arial"/>
          <w:sz w:val="14"/>
          <w:szCs w:val="14"/>
          <w:color w:val="auto"/>
        </w:rPr>
        <w:t>(iii) 3,560,807 LTIP units that, upon the satisfaction of certain conditions, are convertible into common units, which may be presented to us for redemption and acquired by us for shares of our common stock (1,760,448 of which are vested).</w:t>
      </w:r>
    </w:p>
    <w:p>
      <w:pPr>
        <w:spacing w:after="0" w:line="24" w:lineRule="exact"/>
        <w:rPr>
          <w:rFonts w:ascii="Arial" w:cs="Arial" w:eastAsia="Arial" w:hAnsi="Arial"/>
          <w:sz w:val="14"/>
          <w:szCs w:val="14"/>
          <w:color w:val="auto"/>
        </w:rPr>
      </w:pPr>
    </w:p>
    <w:p>
      <w:pPr>
        <w:ind w:left="1180" w:right="180" w:hanging="364"/>
        <w:spacing w:after="0" w:line="305" w:lineRule="auto"/>
        <w:tabs>
          <w:tab w:leader="none" w:pos="118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Because there is no exercise price associated with restricted stock units, phantom stock units or LTIP units, these awards are not included in the weighted-average exercise price calculation.</w:t>
      </w:r>
    </w:p>
    <w:p>
      <w:pPr>
        <w:spacing w:after="0" w:line="22" w:lineRule="exact"/>
        <w:rPr>
          <w:rFonts w:ascii="Arial" w:cs="Arial" w:eastAsia="Arial" w:hAnsi="Arial"/>
          <w:sz w:val="14"/>
          <w:szCs w:val="14"/>
          <w:color w:val="auto"/>
        </w:rPr>
      </w:pPr>
    </w:p>
    <w:p>
      <w:pPr>
        <w:ind w:left="1180" w:right="140" w:hanging="364"/>
        <w:spacing w:after="0" w:line="283" w:lineRule="auto"/>
        <w:tabs>
          <w:tab w:leader="none" w:pos="118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Balance is after reserving for shares underlying outstanding restricted stock units, phantom stock units granted pursuant to our Non-Employee Directors’ Deferral Program and LTIP Units. The number of securities remaining available consists of shares remaining available for issuance under our 2008 Employee Stock Purchase Plan and Fourth Amended 2005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4166235</wp:posOffset>
            </wp:positionV>
            <wp:extent cx="6831965"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91" w:lineRule="exact"/>
        <w:rPr>
          <w:sz w:val="20"/>
          <w:szCs w:val="20"/>
          <w:color w:val="auto"/>
        </w:rPr>
      </w:pPr>
    </w:p>
    <w:p>
      <w:pPr>
        <w:ind w:left="9640"/>
        <w:spacing w:after="0"/>
        <w:rPr>
          <w:sz w:val="20"/>
          <w:szCs w:val="20"/>
          <w:color w:val="auto"/>
        </w:rPr>
      </w:pPr>
      <w:r>
        <w:rPr>
          <w:rFonts w:ascii="Arial" w:cs="Arial" w:eastAsia="Arial" w:hAnsi="Arial"/>
          <w:sz w:val="22"/>
          <w:szCs w:val="22"/>
          <w:b w:val="1"/>
          <w:bCs w:val="1"/>
          <w:color w:val="1F2668"/>
        </w:rPr>
        <w:t>95</w:t>
      </w:r>
    </w:p>
    <w:p>
      <w:pPr>
        <w:spacing w:after="0" w:line="12" w:lineRule="exact"/>
        <w:rPr>
          <w:sz w:val="20"/>
          <w:szCs w:val="20"/>
          <w:color w:val="auto"/>
        </w:rPr>
      </w:pPr>
    </w:p>
    <w:p>
      <w:pPr>
        <w:ind w:left="820"/>
        <w:spacing w:after="0"/>
        <w:tabs>
          <w:tab w:leader="none" w:pos="9000" w:val="left"/>
          <w:tab w:leader="none" w:pos="9860" w:val="left"/>
        </w:tabs>
        <w:rPr>
          <w:sz w:val="20"/>
          <w:szCs w:val="20"/>
          <w:color w:val="auto"/>
        </w:rPr>
      </w:pPr>
      <w:r>
        <w:rPr>
          <w:rFonts w:ascii="Arial" w:cs="Arial" w:eastAsia="Arial" w:hAnsi="Arial"/>
          <w:sz w:val="22"/>
          <w:szCs w:val="22"/>
          <w:b w:val="1"/>
          <w:bCs w:val="1"/>
          <w:color w:val="1F2668"/>
        </w:rPr>
        <w:t>​</w:t>
      </w:r>
      <w:r>
        <w:rPr>
          <w:sz w:val="20"/>
          <w:szCs w:val="20"/>
          <w:color w:val="auto"/>
        </w:rPr>
        <w:tab/>
      </w:r>
      <w:r>
        <w:rPr>
          <w:rFonts w:ascii="Arial" w:cs="Arial" w:eastAsia="Arial" w:hAnsi="Arial"/>
          <w:sz w:val="22"/>
          <w:szCs w:val="22"/>
          <w:b w:val="1"/>
          <w:bCs w:val="1"/>
          <w:color w:val="1F2668"/>
        </w:rPr>
        <w:t>​ ​</w:t>
      </w:r>
      <w:r>
        <w:rPr>
          <w:sz w:val="20"/>
          <w:szCs w:val="20"/>
          <w:color w:val="auto"/>
        </w:rPr>
        <w:tab/>
      </w:r>
      <w:r>
        <w:rPr>
          <w:rFonts w:ascii="Arial" w:cs="Arial" w:eastAsia="Arial" w:hAnsi="Arial"/>
          <w:sz w:val="22"/>
          <w:szCs w:val="22"/>
          <w:b w:val="1"/>
          <w:bCs w:val="1"/>
          <w:color w:val="1F2668"/>
        </w:rPr>
        <w:t>​</w:t>
      </w:r>
    </w:p>
    <w:p>
      <w:pPr>
        <w:spacing w:after="0" w:line="200" w:lineRule="exact"/>
        <w:rPr>
          <w:sz w:val="20"/>
          <w:szCs w:val="20"/>
          <w:color w:val="auto"/>
        </w:rPr>
      </w:pPr>
    </w:p>
    <w:p>
      <w:pPr>
        <w:spacing w:after="0" w:line="280" w:lineRule="exact"/>
        <w:rPr>
          <w:sz w:val="20"/>
          <w:szCs w:val="20"/>
          <w:color w:val="auto"/>
        </w:rPr>
      </w:pPr>
    </w:p>
    <w:p>
      <w:pPr>
        <w:ind w:left="820"/>
        <w:spacing w:after="0"/>
        <w:rPr>
          <w:sz w:val="20"/>
          <w:szCs w:val="20"/>
          <w:color w:val="auto"/>
        </w:rPr>
      </w:pPr>
      <w:r>
        <w:rPr>
          <w:rFonts w:ascii="Arial" w:cs="Arial" w:eastAsia="Arial" w:hAnsi="Arial"/>
          <w:sz w:val="38"/>
          <w:szCs w:val="38"/>
          <w:b w:val="1"/>
          <w:bCs w:val="1"/>
          <w:color w:val="1F2668"/>
        </w:rPr>
        <w:t>STOCK OWNERSHIP INFORMATION</w:t>
      </w:r>
    </w:p>
    <w:p>
      <w:pPr>
        <w:spacing w:after="0" w:line="395" w:lineRule="exact"/>
        <w:rPr>
          <w:sz w:val="20"/>
          <w:szCs w:val="20"/>
          <w:color w:val="auto"/>
        </w:rPr>
      </w:pPr>
    </w:p>
    <w:p>
      <w:pPr>
        <w:ind w:left="820" w:right="260"/>
        <w:spacing w:after="0" w:line="278" w:lineRule="auto"/>
        <w:rPr>
          <w:sz w:val="20"/>
          <w:szCs w:val="20"/>
          <w:color w:val="auto"/>
        </w:rPr>
      </w:pPr>
      <w:r>
        <w:rPr>
          <w:rFonts w:ascii="Arial" w:cs="Arial" w:eastAsia="Arial" w:hAnsi="Arial"/>
          <w:sz w:val="29"/>
          <w:szCs w:val="29"/>
          <w:b w:val="1"/>
          <w:bCs w:val="1"/>
          <w:color w:val="83AD40"/>
        </w:rPr>
        <w:t>SECURITY OWNERSHIP OF CERTAIN BENEFICIAL OWNERS AND MANAGEMENT</w:t>
      </w:r>
    </w:p>
    <w:p>
      <w:pPr>
        <w:spacing w:after="0" w:line="44" w:lineRule="exact"/>
        <w:rPr>
          <w:sz w:val="20"/>
          <w:szCs w:val="20"/>
          <w:color w:val="auto"/>
        </w:rPr>
      </w:pPr>
    </w:p>
    <w:p>
      <w:pPr>
        <w:ind w:left="820" w:right="160"/>
        <w:spacing w:after="0" w:line="288" w:lineRule="auto"/>
        <w:rPr>
          <w:sz w:val="20"/>
          <w:szCs w:val="20"/>
          <w:color w:val="auto"/>
        </w:rPr>
      </w:pPr>
      <w:r>
        <w:rPr>
          <w:rFonts w:ascii="Arial" w:cs="Arial" w:eastAsia="Arial" w:hAnsi="Arial"/>
          <w:sz w:val="16"/>
          <w:szCs w:val="16"/>
          <w:color w:val="auto"/>
        </w:rPr>
        <w:t>The following table sets forth the beneficial ownership of our common stock, $0.01 par value per share, and our common stock and common units in our operating partnership as of March 31, 2025, unless otherwise noted, for (i) each person known to us to be the beneficial owner of more than 5% of our outstanding common stock, (ii) each of our directors, (iii) each of our named executive officers who is not a director and (iv) our directors and executive officers as a group. All information in the following table is based on Schedules 13D, 13G and/or any amendments thereto filed with the SEC, and on information supplied to us by our directors and officers. Except as otherwise described in the notes below, the following beneficial owners have sole voting power and sole investment power with respect to all shares set forth opposite their respective names.</w:t>
      </w:r>
    </w:p>
    <w:p>
      <w:pPr>
        <w:spacing w:after="0" w:line="115" w:lineRule="exact"/>
        <w:rPr>
          <w:sz w:val="20"/>
          <w:szCs w:val="20"/>
          <w:color w:val="auto"/>
        </w:rPr>
      </w:pPr>
    </w:p>
    <w:p>
      <w:pPr>
        <w:ind w:left="820" w:right="220"/>
        <w:spacing w:after="0" w:line="318" w:lineRule="auto"/>
        <w:rPr>
          <w:sz w:val="20"/>
          <w:szCs w:val="20"/>
          <w:color w:val="auto"/>
        </w:rPr>
      </w:pPr>
      <w:r>
        <w:rPr>
          <w:rFonts w:ascii="Arial" w:cs="Arial" w:eastAsia="Arial" w:hAnsi="Arial"/>
          <w:sz w:val="15"/>
          <w:szCs w:val="15"/>
          <w:color w:val="auto"/>
        </w:rPr>
        <w:t>As of March 31, 2025, the following shares and units were outstanding: (i) 71,010,969 shares of our common stock, (ii) 947,946 common units in our operating partnership (other than the units held by us) and (iii) 3,721,741 LTIP units (excluding unearned performance-based LTIP units, which may be earned based on the achievement of performance-based vesting hurdles).</w:t>
      </w:r>
    </w:p>
    <w:p>
      <w:pPr>
        <w:spacing w:after="0" w:line="1" w:lineRule="exact"/>
        <w:rPr>
          <w:sz w:val="20"/>
          <w:szCs w:val="20"/>
          <w:color w:val="auto"/>
        </w:rPr>
      </w:pPr>
    </w:p>
    <w:tbl>
      <w:tblPr>
        <w:tblLayout w:type="fixed"/>
        <w:tblInd w:w="820" w:type="dxa"/>
        <w:tblCellMar>
          <w:top w:w="0" w:type="dxa"/>
          <w:left w:w="0" w:type="dxa"/>
          <w:bottom w:w="0" w:type="dxa"/>
          <w:right w:w="0" w:type="dxa"/>
        </w:tblCellMar>
      </w:tblPr>
      <w:tr>
        <w:trPr>
          <w:trHeight w:val="367"/>
        </w:trPr>
        <w:tc>
          <w:tcPr>
            <w:tcW w:w="5440" w:type="dxa"/>
            <w:vAlign w:val="bottom"/>
          </w:tcPr>
          <w:p>
            <w:pPr>
              <w:spacing w:after="0"/>
              <w:rPr>
                <w:sz w:val="20"/>
                <w:szCs w:val="20"/>
                <w:color w:val="auto"/>
              </w:rPr>
            </w:pPr>
            <w:r>
              <w:rPr>
                <w:rFonts w:ascii="Arial" w:cs="Arial" w:eastAsia="Arial" w:hAnsi="Arial"/>
                <w:sz w:val="14"/>
                <w:szCs w:val="14"/>
                <w:b w:val="1"/>
                <w:bCs w:val="1"/>
                <w:color w:val="1F2668"/>
              </w:rPr>
              <w:t>​</w:t>
            </w:r>
          </w:p>
        </w:tc>
        <w:tc>
          <w:tcPr>
            <w:tcW w:w="200" w:type="dxa"/>
            <w:vAlign w:val="bottom"/>
            <w:gridSpan w:val="2"/>
          </w:tcPr>
          <w:p>
            <w:pPr>
              <w:ind w:left="20"/>
              <w:spacing w:after="0"/>
              <w:rPr>
                <w:sz w:val="20"/>
                <w:szCs w:val="20"/>
                <w:color w:val="auto"/>
              </w:rPr>
            </w:pPr>
            <w:r>
              <w:rPr>
                <w:rFonts w:ascii="Arial" w:cs="Arial" w:eastAsia="Arial" w:hAnsi="Arial"/>
                <w:sz w:val="14"/>
                <w:szCs w:val="14"/>
                <w:b w:val="1"/>
                <w:bCs w:val="1"/>
                <w:color w:val="1F2668"/>
              </w:rPr>
              <w:t>​​</w:t>
            </w:r>
          </w:p>
        </w:tc>
        <w:tc>
          <w:tcPr>
            <w:tcW w:w="16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1F2668"/>
              </w:rPr>
              <w:t>Common Stock</w:t>
            </w:r>
          </w:p>
        </w:tc>
        <w:tc>
          <w:tcPr>
            <w:tcW w:w="1880" w:type="dxa"/>
            <w:vAlign w:val="bottom"/>
            <w:gridSpan w:val="7"/>
          </w:tcPr>
          <w:p>
            <w:pPr>
              <w:jc w:val="right"/>
              <w:spacing w:after="0"/>
              <w:rPr>
                <w:sz w:val="20"/>
                <w:szCs w:val="20"/>
                <w:color w:val="auto"/>
              </w:rPr>
            </w:pPr>
            <w:r>
              <w:rPr>
                <w:rFonts w:ascii="Arial" w:cs="Arial" w:eastAsia="Arial" w:hAnsi="Arial"/>
                <w:sz w:val="28"/>
                <w:szCs w:val="28"/>
                <w:b w:val="1"/>
                <w:bCs w:val="1"/>
                <w:color w:val="1F2668"/>
                <w:vertAlign w:val="subscript"/>
              </w:rPr>
              <w:t>​​</w:t>
            </w:r>
            <w:r>
              <w:rPr>
                <w:rFonts w:ascii="Arial" w:cs="Arial" w:eastAsia="Arial" w:hAnsi="Arial"/>
                <w:sz w:val="14"/>
                <w:szCs w:val="14"/>
                <w:b w:val="1"/>
                <w:bCs w:val="1"/>
                <w:color w:val="1F2668"/>
              </w:rPr>
              <w:t>Common Stock and Units</w:t>
            </w:r>
            <w:r>
              <w:rPr>
                <w:rFonts w:ascii="Arial" w:cs="Arial" w:eastAsia="Arial" w:hAnsi="Arial"/>
                <w:sz w:val="28"/>
                <w:szCs w:val="28"/>
                <w:b w:val="1"/>
                <w:bCs w:val="1"/>
                <w:color w:val="1F2668"/>
                <w:vertAlign w:val="subscript"/>
              </w:rPr>
              <w:t>​</w:t>
            </w:r>
          </w:p>
        </w:tc>
      </w:tr>
      <w:tr>
        <w:trPr>
          <w:trHeight w:val="200"/>
        </w:trPr>
        <w:tc>
          <w:tcPr>
            <w:tcW w:w="5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1F2668"/>
            </w:tcBorders>
          </w:tcPr>
          <w:p>
            <w:pPr>
              <w:spacing w:after="0"/>
              <w:rPr>
                <w:sz w:val="17"/>
                <w:szCs w:val="17"/>
                <w:color w:val="auto"/>
              </w:rPr>
            </w:pPr>
          </w:p>
        </w:tc>
        <w:tc>
          <w:tcPr>
            <w:tcW w:w="740" w:type="dxa"/>
            <w:vAlign w:val="bottom"/>
            <w:tcBorders>
              <w:top w:val="single" w:sz="8" w:color="1F2668"/>
            </w:tcBorders>
          </w:tcPr>
          <w:p>
            <w:pPr>
              <w:spacing w:after="0"/>
              <w:rPr>
                <w:sz w:val="17"/>
                <w:szCs w:val="17"/>
                <w:color w:val="auto"/>
              </w:rPr>
            </w:pPr>
          </w:p>
        </w:tc>
        <w:tc>
          <w:tcPr>
            <w:tcW w:w="160" w:type="dxa"/>
            <w:vAlign w:val="bottom"/>
            <w:tcBorders>
              <w:top w:val="single" w:sz="8" w:color="1F2668"/>
            </w:tcBorders>
          </w:tcPr>
          <w:p>
            <w:pPr>
              <w:spacing w:after="0"/>
              <w:rPr>
                <w:sz w:val="17"/>
                <w:szCs w:val="17"/>
                <w:color w:val="auto"/>
              </w:rPr>
            </w:pPr>
          </w:p>
        </w:tc>
        <w:tc>
          <w:tcPr>
            <w:tcW w:w="160" w:type="dxa"/>
            <w:vAlign w:val="bottom"/>
            <w:tcBorders>
              <w:top w:val="single" w:sz="8" w:color="1F2668"/>
            </w:tcBorders>
          </w:tcPr>
          <w:p>
            <w:pPr>
              <w:spacing w:after="0"/>
              <w:rPr>
                <w:sz w:val="17"/>
                <w:szCs w:val="17"/>
                <w:color w:val="auto"/>
              </w:rPr>
            </w:pPr>
          </w:p>
        </w:tc>
        <w:tc>
          <w:tcPr>
            <w:tcW w:w="540" w:type="dxa"/>
            <w:vAlign w:val="bottom"/>
            <w:tcBorders>
              <w:top w:val="single" w:sz="8" w:color="1F2668"/>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1F2668"/>
            </w:tcBorders>
          </w:tcPr>
          <w:p>
            <w:pPr>
              <w:spacing w:after="0"/>
              <w:rPr>
                <w:sz w:val="17"/>
                <w:szCs w:val="17"/>
                <w:color w:val="auto"/>
              </w:rPr>
            </w:pPr>
          </w:p>
        </w:tc>
        <w:tc>
          <w:tcPr>
            <w:tcW w:w="880" w:type="dxa"/>
            <w:vAlign w:val="bottom"/>
            <w:tcBorders>
              <w:top w:val="single" w:sz="8" w:color="1F2668"/>
            </w:tcBorders>
            <w:gridSpan w:val="2"/>
          </w:tcPr>
          <w:p>
            <w:pPr>
              <w:jc w:val="right"/>
              <w:ind w:right="97"/>
              <w:spacing w:after="0"/>
              <w:rPr>
                <w:sz w:val="20"/>
                <w:szCs w:val="20"/>
                <w:color w:val="auto"/>
              </w:rPr>
            </w:pPr>
            <w:r>
              <w:rPr>
                <w:rFonts w:ascii="Arial" w:cs="Arial" w:eastAsia="Arial" w:hAnsi="Arial"/>
                <w:sz w:val="14"/>
                <w:szCs w:val="14"/>
                <w:b w:val="1"/>
                <w:bCs w:val="1"/>
                <w:color w:val="1F2668"/>
                <w:w w:val="99"/>
              </w:rPr>
              <w:t>Number of</w:t>
            </w:r>
          </w:p>
        </w:tc>
        <w:tc>
          <w:tcPr>
            <w:tcW w:w="300" w:type="dxa"/>
            <w:vAlign w:val="bottom"/>
            <w:tcBorders>
              <w:top w:val="single" w:sz="8" w:color="1F2668"/>
            </w:tcBorders>
          </w:tcPr>
          <w:p>
            <w:pPr>
              <w:spacing w:after="0"/>
              <w:rPr>
                <w:sz w:val="17"/>
                <w:szCs w:val="17"/>
                <w:color w:val="auto"/>
              </w:rPr>
            </w:pPr>
          </w:p>
        </w:tc>
        <w:tc>
          <w:tcPr>
            <w:tcW w:w="460" w:type="dxa"/>
            <w:vAlign w:val="bottom"/>
            <w:tcBorders>
              <w:top w:val="single" w:sz="8" w:color="1F2668"/>
            </w:tcBorders>
          </w:tcPr>
          <w:p>
            <w:pPr>
              <w:spacing w:after="0"/>
              <w:rPr>
                <w:sz w:val="17"/>
                <w:szCs w:val="17"/>
                <w:color w:val="auto"/>
              </w:rPr>
            </w:pPr>
          </w:p>
        </w:tc>
        <w:tc>
          <w:tcPr>
            <w:tcW w:w="60" w:type="dxa"/>
            <w:vAlign w:val="bottom"/>
          </w:tcPr>
          <w:p>
            <w:pPr>
              <w:spacing w:after="0"/>
              <w:rPr>
                <w:sz w:val="17"/>
                <w:szCs w:val="17"/>
                <w:color w:val="auto"/>
              </w:rPr>
            </w:pPr>
          </w:p>
        </w:tc>
      </w:tr>
      <w:tr>
        <w:trPr>
          <w:trHeight w:val="162"/>
        </w:trPr>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ind w:left="160"/>
              <w:spacing w:after="0"/>
              <w:rPr>
                <w:sz w:val="20"/>
                <w:szCs w:val="20"/>
                <w:color w:val="auto"/>
              </w:rPr>
            </w:pPr>
            <w:r>
              <w:rPr>
                <w:rFonts w:ascii="Arial" w:cs="Arial" w:eastAsia="Arial" w:hAnsi="Arial"/>
                <w:sz w:val="14"/>
                <w:szCs w:val="14"/>
                <w:b w:val="1"/>
                <w:bCs w:val="1"/>
                <w:color w:val="1F2668"/>
              </w:rPr>
              <w:t>Number</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right"/>
              <w:ind w:right="97"/>
              <w:spacing w:after="0"/>
              <w:rPr>
                <w:sz w:val="20"/>
                <w:szCs w:val="20"/>
                <w:color w:val="auto"/>
              </w:rPr>
            </w:pPr>
            <w:r>
              <w:rPr>
                <w:rFonts w:ascii="Arial" w:cs="Arial" w:eastAsia="Arial" w:hAnsi="Arial"/>
                <w:sz w:val="14"/>
                <w:szCs w:val="14"/>
                <w:b w:val="1"/>
                <w:bCs w:val="1"/>
                <w:color w:val="1F2668"/>
              </w:rPr>
              <w:t>Shares and</w:t>
            </w:r>
          </w:p>
        </w:tc>
        <w:tc>
          <w:tcPr>
            <w:tcW w:w="820" w:type="dxa"/>
            <w:vAlign w:val="bottom"/>
            <w:gridSpan w:val="3"/>
          </w:tcPr>
          <w:p>
            <w:pPr>
              <w:jc w:val="right"/>
              <w:ind w:right="37"/>
              <w:spacing w:after="0"/>
              <w:rPr>
                <w:sz w:val="20"/>
                <w:szCs w:val="20"/>
                <w:color w:val="auto"/>
              </w:rPr>
            </w:pPr>
            <w:r>
              <w:rPr>
                <w:rFonts w:ascii="Arial" w:cs="Arial" w:eastAsia="Arial" w:hAnsi="Arial"/>
                <w:sz w:val="14"/>
                <w:szCs w:val="14"/>
                <w:b w:val="1"/>
                <w:bCs w:val="1"/>
                <w:color w:val="1F2668"/>
              </w:rPr>
              <w:t>Percent of</w:t>
            </w:r>
          </w:p>
        </w:tc>
      </w:tr>
      <w:tr>
        <w:trPr>
          <w:trHeight w:val="162"/>
        </w:trPr>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4"/>
                <w:szCs w:val="14"/>
                <w:b w:val="1"/>
                <w:bCs w:val="1"/>
                <w:color w:val="1F2668"/>
              </w:rPr>
              <w:t>of Shares</w:t>
            </w:r>
          </w:p>
        </w:tc>
        <w:tc>
          <w:tcPr>
            <w:tcW w:w="16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1F2668"/>
                <w:w w:val="90"/>
              </w:rPr>
              <w:t>Percent of</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97"/>
              <w:spacing w:after="0"/>
              <w:rPr>
                <w:sz w:val="20"/>
                <w:szCs w:val="20"/>
                <w:color w:val="auto"/>
              </w:rPr>
            </w:pPr>
            <w:r>
              <w:rPr>
                <w:rFonts w:ascii="Arial" w:cs="Arial" w:eastAsia="Arial" w:hAnsi="Arial"/>
                <w:sz w:val="14"/>
                <w:szCs w:val="14"/>
                <w:b w:val="1"/>
                <w:bCs w:val="1"/>
                <w:color w:val="1F2668"/>
              </w:rPr>
              <w:t>Units</w:t>
            </w:r>
          </w:p>
        </w:tc>
        <w:tc>
          <w:tcPr>
            <w:tcW w:w="820" w:type="dxa"/>
            <w:vAlign w:val="bottom"/>
            <w:gridSpan w:val="3"/>
          </w:tcPr>
          <w:p>
            <w:pPr>
              <w:jc w:val="right"/>
              <w:ind w:right="37"/>
              <w:spacing w:after="0"/>
              <w:rPr>
                <w:sz w:val="20"/>
                <w:szCs w:val="20"/>
                <w:color w:val="auto"/>
              </w:rPr>
            </w:pPr>
            <w:r>
              <w:rPr>
                <w:rFonts w:ascii="Arial" w:cs="Arial" w:eastAsia="Arial" w:hAnsi="Arial"/>
                <w:sz w:val="14"/>
                <w:szCs w:val="14"/>
                <w:b w:val="1"/>
                <w:bCs w:val="1"/>
                <w:color w:val="1F2668"/>
              </w:rPr>
              <w:t>Common</w:t>
            </w:r>
          </w:p>
        </w:tc>
      </w:tr>
      <w:tr>
        <w:trPr>
          <w:trHeight w:val="149"/>
        </w:trPr>
        <w:tc>
          <w:tcPr>
            <w:tcW w:w="5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1F2668"/>
              </w:rPr>
              <w:t>Beneficially</w:t>
            </w:r>
          </w:p>
        </w:tc>
        <w:tc>
          <w:tcPr>
            <w:tcW w:w="16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1F2668"/>
              </w:rPr>
              <w:t>Common</w:t>
            </w:r>
          </w:p>
        </w:tc>
        <w:tc>
          <w:tcPr>
            <w:tcW w:w="100" w:type="dxa"/>
            <w:vAlign w:val="bottom"/>
          </w:tcPr>
          <w:p>
            <w:pPr>
              <w:spacing w:after="0"/>
              <w:rPr>
                <w:sz w:val="12"/>
                <w:szCs w:val="12"/>
                <w:color w:val="auto"/>
              </w:rPr>
            </w:pPr>
          </w:p>
        </w:tc>
        <w:tc>
          <w:tcPr>
            <w:tcW w:w="960" w:type="dxa"/>
            <w:vAlign w:val="bottom"/>
            <w:gridSpan w:val="3"/>
          </w:tcPr>
          <w:p>
            <w:pPr>
              <w:jc w:val="right"/>
              <w:ind w:right="97"/>
              <w:spacing w:after="0" w:line="149" w:lineRule="exact"/>
              <w:rPr>
                <w:sz w:val="20"/>
                <w:szCs w:val="20"/>
                <w:color w:val="auto"/>
              </w:rPr>
            </w:pPr>
            <w:r>
              <w:rPr>
                <w:rFonts w:ascii="Arial" w:cs="Arial" w:eastAsia="Arial" w:hAnsi="Arial"/>
                <w:sz w:val="14"/>
                <w:szCs w:val="14"/>
                <w:b w:val="1"/>
                <w:bCs w:val="1"/>
                <w:color w:val="1F2668"/>
              </w:rPr>
              <w:t>Beneficially</w:t>
            </w:r>
          </w:p>
        </w:tc>
        <w:tc>
          <w:tcPr>
            <w:tcW w:w="300" w:type="dxa"/>
            <w:vAlign w:val="bottom"/>
          </w:tcPr>
          <w:p>
            <w:pPr>
              <w:spacing w:after="0"/>
              <w:rPr>
                <w:sz w:val="12"/>
                <w:szCs w:val="12"/>
                <w:color w:val="auto"/>
              </w:rPr>
            </w:pPr>
          </w:p>
        </w:tc>
        <w:tc>
          <w:tcPr>
            <w:tcW w:w="520" w:type="dxa"/>
            <w:vAlign w:val="bottom"/>
            <w:gridSpan w:val="2"/>
          </w:tcPr>
          <w:p>
            <w:pPr>
              <w:jc w:val="right"/>
              <w:ind w:right="37"/>
              <w:spacing w:after="0" w:line="149" w:lineRule="exact"/>
              <w:rPr>
                <w:sz w:val="20"/>
                <w:szCs w:val="20"/>
                <w:color w:val="auto"/>
              </w:rPr>
            </w:pPr>
            <w:r>
              <w:rPr>
                <w:rFonts w:ascii="Arial" w:cs="Arial" w:eastAsia="Arial" w:hAnsi="Arial"/>
                <w:sz w:val="14"/>
                <w:szCs w:val="14"/>
                <w:b w:val="1"/>
                <w:bCs w:val="1"/>
                <w:color w:val="1F2668"/>
              </w:rPr>
              <w:t>Stock</w:t>
            </w:r>
          </w:p>
        </w:tc>
      </w:tr>
      <w:tr>
        <w:trPr>
          <w:trHeight w:val="238"/>
        </w:trPr>
        <w:tc>
          <w:tcPr>
            <w:tcW w:w="5440" w:type="dxa"/>
            <w:vAlign w:val="bottom"/>
          </w:tcPr>
          <w:p>
            <w:pPr>
              <w:spacing w:after="0"/>
              <w:rPr>
                <w:sz w:val="20"/>
                <w:szCs w:val="20"/>
                <w:color w:val="auto"/>
              </w:rPr>
            </w:pPr>
            <w:r>
              <w:rPr>
                <w:rFonts w:ascii="Arial" w:cs="Arial" w:eastAsia="Arial" w:hAnsi="Arial"/>
                <w:sz w:val="14"/>
                <w:szCs w:val="14"/>
                <w:b w:val="1"/>
                <w:bCs w:val="1"/>
                <w:color w:val="1F2668"/>
              </w:rPr>
              <w:t>Name**</w:t>
            </w:r>
          </w:p>
        </w:tc>
        <w:tc>
          <w:tcPr>
            <w:tcW w:w="200" w:type="dxa"/>
            <w:vAlign w:val="bottom"/>
            <w:gridSpan w:val="2"/>
          </w:tcPr>
          <w:p>
            <w:pPr>
              <w:ind w:left="60"/>
              <w:spacing w:after="0"/>
              <w:rPr>
                <w:sz w:val="20"/>
                <w:szCs w:val="20"/>
                <w:color w:val="auto"/>
              </w:rPr>
            </w:pPr>
            <w:r>
              <w:rPr>
                <w:rFonts w:ascii="Arial" w:cs="Arial" w:eastAsia="Arial" w:hAnsi="Arial"/>
                <w:sz w:val="14"/>
                <w:szCs w:val="14"/>
                <w:b w:val="1"/>
                <w:bCs w:val="1"/>
                <w:color w:val="1F2668"/>
              </w:rPr>
              <w:t>​​</w:t>
            </w:r>
          </w:p>
        </w:tc>
        <w:tc>
          <w:tcPr>
            <w:tcW w:w="740" w:type="dxa"/>
            <w:vAlign w:val="bottom"/>
          </w:tcPr>
          <w:p>
            <w:pPr>
              <w:ind w:left="160"/>
              <w:spacing w:after="0"/>
              <w:rPr>
                <w:sz w:val="20"/>
                <w:szCs w:val="20"/>
                <w:color w:val="auto"/>
              </w:rPr>
            </w:pPr>
            <w:r>
              <w:rPr>
                <w:rFonts w:ascii="Arial" w:cs="Arial" w:eastAsia="Arial" w:hAnsi="Arial"/>
                <w:sz w:val="14"/>
                <w:szCs w:val="14"/>
                <w:b w:val="1"/>
                <w:bCs w:val="1"/>
                <w:color w:val="1F2668"/>
                <w:w w:val="92"/>
              </w:rPr>
              <w:t>Owned</w:t>
            </w:r>
            <w:r>
              <w:rPr>
                <w:rFonts w:ascii="Arial" w:cs="Arial" w:eastAsia="Arial" w:hAnsi="Arial"/>
                <w:sz w:val="17"/>
                <w:szCs w:val="17"/>
                <w:b w:val="1"/>
                <w:bCs w:val="1"/>
                <w:color w:val="1F2668"/>
                <w:w w:val="92"/>
                <w:vertAlign w:val="superscript"/>
              </w:rPr>
              <w:t>(1)</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1F2668"/>
              </w:rPr>
              <w:t>​​</w:t>
            </w: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1F2668"/>
                <w:w w:val="96"/>
              </w:rPr>
              <w:t>Stock</w:t>
            </w:r>
            <w:r>
              <w:rPr>
                <w:rFonts w:ascii="Arial" w:cs="Arial" w:eastAsia="Arial" w:hAnsi="Arial"/>
                <w:sz w:val="17"/>
                <w:szCs w:val="17"/>
                <w:b w:val="1"/>
                <w:bCs w:val="1"/>
                <w:color w:val="1F2668"/>
                <w:w w:val="96"/>
                <w:vertAlign w:val="superscript"/>
              </w:rPr>
              <w:t>(2)</w:t>
            </w:r>
          </w:p>
        </w:tc>
        <w:tc>
          <w:tcPr>
            <w:tcW w:w="180" w:type="dxa"/>
            <w:vAlign w:val="bottom"/>
            <w:gridSpan w:val="2"/>
          </w:tcPr>
          <w:p>
            <w:pPr>
              <w:jc w:val="right"/>
              <w:spacing w:after="0"/>
              <w:rPr>
                <w:sz w:val="20"/>
                <w:szCs w:val="20"/>
                <w:color w:val="auto"/>
              </w:rPr>
            </w:pPr>
            <w:r>
              <w:rPr>
                <w:rFonts w:ascii="Arial" w:cs="Arial" w:eastAsia="Arial" w:hAnsi="Arial"/>
                <w:sz w:val="14"/>
                <w:szCs w:val="14"/>
                <w:b w:val="1"/>
                <w:bCs w:val="1"/>
                <w:color w:val="1F2668"/>
              </w:rPr>
              <w:t>​​</w:t>
            </w:r>
          </w:p>
        </w:tc>
        <w:tc>
          <w:tcPr>
            <w:tcW w:w="1700" w:type="dxa"/>
            <w:vAlign w:val="bottom"/>
            <w:gridSpan w:val="5"/>
          </w:tcPr>
          <w:p>
            <w:pPr>
              <w:jc w:val="right"/>
              <w:spacing w:after="0" w:line="237" w:lineRule="exact"/>
              <w:rPr>
                <w:sz w:val="20"/>
                <w:szCs w:val="20"/>
                <w:color w:val="auto"/>
              </w:rPr>
            </w:pPr>
            <w:r>
              <w:rPr>
                <w:rFonts w:ascii="Arial" w:cs="Arial" w:eastAsia="Arial" w:hAnsi="Arial"/>
                <w:sz w:val="14"/>
                <w:szCs w:val="14"/>
                <w:b w:val="1"/>
                <w:bCs w:val="1"/>
                <w:color w:val="1F2668"/>
              </w:rPr>
              <w:t>Owned</w:t>
            </w:r>
            <w:r>
              <w:rPr>
                <w:rFonts w:ascii="Arial" w:cs="Arial" w:eastAsia="Arial" w:hAnsi="Arial"/>
                <w:sz w:val="17"/>
                <w:szCs w:val="17"/>
                <w:b w:val="1"/>
                <w:bCs w:val="1"/>
                <w:color w:val="1F2668"/>
                <w:vertAlign w:val="superscript"/>
              </w:rPr>
              <w:t>(1)</w:t>
            </w:r>
            <w:r>
              <w:rPr>
                <w:rFonts w:ascii="Arial" w:cs="Arial" w:eastAsia="Arial" w:hAnsi="Arial"/>
                <w:sz w:val="14"/>
                <w:szCs w:val="14"/>
                <w:b w:val="1"/>
                <w:bCs w:val="1"/>
                <w:color w:val="1F2668"/>
              </w:rPr>
              <w:t xml:space="preserve"> </w:t>
            </w:r>
            <w:r>
              <w:rPr>
                <w:rFonts w:ascii="Arial" w:cs="Arial" w:eastAsia="Arial" w:hAnsi="Arial"/>
                <w:sz w:val="27"/>
                <w:szCs w:val="27"/>
                <w:b w:val="1"/>
                <w:bCs w:val="1"/>
                <w:color w:val="1F2668"/>
                <w:vertAlign w:val="subscript"/>
              </w:rPr>
              <w:t>​​</w:t>
            </w:r>
            <w:r>
              <w:rPr>
                <w:rFonts w:ascii="Arial" w:cs="Arial" w:eastAsia="Arial" w:hAnsi="Arial"/>
                <w:sz w:val="14"/>
                <w:szCs w:val="14"/>
                <w:b w:val="1"/>
                <w:bCs w:val="1"/>
                <w:color w:val="1F2668"/>
              </w:rPr>
              <w:t>and Units</w:t>
            </w:r>
            <w:r>
              <w:rPr>
                <w:rFonts w:ascii="Arial" w:cs="Arial" w:eastAsia="Arial" w:hAnsi="Arial"/>
                <w:sz w:val="17"/>
                <w:szCs w:val="17"/>
                <w:b w:val="1"/>
                <w:bCs w:val="1"/>
                <w:color w:val="1F2668"/>
                <w:vertAlign w:val="superscript"/>
              </w:rPr>
              <w:t>(2)</w:t>
            </w:r>
            <w:r>
              <w:rPr>
                <w:rFonts w:ascii="Arial" w:cs="Arial" w:eastAsia="Arial" w:hAnsi="Arial"/>
                <w:sz w:val="27"/>
                <w:szCs w:val="27"/>
                <w:b w:val="1"/>
                <w:bCs w:val="1"/>
                <w:color w:val="1F2668"/>
                <w:vertAlign w:val="subscript"/>
              </w:rPr>
              <w:t>​</w:t>
            </w:r>
          </w:p>
        </w:tc>
      </w:tr>
      <w:tr>
        <w:trPr>
          <w:trHeight w:val="20"/>
        </w:trPr>
        <w:tc>
          <w:tcPr>
            <w:tcW w:w="544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1F2668"/>
          </w:tcPr>
          <w:p>
            <w:pPr>
              <w:spacing w:after="0" w:line="20" w:lineRule="exact"/>
              <w:rPr>
                <w:sz w:val="1"/>
                <w:szCs w:val="1"/>
                <w:color w:val="auto"/>
              </w:rPr>
            </w:pPr>
          </w:p>
        </w:tc>
        <w:tc>
          <w:tcPr>
            <w:tcW w:w="740" w:type="dxa"/>
            <w:vAlign w:val="bottom"/>
            <w:shd w:val="clear" w:color="auto" w:fill="1F2668"/>
          </w:tcPr>
          <w:p>
            <w:pPr>
              <w:spacing w:after="0" w:line="20" w:lineRule="exact"/>
              <w:rPr>
                <w:sz w:val="1"/>
                <w:szCs w:val="1"/>
                <w:color w:val="auto"/>
              </w:rPr>
            </w:pPr>
          </w:p>
        </w:tc>
        <w:tc>
          <w:tcPr>
            <w:tcW w:w="160" w:type="dxa"/>
            <w:vAlign w:val="bottom"/>
            <w:tcBorders>
              <w:right w:val="single" w:sz="8" w:color="1F2668"/>
            </w:tcBorders>
          </w:tcPr>
          <w:p>
            <w:pPr>
              <w:spacing w:after="0" w:line="20" w:lineRule="exact"/>
              <w:rPr>
                <w:sz w:val="1"/>
                <w:szCs w:val="1"/>
                <w:color w:val="auto"/>
              </w:rPr>
            </w:pPr>
          </w:p>
        </w:tc>
        <w:tc>
          <w:tcPr>
            <w:tcW w:w="160" w:type="dxa"/>
            <w:vAlign w:val="bottom"/>
            <w:shd w:val="clear" w:color="auto" w:fill="1F2668"/>
          </w:tcPr>
          <w:p>
            <w:pPr>
              <w:spacing w:after="0" w:line="20" w:lineRule="exact"/>
              <w:rPr>
                <w:sz w:val="1"/>
                <w:szCs w:val="1"/>
                <w:color w:val="auto"/>
              </w:rPr>
            </w:pPr>
          </w:p>
        </w:tc>
        <w:tc>
          <w:tcPr>
            <w:tcW w:w="54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1F2668"/>
          </w:tcPr>
          <w:p>
            <w:pPr>
              <w:spacing w:after="0" w:line="20" w:lineRule="exact"/>
              <w:rPr>
                <w:sz w:val="1"/>
                <w:szCs w:val="1"/>
                <w:color w:val="auto"/>
              </w:rPr>
            </w:pPr>
          </w:p>
        </w:tc>
        <w:tc>
          <w:tcPr>
            <w:tcW w:w="760" w:type="dxa"/>
            <w:vAlign w:val="bottom"/>
            <w:shd w:val="clear" w:color="auto" w:fill="1F2668"/>
          </w:tcPr>
          <w:p>
            <w:pPr>
              <w:spacing w:after="0" w:line="20" w:lineRule="exact"/>
              <w:rPr>
                <w:sz w:val="1"/>
                <w:szCs w:val="1"/>
                <w:color w:val="auto"/>
              </w:rPr>
            </w:pPr>
          </w:p>
        </w:tc>
        <w:tc>
          <w:tcPr>
            <w:tcW w:w="120" w:type="dxa"/>
            <w:vAlign w:val="bottom"/>
            <w:tcBorders>
              <w:right w:val="single" w:sz="8" w:color="1F2668"/>
            </w:tcBorders>
          </w:tcPr>
          <w:p>
            <w:pPr>
              <w:spacing w:after="0" w:line="20" w:lineRule="exact"/>
              <w:rPr>
                <w:sz w:val="1"/>
                <w:szCs w:val="1"/>
                <w:color w:val="auto"/>
              </w:rPr>
            </w:pPr>
          </w:p>
        </w:tc>
        <w:tc>
          <w:tcPr>
            <w:tcW w:w="300" w:type="dxa"/>
            <w:vAlign w:val="bottom"/>
            <w:shd w:val="clear" w:color="auto" w:fill="1F2668"/>
          </w:tcPr>
          <w:p>
            <w:pPr>
              <w:spacing w:after="0" w:line="20" w:lineRule="exact"/>
              <w:rPr>
                <w:sz w:val="1"/>
                <w:szCs w:val="1"/>
                <w:color w:val="auto"/>
              </w:rPr>
            </w:pPr>
          </w:p>
        </w:tc>
        <w:tc>
          <w:tcPr>
            <w:tcW w:w="460" w:type="dxa"/>
            <w:vAlign w:val="bottom"/>
            <w:shd w:val="clear" w:color="auto" w:fill="1F266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440" w:type="dxa"/>
            <w:vAlign w:val="bottom"/>
          </w:tcPr>
          <w:p>
            <w:pPr>
              <w:spacing w:after="0"/>
              <w:rPr>
                <w:sz w:val="20"/>
                <w:szCs w:val="20"/>
                <w:color w:val="auto"/>
              </w:rPr>
            </w:pPr>
            <w:r>
              <w:rPr>
                <w:rFonts w:ascii="Arial" w:cs="Arial" w:eastAsia="Arial" w:hAnsi="Arial"/>
                <w:sz w:val="16"/>
                <w:szCs w:val="16"/>
                <w:b w:val="1"/>
                <w:bCs w:val="1"/>
                <w:color w:val="1F2668"/>
              </w:rPr>
              <w:t>5% HOLDERS</w:t>
            </w:r>
          </w:p>
        </w:tc>
        <w:tc>
          <w:tcPr>
            <w:tcW w:w="10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6"/>
                <w:szCs w:val="16"/>
                <w:b w:val="1"/>
                <w:bCs w:val="1"/>
                <w:color w:val="1F2668"/>
              </w:rPr>
              <w:t>​</w:t>
            </w:r>
          </w:p>
        </w:tc>
        <w:tc>
          <w:tcPr>
            <w:tcW w:w="740" w:type="dxa"/>
            <w:vAlign w:val="bottom"/>
          </w:tcPr>
          <w:p>
            <w:pPr>
              <w:spacing w:after="0"/>
              <w:rPr>
                <w:sz w:val="17"/>
                <w:szCs w:val="17"/>
                <w:color w:val="auto"/>
              </w:rPr>
            </w:pPr>
          </w:p>
        </w:tc>
        <w:tc>
          <w:tcPr>
            <w:tcW w:w="160" w:type="dxa"/>
            <w:vAlign w:val="bottom"/>
          </w:tcPr>
          <w:p>
            <w:pPr>
              <w:jc w:val="right"/>
              <w:ind w:right="55"/>
              <w:spacing w:after="0"/>
              <w:rPr>
                <w:sz w:val="20"/>
                <w:szCs w:val="20"/>
                <w:color w:val="auto"/>
              </w:rPr>
            </w:pPr>
            <w:r>
              <w:rPr>
                <w:rFonts w:ascii="Arial" w:cs="Arial" w:eastAsia="Arial" w:hAnsi="Arial"/>
                <w:sz w:val="16"/>
                <w:szCs w:val="16"/>
                <w:b w:val="1"/>
                <w:bCs w:val="1"/>
                <w:color w:val="1F2668"/>
              </w:rPr>
              <w:t>​</w:t>
            </w:r>
          </w:p>
        </w:tc>
        <w:tc>
          <w:tcPr>
            <w:tcW w:w="160" w:type="dxa"/>
            <w:vAlign w:val="bottom"/>
          </w:tcPr>
          <w:p>
            <w:pPr>
              <w:ind w:left="80"/>
              <w:spacing w:after="0"/>
              <w:rPr>
                <w:sz w:val="20"/>
                <w:szCs w:val="20"/>
                <w:color w:val="auto"/>
              </w:rPr>
            </w:pPr>
            <w:r>
              <w:rPr>
                <w:rFonts w:ascii="Arial" w:cs="Arial" w:eastAsia="Arial" w:hAnsi="Arial"/>
                <w:sz w:val="16"/>
                <w:szCs w:val="16"/>
                <w:b w:val="1"/>
                <w:bCs w:val="1"/>
                <w:color w:val="1F2668"/>
              </w:rPr>
              <w:t>​</w:t>
            </w:r>
          </w:p>
        </w:tc>
        <w:tc>
          <w:tcPr>
            <w:tcW w:w="5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b w:val="1"/>
                <w:bCs w:val="1"/>
                <w:color w:val="1F2668"/>
              </w:rPr>
              <w:t>​ ​</w:t>
            </w:r>
          </w:p>
        </w:tc>
        <w:tc>
          <w:tcPr>
            <w:tcW w:w="760" w:type="dxa"/>
            <w:vAlign w:val="bottom"/>
          </w:tcPr>
          <w:p>
            <w:pPr>
              <w:spacing w:after="0"/>
              <w:rPr>
                <w:sz w:val="17"/>
                <w:szCs w:val="17"/>
                <w:color w:val="auto"/>
              </w:rPr>
            </w:pPr>
          </w:p>
        </w:tc>
        <w:tc>
          <w:tcPr>
            <w:tcW w:w="120" w:type="dxa"/>
            <w:vAlign w:val="bottom"/>
          </w:tcPr>
          <w:p>
            <w:pPr>
              <w:jc w:val="right"/>
              <w:ind w:right="17"/>
              <w:spacing w:after="0"/>
              <w:rPr>
                <w:sz w:val="20"/>
                <w:szCs w:val="20"/>
                <w:color w:val="auto"/>
              </w:rPr>
            </w:pPr>
            <w:r>
              <w:rPr>
                <w:rFonts w:ascii="Arial" w:cs="Arial" w:eastAsia="Arial" w:hAnsi="Arial"/>
                <w:sz w:val="16"/>
                <w:szCs w:val="16"/>
                <w:b w:val="1"/>
                <w:bCs w:val="1"/>
                <w:color w:val="1F2668"/>
              </w:rPr>
              <w:t>​</w:t>
            </w:r>
          </w:p>
        </w:tc>
        <w:tc>
          <w:tcPr>
            <w:tcW w:w="300" w:type="dxa"/>
            <w:vAlign w:val="bottom"/>
          </w:tcPr>
          <w:p>
            <w:pPr>
              <w:ind w:left="200"/>
              <w:spacing w:after="0"/>
              <w:rPr>
                <w:sz w:val="20"/>
                <w:szCs w:val="20"/>
                <w:color w:val="auto"/>
              </w:rPr>
            </w:pPr>
            <w:r>
              <w:rPr>
                <w:rFonts w:ascii="Arial" w:cs="Arial" w:eastAsia="Arial" w:hAnsi="Arial"/>
                <w:sz w:val="16"/>
                <w:szCs w:val="16"/>
                <w:b w:val="1"/>
                <w:bCs w:val="1"/>
                <w:color w:val="1F2668"/>
              </w:rPr>
              <w:t>​</w:t>
            </w:r>
          </w:p>
        </w:tc>
        <w:tc>
          <w:tcPr>
            <w:tcW w:w="46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6"/>
                <w:szCs w:val="16"/>
                <w:b w:val="1"/>
                <w:bCs w:val="1"/>
                <w:color w:val="1F2668"/>
              </w:rPr>
              <w:t>​</w:t>
            </w:r>
          </w:p>
        </w:tc>
      </w:tr>
      <w:tr>
        <w:trPr>
          <w:trHeight w:val="81"/>
        </w:trPr>
        <w:tc>
          <w:tcPr>
            <w:tcW w:w="5440" w:type="dxa"/>
            <w:vAlign w:val="bottom"/>
          </w:tcPr>
          <w:p>
            <w:pPr>
              <w:spacing w:after="0"/>
              <w:rPr>
                <w:sz w:val="7"/>
                <w:szCs w:val="7"/>
                <w:color w:val="auto"/>
              </w:rPr>
            </w:pPr>
          </w:p>
        </w:tc>
        <w:tc>
          <w:tcPr>
            <w:tcW w:w="200" w:type="dxa"/>
            <w:vAlign w:val="bottom"/>
            <w:gridSpan w:val="2"/>
          </w:tcPr>
          <w:p>
            <w:pPr>
              <w:ind w:left="20"/>
              <w:spacing w:after="0" w:line="81" w:lineRule="exact"/>
              <w:rPr>
                <w:sz w:val="20"/>
                <w:szCs w:val="20"/>
                <w:color w:val="auto"/>
              </w:rPr>
            </w:pPr>
            <w:r>
              <w:rPr>
                <w:rFonts w:ascii="Arial" w:cs="Arial" w:eastAsia="Arial" w:hAnsi="Arial"/>
                <w:sz w:val="9"/>
                <w:szCs w:val="9"/>
                <w:b w:val="1"/>
                <w:bCs w:val="1"/>
                <w:color w:val="1F2668"/>
              </w:rPr>
              <w:t>​​​</w:t>
            </w:r>
          </w:p>
        </w:tc>
        <w:tc>
          <w:tcPr>
            <w:tcW w:w="740" w:type="dxa"/>
            <w:vAlign w:val="bottom"/>
          </w:tcPr>
          <w:p>
            <w:pPr>
              <w:spacing w:after="0"/>
              <w:rPr>
                <w:sz w:val="7"/>
                <w:szCs w:val="7"/>
                <w:color w:val="auto"/>
              </w:rPr>
            </w:pPr>
          </w:p>
        </w:tc>
        <w:tc>
          <w:tcPr>
            <w:tcW w:w="160" w:type="dxa"/>
            <w:vAlign w:val="bottom"/>
          </w:tcPr>
          <w:p>
            <w:pPr>
              <w:jc w:val="right"/>
              <w:spacing w:after="0" w:line="81" w:lineRule="exact"/>
              <w:rPr>
                <w:sz w:val="20"/>
                <w:szCs w:val="20"/>
                <w:color w:val="auto"/>
              </w:rPr>
            </w:pPr>
            <w:r>
              <w:rPr>
                <w:rFonts w:ascii="Arial" w:cs="Arial" w:eastAsia="Arial" w:hAnsi="Arial"/>
                <w:sz w:val="9"/>
                <w:szCs w:val="9"/>
                <w:b w:val="1"/>
                <w:bCs w:val="1"/>
                <w:color w:val="1F2668"/>
              </w:rPr>
              <w:t>​​​</w:t>
            </w:r>
          </w:p>
        </w:tc>
        <w:tc>
          <w:tcPr>
            <w:tcW w:w="160" w:type="dxa"/>
            <w:vAlign w:val="bottom"/>
          </w:tcPr>
          <w:p>
            <w:pPr>
              <w:ind w:left="60"/>
              <w:spacing w:after="0" w:line="81" w:lineRule="exact"/>
              <w:rPr>
                <w:sz w:val="20"/>
                <w:szCs w:val="20"/>
                <w:color w:val="auto"/>
              </w:rPr>
            </w:pPr>
            <w:r>
              <w:rPr>
                <w:rFonts w:ascii="Arial" w:cs="Arial" w:eastAsia="Arial" w:hAnsi="Arial"/>
                <w:sz w:val="9"/>
                <w:szCs w:val="9"/>
                <w:b w:val="1"/>
                <w:bCs w:val="1"/>
                <w:color w:val="1F2668"/>
              </w:rPr>
              <w:t>​</w:t>
            </w:r>
          </w:p>
        </w:tc>
        <w:tc>
          <w:tcPr>
            <w:tcW w:w="540" w:type="dxa"/>
            <w:vAlign w:val="bottom"/>
          </w:tcPr>
          <w:p>
            <w:pPr>
              <w:spacing w:after="0"/>
              <w:rPr>
                <w:sz w:val="7"/>
                <w:szCs w:val="7"/>
                <w:color w:val="auto"/>
              </w:rPr>
            </w:pPr>
          </w:p>
        </w:tc>
        <w:tc>
          <w:tcPr>
            <w:tcW w:w="180" w:type="dxa"/>
            <w:vAlign w:val="bottom"/>
            <w:gridSpan w:val="2"/>
          </w:tcPr>
          <w:p>
            <w:pPr>
              <w:jc w:val="right"/>
              <w:spacing w:after="0" w:line="81" w:lineRule="exact"/>
              <w:rPr>
                <w:sz w:val="20"/>
                <w:szCs w:val="20"/>
                <w:color w:val="auto"/>
              </w:rPr>
            </w:pPr>
            <w:r>
              <w:rPr>
                <w:rFonts w:ascii="Arial" w:cs="Arial" w:eastAsia="Arial" w:hAnsi="Arial"/>
                <w:sz w:val="9"/>
                <w:szCs w:val="9"/>
                <w:b w:val="1"/>
                <w:bCs w:val="1"/>
                <w:color w:val="1F2668"/>
              </w:rPr>
              <w:t>​​​​</w:t>
            </w:r>
          </w:p>
        </w:tc>
        <w:tc>
          <w:tcPr>
            <w:tcW w:w="760" w:type="dxa"/>
            <w:vAlign w:val="bottom"/>
          </w:tcPr>
          <w:p>
            <w:pPr>
              <w:spacing w:after="0"/>
              <w:rPr>
                <w:sz w:val="7"/>
                <w:szCs w:val="7"/>
                <w:color w:val="auto"/>
              </w:rPr>
            </w:pPr>
          </w:p>
        </w:tc>
        <w:tc>
          <w:tcPr>
            <w:tcW w:w="120" w:type="dxa"/>
            <w:vAlign w:val="bottom"/>
          </w:tcPr>
          <w:p>
            <w:pPr>
              <w:jc w:val="right"/>
              <w:spacing w:after="0" w:line="81" w:lineRule="exact"/>
              <w:rPr>
                <w:sz w:val="20"/>
                <w:szCs w:val="20"/>
                <w:color w:val="auto"/>
              </w:rPr>
            </w:pPr>
            <w:r>
              <w:rPr>
                <w:rFonts w:ascii="Arial" w:cs="Arial" w:eastAsia="Arial" w:hAnsi="Arial"/>
                <w:sz w:val="9"/>
                <w:szCs w:val="9"/>
                <w:b w:val="1"/>
                <w:bCs w:val="1"/>
                <w:color w:val="1F2668"/>
              </w:rPr>
              <w:t>​​​</w:t>
            </w:r>
          </w:p>
        </w:tc>
        <w:tc>
          <w:tcPr>
            <w:tcW w:w="300" w:type="dxa"/>
            <w:vAlign w:val="bottom"/>
          </w:tcPr>
          <w:p>
            <w:pPr>
              <w:ind w:left="200"/>
              <w:spacing w:after="0" w:line="81" w:lineRule="exact"/>
              <w:rPr>
                <w:sz w:val="20"/>
                <w:szCs w:val="20"/>
                <w:color w:val="auto"/>
              </w:rPr>
            </w:pPr>
            <w:r>
              <w:rPr>
                <w:rFonts w:ascii="Arial" w:cs="Arial" w:eastAsia="Arial" w:hAnsi="Arial"/>
                <w:sz w:val="9"/>
                <w:szCs w:val="9"/>
                <w:b w:val="1"/>
                <w:bCs w:val="1"/>
                <w:color w:val="1F2668"/>
              </w:rPr>
              <w:t>​</w:t>
            </w:r>
          </w:p>
        </w:tc>
        <w:tc>
          <w:tcPr>
            <w:tcW w:w="460" w:type="dxa"/>
            <w:vAlign w:val="bottom"/>
          </w:tcPr>
          <w:p>
            <w:pPr>
              <w:spacing w:after="0"/>
              <w:rPr>
                <w:sz w:val="7"/>
                <w:szCs w:val="7"/>
                <w:color w:val="auto"/>
              </w:rPr>
            </w:pPr>
          </w:p>
        </w:tc>
        <w:tc>
          <w:tcPr>
            <w:tcW w:w="60" w:type="dxa"/>
            <w:vAlign w:val="bottom"/>
          </w:tcPr>
          <w:p>
            <w:pPr>
              <w:jc w:val="right"/>
              <w:spacing w:after="0" w:line="81" w:lineRule="exact"/>
              <w:rPr>
                <w:sz w:val="20"/>
                <w:szCs w:val="20"/>
                <w:color w:val="auto"/>
              </w:rPr>
            </w:pPr>
            <w:r>
              <w:rPr>
                <w:rFonts w:ascii="Arial" w:cs="Arial" w:eastAsia="Arial" w:hAnsi="Arial"/>
                <w:sz w:val="9"/>
                <w:szCs w:val="9"/>
                <w:b w:val="1"/>
                <w:bCs w:val="1"/>
                <w:color w:val="1F2668"/>
              </w:rPr>
              <w:t>​</w:t>
            </w:r>
          </w:p>
        </w:tc>
      </w:tr>
      <w:tr>
        <w:trPr>
          <w:trHeight w:val="20"/>
        </w:trPr>
        <w:tc>
          <w:tcPr>
            <w:tcW w:w="54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shd w:val="clear" w:color="auto" w:fill="4B5088"/>
          </w:tcPr>
          <w:p>
            <w:pPr>
              <w:spacing w:after="0" w:line="20" w:lineRule="exact"/>
              <w:rPr>
                <w:sz w:val="1"/>
                <w:szCs w:val="1"/>
                <w:color w:val="auto"/>
              </w:rPr>
            </w:pPr>
          </w:p>
        </w:tc>
        <w:tc>
          <w:tcPr>
            <w:tcW w:w="160" w:type="dxa"/>
            <w:vAlign w:val="bottom"/>
            <w:tcBorders>
              <w:right w:val="single" w:sz="8" w:color="4B5088"/>
            </w:tcBorders>
          </w:tcPr>
          <w:p>
            <w:pPr>
              <w:spacing w:after="0" w:line="20" w:lineRule="exact"/>
              <w:rPr>
                <w:sz w:val="1"/>
                <w:szCs w:val="1"/>
                <w:color w:val="auto"/>
              </w:rPr>
            </w:pPr>
          </w:p>
        </w:tc>
        <w:tc>
          <w:tcPr>
            <w:tcW w:w="700" w:type="dxa"/>
            <w:vAlign w:val="bottom"/>
            <w:gridSpan w:val="2"/>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shd w:val="clear" w:color="auto" w:fill="4B50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5440" w:type="dxa"/>
            <w:vAlign w:val="bottom"/>
          </w:tcPr>
          <w:p>
            <w:pPr>
              <w:spacing w:after="0"/>
              <w:rPr>
                <w:sz w:val="20"/>
                <w:szCs w:val="20"/>
                <w:color w:val="auto"/>
              </w:rPr>
            </w:pPr>
            <w:r>
              <w:rPr>
                <w:rFonts w:ascii="Arial" w:cs="Arial" w:eastAsia="Arial" w:hAnsi="Arial"/>
                <w:sz w:val="16"/>
                <w:szCs w:val="16"/>
                <w:color w:val="auto"/>
              </w:rPr>
              <w:t>BlackRock, Inc.</w:t>
            </w:r>
            <w:r>
              <w:rPr>
                <w:rFonts w:ascii="Arial" w:cs="Arial" w:eastAsia="Arial" w:hAnsi="Arial"/>
                <w:sz w:val="19"/>
                <w:szCs w:val="19"/>
                <w:color w:val="auto"/>
                <w:vertAlign w:val="superscript"/>
              </w:rPr>
              <w:t>(3)</w:t>
            </w:r>
          </w:p>
        </w:tc>
        <w:tc>
          <w:tcPr>
            <w:tcW w:w="1100" w:type="dxa"/>
            <w:vAlign w:val="bottom"/>
            <w:gridSpan w:val="4"/>
          </w:tcPr>
          <w:p>
            <w:pPr>
              <w:ind w:left="20"/>
              <w:spacing w:after="0" w:line="304"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​12,405,640</w:t>
            </w:r>
            <w:r>
              <w:rPr>
                <w:rFonts w:ascii="Arial" w:cs="Arial" w:eastAsia="Arial" w:hAnsi="Arial"/>
                <w:sz w:val="32"/>
                <w:szCs w:val="32"/>
                <w:color w:val="auto"/>
                <w:vertAlign w:val="subscript"/>
              </w:rPr>
              <w:t>​​​</w:t>
            </w:r>
          </w:p>
        </w:tc>
        <w:tc>
          <w:tcPr>
            <w:tcW w:w="1760" w:type="dxa"/>
            <w:vAlign w:val="bottom"/>
            <w:gridSpan w:val="6"/>
          </w:tcPr>
          <w:p>
            <w:pPr>
              <w:ind w:left="60"/>
              <w:spacing w:after="0" w:line="304"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 17.47%</w:t>
            </w:r>
            <w:r>
              <w:rPr>
                <w:rFonts w:ascii="Arial" w:cs="Arial" w:eastAsia="Arial" w:hAnsi="Arial"/>
                <w:sz w:val="32"/>
                <w:szCs w:val="32"/>
                <w:color w:val="auto"/>
                <w:vertAlign w:val="subscript"/>
              </w:rPr>
              <w:t>​​​​</w:t>
            </w:r>
            <w:r>
              <w:rPr>
                <w:rFonts w:ascii="Arial" w:cs="Arial" w:eastAsia="Arial" w:hAnsi="Arial"/>
                <w:sz w:val="16"/>
                <w:szCs w:val="16"/>
                <w:color w:val="auto"/>
              </w:rPr>
              <w:t>​12,405,640</w:t>
            </w:r>
            <w:r>
              <w:rPr>
                <w:rFonts w:ascii="Arial" w:cs="Arial" w:eastAsia="Arial" w:hAnsi="Arial"/>
                <w:sz w:val="32"/>
                <w:szCs w:val="32"/>
                <w:color w:val="auto"/>
                <w:vertAlign w:val="subscript"/>
              </w:rPr>
              <w:t>​​​</w:t>
            </w:r>
          </w:p>
        </w:tc>
        <w:tc>
          <w:tcPr>
            <w:tcW w:w="820" w:type="dxa"/>
            <w:vAlign w:val="bottom"/>
            <w:gridSpan w:val="3"/>
          </w:tcPr>
          <w:p>
            <w:pPr>
              <w:jc w:val="right"/>
              <w:spacing w:after="0" w:line="304"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​16.39%</w:t>
            </w:r>
            <w:r>
              <w:rPr>
                <w:rFonts w:ascii="Arial" w:cs="Arial" w:eastAsia="Arial" w:hAnsi="Arial"/>
                <w:sz w:val="32"/>
                <w:szCs w:val="32"/>
                <w:color w:val="auto"/>
                <w:vertAlign w:val="subscript"/>
              </w:rPr>
              <w:t>​</w:t>
            </w:r>
          </w:p>
        </w:tc>
      </w:tr>
      <w:tr>
        <w:trPr>
          <w:trHeight w:val="20"/>
        </w:trPr>
        <w:tc>
          <w:tcPr>
            <w:tcW w:w="54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shd w:val="clear" w:color="auto" w:fill="4B5088"/>
          </w:tcPr>
          <w:p>
            <w:pPr>
              <w:spacing w:after="0" w:line="20" w:lineRule="exact"/>
              <w:rPr>
                <w:sz w:val="1"/>
                <w:szCs w:val="1"/>
                <w:color w:val="auto"/>
              </w:rPr>
            </w:pPr>
          </w:p>
        </w:tc>
        <w:tc>
          <w:tcPr>
            <w:tcW w:w="160" w:type="dxa"/>
            <w:vAlign w:val="bottom"/>
            <w:tcBorders>
              <w:right w:val="single" w:sz="8" w:color="4B5088"/>
            </w:tcBorders>
          </w:tcPr>
          <w:p>
            <w:pPr>
              <w:spacing w:after="0" w:line="20" w:lineRule="exact"/>
              <w:rPr>
                <w:sz w:val="1"/>
                <w:szCs w:val="1"/>
                <w:color w:val="auto"/>
              </w:rPr>
            </w:pPr>
          </w:p>
        </w:tc>
        <w:tc>
          <w:tcPr>
            <w:tcW w:w="700" w:type="dxa"/>
            <w:vAlign w:val="bottom"/>
            <w:gridSpan w:val="2"/>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shd w:val="clear" w:color="auto" w:fill="4B50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5440" w:type="dxa"/>
            <w:vAlign w:val="bottom"/>
          </w:tcPr>
          <w:p>
            <w:pPr>
              <w:spacing w:after="0"/>
              <w:rPr>
                <w:sz w:val="20"/>
                <w:szCs w:val="20"/>
                <w:color w:val="auto"/>
              </w:rPr>
            </w:pPr>
            <w:r>
              <w:rPr>
                <w:rFonts w:ascii="Arial" w:cs="Arial" w:eastAsia="Arial" w:hAnsi="Arial"/>
                <w:sz w:val="16"/>
                <w:szCs w:val="16"/>
                <w:color w:val="auto"/>
              </w:rPr>
              <w:t>The Vanguard Group</w:t>
            </w:r>
            <w:r>
              <w:rPr>
                <w:rFonts w:ascii="Arial" w:cs="Arial" w:eastAsia="Arial" w:hAnsi="Arial"/>
                <w:sz w:val="19"/>
                <w:szCs w:val="19"/>
                <w:color w:val="auto"/>
                <w:vertAlign w:val="superscript"/>
              </w:rPr>
              <w:t>(4)</w:t>
            </w:r>
          </w:p>
        </w:tc>
        <w:tc>
          <w:tcPr>
            <w:tcW w:w="1100" w:type="dxa"/>
            <w:vAlign w:val="bottom"/>
            <w:gridSpan w:val="4"/>
          </w:tcPr>
          <w:p>
            <w:pPr>
              <w:ind w:left="20"/>
              <w:spacing w:after="0" w:line="304"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​10,324,945</w:t>
            </w:r>
            <w:r>
              <w:rPr>
                <w:rFonts w:ascii="Arial" w:cs="Arial" w:eastAsia="Arial" w:hAnsi="Arial"/>
                <w:sz w:val="32"/>
                <w:szCs w:val="32"/>
                <w:color w:val="auto"/>
                <w:vertAlign w:val="subscript"/>
              </w:rPr>
              <w:t>​​​</w:t>
            </w:r>
          </w:p>
        </w:tc>
        <w:tc>
          <w:tcPr>
            <w:tcW w:w="1760" w:type="dxa"/>
            <w:vAlign w:val="bottom"/>
            <w:gridSpan w:val="6"/>
          </w:tcPr>
          <w:p>
            <w:pPr>
              <w:ind w:left="60"/>
              <w:spacing w:after="0" w:line="304"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 14.54%</w:t>
            </w:r>
            <w:r>
              <w:rPr>
                <w:rFonts w:ascii="Arial" w:cs="Arial" w:eastAsia="Arial" w:hAnsi="Arial"/>
                <w:sz w:val="32"/>
                <w:szCs w:val="32"/>
                <w:color w:val="auto"/>
                <w:vertAlign w:val="subscript"/>
              </w:rPr>
              <w:t>​​​​</w:t>
            </w:r>
            <w:r>
              <w:rPr>
                <w:rFonts w:ascii="Arial" w:cs="Arial" w:eastAsia="Arial" w:hAnsi="Arial"/>
                <w:sz w:val="16"/>
                <w:szCs w:val="16"/>
                <w:color w:val="auto"/>
              </w:rPr>
              <w:t>​10,324,945</w:t>
            </w:r>
            <w:r>
              <w:rPr>
                <w:rFonts w:ascii="Arial" w:cs="Arial" w:eastAsia="Arial" w:hAnsi="Arial"/>
                <w:sz w:val="32"/>
                <w:szCs w:val="32"/>
                <w:color w:val="auto"/>
                <w:vertAlign w:val="subscript"/>
              </w:rPr>
              <w:t>​​​</w:t>
            </w:r>
          </w:p>
        </w:tc>
        <w:tc>
          <w:tcPr>
            <w:tcW w:w="820" w:type="dxa"/>
            <w:vAlign w:val="bottom"/>
            <w:gridSpan w:val="3"/>
          </w:tcPr>
          <w:p>
            <w:pPr>
              <w:jc w:val="right"/>
              <w:spacing w:after="0" w:line="304"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​13.64%</w:t>
            </w:r>
            <w:r>
              <w:rPr>
                <w:rFonts w:ascii="Arial" w:cs="Arial" w:eastAsia="Arial" w:hAnsi="Arial"/>
                <w:sz w:val="32"/>
                <w:szCs w:val="32"/>
                <w:color w:val="auto"/>
                <w:vertAlign w:val="subscript"/>
              </w:rPr>
              <w:t>​</w:t>
            </w:r>
          </w:p>
        </w:tc>
      </w:tr>
      <w:tr>
        <w:trPr>
          <w:trHeight w:val="20"/>
        </w:trPr>
        <w:tc>
          <w:tcPr>
            <w:tcW w:w="54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shd w:val="clear" w:color="auto" w:fill="4B5088"/>
          </w:tcPr>
          <w:p>
            <w:pPr>
              <w:spacing w:after="0" w:line="20" w:lineRule="exact"/>
              <w:rPr>
                <w:sz w:val="1"/>
                <w:szCs w:val="1"/>
                <w:color w:val="auto"/>
              </w:rPr>
            </w:pPr>
          </w:p>
        </w:tc>
        <w:tc>
          <w:tcPr>
            <w:tcW w:w="160" w:type="dxa"/>
            <w:vAlign w:val="bottom"/>
            <w:tcBorders>
              <w:right w:val="single" w:sz="8" w:color="4B5088"/>
            </w:tcBorders>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5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shd w:val="clear" w:color="auto" w:fill="4B50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5440" w:type="dxa"/>
            <w:vAlign w:val="bottom"/>
          </w:tcPr>
          <w:p>
            <w:pPr>
              <w:spacing w:after="0"/>
              <w:rPr>
                <w:sz w:val="20"/>
                <w:szCs w:val="20"/>
                <w:color w:val="auto"/>
              </w:rPr>
            </w:pPr>
            <w:r>
              <w:rPr>
                <w:rFonts w:ascii="Arial" w:cs="Arial" w:eastAsia="Arial" w:hAnsi="Arial"/>
                <w:sz w:val="16"/>
                <w:szCs w:val="16"/>
                <w:color w:val="auto"/>
              </w:rPr>
              <w:t>State Street Corporation</w:t>
            </w:r>
            <w:r>
              <w:rPr>
                <w:rFonts w:ascii="Arial" w:cs="Arial" w:eastAsia="Arial" w:hAnsi="Arial"/>
                <w:sz w:val="19"/>
                <w:szCs w:val="19"/>
                <w:color w:val="auto"/>
                <w:vertAlign w:val="superscript"/>
              </w:rPr>
              <w:t>(5)</w:t>
            </w:r>
          </w:p>
        </w:tc>
        <w:tc>
          <w:tcPr>
            <w:tcW w:w="1100" w:type="dxa"/>
            <w:vAlign w:val="bottom"/>
            <w:gridSpan w:val="4"/>
          </w:tcPr>
          <w:p>
            <w:pPr>
              <w:ind w:left="20"/>
              <w:spacing w:after="0" w:line="304"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 4,423,621</w:t>
            </w:r>
            <w:r>
              <w:rPr>
                <w:rFonts w:ascii="Arial" w:cs="Arial" w:eastAsia="Arial" w:hAnsi="Arial"/>
                <w:sz w:val="32"/>
                <w:szCs w:val="32"/>
                <w:color w:val="auto"/>
                <w:vertAlign w:val="subscript"/>
              </w:rPr>
              <w:t>​​​</w:t>
            </w:r>
          </w:p>
        </w:tc>
        <w:tc>
          <w:tcPr>
            <w:tcW w:w="160" w:type="dxa"/>
            <w:vAlign w:val="bottom"/>
          </w:tcPr>
          <w:p>
            <w:pPr>
              <w:ind w:left="60"/>
              <w:spacing w:after="0" w:line="304"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1600" w:type="dxa"/>
            <w:vAlign w:val="bottom"/>
            <w:gridSpan w:val="5"/>
          </w:tcPr>
          <w:p>
            <w:pPr>
              <w:jc w:val="right"/>
              <w:spacing w:after="0" w:line="304" w:lineRule="exact"/>
              <w:rPr>
                <w:sz w:val="20"/>
                <w:szCs w:val="20"/>
                <w:color w:val="auto"/>
              </w:rPr>
            </w:pPr>
            <w:r>
              <w:rPr>
                <w:rFonts w:ascii="Arial" w:cs="Arial" w:eastAsia="Arial" w:hAnsi="Arial"/>
                <w:sz w:val="16"/>
                <w:szCs w:val="16"/>
                <w:color w:val="auto"/>
              </w:rPr>
              <w:t>6.23%</w:t>
            </w:r>
            <w:r>
              <w:rPr>
                <w:rFonts w:ascii="Arial" w:cs="Arial" w:eastAsia="Arial" w:hAnsi="Arial"/>
                <w:sz w:val="32"/>
                <w:szCs w:val="32"/>
                <w:color w:val="auto"/>
                <w:vertAlign w:val="subscript"/>
              </w:rPr>
              <w:t>​​​​</w:t>
            </w:r>
            <w:r>
              <w:rPr>
                <w:rFonts w:ascii="Arial" w:cs="Arial" w:eastAsia="Arial" w:hAnsi="Arial"/>
                <w:sz w:val="16"/>
                <w:szCs w:val="16"/>
                <w:color w:val="auto"/>
              </w:rPr>
              <w:t>​ 4,423,621</w:t>
            </w:r>
            <w:r>
              <w:rPr>
                <w:rFonts w:ascii="Arial" w:cs="Arial" w:eastAsia="Arial" w:hAnsi="Arial"/>
                <w:sz w:val="32"/>
                <w:szCs w:val="32"/>
                <w:color w:val="auto"/>
                <w:vertAlign w:val="subscript"/>
              </w:rPr>
              <w:t>​​​</w:t>
            </w:r>
          </w:p>
        </w:tc>
        <w:tc>
          <w:tcPr>
            <w:tcW w:w="820" w:type="dxa"/>
            <w:vAlign w:val="bottom"/>
            <w:gridSpan w:val="3"/>
          </w:tcPr>
          <w:p>
            <w:pPr>
              <w:jc w:val="right"/>
              <w:spacing w:after="0" w:line="304"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 5.85%</w:t>
            </w:r>
            <w:r>
              <w:rPr>
                <w:rFonts w:ascii="Arial" w:cs="Arial" w:eastAsia="Arial" w:hAnsi="Arial"/>
                <w:sz w:val="32"/>
                <w:szCs w:val="32"/>
                <w:color w:val="auto"/>
                <w:vertAlign w:val="subscript"/>
              </w:rPr>
              <w:t>​</w:t>
            </w:r>
          </w:p>
        </w:tc>
      </w:tr>
      <w:tr>
        <w:trPr>
          <w:trHeight w:val="20"/>
        </w:trPr>
        <w:tc>
          <w:tcPr>
            <w:tcW w:w="54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740" w:type="dxa"/>
            <w:vAlign w:val="bottom"/>
            <w:shd w:val="clear" w:color="auto" w:fill="4B5088"/>
          </w:tcPr>
          <w:p>
            <w:pPr>
              <w:spacing w:after="0" w:line="20" w:lineRule="exact"/>
              <w:rPr>
                <w:sz w:val="1"/>
                <w:szCs w:val="1"/>
                <w:color w:val="auto"/>
              </w:rPr>
            </w:pPr>
          </w:p>
        </w:tc>
        <w:tc>
          <w:tcPr>
            <w:tcW w:w="160" w:type="dxa"/>
            <w:vAlign w:val="bottom"/>
            <w:tcBorders>
              <w:right w:val="single" w:sz="8" w:color="4B5088"/>
            </w:tcBorders>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5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760" w:type="dxa"/>
            <w:vAlign w:val="bottom"/>
            <w:shd w:val="clear" w:color="auto" w:fill="4B5088"/>
          </w:tcPr>
          <w:p>
            <w:pPr>
              <w:spacing w:after="0" w:line="20" w:lineRule="exact"/>
              <w:rPr>
                <w:sz w:val="1"/>
                <w:szCs w:val="1"/>
                <w:color w:val="auto"/>
              </w:rPr>
            </w:pPr>
          </w:p>
        </w:tc>
        <w:tc>
          <w:tcPr>
            <w:tcW w:w="120" w:type="dxa"/>
            <w:vAlign w:val="bottom"/>
            <w:tcBorders>
              <w:right w:val="single" w:sz="8" w:color="4B5088"/>
            </w:tcBorders>
          </w:tcPr>
          <w:p>
            <w:pPr>
              <w:spacing w:after="0" w:line="20" w:lineRule="exact"/>
              <w:rPr>
                <w:sz w:val="1"/>
                <w:szCs w:val="1"/>
                <w:color w:val="auto"/>
              </w:rPr>
            </w:pPr>
          </w:p>
        </w:tc>
        <w:tc>
          <w:tcPr>
            <w:tcW w:w="300" w:type="dxa"/>
            <w:vAlign w:val="bottom"/>
            <w:shd w:val="clear" w:color="auto" w:fill="4B5088"/>
          </w:tcPr>
          <w:p>
            <w:pPr>
              <w:spacing w:after="0" w:line="20" w:lineRule="exact"/>
              <w:rPr>
                <w:sz w:val="1"/>
                <w:szCs w:val="1"/>
                <w:color w:val="auto"/>
              </w:rPr>
            </w:pPr>
          </w:p>
        </w:tc>
        <w:tc>
          <w:tcPr>
            <w:tcW w:w="460" w:type="dxa"/>
            <w:vAlign w:val="bottom"/>
            <w:shd w:val="clear" w:color="auto" w:fill="4B50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440" w:type="dxa"/>
            <w:vAlign w:val="bottom"/>
          </w:tcPr>
          <w:p>
            <w:pPr>
              <w:spacing w:after="0"/>
              <w:rPr>
                <w:sz w:val="20"/>
                <w:szCs w:val="20"/>
                <w:color w:val="auto"/>
              </w:rPr>
            </w:pPr>
            <w:r>
              <w:rPr>
                <w:rFonts w:ascii="Arial" w:cs="Arial" w:eastAsia="Arial" w:hAnsi="Arial"/>
                <w:sz w:val="16"/>
                <w:szCs w:val="16"/>
                <w:b w:val="1"/>
                <w:bCs w:val="1"/>
                <w:color w:val="auto"/>
              </w:rPr>
              <w:t>Directors, Nominees for Director and Named Executive Officers</w:t>
            </w:r>
          </w:p>
        </w:tc>
        <w:tc>
          <w:tcPr>
            <w:tcW w:w="10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spacing w:after="0"/>
              <w:rPr>
                <w:sz w:val="17"/>
                <w:szCs w:val="17"/>
                <w:color w:val="auto"/>
              </w:rPr>
            </w:pPr>
          </w:p>
        </w:tc>
        <w:tc>
          <w:tcPr>
            <w:tcW w:w="160" w:type="dxa"/>
            <w:vAlign w:val="bottom"/>
          </w:tcPr>
          <w:p>
            <w:pPr>
              <w:jc w:val="right"/>
              <w:ind w:right="55"/>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ind w:left="80"/>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b w:val="1"/>
                <w:bCs w:val="1"/>
                <w:color w:val="auto"/>
              </w:rPr>
              <w:t>​ ​</w:t>
            </w:r>
          </w:p>
        </w:tc>
        <w:tc>
          <w:tcPr>
            <w:tcW w:w="760" w:type="dxa"/>
            <w:vAlign w:val="bottom"/>
          </w:tcPr>
          <w:p>
            <w:pPr>
              <w:spacing w:after="0"/>
              <w:rPr>
                <w:sz w:val="17"/>
                <w:szCs w:val="17"/>
                <w:color w:val="auto"/>
              </w:rPr>
            </w:pPr>
          </w:p>
        </w:tc>
        <w:tc>
          <w:tcPr>
            <w:tcW w:w="120" w:type="dxa"/>
            <w:vAlign w:val="bottom"/>
          </w:tcPr>
          <w:p>
            <w:pPr>
              <w:jc w:val="right"/>
              <w:ind w:right="17"/>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ind w:left="200"/>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81"/>
        </w:trPr>
        <w:tc>
          <w:tcPr>
            <w:tcW w:w="5440" w:type="dxa"/>
            <w:vAlign w:val="bottom"/>
          </w:tcPr>
          <w:p>
            <w:pPr>
              <w:spacing w:after="0"/>
              <w:rPr>
                <w:sz w:val="7"/>
                <w:szCs w:val="7"/>
                <w:color w:val="auto"/>
              </w:rPr>
            </w:pPr>
          </w:p>
        </w:tc>
        <w:tc>
          <w:tcPr>
            <w:tcW w:w="200" w:type="dxa"/>
            <w:vAlign w:val="bottom"/>
            <w:gridSpan w:val="2"/>
          </w:tcPr>
          <w:p>
            <w:pPr>
              <w:ind w:left="20"/>
              <w:spacing w:after="0" w:line="81" w:lineRule="exact"/>
              <w:rPr>
                <w:sz w:val="20"/>
                <w:szCs w:val="20"/>
                <w:color w:val="auto"/>
              </w:rPr>
            </w:pPr>
            <w:r>
              <w:rPr>
                <w:rFonts w:ascii="Arial" w:cs="Arial" w:eastAsia="Arial" w:hAnsi="Arial"/>
                <w:sz w:val="9"/>
                <w:szCs w:val="9"/>
                <w:b w:val="1"/>
                <w:bCs w:val="1"/>
                <w:color w:val="auto"/>
              </w:rPr>
              <w:t>​​​</w:t>
            </w:r>
          </w:p>
        </w:tc>
        <w:tc>
          <w:tcPr>
            <w:tcW w:w="740" w:type="dxa"/>
            <w:vAlign w:val="bottom"/>
          </w:tcPr>
          <w:p>
            <w:pPr>
              <w:spacing w:after="0"/>
              <w:rPr>
                <w:sz w:val="7"/>
                <w:szCs w:val="7"/>
                <w:color w:val="auto"/>
              </w:rPr>
            </w:pPr>
          </w:p>
        </w:tc>
        <w:tc>
          <w:tcPr>
            <w:tcW w:w="160" w:type="dxa"/>
            <w:vAlign w:val="bottom"/>
          </w:tcPr>
          <w:p>
            <w:pPr>
              <w:jc w:val="right"/>
              <w:spacing w:after="0" w:line="81" w:lineRule="exact"/>
              <w:rPr>
                <w:sz w:val="20"/>
                <w:szCs w:val="20"/>
                <w:color w:val="auto"/>
              </w:rPr>
            </w:pPr>
            <w:r>
              <w:rPr>
                <w:rFonts w:ascii="Arial" w:cs="Arial" w:eastAsia="Arial" w:hAnsi="Arial"/>
                <w:sz w:val="9"/>
                <w:szCs w:val="9"/>
                <w:b w:val="1"/>
                <w:bCs w:val="1"/>
                <w:color w:val="auto"/>
              </w:rPr>
              <w:t>​​​</w:t>
            </w:r>
          </w:p>
        </w:tc>
        <w:tc>
          <w:tcPr>
            <w:tcW w:w="160" w:type="dxa"/>
            <w:vAlign w:val="bottom"/>
          </w:tcPr>
          <w:p>
            <w:pPr>
              <w:ind w:left="60"/>
              <w:spacing w:after="0" w:line="81" w:lineRule="exact"/>
              <w:rPr>
                <w:sz w:val="20"/>
                <w:szCs w:val="20"/>
                <w:color w:val="auto"/>
              </w:rPr>
            </w:pPr>
            <w:r>
              <w:rPr>
                <w:rFonts w:ascii="Arial" w:cs="Arial" w:eastAsia="Arial" w:hAnsi="Arial"/>
                <w:sz w:val="9"/>
                <w:szCs w:val="9"/>
                <w:b w:val="1"/>
                <w:bCs w:val="1"/>
                <w:color w:val="auto"/>
              </w:rPr>
              <w:t>​</w:t>
            </w:r>
          </w:p>
        </w:tc>
        <w:tc>
          <w:tcPr>
            <w:tcW w:w="540" w:type="dxa"/>
            <w:vAlign w:val="bottom"/>
          </w:tcPr>
          <w:p>
            <w:pPr>
              <w:spacing w:after="0"/>
              <w:rPr>
                <w:sz w:val="7"/>
                <w:szCs w:val="7"/>
                <w:color w:val="auto"/>
              </w:rPr>
            </w:pPr>
          </w:p>
        </w:tc>
        <w:tc>
          <w:tcPr>
            <w:tcW w:w="180" w:type="dxa"/>
            <w:vAlign w:val="bottom"/>
            <w:gridSpan w:val="2"/>
          </w:tcPr>
          <w:p>
            <w:pPr>
              <w:jc w:val="right"/>
              <w:spacing w:after="0" w:line="81" w:lineRule="exact"/>
              <w:rPr>
                <w:sz w:val="20"/>
                <w:szCs w:val="20"/>
                <w:color w:val="auto"/>
              </w:rPr>
            </w:pPr>
            <w:r>
              <w:rPr>
                <w:rFonts w:ascii="Arial" w:cs="Arial" w:eastAsia="Arial" w:hAnsi="Arial"/>
                <w:sz w:val="9"/>
                <w:szCs w:val="9"/>
                <w:b w:val="1"/>
                <w:bCs w:val="1"/>
                <w:color w:val="auto"/>
              </w:rPr>
              <w:t>​​​​</w:t>
            </w:r>
          </w:p>
        </w:tc>
        <w:tc>
          <w:tcPr>
            <w:tcW w:w="760" w:type="dxa"/>
            <w:vAlign w:val="bottom"/>
          </w:tcPr>
          <w:p>
            <w:pPr>
              <w:spacing w:after="0"/>
              <w:rPr>
                <w:sz w:val="7"/>
                <w:szCs w:val="7"/>
                <w:color w:val="auto"/>
              </w:rPr>
            </w:pPr>
          </w:p>
        </w:tc>
        <w:tc>
          <w:tcPr>
            <w:tcW w:w="120" w:type="dxa"/>
            <w:vAlign w:val="bottom"/>
          </w:tcPr>
          <w:p>
            <w:pPr>
              <w:jc w:val="right"/>
              <w:spacing w:after="0" w:line="81" w:lineRule="exact"/>
              <w:rPr>
                <w:sz w:val="20"/>
                <w:szCs w:val="20"/>
                <w:color w:val="auto"/>
              </w:rPr>
            </w:pPr>
            <w:r>
              <w:rPr>
                <w:rFonts w:ascii="Arial" w:cs="Arial" w:eastAsia="Arial" w:hAnsi="Arial"/>
                <w:sz w:val="9"/>
                <w:szCs w:val="9"/>
                <w:b w:val="1"/>
                <w:bCs w:val="1"/>
                <w:color w:val="auto"/>
              </w:rPr>
              <w:t>​​​</w:t>
            </w:r>
          </w:p>
        </w:tc>
        <w:tc>
          <w:tcPr>
            <w:tcW w:w="300" w:type="dxa"/>
            <w:vAlign w:val="bottom"/>
          </w:tcPr>
          <w:p>
            <w:pPr>
              <w:ind w:left="200"/>
              <w:spacing w:after="0" w:line="81" w:lineRule="exact"/>
              <w:rPr>
                <w:sz w:val="20"/>
                <w:szCs w:val="20"/>
                <w:color w:val="auto"/>
              </w:rPr>
            </w:pPr>
            <w:r>
              <w:rPr>
                <w:rFonts w:ascii="Arial" w:cs="Arial" w:eastAsia="Arial" w:hAnsi="Arial"/>
                <w:sz w:val="9"/>
                <w:szCs w:val="9"/>
                <w:b w:val="1"/>
                <w:bCs w:val="1"/>
                <w:color w:val="auto"/>
              </w:rPr>
              <w:t>​</w:t>
            </w:r>
          </w:p>
        </w:tc>
        <w:tc>
          <w:tcPr>
            <w:tcW w:w="460" w:type="dxa"/>
            <w:vAlign w:val="bottom"/>
          </w:tcPr>
          <w:p>
            <w:pPr>
              <w:spacing w:after="0"/>
              <w:rPr>
                <w:sz w:val="7"/>
                <w:szCs w:val="7"/>
                <w:color w:val="auto"/>
              </w:rPr>
            </w:pPr>
          </w:p>
        </w:tc>
        <w:tc>
          <w:tcPr>
            <w:tcW w:w="60" w:type="dxa"/>
            <w:vAlign w:val="bottom"/>
          </w:tcPr>
          <w:p>
            <w:pPr>
              <w:jc w:val="right"/>
              <w:spacing w:after="0" w:line="81" w:lineRule="exact"/>
              <w:rPr>
                <w:sz w:val="20"/>
                <w:szCs w:val="20"/>
                <w:color w:val="auto"/>
              </w:rPr>
            </w:pPr>
            <w:r>
              <w:rPr>
                <w:rFonts w:ascii="Arial" w:cs="Arial" w:eastAsia="Arial" w:hAnsi="Arial"/>
                <w:sz w:val="9"/>
                <w:szCs w:val="9"/>
                <w:b w:val="1"/>
                <w:bCs w:val="1"/>
                <w:color w:val="auto"/>
              </w:rPr>
              <w:t>​</w:t>
            </w:r>
          </w:p>
        </w:tc>
      </w:tr>
      <w:tr>
        <w:trPr>
          <w:trHeight w:val="20"/>
        </w:trPr>
        <w:tc>
          <w:tcPr>
            <w:tcW w:w="54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740" w:type="dxa"/>
            <w:vAlign w:val="bottom"/>
            <w:shd w:val="clear" w:color="auto" w:fill="4B5088"/>
          </w:tcPr>
          <w:p>
            <w:pPr>
              <w:spacing w:after="0" w:line="20" w:lineRule="exact"/>
              <w:rPr>
                <w:sz w:val="1"/>
                <w:szCs w:val="1"/>
                <w:color w:val="auto"/>
              </w:rPr>
            </w:pPr>
          </w:p>
        </w:tc>
        <w:tc>
          <w:tcPr>
            <w:tcW w:w="160" w:type="dxa"/>
            <w:vAlign w:val="bottom"/>
            <w:tcBorders>
              <w:right w:val="single" w:sz="8" w:color="4B5088"/>
            </w:tcBorders>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5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76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4B5088"/>
          </w:tcPr>
          <w:p>
            <w:pPr>
              <w:spacing w:after="0" w:line="20" w:lineRule="exact"/>
              <w:rPr>
                <w:sz w:val="1"/>
                <w:szCs w:val="1"/>
                <w:color w:val="auto"/>
              </w:rPr>
            </w:pPr>
          </w:p>
        </w:tc>
        <w:tc>
          <w:tcPr>
            <w:tcW w:w="460" w:type="dxa"/>
            <w:vAlign w:val="bottom"/>
            <w:shd w:val="clear" w:color="auto" w:fill="4B50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5440" w:type="dxa"/>
            <w:vAlign w:val="bottom"/>
          </w:tcPr>
          <w:p>
            <w:pPr>
              <w:spacing w:after="0"/>
              <w:rPr>
                <w:sz w:val="20"/>
                <w:szCs w:val="20"/>
                <w:color w:val="auto"/>
              </w:rPr>
            </w:pPr>
            <w:r>
              <w:rPr>
                <w:rFonts w:ascii="Arial" w:cs="Arial" w:eastAsia="Arial" w:hAnsi="Arial"/>
                <w:sz w:val="16"/>
                <w:szCs w:val="16"/>
                <w:color w:val="auto"/>
              </w:rPr>
              <w:t>John H. Alschuler</w:t>
            </w:r>
            <w:r>
              <w:rPr>
                <w:rFonts w:ascii="Arial" w:cs="Arial" w:eastAsia="Arial" w:hAnsi="Arial"/>
                <w:sz w:val="19"/>
                <w:szCs w:val="19"/>
                <w:color w:val="auto"/>
                <w:vertAlign w:val="superscript"/>
              </w:rPr>
              <w:t>(6)</w:t>
            </w:r>
          </w:p>
        </w:tc>
        <w:tc>
          <w:tcPr>
            <w:tcW w:w="200" w:type="dxa"/>
            <w:vAlign w:val="bottom"/>
            <w:gridSpan w:val="2"/>
          </w:tcPr>
          <w:p>
            <w:pPr>
              <w:ind w:left="20"/>
              <w:spacing w:after="0" w:line="304"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900" w:type="dxa"/>
            <w:vAlign w:val="bottom"/>
            <w:gridSpan w:val="2"/>
          </w:tcPr>
          <w:p>
            <w:pPr>
              <w:jc w:val="right"/>
              <w:spacing w:after="0" w:line="304" w:lineRule="exact"/>
              <w:rPr>
                <w:sz w:val="20"/>
                <w:szCs w:val="20"/>
                <w:color w:val="auto"/>
              </w:rPr>
            </w:pPr>
            <w:r>
              <w:rPr>
                <w:rFonts w:ascii="Arial" w:cs="Arial" w:eastAsia="Arial" w:hAnsi="Arial"/>
                <w:sz w:val="16"/>
                <w:szCs w:val="16"/>
                <w:color w:val="auto"/>
              </w:rPr>
              <w:t>585</w:t>
            </w:r>
            <w:r>
              <w:rPr>
                <w:rFonts w:ascii="Arial" w:cs="Arial" w:eastAsia="Arial" w:hAnsi="Arial"/>
                <w:sz w:val="32"/>
                <w:szCs w:val="32"/>
                <w:color w:val="auto"/>
                <w:vertAlign w:val="subscript"/>
              </w:rPr>
              <w:t>​​​</w:t>
            </w:r>
          </w:p>
        </w:tc>
        <w:tc>
          <w:tcPr>
            <w:tcW w:w="160" w:type="dxa"/>
            <w:vAlign w:val="bottom"/>
          </w:tcPr>
          <w:p>
            <w:pPr>
              <w:ind w:left="60"/>
              <w:spacing w:after="0" w:line="304"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720" w:type="dxa"/>
            <w:vAlign w:val="bottom"/>
            <w:gridSpan w:val="3"/>
          </w:tcPr>
          <w:p>
            <w:pPr>
              <w:jc w:val="right"/>
              <w:spacing w:after="0" w:line="304"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880" w:type="dxa"/>
            <w:vAlign w:val="bottom"/>
            <w:gridSpan w:val="2"/>
          </w:tcPr>
          <w:p>
            <w:pPr>
              <w:jc w:val="right"/>
              <w:spacing w:after="0" w:line="304" w:lineRule="exact"/>
              <w:rPr>
                <w:sz w:val="20"/>
                <w:szCs w:val="20"/>
                <w:color w:val="auto"/>
              </w:rPr>
            </w:pPr>
            <w:r>
              <w:rPr>
                <w:rFonts w:ascii="Arial" w:cs="Arial" w:eastAsia="Arial" w:hAnsi="Arial"/>
                <w:sz w:val="16"/>
                <w:szCs w:val="16"/>
                <w:color w:val="auto"/>
              </w:rPr>
              <w:t>17,081</w:t>
            </w:r>
            <w:r>
              <w:rPr>
                <w:rFonts w:ascii="Arial" w:cs="Arial" w:eastAsia="Arial" w:hAnsi="Arial"/>
                <w:sz w:val="32"/>
                <w:szCs w:val="32"/>
                <w:color w:val="auto"/>
                <w:vertAlign w:val="subscript"/>
              </w:rPr>
              <w:t>​​​</w:t>
            </w:r>
          </w:p>
        </w:tc>
        <w:tc>
          <w:tcPr>
            <w:tcW w:w="300" w:type="dxa"/>
            <w:vAlign w:val="bottom"/>
          </w:tcPr>
          <w:p>
            <w:pPr>
              <w:ind w:left="200"/>
              <w:spacing w:after="0" w:line="304"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520" w:type="dxa"/>
            <w:vAlign w:val="bottom"/>
            <w:gridSpan w:val="2"/>
          </w:tcPr>
          <w:p>
            <w:pPr>
              <w:jc w:val="right"/>
              <w:spacing w:after="0" w:line="304"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w:t>
            </w:r>
          </w:p>
        </w:tc>
      </w:tr>
      <w:tr>
        <w:trPr>
          <w:trHeight w:val="20"/>
        </w:trPr>
        <w:tc>
          <w:tcPr>
            <w:tcW w:w="54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740" w:type="dxa"/>
            <w:vAlign w:val="bottom"/>
            <w:shd w:val="clear" w:color="auto" w:fill="4B5088"/>
          </w:tcPr>
          <w:p>
            <w:pPr>
              <w:spacing w:after="0" w:line="20" w:lineRule="exact"/>
              <w:rPr>
                <w:sz w:val="1"/>
                <w:szCs w:val="1"/>
                <w:color w:val="auto"/>
              </w:rPr>
            </w:pPr>
          </w:p>
        </w:tc>
        <w:tc>
          <w:tcPr>
            <w:tcW w:w="160" w:type="dxa"/>
            <w:vAlign w:val="bottom"/>
            <w:tcBorders>
              <w:right w:val="single" w:sz="8" w:color="4B5088"/>
            </w:tcBorders>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5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76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4B5088"/>
          </w:tcPr>
          <w:p>
            <w:pPr>
              <w:spacing w:after="0" w:line="20" w:lineRule="exact"/>
              <w:rPr>
                <w:sz w:val="1"/>
                <w:szCs w:val="1"/>
                <w:color w:val="auto"/>
              </w:rPr>
            </w:pPr>
          </w:p>
        </w:tc>
        <w:tc>
          <w:tcPr>
            <w:tcW w:w="460" w:type="dxa"/>
            <w:vAlign w:val="bottom"/>
            <w:shd w:val="clear" w:color="auto" w:fill="4B5088"/>
          </w:tcPr>
          <w:p>
            <w:pPr>
              <w:spacing w:after="0" w:line="20" w:lineRule="exact"/>
              <w:rPr>
                <w:sz w:val="1"/>
                <w:szCs w:val="1"/>
                <w:color w:val="auto"/>
              </w:rPr>
            </w:pPr>
          </w:p>
        </w:tc>
        <w:tc>
          <w:tcPr>
            <w:tcW w:w="60" w:type="dxa"/>
            <w:vAlign w:val="bottom"/>
            <w:tcBorders>
              <w:left w:val="single" w:sz="8" w:color="4B5088"/>
            </w:tcBorders>
          </w:tcPr>
          <w:p>
            <w:pPr>
              <w:spacing w:after="0" w:line="20" w:lineRule="exact"/>
              <w:rPr>
                <w:sz w:val="1"/>
                <w:szCs w:val="1"/>
                <w:color w:val="auto"/>
              </w:rPr>
            </w:pPr>
          </w:p>
        </w:tc>
      </w:tr>
      <w:tr>
        <w:trPr>
          <w:trHeight w:val="304"/>
        </w:trPr>
        <w:tc>
          <w:tcPr>
            <w:tcW w:w="5440" w:type="dxa"/>
            <w:vAlign w:val="bottom"/>
          </w:tcPr>
          <w:p>
            <w:pPr>
              <w:spacing w:after="0"/>
              <w:rPr>
                <w:sz w:val="20"/>
                <w:szCs w:val="20"/>
                <w:color w:val="auto"/>
              </w:rPr>
            </w:pPr>
            <w:r>
              <w:rPr>
                <w:rFonts w:ascii="Arial" w:cs="Arial" w:eastAsia="Arial" w:hAnsi="Arial"/>
                <w:sz w:val="16"/>
                <w:szCs w:val="16"/>
                <w:color w:val="auto"/>
              </w:rPr>
              <w:t>Carol N. Brown</w:t>
            </w:r>
            <w:r>
              <w:rPr>
                <w:rFonts w:ascii="Arial" w:cs="Arial" w:eastAsia="Arial" w:hAnsi="Arial"/>
                <w:sz w:val="19"/>
                <w:szCs w:val="19"/>
                <w:color w:val="auto"/>
                <w:vertAlign w:val="superscript"/>
              </w:rPr>
              <w:t>(7)</w:t>
            </w:r>
          </w:p>
        </w:tc>
        <w:tc>
          <w:tcPr>
            <w:tcW w:w="200" w:type="dxa"/>
            <w:vAlign w:val="bottom"/>
            <w:gridSpan w:val="2"/>
          </w:tcPr>
          <w:p>
            <w:pPr>
              <w:ind w:left="20"/>
              <w:spacing w:after="0" w:line="304"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900" w:type="dxa"/>
            <w:vAlign w:val="bottom"/>
            <w:gridSpan w:val="2"/>
          </w:tcPr>
          <w:p>
            <w:pPr>
              <w:jc w:val="right"/>
              <w:spacing w:after="0" w:line="304" w:lineRule="exact"/>
              <w:rPr>
                <w:sz w:val="20"/>
                <w:szCs w:val="20"/>
                <w:color w:val="auto"/>
              </w:rPr>
            </w:pPr>
            <w:r>
              <w:rPr>
                <w:rFonts w:ascii="Arial" w:cs="Arial" w:eastAsia="Arial" w:hAnsi="Arial"/>
                <w:sz w:val="16"/>
                <w:szCs w:val="16"/>
                <w:color w:val="auto"/>
              </w:rPr>
              <w:t>3,437</w:t>
            </w:r>
            <w:r>
              <w:rPr>
                <w:rFonts w:ascii="Arial" w:cs="Arial" w:eastAsia="Arial" w:hAnsi="Arial"/>
                <w:sz w:val="32"/>
                <w:szCs w:val="32"/>
                <w:color w:val="auto"/>
                <w:vertAlign w:val="subscript"/>
              </w:rPr>
              <w:t>​​​</w:t>
            </w:r>
          </w:p>
        </w:tc>
        <w:tc>
          <w:tcPr>
            <w:tcW w:w="160" w:type="dxa"/>
            <w:vAlign w:val="bottom"/>
          </w:tcPr>
          <w:p>
            <w:pPr>
              <w:ind w:left="60"/>
              <w:spacing w:after="0" w:line="304"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720" w:type="dxa"/>
            <w:vAlign w:val="bottom"/>
            <w:gridSpan w:val="3"/>
          </w:tcPr>
          <w:p>
            <w:pPr>
              <w:jc w:val="right"/>
              <w:spacing w:after="0" w:line="304"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880" w:type="dxa"/>
            <w:vAlign w:val="bottom"/>
            <w:gridSpan w:val="2"/>
          </w:tcPr>
          <w:p>
            <w:pPr>
              <w:jc w:val="right"/>
              <w:spacing w:after="0" w:line="304" w:lineRule="exact"/>
              <w:rPr>
                <w:sz w:val="20"/>
                <w:szCs w:val="20"/>
                <w:color w:val="auto"/>
              </w:rPr>
            </w:pPr>
            <w:r>
              <w:rPr>
                <w:rFonts w:ascii="Arial" w:cs="Arial" w:eastAsia="Arial" w:hAnsi="Arial"/>
                <w:sz w:val="16"/>
                <w:szCs w:val="16"/>
                <w:color w:val="auto"/>
              </w:rPr>
              <w:t>13,221</w:t>
            </w:r>
            <w:r>
              <w:rPr>
                <w:rFonts w:ascii="Arial" w:cs="Arial" w:eastAsia="Arial" w:hAnsi="Arial"/>
                <w:sz w:val="32"/>
                <w:szCs w:val="32"/>
                <w:color w:val="auto"/>
                <w:vertAlign w:val="subscript"/>
              </w:rPr>
              <w:t>​​​</w:t>
            </w:r>
          </w:p>
        </w:tc>
        <w:tc>
          <w:tcPr>
            <w:tcW w:w="300" w:type="dxa"/>
            <w:vAlign w:val="bottom"/>
          </w:tcPr>
          <w:p>
            <w:pPr>
              <w:ind w:left="200"/>
              <w:spacing w:after="0" w:line="304"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520" w:type="dxa"/>
            <w:vAlign w:val="bottom"/>
            <w:gridSpan w:val="2"/>
          </w:tcPr>
          <w:p>
            <w:pPr>
              <w:jc w:val="right"/>
              <w:spacing w:after="0" w:line="304"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w:t>
            </w:r>
          </w:p>
        </w:tc>
      </w:tr>
      <w:tr>
        <w:trPr>
          <w:trHeight w:val="20"/>
        </w:trPr>
        <w:tc>
          <w:tcPr>
            <w:tcW w:w="54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740" w:type="dxa"/>
            <w:vAlign w:val="bottom"/>
            <w:shd w:val="clear" w:color="auto" w:fill="4B5088"/>
          </w:tcPr>
          <w:p>
            <w:pPr>
              <w:spacing w:after="0" w:line="20" w:lineRule="exact"/>
              <w:rPr>
                <w:sz w:val="1"/>
                <w:szCs w:val="1"/>
                <w:color w:val="auto"/>
              </w:rPr>
            </w:pPr>
          </w:p>
        </w:tc>
        <w:tc>
          <w:tcPr>
            <w:tcW w:w="160" w:type="dxa"/>
            <w:vAlign w:val="bottom"/>
            <w:tcBorders>
              <w:right w:val="single" w:sz="8" w:color="4B5088"/>
            </w:tcBorders>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5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76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4B5088"/>
          </w:tcPr>
          <w:p>
            <w:pPr>
              <w:spacing w:after="0" w:line="20" w:lineRule="exact"/>
              <w:rPr>
                <w:sz w:val="1"/>
                <w:szCs w:val="1"/>
                <w:color w:val="auto"/>
              </w:rPr>
            </w:pPr>
          </w:p>
        </w:tc>
        <w:tc>
          <w:tcPr>
            <w:tcW w:w="460" w:type="dxa"/>
            <w:vAlign w:val="bottom"/>
            <w:shd w:val="clear" w:color="auto" w:fill="4B5088"/>
          </w:tcPr>
          <w:p>
            <w:pPr>
              <w:spacing w:after="0" w:line="20" w:lineRule="exact"/>
              <w:rPr>
                <w:sz w:val="1"/>
                <w:szCs w:val="1"/>
                <w:color w:val="auto"/>
              </w:rPr>
            </w:pPr>
          </w:p>
        </w:tc>
        <w:tc>
          <w:tcPr>
            <w:tcW w:w="60" w:type="dxa"/>
            <w:vAlign w:val="bottom"/>
            <w:tcBorders>
              <w:left w:val="single" w:sz="8" w:color="4B5088"/>
            </w:tcBorders>
          </w:tcPr>
          <w:p>
            <w:pPr>
              <w:spacing w:after="0" w:line="20" w:lineRule="exact"/>
              <w:rPr>
                <w:sz w:val="1"/>
                <w:szCs w:val="1"/>
                <w:color w:val="auto"/>
              </w:rPr>
            </w:pPr>
          </w:p>
        </w:tc>
      </w:tr>
      <w:tr>
        <w:trPr>
          <w:trHeight w:val="304"/>
        </w:trPr>
        <w:tc>
          <w:tcPr>
            <w:tcW w:w="5440" w:type="dxa"/>
            <w:vAlign w:val="bottom"/>
          </w:tcPr>
          <w:p>
            <w:pPr>
              <w:spacing w:after="0"/>
              <w:rPr>
                <w:sz w:val="20"/>
                <w:szCs w:val="20"/>
                <w:color w:val="auto"/>
              </w:rPr>
            </w:pPr>
            <w:r>
              <w:rPr>
                <w:rFonts w:ascii="Arial" w:cs="Arial" w:eastAsia="Arial" w:hAnsi="Arial"/>
                <w:sz w:val="16"/>
                <w:szCs w:val="16"/>
                <w:color w:val="auto"/>
              </w:rPr>
              <w:t>Matthew J. DiLiberto</w:t>
            </w:r>
            <w:r>
              <w:rPr>
                <w:rFonts w:ascii="Arial" w:cs="Arial" w:eastAsia="Arial" w:hAnsi="Arial"/>
                <w:sz w:val="19"/>
                <w:szCs w:val="19"/>
                <w:color w:val="auto"/>
                <w:vertAlign w:val="superscript"/>
              </w:rPr>
              <w:t>(8)</w:t>
            </w:r>
          </w:p>
        </w:tc>
        <w:tc>
          <w:tcPr>
            <w:tcW w:w="200" w:type="dxa"/>
            <w:vAlign w:val="bottom"/>
            <w:gridSpan w:val="2"/>
          </w:tcPr>
          <w:p>
            <w:pPr>
              <w:ind w:left="20"/>
              <w:spacing w:after="0" w:line="304"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900" w:type="dxa"/>
            <w:vAlign w:val="bottom"/>
            <w:gridSpan w:val="2"/>
          </w:tcPr>
          <w:p>
            <w:pPr>
              <w:jc w:val="right"/>
              <w:spacing w:after="0" w:line="304" w:lineRule="exact"/>
              <w:rPr>
                <w:sz w:val="20"/>
                <w:szCs w:val="20"/>
                <w:color w:val="auto"/>
              </w:rPr>
            </w:pPr>
            <w:r>
              <w:rPr>
                <w:rFonts w:ascii="Arial" w:cs="Arial" w:eastAsia="Arial" w:hAnsi="Arial"/>
                <w:sz w:val="16"/>
                <w:szCs w:val="16"/>
                <w:color w:val="auto"/>
              </w:rPr>
              <w:t>4,329</w:t>
            </w:r>
            <w:r>
              <w:rPr>
                <w:rFonts w:ascii="Arial" w:cs="Arial" w:eastAsia="Arial" w:hAnsi="Arial"/>
                <w:sz w:val="32"/>
                <w:szCs w:val="32"/>
                <w:color w:val="auto"/>
                <w:vertAlign w:val="subscript"/>
              </w:rPr>
              <w:t>​​​</w:t>
            </w:r>
          </w:p>
        </w:tc>
        <w:tc>
          <w:tcPr>
            <w:tcW w:w="160" w:type="dxa"/>
            <w:vAlign w:val="bottom"/>
          </w:tcPr>
          <w:p>
            <w:pPr>
              <w:ind w:left="60"/>
              <w:spacing w:after="0" w:line="304"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720" w:type="dxa"/>
            <w:vAlign w:val="bottom"/>
            <w:gridSpan w:val="3"/>
          </w:tcPr>
          <w:p>
            <w:pPr>
              <w:jc w:val="right"/>
              <w:spacing w:after="0" w:line="304"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880" w:type="dxa"/>
            <w:vAlign w:val="bottom"/>
            <w:gridSpan w:val="2"/>
          </w:tcPr>
          <w:p>
            <w:pPr>
              <w:jc w:val="right"/>
              <w:spacing w:after="0" w:line="304" w:lineRule="exact"/>
              <w:rPr>
                <w:sz w:val="20"/>
                <w:szCs w:val="20"/>
                <w:color w:val="auto"/>
              </w:rPr>
            </w:pPr>
            <w:r>
              <w:rPr>
                <w:rFonts w:ascii="Arial" w:cs="Arial" w:eastAsia="Arial" w:hAnsi="Arial"/>
                <w:sz w:val="16"/>
                <w:szCs w:val="16"/>
                <w:color w:val="auto"/>
              </w:rPr>
              <w:t>257,056</w:t>
            </w:r>
            <w:r>
              <w:rPr>
                <w:rFonts w:ascii="Arial" w:cs="Arial" w:eastAsia="Arial" w:hAnsi="Arial"/>
                <w:sz w:val="32"/>
                <w:szCs w:val="32"/>
                <w:color w:val="auto"/>
                <w:vertAlign w:val="subscript"/>
              </w:rPr>
              <w:t>​​​</w:t>
            </w:r>
          </w:p>
        </w:tc>
        <w:tc>
          <w:tcPr>
            <w:tcW w:w="300" w:type="dxa"/>
            <w:vAlign w:val="bottom"/>
          </w:tcPr>
          <w:p>
            <w:pPr>
              <w:ind w:left="200"/>
              <w:spacing w:after="0" w:line="304"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520" w:type="dxa"/>
            <w:vAlign w:val="bottom"/>
            <w:gridSpan w:val="2"/>
          </w:tcPr>
          <w:p>
            <w:pPr>
              <w:jc w:val="right"/>
              <w:spacing w:after="0" w:line="304"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w:t>
            </w:r>
          </w:p>
        </w:tc>
      </w:tr>
      <w:tr>
        <w:trPr>
          <w:trHeight w:val="20"/>
        </w:trPr>
        <w:tc>
          <w:tcPr>
            <w:tcW w:w="54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740" w:type="dxa"/>
            <w:vAlign w:val="bottom"/>
            <w:shd w:val="clear" w:color="auto" w:fill="4B5088"/>
          </w:tcPr>
          <w:p>
            <w:pPr>
              <w:spacing w:after="0" w:line="20" w:lineRule="exact"/>
              <w:rPr>
                <w:sz w:val="1"/>
                <w:szCs w:val="1"/>
                <w:color w:val="auto"/>
              </w:rPr>
            </w:pPr>
          </w:p>
        </w:tc>
        <w:tc>
          <w:tcPr>
            <w:tcW w:w="160" w:type="dxa"/>
            <w:vAlign w:val="bottom"/>
            <w:tcBorders>
              <w:right w:val="single" w:sz="8" w:color="4B5088"/>
            </w:tcBorders>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5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76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4B5088"/>
          </w:tcPr>
          <w:p>
            <w:pPr>
              <w:spacing w:after="0" w:line="20" w:lineRule="exact"/>
              <w:rPr>
                <w:sz w:val="1"/>
                <w:szCs w:val="1"/>
                <w:color w:val="auto"/>
              </w:rPr>
            </w:pPr>
          </w:p>
        </w:tc>
        <w:tc>
          <w:tcPr>
            <w:tcW w:w="460" w:type="dxa"/>
            <w:vAlign w:val="bottom"/>
            <w:shd w:val="clear" w:color="auto" w:fill="4B5088"/>
          </w:tcPr>
          <w:p>
            <w:pPr>
              <w:spacing w:after="0" w:line="20" w:lineRule="exact"/>
              <w:rPr>
                <w:sz w:val="1"/>
                <w:szCs w:val="1"/>
                <w:color w:val="auto"/>
              </w:rPr>
            </w:pPr>
          </w:p>
        </w:tc>
        <w:tc>
          <w:tcPr>
            <w:tcW w:w="60" w:type="dxa"/>
            <w:vAlign w:val="bottom"/>
            <w:tcBorders>
              <w:left w:val="single" w:sz="8" w:color="4B5088"/>
            </w:tcBorders>
          </w:tcPr>
          <w:p>
            <w:pPr>
              <w:spacing w:after="0" w:line="20" w:lineRule="exact"/>
              <w:rPr>
                <w:sz w:val="1"/>
                <w:szCs w:val="1"/>
                <w:color w:val="auto"/>
              </w:rPr>
            </w:pPr>
          </w:p>
        </w:tc>
      </w:tr>
      <w:tr>
        <w:trPr>
          <w:trHeight w:val="304"/>
        </w:trPr>
        <w:tc>
          <w:tcPr>
            <w:tcW w:w="5440" w:type="dxa"/>
            <w:vAlign w:val="bottom"/>
          </w:tcPr>
          <w:p>
            <w:pPr>
              <w:spacing w:after="0"/>
              <w:rPr>
                <w:sz w:val="20"/>
                <w:szCs w:val="20"/>
                <w:color w:val="auto"/>
              </w:rPr>
            </w:pPr>
            <w:r>
              <w:rPr>
                <w:rFonts w:ascii="Arial" w:cs="Arial" w:eastAsia="Arial" w:hAnsi="Arial"/>
                <w:sz w:val="16"/>
                <w:szCs w:val="16"/>
                <w:color w:val="auto"/>
              </w:rPr>
              <w:t>Lauren B. Dillard</w:t>
            </w:r>
            <w:r>
              <w:rPr>
                <w:rFonts w:ascii="Arial" w:cs="Arial" w:eastAsia="Arial" w:hAnsi="Arial"/>
                <w:sz w:val="19"/>
                <w:szCs w:val="19"/>
                <w:color w:val="auto"/>
                <w:vertAlign w:val="superscript"/>
              </w:rPr>
              <w:t>(9)</w:t>
            </w:r>
          </w:p>
        </w:tc>
        <w:tc>
          <w:tcPr>
            <w:tcW w:w="200" w:type="dxa"/>
            <w:vAlign w:val="bottom"/>
            <w:gridSpan w:val="2"/>
          </w:tcPr>
          <w:p>
            <w:pPr>
              <w:ind w:left="20"/>
              <w:spacing w:after="0" w:line="304"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900" w:type="dxa"/>
            <w:vAlign w:val="bottom"/>
            <w:gridSpan w:val="2"/>
          </w:tcPr>
          <w:p>
            <w:pPr>
              <w:jc w:val="right"/>
              <w:spacing w:after="0" w:line="304" w:lineRule="exact"/>
              <w:rPr>
                <w:sz w:val="20"/>
                <w:szCs w:val="20"/>
                <w:color w:val="auto"/>
              </w:rPr>
            </w:pPr>
            <w:r>
              <w:rPr>
                <w:rFonts w:ascii="Arial" w:cs="Arial" w:eastAsia="Arial" w:hAnsi="Arial"/>
                <w:sz w:val="16"/>
                <w:szCs w:val="16"/>
                <w:color w:val="auto"/>
              </w:rPr>
              <w:t>15,444</w:t>
            </w:r>
            <w:r>
              <w:rPr>
                <w:rFonts w:ascii="Arial" w:cs="Arial" w:eastAsia="Arial" w:hAnsi="Arial"/>
                <w:sz w:val="32"/>
                <w:szCs w:val="32"/>
                <w:color w:val="auto"/>
                <w:vertAlign w:val="subscript"/>
              </w:rPr>
              <w:t>​​​</w:t>
            </w:r>
          </w:p>
        </w:tc>
        <w:tc>
          <w:tcPr>
            <w:tcW w:w="160" w:type="dxa"/>
            <w:vAlign w:val="bottom"/>
          </w:tcPr>
          <w:p>
            <w:pPr>
              <w:ind w:left="60"/>
              <w:spacing w:after="0" w:line="304"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w:t>
            </w:r>
          </w:p>
        </w:tc>
        <w:tc>
          <w:tcPr>
            <w:tcW w:w="720" w:type="dxa"/>
            <w:vAlign w:val="bottom"/>
            <w:gridSpan w:val="3"/>
          </w:tcPr>
          <w:p>
            <w:pPr>
              <w:jc w:val="right"/>
              <w:spacing w:after="0" w:line="304"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880" w:type="dxa"/>
            <w:vAlign w:val="bottom"/>
            <w:gridSpan w:val="2"/>
          </w:tcPr>
          <w:p>
            <w:pPr>
              <w:jc w:val="right"/>
              <w:spacing w:after="0" w:line="304" w:lineRule="exact"/>
              <w:rPr>
                <w:sz w:val="20"/>
                <w:szCs w:val="20"/>
                <w:color w:val="auto"/>
              </w:rPr>
            </w:pPr>
            <w:r>
              <w:rPr>
                <w:rFonts w:ascii="Arial" w:cs="Arial" w:eastAsia="Arial" w:hAnsi="Arial"/>
                <w:sz w:val="16"/>
                <w:szCs w:val="16"/>
                <w:color w:val="auto"/>
              </w:rPr>
              <w:t>49,450</w:t>
            </w:r>
            <w:r>
              <w:rPr>
                <w:rFonts w:ascii="Arial" w:cs="Arial" w:eastAsia="Arial" w:hAnsi="Arial"/>
                <w:sz w:val="32"/>
                <w:szCs w:val="32"/>
                <w:color w:val="auto"/>
                <w:vertAlign w:val="subscript"/>
              </w:rPr>
              <w:t>​​​</w:t>
            </w:r>
          </w:p>
        </w:tc>
        <w:tc>
          <w:tcPr>
            <w:tcW w:w="300" w:type="dxa"/>
            <w:vAlign w:val="bottom"/>
          </w:tcPr>
          <w:p>
            <w:pPr>
              <w:ind w:left="200"/>
              <w:spacing w:after="0" w:line="304"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w:t>
            </w:r>
          </w:p>
        </w:tc>
        <w:tc>
          <w:tcPr>
            <w:tcW w:w="520" w:type="dxa"/>
            <w:vAlign w:val="bottom"/>
            <w:gridSpan w:val="2"/>
          </w:tcPr>
          <w:p>
            <w:pPr>
              <w:jc w:val="right"/>
              <w:spacing w:after="0" w:line="304"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w:t>
            </w:r>
          </w:p>
        </w:tc>
      </w:tr>
      <w:tr>
        <w:trPr>
          <w:trHeight w:val="20"/>
        </w:trPr>
        <w:tc>
          <w:tcPr>
            <w:tcW w:w="54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740" w:type="dxa"/>
            <w:vAlign w:val="bottom"/>
            <w:shd w:val="clear" w:color="auto" w:fill="4B5088"/>
          </w:tcPr>
          <w:p>
            <w:pPr>
              <w:spacing w:after="0" w:line="20" w:lineRule="exact"/>
              <w:rPr>
                <w:sz w:val="1"/>
                <w:szCs w:val="1"/>
                <w:color w:val="auto"/>
              </w:rPr>
            </w:pPr>
          </w:p>
        </w:tc>
        <w:tc>
          <w:tcPr>
            <w:tcW w:w="160" w:type="dxa"/>
            <w:vAlign w:val="bottom"/>
            <w:tcBorders>
              <w:right w:val="single" w:sz="8" w:color="4B5088"/>
            </w:tcBorders>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5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76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shd w:val="clear" w:color="auto" w:fill="4B50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5440" w:type="dxa"/>
            <w:vAlign w:val="bottom"/>
          </w:tcPr>
          <w:p>
            <w:pPr>
              <w:spacing w:after="0"/>
              <w:rPr>
                <w:sz w:val="20"/>
                <w:szCs w:val="20"/>
                <w:color w:val="auto"/>
              </w:rPr>
            </w:pPr>
            <w:r>
              <w:rPr>
                <w:rFonts w:ascii="Arial" w:cs="Arial" w:eastAsia="Arial" w:hAnsi="Arial"/>
                <w:sz w:val="16"/>
                <w:szCs w:val="16"/>
                <w:color w:val="auto"/>
              </w:rPr>
              <w:t>Stephen L. Green</w:t>
            </w:r>
            <w:r>
              <w:rPr>
                <w:rFonts w:ascii="Arial" w:cs="Arial" w:eastAsia="Arial" w:hAnsi="Arial"/>
                <w:sz w:val="19"/>
                <w:szCs w:val="19"/>
                <w:color w:val="auto"/>
                <w:vertAlign w:val="superscript"/>
              </w:rPr>
              <w:t>(10)</w:t>
            </w:r>
          </w:p>
        </w:tc>
        <w:tc>
          <w:tcPr>
            <w:tcW w:w="200" w:type="dxa"/>
            <w:vAlign w:val="bottom"/>
            <w:gridSpan w:val="2"/>
          </w:tcPr>
          <w:p>
            <w:pPr>
              <w:ind w:left="20"/>
              <w:spacing w:after="0" w:line="304"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900" w:type="dxa"/>
            <w:vAlign w:val="bottom"/>
            <w:gridSpan w:val="2"/>
          </w:tcPr>
          <w:p>
            <w:pPr>
              <w:jc w:val="right"/>
              <w:spacing w:after="0" w:line="304"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w:t>
            </w:r>
          </w:p>
        </w:tc>
        <w:tc>
          <w:tcPr>
            <w:tcW w:w="160" w:type="dxa"/>
            <w:vAlign w:val="bottom"/>
          </w:tcPr>
          <w:p>
            <w:pPr>
              <w:ind w:left="60"/>
              <w:spacing w:after="0" w:line="304"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720" w:type="dxa"/>
            <w:vAlign w:val="bottom"/>
            <w:gridSpan w:val="3"/>
          </w:tcPr>
          <w:p>
            <w:pPr>
              <w:jc w:val="right"/>
              <w:spacing w:after="0" w:line="304"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880" w:type="dxa"/>
            <w:vAlign w:val="bottom"/>
            <w:gridSpan w:val="2"/>
          </w:tcPr>
          <w:p>
            <w:pPr>
              <w:jc w:val="right"/>
              <w:spacing w:after="0" w:line="304" w:lineRule="exact"/>
              <w:rPr>
                <w:sz w:val="20"/>
                <w:szCs w:val="20"/>
                <w:color w:val="auto"/>
              </w:rPr>
            </w:pPr>
            <w:r>
              <w:rPr>
                <w:rFonts w:ascii="Arial" w:cs="Arial" w:eastAsia="Arial" w:hAnsi="Arial"/>
                <w:sz w:val="16"/>
                <w:szCs w:val="16"/>
                <w:color w:val="auto"/>
              </w:rPr>
              <w:t>854,160</w:t>
            </w:r>
            <w:r>
              <w:rPr>
                <w:rFonts w:ascii="Arial" w:cs="Arial" w:eastAsia="Arial" w:hAnsi="Arial"/>
                <w:sz w:val="32"/>
                <w:szCs w:val="32"/>
                <w:color w:val="auto"/>
                <w:vertAlign w:val="subscript"/>
              </w:rPr>
              <w:t>​​​</w:t>
            </w:r>
          </w:p>
        </w:tc>
        <w:tc>
          <w:tcPr>
            <w:tcW w:w="820" w:type="dxa"/>
            <w:vAlign w:val="bottom"/>
            <w:gridSpan w:val="3"/>
          </w:tcPr>
          <w:p>
            <w:pPr>
              <w:jc w:val="right"/>
              <w:spacing w:after="0" w:line="304"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 1.13%</w:t>
            </w:r>
            <w:r>
              <w:rPr>
                <w:rFonts w:ascii="Arial" w:cs="Arial" w:eastAsia="Arial" w:hAnsi="Arial"/>
                <w:sz w:val="32"/>
                <w:szCs w:val="32"/>
                <w:color w:val="auto"/>
                <w:vertAlign w:val="subscript"/>
              </w:rPr>
              <w:t>​</w:t>
            </w:r>
          </w:p>
        </w:tc>
      </w:tr>
      <w:tr>
        <w:trPr>
          <w:trHeight w:val="20"/>
        </w:trPr>
        <w:tc>
          <w:tcPr>
            <w:tcW w:w="54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740" w:type="dxa"/>
            <w:vAlign w:val="bottom"/>
            <w:shd w:val="clear" w:color="auto" w:fill="4B5088"/>
          </w:tcPr>
          <w:p>
            <w:pPr>
              <w:spacing w:after="0" w:line="20" w:lineRule="exact"/>
              <w:rPr>
                <w:sz w:val="1"/>
                <w:szCs w:val="1"/>
                <w:color w:val="auto"/>
              </w:rPr>
            </w:pPr>
          </w:p>
        </w:tc>
        <w:tc>
          <w:tcPr>
            <w:tcW w:w="160" w:type="dxa"/>
            <w:vAlign w:val="bottom"/>
            <w:tcBorders>
              <w:right w:val="single" w:sz="8" w:color="4B5088"/>
            </w:tcBorders>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5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76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4B5088"/>
          </w:tcPr>
          <w:p>
            <w:pPr>
              <w:spacing w:after="0" w:line="20" w:lineRule="exact"/>
              <w:rPr>
                <w:sz w:val="1"/>
                <w:szCs w:val="1"/>
                <w:color w:val="auto"/>
              </w:rPr>
            </w:pPr>
          </w:p>
        </w:tc>
        <w:tc>
          <w:tcPr>
            <w:tcW w:w="460" w:type="dxa"/>
            <w:vAlign w:val="bottom"/>
            <w:shd w:val="clear" w:color="auto" w:fill="4B50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5440" w:type="dxa"/>
            <w:vAlign w:val="bottom"/>
          </w:tcPr>
          <w:p>
            <w:pPr>
              <w:spacing w:after="0"/>
              <w:rPr>
                <w:sz w:val="20"/>
                <w:szCs w:val="20"/>
                <w:color w:val="auto"/>
              </w:rPr>
            </w:pPr>
            <w:r>
              <w:rPr>
                <w:rFonts w:ascii="Arial" w:cs="Arial" w:eastAsia="Arial" w:hAnsi="Arial"/>
                <w:sz w:val="16"/>
                <w:szCs w:val="16"/>
                <w:color w:val="auto"/>
              </w:rPr>
              <w:t>Craig M. Hatkoff</w:t>
            </w:r>
          </w:p>
        </w:tc>
        <w:tc>
          <w:tcPr>
            <w:tcW w:w="200" w:type="dxa"/>
            <w:vAlign w:val="bottom"/>
            <w:gridSpan w:val="2"/>
          </w:tcPr>
          <w:p>
            <w:pPr>
              <w:ind w:left="20"/>
              <w:spacing w:after="0" w:line="276"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900" w:type="dxa"/>
            <w:vAlign w:val="bottom"/>
            <w:gridSpan w:val="2"/>
          </w:tcPr>
          <w:p>
            <w:pPr>
              <w:jc w:val="right"/>
              <w:spacing w:after="0" w:line="276" w:lineRule="exact"/>
              <w:rPr>
                <w:sz w:val="20"/>
                <w:szCs w:val="20"/>
                <w:color w:val="auto"/>
              </w:rPr>
            </w:pPr>
            <w:r>
              <w:rPr>
                <w:rFonts w:ascii="Arial" w:cs="Arial" w:eastAsia="Arial" w:hAnsi="Arial"/>
                <w:sz w:val="16"/>
                <w:szCs w:val="16"/>
                <w:color w:val="auto"/>
              </w:rPr>
              <w:t>2,052</w:t>
            </w:r>
            <w:r>
              <w:rPr>
                <w:rFonts w:ascii="Arial" w:cs="Arial" w:eastAsia="Arial" w:hAnsi="Arial"/>
                <w:sz w:val="32"/>
                <w:szCs w:val="32"/>
                <w:color w:val="auto"/>
                <w:vertAlign w:val="subscript"/>
              </w:rPr>
              <w:t>​​​</w:t>
            </w:r>
          </w:p>
        </w:tc>
        <w:tc>
          <w:tcPr>
            <w:tcW w:w="160" w:type="dxa"/>
            <w:vAlign w:val="bottom"/>
          </w:tcPr>
          <w:p>
            <w:pPr>
              <w:ind w:left="60"/>
              <w:spacing w:after="0" w:line="276"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720" w:type="dxa"/>
            <w:vAlign w:val="bottom"/>
            <w:gridSpan w:val="3"/>
          </w:tcPr>
          <w:p>
            <w:pPr>
              <w:jc w:val="right"/>
              <w:spacing w:after="0" w:line="276"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880" w:type="dxa"/>
            <w:vAlign w:val="bottom"/>
            <w:gridSpan w:val="2"/>
          </w:tcPr>
          <w:p>
            <w:pPr>
              <w:jc w:val="right"/>
              <w:spacing w:after="0" w:line="276" w:lineRule="exact"/>
              <w:rPr>
                <w:sz w:val="20"/>
                <w:szCs w:val="20"/>
                <w:color w:val="auto"/>
              </w:rPr>
            </w:pPr>
            <w:r>
              <w:rPr>
                <w:rFonts w:ascii="Arial" w:cs="Arial" w:eastAsia="Arial" w:hAnsi="Arial"/>
                <w:sz w:val="16"/>
                <w:szCs w:val="16"/>
                <w:color w:val="auto"/>
              </w:rPr>
              <w:t>2,052</w:t>
            </w:r>
            <w:r>
              <w:rPr>
                <w:rFonts w:ascii="Arial" w:cs="Arial" w:eastAsia="Arial" w:hAnsi="Arial"/>
                <w:sz w:val="32"/>
                <w:szCs w:val="32"/>
                <w:color w:val="auto"/>
                <w:vertAlign w:val="subscript"/>
              </w:rPr>
              <w:t>​​​</w:t>
            </w:r>
          </w:p>
        </w:tc>
        <w:tc>
          <w:tcPr>
            <w:tcW w:w="300" w:type="dxa"/>
            <w:vAlign w:val="bottom"/>
          </w:tcPr>
          <w:p>
            <w:pPr>
              <w:ind w:left="200"/>
              <w:spacing w:after="0" w:line="276"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520" w:type="dxa"/>
            <w:vAlign w:val="bottom"/>
            <w:gridSpan w:val="2"/>
          </w:tcPr>
          <w:p>
            <w:pPr>
              <w:jc w:val="right"/>
              <w:spacing w:after="0" w:line="276"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w:t>
            </w:r>
          </w:p>
        </w:tc>
      </w:tr>
      <w:tr>
        <w:trPr>
          <w:trHeight w:val="20"/>
        </w:trPr>
        <w:tc>
          <w:tcPr>
            <w:tcW w:w="54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740" w:type="dxa"/>
            <w:vAlign w:val="bottom"/>
            <w:shd w:val="clear" w:color="auto" w:fill="4B5088"/>
          </w:tcPr>
          <w:p>
            <w:pPr>
              <w:spacing w:after="0" w:line="20" w:lineRule="exact"/>
              <w:rPr>
                <w:sz w:val="1"/>
                <w:szCs w:val="1"/>
                <w:color w:val="auto"/>
              </w:rPr>
            </w:pPr>
          </w:p>
        </w:tc>
        <w:tc>
          <w:tcPr>
            <w:tcW w:w="160" w:type="dxa"/>
            <w:vAlign w:val="bottom"/>
            <w:tcBorders>
              <w:right w:val="single" w:sz="8" w:color="4B5088"/>
            </w:tcBorders>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5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shd w:val="clear" w:color="auto" w:fill="4B50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5440" w:type="dxa"/>
            <w:vAlign w:val="bottom"/>
          </w:tcPr>
          <w:p>
            <w:pPr>
              <w:spacing w:after="0"/>
              <w:rPr>
                <w:sz w:val="20"/>
                <w:szCs w:val="20"/>
                <w:color w:val="auto"/>
              </w:rPr>
            </w:pPr>
            <w:r>
              <w:rPr>
                <w:rFonts w:ascii="Arial" w:cs="Arial" w:eastAsia="Arial" w:hAnsi="Arial"/>
                <w:sz w:val="16"/>
                <w:szCs w:val="16"/>
                <w:color w:val="auto"/>
              </w:rPr>
              <w:t>Marc Holliday</w:t>
            </w:r>
            <w:r>
              <w:rPr>
                <w:rFonts w:ascii="Arial" w:cs="Arial" w:eastAsia="Arial" w:hAnsi="Arial"/>
                <w:sz w:val="19"/>
                <w:szCs w:val="19"/>
                <w:color w:val="auto"/>
                <w:vertAlign w:val="superscript"/>
              </w:rPr>
              <w:t>(11)</w:t>
            </w:r>
          </w:p>
        </w:tc>
        <w:tc>
          <w:tcPr>
            <w:tcW w:w="200" w:type="dxa"/>
            <w:vAlign w:val="bottom"/>
            <w:gridSpan w:val="2"/>
          </w:tcPr>
          <w:p>
            <w:pPr>
              <w:ind w:left="20"/>
              <w:spacing w:after="0" w:line="304"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900" w:type="dxa"/>
            <w:vAlign w:val="bottom"/>
            <w:gridSpan w:val="2"/>
          </w:tcPr>
          <w:p>
            <w:pPr>
              <w:jc w:val="right"/>
              <w:spacing w:after="0" w:line="304" w:lineRule="exact"/>
              <w:rPr>
                <w:sz w:val="20"/>
                <w:szCs w:val="20"/>
                <w:color w:val="auto"/>
              </w:rPr>
            </w:pPr>
            <w:r>
              <w:rPr>
                <w:rFonts w:ascii="Arial" w:cs="Arial" w:eastAsia="Arial" w:hAnsi="Arial"/>
                <w:sz w:val="16"/>
                <w:szCs w:val="16"/>
                <w:color w:val="auto"/>
              </w:rPr>
              <w:t>9,977</w:t>
            </w:r>
            <w:r>
              <w:rPr>
                <w:rFonts w:ascii="Arial" w:cs="Arial" w:eastAsia="Arial" w:hAnsi="Arial"/>
                <w:sz w:val="32"/>
                <w:szCs w:val="32"/>
                <w:color w:val="auto"/>
                <w:vertAlign w:val="subscript"/>
              </w:rPr>
              <w:t>​​​</w:t>
            </w:r>
          </w:p>
        </w:tc>
        <w:tc>
          <w:tcPr>
            <w:tcW w:w="160" w:type="dxa"/>
            <w:vAlign w:val="bottom"/>
          </w:tcPr>
          <w:p>
            <w:pPr>
              <w:ind w:left="60"/>
              <w:spacing w:after="0" w:line="304"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1600" w:type="dxa"/>
            <w:vAlign w:val="bottom"/>
            <w:gridSpan w:val="5"/>
          </w:tcPr>
          <w:p>
            <w:pPr>
              <w:jc w:val="right"/>
              <w:spacing w:after="0" w:line="304"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w:t>
            </w:r>
            <w:r>
              <w:rPr>
                <w:rFonts w:ascii="Arial" w:cs="Arial" w:eastAsia="Arial" w:hAnsi="Arial"/>
                <w:sz w:val="16"/>
                <w:szCs w:val="16"/>
                <w:color w:val="auto"/>
              </w:rPr>
              <w:t>​ 1,384,297</w:t>
            </w:r>
            <w:r>
              <w:rPr>
                <w:rFonts w:ascii="Arial" w:cs="Arial" w:eastAsia="Arial" w:hAnsi="Arial"/>
                <w:sz w:val="32"/>
                <w:szCs w:val="32"/>
                <w:color w:val="auto"/>
                <w:vertAlign w:val="subscript"/>
              </w:rPr>
              <w:t>​​​</w:t>
            </w:r>
          </w:p>
        </w:tc>
        <w:tc>
          <w:tcPr>
            <w:tcW w:w="820" w:type="dxa"/>
            <w:vAlign w:val="bottom"/>
            <w:gridSpan w:val="3"/>
          </w:tcPr>
          <w:p>
            <w:pPr>
              <w:jc w:val="right"/>
              <w:spacing w:after="0" w:line="304"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 1.83%</w:t>
            </w:r>
            <w:r>
              <w:rPr>
                <w:rFonts w:ascii="Arial" w:cs="Arial" w:eastAsia="Arial" w:hAnsi="Arial"/>
                <w:sz w:val="32"/>
                <w:szCs w:val="32"/>
                <w:color w:val="auto"/>
                <w:vertAlign w:val="subscript"/>
              </w:rPr>
              <w:t>​</w:t>
            </w:r>
          </w:p>
        </w:tc>
      </w:tr>
      <w:tr>
        <w:trPr>
          <w:trHeight w:val="20"/>
        </w:trPr>
        <w:tc>
          <w:tcPr>
            <w:tcW w:w="54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740" w:type="dxa"/>
            <w:vAlign w:val="bottom"/>
            <w:shd w:val="clear" w:color="auto" w:fill="4B5088"/>
          </w:tcPr>
          <w:p>
            <w:pPr>
              <w:spacing w:after="0" w:line="20" w:lineRule="exact"/>
              <w:rPr>
                <w:sz w:val="1"/>
                <w:szCs w:val="1"/>
                <w:color w:val="auto"/>
              </w:rPr>
            </w:pPr>
          </w:p>
        </w:tc>
        <w:tc>
          <w:tcPr>
            <w:tcW w:w="160" w:type="dxa"/>
            <w:vAlign w:val="bottom"/>
            <w:tcBorders>
              <w:right w:val="single" w:sz="8" w:color="4B5088"/>
            </w:tcBorders>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5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76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4B5088"/>
          </w:tcPr>
          <w:p>
            <w:pPr>
              <w:spacing w:after="0" w:line="20" w:lineRule="exact"/>
              <w:rPr>
                <w:sz w:val="1"/>
                <w:szCs w:val="1"/>
                <w:color w:val="auto"/>
              </w:rPr>
            </w:pPr>
          </w:p>
        </w:tc>
        <w:tc>
          <w:tcPr>
            <w:tcW w:w="460" w:type="dxa"/>
            <w:vAlign w:val="bottom"/>
            <w:shd w:val="clear" w:color="auto" w:fill="4B50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5440" w:type="dxa"/>
            <w:vAlign w:val="bottom"/>
          </w:tcPr>
          <w:p>
            <w:pPr>
              <w:spacing w:after="0"/>
              <w:rPr>
                <w:sz w:val="20"/>
                <w:szCs w:val="20"/>
                <w:color w:val="auto"/>
              </w:rPr>
            </w:pPr>
            <w:r>
              <w:rPr>
                <w:rFonts w:ascii="Arial" w:cs="Arial" w:eastAsia="Arial" w:hAnsi="Arial"/>
                <w:sz w:val="16"/>
                <w:szCs w:val="16"/>
                <w:color w:val="auto"/>
              </w:rPr>
              <w:t>Peggy Lamb</w:t>
            </w:r>
            <w:r>
              <w:rPr>
                <w:rFonts w:ascii="Arial" w:cs="Arial" w:eastAsia="Arial" w:hAnsi="Arial"/>
                <w:sz w:val="19"/>
                <w:szCs w:val="19"/>
                <w:color w:val="auto"/>
                <w:vertAlign w:val="superscript"/>
              </w:rPr>
              <w:t>(12)</w:t>
            </w:r>
          </w:p>
        </w:tc>
        <w:tc>
          <w:tcPr>
            <w:tcW w:w="200" w:type="dxa"/>
            <w:vAlign w:val="bottom"/>
            <w:gridSpan w:val="2"/>
          </w:tcPr>
          <w:p>
            <w:pPr>
              <w:ind w:left="20"/>
              <w:spacing w:after="0" w:line="304"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900" w:type="dxa"/>
            <w:vAlign w:val="bottom"/>
            <w:gridSpan w:val="2"/>
          </w:tcPr>
          <w:p>
            <w:pPr>
              <w:jc w:val="right"/>
              <w:spacing w:after="0" w:line="304"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w:t>
            </w:r>
          </w:p>
        </w:tc>
        <w:tc>
          <w:tcPr>
            <w:tcW w:w="160" w:type="dxa"/>
            <w:vAlign w:val="bottom"/>
          </w:tcPr>
          <w:p>
            <w:pPr>
              <w:ind w:left="60"/>
              <w:spacing w:after="0" w:line="304"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720" w:type="dxa"/>
            <w:vAlign w:val="bottom"/>
            <w:gridSpan w:val="3"/>
          </w:tcPr>
          <w:p>
            <w:pPr>
              <w:jc w:val="right"/>
              <w:spacing w:after="0" w:line="304"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880" w:type="dxa"/>
            <w:vAlign w:val="bottom"/>
            <w:gridSpan w:val="2"/>
          </w:tcPr>
          <w:p>
            <w:pPr>
              <w:jc w:val="right"/>
              <w:spacing w:after="0" w:line="304" w:lineRule="exact"/>
              <w:rPr>
                <w:sz w:val="20"/>
                <w:szCs w:val="20"/>
                <w:color w:val="auto"/>
              </w:rPr>
            </w:pPr>
            <w:r>
              <w:rPr>
                <w:rFonts w:ascii="Arial" w:cs="Arial" w:eastAsia="Arial" w:hAnsi="Arial"/>
                <w:sz w:val="16"/>
                <w:szCs w:val="16"/>
                <w:color w:val="auto"/>
              </w:rPr>
              <w:t>4,083</w:t>
            </w:r>
            <w:r>
              <w:rPr>
                <w:rFonts w:ascii="Arial" w:cs="Arial" w:eastAsia="Arial" w:hAnsi="Arial"/>
                <w:sz w:val="32"/>
                <w:szCs w:val="32"/>
                <w:color w:val="auto"/>
                <w:vertAlign w:val="subscript"/>
              </w:rPr>
              <w:t>​​​</w:t>
            </w:r>
          </w:p>
        </w:tc>
        <w:tc>
          <w:tcPr>
            <w:tcW w:w="300" w:type="dxa"/>
            <w:vAlign w:val="bottom"/>
          </w:tcPr>
          <w:p>
            <w:pPr>
              <w:ind w:left="200"/>
              <w:spacing w:after="0" w:line="304"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520" w:type="dxa"/>
            <w:vAlign w:val="bottom"/>
            <w:gridSpan w:val="2"/>
          </w:tcPr>
          <w:p>
            <w:pPr>
              <w:jc w:val="right"/>
              <w:spacing w:after="0" w:line="304"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w:t>
            </w:r>
          </w:p>
        </w:tc>
      </w:tr>
      <w:tr>
        <w:trPr>
          <w:trHeight w:val="20"/>
        </w:trPr>
        <w:tc>
          <w:tcPr>
            <w:tcW w:w="54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740" w:type="dxa"/>
            <w:vAlign w:val="bottom"/>
            <w:shd w:val="clear" w:color="auto" w:fill="4B5088"/>
          </w:tcPr>
          <w:p>
            <w:pPr>
              <w:spacing w:after="0" w:line="20" w:lineRule="exact"/>
              <w:rPr>
                <w:sz w:val="1"/>
                <w:szCs w:val="1"/>
                <w:color w:val="auto"/>
              </w:rPr>
            </w:pPr>
          </w:p>
        </w:tc>
        <w:tc>
          <w:tcPr>
            <w:tcW w:w="160" w:type="dxa"/>
            <w:vAlign w:val="bottom"/>
            <w:tcBorders>
              <w:right w:val="single" w:sz="8" w:color="4B5088"/>
            </w:tcBorders>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5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76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4B5088"/>
          </w:tcPr>
          <w:p>
            <w:pPr>
              <w:spacing w:after="0" w:line="20" w:lineRule="exact"/>
              <w:rPr>
                <w:sz w:val="1"/>
                <w:szCs w:val="1"/>
                <w:color w:val="auto"/>
              </w:rPr>
            </w:pPr>
          </w:p>
        </w:tc>
        <w:tc>
          <w:tcPr>
            <w:tcW w:w="460" w:type="dxa"/>
            <w:vAlign w:val="bottom"/>
            <w:shd w:val="clear" w:color="auto" w:fill="4B5088"/>
          </w:tcPr>
          <w:p>
            <w:pPr>
              <w:spacing w:after="0" w:line="20" w:lineRule="exact"/>
              <w:rPr>
                <w:sz w:val="1"/>
                <w:szCs w:val="1"/>
                <w:color w:val="auto"/>
              </w:rPr>
            </w:pPr>
          </w:p>
        </w:tc>
        <w:tc>
          <w:tcPr>
            <w:tcW w:w="60" w:type="dxa"/>
            <w:vAlign w:val="bottom"/>
            <w:tcBorders>
              <w:left w:val="single" w:sz="8" w:color="4B5088"/>
            </w:tcBorders>
          </w:tcPr>
          <w:p>
            <w:pPr>
              <w:spacing w:after="0" w:line="20" w:lineRule="exact"/>
              <w:rPr>
                <w:sz w:val="1"/>
                <w:szCs w:val="1"/>
                <w:color w:val="auto"/>
              </w:rPr>
            </w:pPr>
          </w:p>
        </w:tc>
      </w:tr>
      <w:tr>
        <w:trPr>
          <w:trHeight w:val="304"/>
        </w:trPr>
        <w:tc>
          <w:tcPr>
            <w:tcW w:w="5440" w:type="dxa"/>
            <w:vAlign w:val="bottom"/>
          </w:tcPr>
          <w:p>
            <w:pPr>
              <w:spacing w:after="0"/>
              <w:rPr>
                <w:sz w:val="20"/>
                <w:szCs w:val="20"/>
                <w:color w:val="auto"/>
              </w:rPr>
            </w:pPr>
            <w:r>
              <w:rPr>
                <w:rFonts w:ascii="Arial" w:cs="Arial" w:eastAsia="Arial" w:hAnsi="Arial"/>
                <w:sz w:val="16"/>
                <w:szCs w:val="16"/>
                <w:color w:val="auto"/>
              </w:rPr>
              <w:t>Andrew S. Levine</w:t>
            </w:r>
            <w:r>
              <w:rPr>
                <w:rFonts w:ascii="Arial" w:cs="Arial" w:eastAsia="Arial" w:hAnsi="Arial"/>
                <w:sz w:val="19"/>
                <w:szCs w:val="19"/>
                <w:color w:val="auto"/>
                <w:vertAlign w:val="superscript"/>
              </w:rPr>
              <w:t>(13)</w:t>
            </w:r>
          </w:p>
        </w:tc>
        <w:tc>
          <w:tcPr>
            <w:tcW w:w="200" w:type="dxa"/>
            <w:vAlign w:val="bottom"/>
            <w:gridSpan w:val="2"/>
          </w:tcPr>
          <w:p>
            <w:pPr>
              <w:ind w:left="20"/>
              <w:spacing w:after="0" w:line="304"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900" w:type="dxa"/>
            <w:vAlign w:val="bottom"/>
            <w:gridSpan w:val="2"/>
          </w:tcPr>
          <w:p>
            <w:pPr>
              <w:jc w:val="right"/>
              <w:spacing w:after="0" w:line="304" w:lineRule="exact"/>
              <w:rPr>
                <w:sz w:val="20"/>
                <w:szCs w:val="20"/>
                <w:color w:val="auto"/>
              </w:rPr>
            </w:pPr>
            <w:r>
              <w:rPr>
                <w:rFonts w:ascii="Arial" w:cs="Arial" w:eastAsia="Arial" w:hAnsi="Arial"/>
                <w:sz w:val="16"/>
                <w:szCs w:val="16"/>
                <w:color w:val="auto"/>
              </w:rPr>
              <w:t>8,288</w:t>
            </w:r>
            <w:r>
              <w:rPr>
                <w:rFonts w:ascii="Arial" w:cs="Arial" w:eastAsia="Arial" w:hAnsi="Arial"/>
                <w:sz w:val="32"/>
                <w:szCs w:val="32"/>
                <w:color w:val="auto"/>
                <w:vertAlign w:val="subscript"/>
              </w:rPr>
              <w:t>​​​</w:t>
            </w:r>
          </w:p>
        </w:tc>
        <w:tc>
          <w:tcPr>
            <w:tcW w:w="160" w:type="dxa"/>
            <w:vAlign w:val="bottom"/>
          </w:tcPr>
          <w:p>
            <w:pPr>
              <w:ind w:left="60"/>
              <w:spacing w:after="0" w:line="304"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720" w:type="dxa"/>
            <w:vAlign w:val="bottom"/>
            <w:gridSpan w:val="3"/>
          </w:tcPr>
          <w:p>
            <w:pPr>
              <w:jc w:val="right"/>
              <w:spacing w:after="0" w:line="304"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880" w:type="dxa"/>
            <w:vAlign w:val="bottom"/>
            <w:gridSpan w:val="2"/>
          </w:tcPr>
          <w:p>
            <w:pPr>
              <w:jc w:val="right"/>
              <w:spacing w:after="0" w:line="304" w:lineRule="exact"/>
              <w:rPr>
                <w:sz w:val="20"/>
                <w:szCs w:val="20"/>
                <w:color w:val="auto"/>
              </w:rPr>
            </w:pPr>
            <w:r>
              <w:rPr>
                <w:rFonts w:ascii="Arial" w:cs="Arial" w:eastAsia="Arial" w:hAnsi="Arial"/>
                <w:sz w:val="16"/>
                <w:szCs w:val="16"/>
                <w:color w:val="auto"/>
              </w:rPr>
              <w:t>227,590</w:t>
            </w:r>
            <w:r>
              <w:rPr>
                <w:rFonts w:ascii="Arial" w:cs="Arial" w:eastAsia="Arial" w:hAnsi="Arial"/>
                <w:sz w:val="32"/>
                <w:szCs w:val="32"/>
                <w:color w:val="auto"/>
                <w:vertAlign w:val="subscript"/>
              </w:rPr>
              <w:t>​​​</w:t>
            </w:r>
          </w:p>
        </w:tc>
        <w:tc>
          <w:tcPr>
            <w:tcW w:w="300" w:type="dxa"/>
            <w:vAlign w:val="bottom"/>
          </w:tcPr>
          <w:p>
            <w:pPr>
              <w:ind w:left="200"/>
              <w:spacing w:after="0" w:line="304"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520" w:type="dxa"/>
            <w:vAlign w:val="bottom"/>
            <w:gridSpan w:val="2"/>
          </w:tcPr>
          <w:p>
            <w:pPr>
              <w:jc w:val="right"/>
              <w:spacing w:after="0" w:line="304"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w:t>
            </w:r>
          </w:p>
        </w:tc>
      </w:tr>
      <w:tr>
        <w:trPr>
          <w:trHeight w:val="20"/>
        </w:trPr>
        <w:tc>
          <w:tcPr>
            <w:tcW w:w="54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740" w:type="dxa"/>
            <w:vAlign w:val="bottom"/>
            <w:shd w:val="clear" w:color="auto" w:fill="4B5088"/>
          </w:tcPr>
          <w:p>
            <w:pPr>
              <w:spacing w:after="0" w:line="20" w:lineRule="exact"/>
              <w:rPr>
                <w:sz w:val="1"/>
                <w:szCs w:val="1"/>
                <w:color w:val="auto"/>
              </w:rPr>
            </w:pPr>
          </w:p>
        </w:tc>
        <w:tc>
          <w:tcPr>
            <w:tcW w:w="160" w:type="dxa"/>
            <w:vAlign w:val="bottom"/>
            <w:tcBorders>
              <w:right w:val="single" w:sz="8" w:color="4B5088"/>
            </w:tcBorders>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5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shd w:val="clear" w:color="auto" w:fill="4B50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5440" w:type="dxa"/>
            <w:vAlign w:val="bottom"/>
          </w:tcPr>
          <w:p>
            <w:pPr>
              <w:spacing w:after="0"/>
              <w:rPr>
                <w:sz w:val="20"/>
                <w:szCs w:val="20"/>
                <w:color w:val="auto"/>
              </w:rPr>
            </w:pPr>
            <w:r>
              <w:rPr>
                <w:rFonts w:ascii="Arial" w:cs="Arial" w:eastAsia="Arial" w:hAnsi="Arial"/>
                <w:sz w:val="16"/>
                <w:szCs w:val="16"/>
                <w:color w:val="auto"/>
              </w:rPr>
              <w:t>Andrew Mathias</w:t>
            </w:r>
            <w:r>
              <w:rPr>
                <w:rFonts w:ascii="Arial" w:cs="Arial" w:eastAsia="Arial" w:hAnsi="Arial"/>
                <w:sz w:val="19"/>
                <w:szCs w:val="19"/>
                <w:color w:val="auto"/>
                <w:vertAlign w:val="superscript"/>
              </w:rPr>
              <w:t>(14)</w:t>
            </w:r>
          </w:p>
        </w:tc>
        <w:tc>
          <w:tcPr>
            <w:tcW w:w="200" w:type="dxa"/>
            <w:vAlign w:val="bottom"/>
            <w:gridSpan w:val="2"/>
          </w:tcPr>
          <w:p>
            <w:pPr>
              <w:ind w:left="20"/>
              <w:spacing w:after="0" w:line="304"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900" w:type="dxa"/>
            <w:vAlign w:val="bottom"/>
            <w:gridSpan w:val="2"/>
          </w:tcPr>
          <w:p>
            <w:pPr>
              <w:jc w:val="right"/>
              <w:spacing w:after="0" w:line="304" w:lineRule="exact"/>
              <w:rPr>
                <w:sz w:val="20"/>
                <w:szCs w:val="20"/>
                <w:color w:val="auto"/>
              </w:rPr>
            </w:pPr>
            <w:r>
              <w:rPr>
                <w:rFonts w:ascii="Arial" w:cs="Arial" w:eastAsia="Arial" w:hAnsi="Arial"/>
                <w:sz w:val="16"/>
                <w:szCs w:val="16"/>
                <w:color w:val="auto"/>
              </w:rPr>
              <w:t>6,189</w:t>
            </w:r>
            <w:r>
              <w:rPr>
                <w:rFonts w:ascii="Arial" w:cs="Arial" w:eastAsia="Arial" w:hAnsi="Arial"/>
                <w:sz w:val="32"/>
                <w:szCs w:val="32"/>
                <w:color w:val="auto"/>
                <w:vertAlign w:val="subscript"/>
              </w:rPr>
              <w:t>​​​</w:t>
            </w:r>
          </w:p>
        </w:tc>
        <w:tc>
          <w:tcPr>
            <w:tcW w:w="160" w:type="dxa"/>
            <w:vAlign w:val="bottom"/>
          </w:tcPr>
          <w:p>
            <w:pPr>
              <w:ind w:left="60"/>
              <w:spacing w:after="0" w:line="304"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1600" w:type="dxa"/>
            <w:vAlign w:val="bottom"/>
            <w:gridSpan w:val="5"/>
          </w:tcPr>
          <w:p>
            <w:pPr>
              <w:jc w:val="right"/>
              <w:spacing w:after="0" w:line="304"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w:t>
            </w:r>
            <w:r>
              <w:rPr>
                <w:rFonts w:ascii="Arial" w:cs="Arial" w:eastAsia="Arial" w:hAnsi="Arial"/>
                <w:sz w:val="16"/>
                <w:szCs w:val="16"/>
                <w:color w:val="auto"/>
              </w:rPr>
              <w:t>​ 1,009,648</w:t>
            </w:r>
            <w:r>
              <w:rPr>
                <w:rFonts w:ascii="Arial" w:cs="Arial" w:eastAsia="Arial" w:hAnsi="Arial"/>
                <w:sz w:val="32"/>
                <w:szCs w:val="32"/>
                <w:color w:val="auto"/>
                <w:vertAlign w:val="subscript"/>
              </w:rPr>
              <w:t>​​​</w:t>
            </w:r>
          </w:p>
        </w:tc>
        <w:tc>
          <w:tcPr>
            <w:tcW w:w="820" w:type="dxa"/>
            <w:vAlign w:val="bottom"/>
            <w:gridSpan w:val="3"/>
          </w:tcPr>
          <w:p>
            <w:pPr>
              <w:jc w:val="right"/>
              <w:spacing w:after="0" w:line="304"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 1.33%</w:t>
            </w:r>
            <w:r>
              <w:rPr>
                <w:rFonts w:ascii="Arial" w:cs="Arial" w:eastAsia="Arial" w:hAnsi="Arial"/>
                <w:sz w:val="32"/>
                <w:szCs w:val="32"/>
                <w:color w:val="auto"/>
                <w:vertAlign w:val="subscript"/>
              </w:rPr>
              <w:t>​</w:t>
            </w:r>
          </w:p>
        </w:tc>
      </w:tr>
      <w:tr>
        <w:trPr>
          <w:trHeight w:val="20"/>
        </w:trPr>
        <w:tc>
          <w:tcPr>
            <w:tcW w:w="54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740" w:type="dxa"/>
            <w:vAlign w:val="bottom"/>
            <w:shd w:val="clear" w:color="auto" w:fill="4B5088"/>
          </w:tcPr>
          <w:p>
            <w:pPr>
              <w:spacing w:after="0" w:line="20" w:lineRule="exact"/>
              <w:rPr>
                <w:sz w:val="1"/>
                <w:szCs w:val="1"/>
                <w:color w:val="auto"/>
              </w:rPr>
            </w:pPr>
          </w:p>
        </w:tc>
        <w:tc>
          <w:tcPr>
            <w:tcW w:w="160" w:type="dxa"/>
            <w:vAlign w:val="bottom"/>
            <w:tcBorders>
              <w:right w:val="single" w:sz="8" w:color="4B5088"/>
            </w:tcBorders>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540" w:type="dxa"/>
            <w:vAlign w:val="bottom"/>
            <w:shd w:val="clear" w:color="auto" w:fill="4B50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shd w:val="clear" w:color="auto" w:fill="4B50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5440" w:type="dxa"/>
            <w:vAlign w:val="bottom"/>
          </w:tcPr>
          <w:p>
            <w:pPr>
              <w:spacing w:after="0"/>
              <w:rPr>
                <w:sz w:val="20"/>
                <w:szCs w:val="20"/>
                <w:color w:val="auto"/>
              </w:rPr>
            </w:pPr>
            <w:r>
              <w:rPr>
                <w:rFonts w:ascii="Arial" w:cs="Arial" w:eastAsia="Arial" w:hAnsi="Arial"/>
                <w:sz w:val="16"/>
                <w:szCs w:val="16"/>
                <w:b w:val="1"/>
                <w:bCs w:val="1"/>
                <w:color w:val="auto"/>
              </w:rPr>
              <w:t>All Directors and Executive Officers as a Group (10 Persons)</w:t>
            </w:r>
            <w:r>
              <w:rPr>
                <w:rFonts w:ascii="Arial" w:cs="Arial" w:eastAsia="Arial" w:hAnsi="Arial"/>
                <w:sz w:val="19"/>
                <w:szCs w:val="19"/>
                <w:b w:val="1"/>
                <w:bCs w:val="1"/>
                <w:color w:val="auto"/>
                <w:vertAlign w:val="superscript"/>
              </w:rPr>
              <w:t>(15)</w:t>
            </w:r>
          </w:p>
        </w:tc>
        <w:tc>
          <w:tcPr>
            <w:tcW w:w="200" w:type="dxa"/>
            <w:vAlign w:val="bottom"/>
            <w:gridSpan w:val="2"/>
          </w:tcPr>
          <w:p>
            <w:pPr>
              <w:ind w:left="20"/>
              <w:spacing w:after="0" w:line="304"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900" w:type="dxa"/>
            <w:vAlign w:val="bottom"/>
            <w:gridSpan w:val="2"/>
          </w:tcPr>
          <w:p>
            <w:pPr>
              <w:jc w:val="right"/>
              <w:spacing w:after="0" w:line="304" w:lineRule="exact"/>
              <w:rPr>
                <w:sz w:val="20"/>
                <w:szCs w:val="20"/>
                <w:color w:val="auto"/>
              </w:rPr>
            </w:pPr>
            <w:r>
              <w:rPr>
                <w:rFonts w:ascii="Arial" w:cs="Arial" w:eastAsia="Arial" w:hAnsi="Arial"/>
                <w:sz w:val="16"/>
                <w:szCs w:val="16"/>
                <w:color w:val="auto"/>
              </w:rPr>
              <w:t>50,302</w:t>
            </w:r>
            <w:r>
              <w:rPr>
                <w:rFonts w:ascii="Arial" w:cs="Arial" w:eastAsia="Arial" w:hAnsi="Arial"/>
                <w:sz w:val="32"/>
                <w:szCs w:val="32"/>
                <w:color w:val="auto"/>
                <w:vertAlign w:val="subscript"/>
              </w:rPr>
              <w:t>​​​</w:t>
            </w:r>
          </w:p>
        </w:tc>
        <w:tc>
          <w:tcPr>
            <w:tcW w:w="160" w:type="dxa"/>
            <w:vAlign w:val="bottom"/>
          </w:tcPr>
          <w:p>
            <w:pPr>
              <w:ind w:left="60"/>
              <w:spacing w:after="0" w:line="304"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w:t>
            </w:r>
          </w:p>
        </w:tc>
        <w:tc>
          <w:tcPr>
            <w:tcW w:w="1600" w:type="dxa"/>
            <w:vAlign w:val="bottom"/>
            <w:gridSpan w:val="5"/>
          </w:tcPr>
          <w:p>
            <w:pPr>
              <w:jc w:val="right"/>
              <w:spacing w:after="0" w:line="304"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w:t>
            </w:r>
            <w:r>
              <w:rPr>
                <w:rFonts w:ascii="Arial" w:cs="Arial" w:eastAsia="Arial" w:hAnsi="Arial"/>
                <w:sz w:val="16"/>
                <w:szCs w:val="16"/>
                <w:color w:val="auto"/>
              </w:rPr>
              <w:t>​ 3,818,640</w:t>
            </w:r>
            <w:r>
              <w:rPr>
                <w:rFonts w:ascii="Arial" w:cs="Arial" w:eastAsia="Arial" w:hAnsi="Arial"/>
                <w:sz w:val="32"/>
                <w:szCs w:val="32"/>
                <w:color w:val="auto"/>
                <w:vertAlign w:val="subscript"/>
              </w:rPr>
              <w:t>​​​</w:t>
            </w:r>
          </w:p>
        </w:tc>
        <w:tc>
          <w:tcPr>
            <w:tcW w:w="820" w:type="dxa"/>
            <w:vAlign w:val="bottom"/>
            <w:gridSpan w:val="3"/>
          </w:tcPr>
          <w:p>
            <w:pPr>
              <w:jc w:val="right"/>
              <w:spacing w:after="0" w:line="304"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 5.04%</w:t>
            </w:r>
            <w:r>
              <w:rPr>
                <w:rFonts w:ascii="Arial" w:cs="Arial" w:eastAsia="Arial" w:hAnsi="Arial"/>
                <w:sz w:val="32"/>
                <w:szCs w:val="32"/>
                <w:color w:val="auto"/>
                <w:vertAlign w:val="subscript"/>
              </w:rPr>
              <w:t>​</w:t>
            </w:r>
          </w:p>
        </w:tc>
      </w:tr>
      <w:tr>
        <w:trPr>
          <w:trHeight w:val="20"/>
        </w:trPr>
        <w:tc>
          <w:tcPr>
            <w:tcW w:w="544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1F2668"/>
          </w:tcPr>
          <w:p>
            <w:pPr>
              <w:spacing w:after="0" w:line="20" w:lineRule="exact"/>
              <w:rPr>
                <w:sz w:val="1"/>
                <w:szCs w:val="1"/>
                <w:color w:val="auto"/>
              </w:rPr>
            </w:pPr>
          </w:p>
        </w:tc>
        <w:tc>
          <w:tcPr>
            <w:tcW w:w="740" w:type="dxa"/>
            <w:vAlign w:val="bottom"/>
            <w:shd w:val="clear" w:color="auto" w:fill="1F2668"/>
          </w:tcPr>
          <w:p>
            <w:pPr>
              <w:spacing w:after="0" w:line="20" w:lineRule="exact"/>
              <w:rPr>
                <w:sz w:val="1"/>
                <w:szCs w:val="1"/>
                <w:color w:val="auto"/>
              </w:rPr>
            </w:pPr>
          </w:p>
        </w:tc>
        <w:tc>
          <w:tcPr>
            <w:tcW w:w="160" w:type="dxa"/>
            <w:vAlign w:val="bottom"/>
            <w:tcBorders>
              <w:right w:val="single" w:sz="8" w:color="1F2668"/>
            </w:tcBorders>
          </w:tcPr>
          <w:p>
            <w:pPr>
              <w:spacing w:after="0" w:line="20" w:lineRule="exact"/>
              <w:rPr>
                <w:sz w:val="1"/>
                <w:szCs w:val="1"/>
                <w:color w:val="auto"/>
              </w:rPr>
            </w:pPr>
          </w:p>
        </w:tc>
        <w:tc>
          <w:tcPr>
            <w:tcW w:w="160" w:type="dxa"/>
            <w:vAlign w:val="bottom"/>
            <w:shd w:val="clear" w:color="auto" w:fill="1F2668"/>
          </w:tcPr>
          <w:p>
            <w:pPr>
              <w:spacing w:after="0" w:line="20" w:lineRule="exact"/>
              <w:rPr>
                <w:sz w:val="1"/>
                <w:szCs w:val="1"/>
                <w:color w:val="auto"/>
              </w:rPr>
            </w:pPr>
          </w:p>
        </w:tc>
        <w:tc>
          <w:tcPr>
            <w:tcW w:w="54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1F2668"/>
          </w:tcPr>
          <w:p>
            <w:pPr>
              <w:spacing w:after="0" w:line="20" w:lineRule="exact"/>
              <w:rPr>
                <w:sz w:val="1"/>
                <w:szCs w:val="1"/>
                <w:color w:val="auto"/>
              </w:rPr>
            </w:pPr>
          </w:p>
        </w:tc>
        <w:tc>
          <w:tcPr>
            <w:tcW w:w="760" w:type="dxa"/>
            <w:vAlign w:val="bottom"/>
            <w:shd w:val="clear" w:color="auto" w:fill="1F266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1F2668"/>
          </w:tcPr>
          <w:p>
            <w:pPr>
              <w:spacing w:after="0" w:line="20" w:lineRule="exact"/>
              <w:rPr>
                <w:sz w:val="1"/>
                <w:szCs w:val="1"/>
                <w:color w:val="auto"/>
              </w:rPr>
            </w:pPr>
          </w:p>
        </w:tc>
        <w:tc>
          <w:tcPr>
            <w:tcW w:w="460" w:type="dxa"/>
            <w:vAlign w:val="bottom"/>
            <w:shd w:val="clear" w:color="auto" w:fill="1F266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4" w:lineRule="exact"/>
        <w:rPr>
          <w:sz w:val="20"/>
          <w:szCs w:val="20"/>
          <w:color w:val="auto"/>
        </w:rPr>
      </w:pPr>
    </w:p>
    <w:p>
      <w:pPr>
        <w:ind w:left="1180" w:hanging="364"/>
        <w:spacing w:after="0"/>
        <w:tabs>
          <w:tab w:leader="none" w:pos="118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96" w:lineRule="exact"/>
        <w:rPr>
          <w:sz w:val="20"/>
          <w:szCs w:val="20"/>
          <w:color w:val="auto"/>
        </w:rPr>
      </w:pPr>
    </w:p>
    <w:p>
      <w:pPr>
        <w:ind w:left="1180" w:hanging="364"/>
        <w:spacing w:after="0"/>
        <w:tabs>
          <w:tab w:leader="none" w:pos="118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Unless otherwise indicated, the business address is One Vanderbilt Avenue, New York, New York 10017-3852.</w:t>
      </w:r>
    </w:p>
    <w:p>
      <w:pPr>
        <w:spacing w:after="0" w:line="96" w:lineRule="exact"/>
        <w:rPr>
          <w:sz w:val="20"/>
          <w:szCs w:val="20"/>
          <w:color w:val="auto"/>
        </w:rPr>
      </w:pPr>
    </w:p>
    <w:p>
      <w:pPr>
        <w:ind w:left="1180" w:right="60" w:hanging="364"/>
        <w:spacing w:after="0" w:line="273" w:lineRule="auto"/>
        <w:tabs>
          <w:tab w:leader="none" w:pos="118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The number of shares of common stock “beneficially owned” by each beneficial owner is determined under rules issued by the SEC regarding the beneficial ownership of securities. This information is not necessarily indicative of beneficial ownership for any other purpose. “Number of Shares Beneficially Owned” includes shares of common stock that may be acquired upon the exercise of options that are exercisable on or within 60 days after March 31, 2025. The “Number of Shares and Units Beneficially Owned” includes all shares included in the “Number of Shares Beneficially Owned” column plus (i) the number of shares of common stock for which common units and LTIP units may be redeemed (assuming, in the case of LTIP units, that they have first been converted into common units) regardless of whether such common units and LTIP units are currently redeemable, but excluding unearned performance-based LTIP units and (ii) the number of shares of common stock issuable upon settlement of outstanding phantom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66040</wp:posOffset>
            </wp:positionV>
            <wp:extent cx="6831965"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98" w:name="page99"/>
    <w:bookmarkEnd w:id="9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p>
      <w:pPr>
        <w:ind w:left="820"/>
        <w:spacing w:after="0"/>
        <w:tabs>
          <w:tab w:leader="none" w:pos="1440" w:val="left"/>
          <w:tab w:leader="none" w:pos="9860" w:val="left"/>
        </w:tabs>
        <w:rPr>
          <w:sz w:val="20"/>
          <w:szCs w:val="20"/>
          <w:color w:val="auto"/>
        </w:rPr>
      </w:pPr>
      <w:r>
        <w:rPr>
          <w:rFonts w:ascii="Arial" w:cs="Arial" w:eastAsia="Arial" w:hAnsi="Arial"/>
          <w:sz w:val="22"/>
          <w:szCs w:val="22"/>
          <w:b w:val="1"/>
          <w:bCs w:val="1"/>
          <w:color w:val="1F2668"/>
        </w:rPr>
        <w:t>​96</w:t>
      </w:r>
      <w:r>
        <w:rPr>
          <w:sz w:val="20"/>
          <w:szCs w:val="20"/>
          <w:color w:val="auto"/>
        </w:rPr>
        <w:tab/>
      </w:r>
      <w:r>
        <w:rPr>
          <w:rFonts w:ascii="Arial" w:cs="Arial" w:eastAsia="Arial" w:hAnsi="Arial"/>
          <w:sz w:val="22"/>
          <w:szCs w:val="22"/>
          <w:b w:val="1"/>
          <w:bCs w:val="1"/>
          <w:color w:val="1F2668"/>
        </w:rPr>
        <w:t xml:space="preserve">​ ​ </w:t>
      </w:r>
      <w:r>
        <w:rPr>
          <w:rFonts w:ascii="Arial" w:cs="Arial" w:eastAsia="Arial" w:hAnsi="Arial"/>
          <w:sz w:val="14"/>
          <w:szCs w:val="14"/>
          <w:b w:val="1"/>
          <w:bCs w:val="1"/>
          <w:color w:val="1F2668"/>
        </w:rPr>
        <w:t>SL GREEN REALTY CORP. 2025 PROXY STATEMENT</w:t>
      </w:r>
      <w:r>
        <w:rPr>
          <w:sz w:val="20"/>
          <w:szCs w:val="20"/>
          <w:color w:val="auto"/>
        </w:rPr>
        <w:tab/>
      </w:r>
      <w:r>
        <w:rPr>
          <w:rFonts w:ascii="Arial" w:cs="Arial" w:eastAsia="Arial" w:hAnsi="Arial"/>
          <w:sz w:val="22"/>
          <w:szCs w:val="22"/>
          <w:b w:val="1"/>
          <w:bCs w:val="1"/>
          <w:color w:val="1F2668"/>
        </w:rPr>
        <w:t>​</w:t>
      </w:r>
    </w:p>
    <w:p>
      <w:pPr>
        <w:spacing w:after="0" w:line="200" w:lineRule="exact"/>
        <w:rPr>
          <w:sz w:val="20"/>
          <w:szCs w:val="20"/>
          <w:color w:val="auto"/>
        </w:rPr>
      </w:pPr>
    </w:p>
    <w:p>
      <w:pPr>
        <w:spacing w:after="0" w:line="295" w:lineRule="exact"/>
        <w:rPr>
          <w:sz w:val="20"/>
          <w:szCs w:val="20"/>
          <w:color w:val="auto"/>
        </w:rPr>
      </w:pPr>
    </w:p>
    <w:p>
      <w:pPr>
        <w:ind w:left="1180" w:right="100"/>
        <w:spacing w:after="0" w:line="275" w:lineRule="auto"/>
        <w:rPr>
          <w:sz w:val="20"/>
          <w:szCs w:val="20"/>
          <w:color w:val="auto"/>
        </w:rPr>
      </w:pPr>
      <w:r>
        <w:rPr>
          <w:rFonts w:ascii="Arial" w:cs="Arial" w:eastAsia="Arial" w:hAnsi="Arial"/>
          <w:sz w:val="14"/>
          <w:szCs w:val="14"/>
          <w:color w:val="auto"/>
        </w:rPr>
        <w:t>Class O LTIP units are not included in the “Number of Shares and Units Beneficially Owned.” Class O LTIP units are not economically equivalent to common units, but vested Class O LTIP units may be converted in a manner similar to a net exercise of a stock option into a number of common units that will vary based on the value of the common units upon conversion and the conversion threshold for the Class O LTIP units. Common units are generally redeemable by the holder for cash or, at our election, on a one-for-one basis into shares of our common stock. LTIP units, subject to the satisfaction of certain conditions, may be converted on a one-for-one basis into common units. Holders of common units, LTIP units and phantom units are not entitled to vote such units on any of the matters presented at the 2025 Annual Meeting.</w:t>
      </w:r>
    </w:p>
    <w:p>
      <w:pPr>
        <w:spacing w:after="0" w:line="45" w:lineRule="exact"/>
        <w:rPr>
          <w:sz w:val="20"/>
          <w:szCs w:val="20"/>
          <w:color w:val="auto"/>
        </w:rPr>
      </w:pPr>
    </w:p>
    <w:p>
      <w:pPr>
        <w:ind w:left="1180" w:right="60" w:hanging="364"/>
        <w:spacing w:after="0" w:line="273" w:lineRule="auto"/>
        <w:tabs>
          <w:tab w:leader="none" w:pos="118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The total number of shares outstanding used in calculating the percentage of common stock held by each person assumes the exercise of all options to acquire shares of common stock that are exercisable on or within 60 days after March 31, 2025 held by the beneficial owner and that no options held by other beneficial owners are exercised. The total number of shares and units outstanding used in calculating the percentage of common stock and units held by each person (a) assumes that all common units and LTIP units (other than unearned performance-based LTIP units) are vested in full and presented (assuming conversion in full into common units, if applicable) to our operating partnership for redemption and are acquired by us for shares of common stock, (b) does not separately include outstanding common units held by us, as these common units are already reflected in the denominator by the inclusion of all outstanding shares of common stock and (c) assumes the exercise of all options to acquire shares of common stock that are exercisable on or within 60 days after March 31, 2025 and settlement for an equal number of shares of common stock of all phantom units held by the beneficial owner and that no options or phantom units held by other beneficial owners are exercised or settled.</w:t>
      </w:r>
    </w:p>
    <w:p>
      <w:pPr>
        <w:spacing w:after="0" w:line="45" w:lineRule="exact"/>
        <w:rPr>
          <w:rFonts w:ascii="Arial" w:cs="Arial" w:eastAsia="Arial" w:hAnsi="Arial"/>
          <w:sz w:val="14"/>
          <w:szCs w:val="14"/>
          <w:color w:val="auto"/>
        </w:rPr>
      </w:pPr>
    </w:p>
    <w:p>
      <w:pPr>
        <w:jc w:val="both"/>
        <w:ind w:left="1180" w:right="80" w:hanging="364"/>
        <w:spacing w:after="0" w:line="283" w:lineRule="auto"/>
        <w:tabs>
          <w:tab w:leader="none" w:pos="118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Based on information provided on a Schedule 13G/A filed with the SEC on January 19, 2024, as of December 31, 2023, by BlackRock, Inc. BlackRock, Inc. reported sole voting power with respect to 11,764,248 shares and sole dispositive power with respect to 12,405,640 shares. The business address for BlackRock, Inc. is 50 Hudson Yards, New York, NY 10001.</w:t>
      </w:r>
    </w:p>
    <w:p>
      <w:pPr>
        <w:spacing w:after="0" w:line="37" w:lineRule="exact"/>
        <w:rPr>
          <w:rFonts w:ascii="Arial" w:cs="Arial" w:eastAsia="Arial" w:hAnsi="Arial"/>
          <w:sz w:val="14"/>
          <w:szCs w:val="14"/>
          <w:color w:val="auto"/>
        </w:rPr>
      </w:pPr>
    </w:p>
    <w:p>
      <w:pPr>
        <w:ind w:left="1180" w:right="80" w:hanging="364"/>
        <w:spacing w:after="0" w:line="282" w:lineRule="auto"/>
        <w:tabs>
          <w:tab w:leader="none" w:pos="118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Based on information provided on a Schedule 13G/A filed with the SEC on February 13, 2024, as of December 29, 2023, by The Vanguard Group, or Vanguard. Vanguard reported shared voting power with respect to 96,950 shares, sole dispositive power with respect to 10,160,385 shares and shared dispositive power with respect to 164,560 shares. The business address of Vanguard is 100 Vanguard Blvd., Malvern, PA 19355.</w:t>
      </w:r>
    </w:p>
    <w:p>
      <w:pPr>
        <w:spacing w:after="0" w:line="39" w:lineRule="exact"/>
        <w:rPr>
          <w:rFonts w:ascii="Arial" w:cs="Arial" w:eastAsia="Arial" w:hAnsi="Arial"/>
          <w:sz w:val="14"/>
          <w:szCs w:val="14"/>
          <w:color w:val="auto"/>
        </w:rPr>
      </w:pPr>
    </w:p>
    <w:p>
      <w:pPr>
        <w:jc w:val="both"/>
        <w:ind w:left="1180" w:right="340" w:hanging="364"/>
        <w:spacing w:after="0" w:line="283" w:lineRule="auto"/>
        <w:tabs>
          <w:tab w:leader="none" w:pos="118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Based on information provided on a Schedule 13G/A filed with the SEC on January 30, 2024 as of December 31, 2023, by State Street Corporation. State Street Corporation reported shared voting power with respect to 3,533,781 shares and shared dispositive power with respect to 4,417,247 shares. The business address for State Street Corporation is One Congress Street, Suite 1, Boston, MA 02114.</w:t>
      </w:r>
    </w:p>
    <w:p>
      <w:pPr>
        <w:spacing w:after="0" w:line="37" w:lineRule="exact"/>
        <w:rPr>
          <w:rFonts w:ascii="Arial" w:cs="Arial" w:eastAsia="Arial" w:hAnsi="Arial"/>
          <w:sz w:val="14"/>
          <w:szCs w:val="14"/>
          <w:color w:val="auto"/>
        </w:rPr>
      </w:pPr>
    </w:p>
    <w:p>
      <w:pPr>
        <w:ind w:left="1180" w:hanging="364"/>
        <w:spacing w:after="0"/>
        <w:tabs>
          <w:tab w:leader="none" w:pos="118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Includes, only under the “Number of Shares and Units Beneficially Owned” column, 16,496 phantom units.</w:t>
      </w:r>
    </w:p>
    <w:p>
      <w:pPr>
        <w:spacing w:after="0" w:line="82" w:lineRule="exact"/>
        <w:rPr>
          <w:rFonts w:ascii="Arial" w:cs="Arial" w:eastAsia="Arial" w:hAnsi="Arial"/>
          <w:sz w:val="14"/>
          <w:szCs w:val="14"/>
          <w:color w:val="auto"/>
        </w:rPr>
      </w:pPr>
    </w:p>
    <w:p>
      <w:pPr>
        <w:ind w:left="1180" w:hanging="364"/>
        <w:spacing w:after="0"/>
        <w:tabs>
          <w:tab w:leader="none" w:pos="118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Includes, only under the “Number of Shares and Units Beneficially Owned” column, 9,784 phantom units.</w:t>
      </w:r>
    </w:p>
    <w:p>
      <w:pPr>
        <w:spacing w:after="0" w:line="95" w:lineRule="exact"/>
        <w:rPr>
          <w:rFonts w:ascii="Arial" w:cs="Arial" w:eastAsia="Arial" w:hAnsi="Arial"/>
          <w:sz w:val="14"/>
          <w:szCs w:val="14"/>
          <w:color w:val="auto"/>
        </w:rPr>
      </w:pPr>
    </w:p>
    <w:p>
      <w:pPr>
        <w:ind w:left="1180" w:right="400" w:hanging="364"/>
        <w:spacing w:after="0" w:line="305" w:lineRule="auto"/>
        <w:tabs>
          <w:tab w:leader="none" w:pos="118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Includes, only under the “Number of Shares and Units Beneficially Owned” column, 252,727 LTIP units (of which 81,801 LTIP units are subject to vesting). The totals exclude 15,000 Class O LTIP units and all unearned performance-based LTIP units.</w:t>
      </w:r>
    </w:p>
    <w:p>
      <w:pPr>
        <w:spacing w:after="0" w:line="22" w:lineRule="exact"/>
        <w:rPr>
          <w:rFonts w:ascii="Arial" w:cs="Arial" w:eastAsia="Arial" w:hAnsi="Arial"/>
          <w:sz w:val="14"/>
          <w:szCs w:val="14"/>
          <w:color w:val="auto"/>
        </w:rPr>
      </w:pPr>
    </w:p>
    <w:p>
      <w:pPr>
        <w:ind w:left="1180" w:hanging="364"/>
        <w:spacing w:after="0"/>
        <w:tabs>
          <w:tab w:leader="none" w:pos="118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Includes, only under the “Number of Shares and Units Beneficially Owned” column, 34,006 phantom units.</w:t>
      </w:r>
    </w:p>
    <w:p>
      <w:pPr>
        <w:spacing w:after="0" w:line="95" w:lineRule="exact"/>
        <w:rPr>
          <w:rFonts w:ascii="Arial" w:cs="Arial" w:eastAsia="Arial" w:hAnsi="Arial"/>
          <w:sz w:val="14"/>
          <w:szCs w:val="14"/>
          <w:color w:val="auto"/>
        </w:rPr>
      </w:pPr>
    </w:p>
    <w:p>
      <w:pPr>
        <w:ind w:left="1180" w:right="140" w:hanging="364"/>
        <w:spacing w:after="0" w:line="305" w:lineRule="auto"/>
        <w:tabs>
          <w:tab w:leader="none" w:pos="118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Includes, only under the “Number of Shares and Units Beneficially Owned” column, 658,697 common units, 167,134 LTIP units and 28,329 phantom units.</w:t>
      </w:r>
    </w:p>
    <w:p>
      <w:pPr>
        <w:spacing w:after="0" w:line="22" w:lineRule="exact"/>
        <w:rPr>
          <w:rFonts w:ascii="Arial" w:cs="Arial" w:eastAsia="Arial" w:hAnsi="Arial"/>
          <w:sz w:val="14"/>
          <w:szCs w:val="14"/>
          <w:color w:val="auto"/>
        </w:rPr>
      </w:pPr>
    </w:p>
    <w:p>
      <w:pPr>
        <w:jc w:val="both"/>
        <w:ind w:left="1180" w:right="180" w:hanging="364"/>
        <w:spacing w:after="0" w:line="283" w:lineRule="auto"/>
        <w:tabs>
          <w:tab w:leader="none" w:pos="118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Includes, only under the “Number of Shares and Units Beneficially Owned” column, 1,374,320 LTIP units (of which 424,229 LTIP units are subject to vesting). The totals exclude 322,917 Class O LTIP units, of which 217,917 are subject to performance-based vesting conditions, and all unearned performance-based LTIP units.</w:t>
      </w:r>
    </w:p>
    <w:p>
      <w:pPr>
        <w:spacing w:after="0" w:line="37" w:lineRule="exact"/>
        <w:rPr>
          <w:rFonts w:ascii="Arial" w:cs="Arial" w:eastAsia="Arial" w:hAnsi="Arial"/>
          <w:sz w:val="14"/>
          <w:szCs w:val="14"/>
          <w:color w:val="auto"/>
        </w:rPr>
      </w:pPr>
    </w:p>
    <w:p>
      <w:pPr>
        <w:ind w:left="1180" w:hanging="364"/>
        <w:spacing w:after="0"/>
        <w:tabs>
          <w:tab w:leader="none" w:pos="118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Includes, only under the “Number of Shares and Units Beneficially Owned” column, 4,083 phantom units.</w:t>
      </w:r>
    </w:p>
    <w:p>
      <w:pPr>
        <w:spacing w:after="0" w:line="95" w:lineRule="exact"/>
        <w:rPr>
          <w:rFonts w:ascii="Arial" w:cs="Arial" w:eastAsia="Arial" w:hAnsi="Arial"/>
          <w:sz w:val="14"/>
          <w:szCs w:val="14"/>
          <w:color w:val="auto"/>
        </w:rPr>
      </w:pPr>
    </w:p>
    <w:p>
      <w:pPr>
        <w:ind w:left="1180" w:right="400" w:hanging="364"/>
        <w:spacing w:after="0" w:line="305" w:lineRule="auto"/>
        <w:tabs>
          <w:tab w:leader="none" w:pos="118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Includes, only under the “Number of Shares and Units Beneficially Owned” column, 219,302 LTIP units (of which 48,342 LTIP units are subject to vesting). The totals exclude 15,000 Class O LTIP units and all unearned performance-based LTIP units.</w:t>
      </w:r>
    </w:p>
    <w:p>
      <w:pPr>
        <w:spacing w:after="0" w:line="22" w:lineRule="exact"/>
        <w:rPr>
          <w:rFonts w:ascii="Arial" w:cs="Arial" w:eastAsia="Arial" w:hAnsi="Arial"/>
          <w:sz w:val="14"/>
          <w:szCs w:val="14"/>
          <w:color w:val="auto"/>
        </w:rPr>
      </w:pPr>
    </w:p>
    <w:p>
      <w:pPr>
        <w:ind w:left="1180" w:right="240" w:hanging="364"/>
        <w:spacing w:after="0" w:line="305" w:lineRule="auto"/>
        <w:tabs>
          <w:tab w:leader="none" w:pos="118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Includes, only under the “Number of Shares and Units Beneficially Owned” column, 1,003,459 LTIP units. The totals exclude all unearned performance-based LTIP units.</w:t>
      </w:r>
    </w:p>
    <w:p>
      <w:pPr>
        <w:spacing w:after="0" w:line="22" w:lineRule="exact"/>
        <w:rPr>
          <w:rFonts w:ascii="Arial" w:cs="Arial" w:eastAsia="Arial" w:hAnsi="Arial"/>
          <w:sz w:val="14"/>
          <w:szCs w:val="14"/>
          <w:color w:val="auto"/>
        </w:rPr>
      </w:pPr>
    </w:p>
    <w:p>
      <w:pPr>
        <w:ind w:left="1180" w:right="160" w:hanging="364"/>
        <w:spacing w:after="0" w:line="283" w:lineRule="auto"/>
        <w:tabs>
          <w:tab w:leader="none" w:pos="118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Includes an aggregate of 50,302 shares of common stock. Also includes, only under the “Number of Shares and Units Beneficially Owned” column, 658,697 common units, 3,016,942 LTIP units and 92,699 phantom units. See also Notes (6) — (14) above. Excludes unearned performance-based LTIP units and Class O LTIP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2100580</wp:posOffset>
            </wp:positionV>
            <wp:extent cx="6831965"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99" w:name="page100"/>
    <w:bookmarkEnd w:id="9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5320" w:type="dxa"/>
            <w:vAlign w:val="bottom"/>
          </w:tcPr>
          <w:p>
            <w:pPr>
              <w:spacing w:after="0"/>
              <w:rPr>
                <w:sz w:val="20"/>
                <w:szCs w:val="20"/>
                <w:color w:val="auto"/>
              </w:rPr>
            </w:pPr>
            <w:r>
              <w:rPr>
                <w:rFonts w:ascii="Arial" w:cs="Arial" w:eastAsia="Arial" w:hAnsi="Arial"/>
                <w:sz w:val="14"/>
                <w:szCs w:val="14"/>
                <w:b w:val="1"/>
                <w:bCs w:val="1"/>
                <w:color w:val="auto"/>
              </w:rPr>
              <w:t>​</w:t>
            </w:r>
          </w:p>
        </w:tc>
        <w:tc>
          <w:tcPr>
            <w:tcW w:w="3260" w:type="dxa"/>
            <w:vAlign w:val="bottom"/>
          </w:tcPr>
          <w:p>
            <w:pPr>
              <w:ind w:left="2880"/>
              <w:spacing w:after="0"/>
              <w:rPr>
                <w:sz w:val="20"/>
                <w:szCs w:val="20"/>
                <w:color w:val="auto"/>
              </w:rPr>
            </w:pPr>
            <w:r>
              <w:rPr>
                <w:rFonts w:ascii="Arial" w:cs="Arial" w:eastAsia="Arial" w:hAnsi="Arial"/>
                <w:sz w:val="14"/>
                <w:szCs w:val="14"/>
                <w:b w:val="1"/>
                <w:bCs w:val="1"/>
                <w:color w:val="auto"/>
              </w:rPr>
              <w:t>​ ​</w:t>
            </w:r>
          </w:p>
        </w:tc>
        <w:tc>
          <w:tcPr>
            <w:tcW w:w="480" w:type="dxa"/>
            <w:vAlign w:val="bottom"/>
            <w:vMerge w:val="restart"/>
          </w:tcPr>
          <w:p>
            <w:pPr>
              <w:jc w:val="right"/>
              <w:spacing w:after="0"/>
              <w:rPr>
                <w:sz w:val="20"/>
                <w:szCs w:val="20"/>
                <w:color w:val="auto"/>
              </w:rPr>
            </w:pPr>
            <w:r>
              <w:rPr>
                <w:rFonts w:ascii="Arial" w:cs="Arial" w:eastAsia="Arial" w:hAnsi="Arial"/>
                <w:sz w:val="22"/>
                <w:szCs w:val="22"/>
                <w:b w:val="1"/>
                <w:bCs w:val="1"/>
                <w:color w:val="1F2668"/>
              </w:rPr>
              <w:t>97</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5320" w:type="dxa"/>
            <w:vAlign w:val="bottom"/>
          </w:tcPr>
          <w:p>
            <w:pPr>
              <w:spacing w:after="0"/>
              <w:rPr>
                <w:sz w:val="20"/>
                <w:szCs w:val="20"/>
                <w:color w:val="auto"/>
              </w:rPr>
            </w:pPr>
            <w:r>
              <w:rPr>
                <w:rFonts w:ascii="Arial" w:cs="Arial" w:eastAsia="Arial" w:hAnsi="Arial"/>
                <w:sz w:val="14"/>
                <w:szCs w:val="14"/>
                <w:b w:val="1"/>
                <w:bCs w:val="1"/>
                <w:color w:val="auto"/>
              </w:rPr>
              <w:t>STOCK OWNERSHIP INFORMATION</w:t>
            </w:r>
          </w:p>
        </w:tc>
        <w:tc>
          <w:tcPr>
            <w:tcW w:w="326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38"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Series I Preferred Stock</w:t>
      </w:r>
    </w:p>
    <w:p>
      <w:pPr>
        <w:spacing w:after="0" w:line="133" w:lineRule="exact"/>
        <w:rPr>
          <w:sz w:val="20"/>
          <w:szCs w:val="20"/>
          <w:color w:val="auto"/>
        </w:rPr>
      </w:pPr>
    </w:p>
    <w:p>
      <w:pPr>
        <w:ind w:left="820" w:right="120"/>
        <w:spacing w:after="0" w:line="291" w:lineRule="auto"/>
        <w:rPr>
          <w:sz w:val="20"/>
          <w:szCs w:val="20"/>
          <w:color w:val="auto"/>
        </w:rPr>
      </w:pPr>
      <w:r>
        <w:rPr>
          <w:rFonts w:ascii="Arial" w:cs="Arial" w:eastAsia="Arial" w:hAnsi="Arial"/>
          <w:sz w:val="16"/>
          <w:szCs w:val="16"/>
          <w:color w:val="auto"/>
        </w:rPr>
        <w:t>The following table sets forth the beneficial ownership of our Series I Cumulative Redeemable Preferred Stock, $0.01 par value, as of March 31, 2025, for (i) each of our directors, (ii) each of our named executive officers who is not a director and (iii) our directors and executive officers as a group. None of our executive officers or directors own any shares of our Series I Cumulative Redeemable Preferred Stock except as set forth below. As of March 31, 2025, there were 9,200,000 shares of our Series I Cumulative Redeemable Preferred Stock outstanding.</w:t>
      </w:r>
    </w:p>
    <w:p>
      <w:pPr>
        <w:spacing w:after="0" w:line="158"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7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3"/>
          </w:tcPr>
          <w:p>
            <w:pPr>
              <w:jc w:val="center"/>
              <w:ind w:right="21"/>
              <w:spacing w:after="0"/>
              <w:rPr>
                <w:sz w:val="20"/>
                <w:szCs w:val="20"/>
                <w:color w:val="auto"/>
              </w:rPr>
            </w:pPr>
            <w:r>
              <w:rPr>
                <w:rFonts w:ascii="Arial" w:cs="Arial" w:eastAsia="Arial" w:hAnsi="Arial"/>
                <w:sz w:val="14"/>
                <w:szCs w:val="14"/>
                <w:b w:val="1"/>
                <w:bCs w:val="1"/>
                <w:color w:val="1F2668"/>
              </w:rPr>
              <w:t>Series I Cumulative</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7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3"/>
          </w:tcPr>
          <w:p>
            <w:pPr>
              <w:jc w:val="center"/>
              <w:ind w:right="21"/>
              <w:spacing w:after="0"/>
              <w:rPr>
                <w:sz w:val="20"/>
                <w:szCs w:val="20"/>
                <w:color w:val="auto"/>
              </w:rPr>
            </w:pPr>
            <w:r>
              <w:rPr>
                <w:rFonts w:ascii="Arial" w:cs="Arial" w:eastAsia="Arial" w:hAnsi="Arial"/>
                <w:sz w:val="14"/>
                <w:szCs w:val="14"/>
                <w:b w:val="1"/>
                <w:bCs w:val="1"/>
                <w:color w:val="1F2668"/>
                <w:w w:val="99"/>
              </w:rPr>
              <w:t>Redeemable</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5"/>
        </w:trPr>
        <w:tc>
          <w:tcPr>
            <w:tcW w:w="7160" w:type="dxa"/>
            <w:vAlign w:val="bottom"/>
          </w:tcPr>
          <w:p>
            <w:pPr>
              <w:spacing w:after="0"/>
              <w:rPr>
                <w:sz w:val="20"/>
                <w:szCs w:val="20"/>
                <w:color w:val="auto"/>
              </w:rPr>
            </w:pPr>
            <w:r>
              <w:rPr>
                <w:rFonts w:ascii="Arial" w:cs="Arial" w:eastAsia="Arial" w:hAnsi="Arial"/>
                <w:sz w:val="14"/>
                <w:szCs w:val="14"/>
                <w:b w:val="1"/>
                <w:bCs w:val="1"/>
                <w:color w:val="1F2668"/>
              </w:rPr>
              <w:t>​</w:t>
            </w:r>
          </w:p>
        </w:tc>
        <w:tc>
          <w:tcPr>
            <w:tcW w:w="2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1F2668"/>
              </w:rPr>
              <w:t>​​</w:t>
            </w:r>
          </w:p>
        </w:tc>
        <w:tc>
          <w:tcPr>
            <w:tcW w:w="140" w:type="dxa"/>
            <w:vAlign w:val="bottom"/>
          </w:tcPr>
          <w:p>
            <w:pPr>
              <w:spacing w:after="0"/>
              <w:rPr>
                <w:sz w:val="19"/>
                <w:szCs w:val="19"/>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1F2668"/>
              </w:rPr>
              <w:t>Preferred Stock</w:t>
            </w:r>
          </w:p>
        </w:tc>
        <w:tc>
          <w:tcPr>
            <w:tcW w:w="16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1F2668"/>
              </w:rPr>
              <w:t>​</w:t>
            </w:r>
          </w:p>
        </w:tc>
      </w:tr>
      <w:tr>
        <w:trPr>
          <w:trHeight w:val="200"/>
        </w:trPr>
        <w:tc>
          <w:tcPr>
            <w:tcW w:w="7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1F2668"/>
            </w:tcBorders>
          </w:tcPr>
          <w:p>
            <w:pPr>
              <w:spacing w:after="0"/>
              <w:rPr>
                <w:sz w:val="17"/>
                <w:szCs w:val="17"/>
                <w:color w:val="auto"/>
              </w:rPr>
            </w:pPr>
          </w:p>
        </w:tc>
        <w:tc>
          <w:tcPr>
            <w:tcW w:w="140" w:type="dxa"/>
            <w:vAlign w:val="bottom"/>
            <w:tcBorders>
              <w:top w:val="single" w:sz="8" w:color="1F2668"/>
            </w:tcBorders>
          </w:tcPr>
          <w:p>
            <w:pPr>
              <w:spacing w:after="0"/>
              <w:rPr>
                <w:sz w:val="17"/>
                <w:szCs w:val="17"/>
                <w:color w:val="auto"/>
              </w:rPr>
            </w:pPr>
          </w:p>
        </w:tc>
        <w:tc>
          <w:tcPr>
            <w:tcW w:w="740" w:type="dxa"/>
            <w:vAlign w:val="bottom"/>
            <w:tcBorders>
              <w:top w:val="single" w:sz="8" w:color="1F2668"/>
            </w:tcBorders>
            <w:gridSpan w:val="2"/>
          </w:tcPr>
          <w:p>
            <w:pPr>
              <w:jc w:val="right"/>
              <w:ind w:right="180"/>
              <w:spacing w:after="0"/>
              <w:rPr>
                <w:sz w:val="20"/>
                <w:szCs w:val="20"/>
                <w:color w:val="auto"/>
              </w:rPr>
            </w:pPr>
            <w:r>
              <w:rPr>
                <w:rFonts w:ascii="Arial" w:cs="Arial" w:eastAsia="Arial" w:hAnsi="Arial"/>
                <w:sz w:val="14"/>
                <w:szCs w:val="14"/>
                <w:b w:val="1"/>
                <w:bCs w:val="1"/>
                <w:color w:val="1F2668"/>
              </w:rPr>
              <w:t>Number</w:t>
            </w:r>
          </w:p>
        </w:tc>
        <w:tc>
          <w:tcPr>
            <w:tcW w:w="660" w:type="dxa"/>
            <w:vAlign w:val="bottom"/>
            <w:tcBorders>
              <w:top w:val="single" w:sz="8" w:color="1F2668"/>
            </w:tcBorders>
          </w:tcPr>
          <w:p>
            <w:pPr>
              <w:spacing w:after="0"/>
              <w:rPr>
                <w:sz w:val="17"/>
                <w:szCs w:val="17"/>
                <w:color w:val="auto"/>
              </w:rPr>
            </w:pPr>
          </w:p>
        </w:tc>
        <w:tc>
          <w:tcPr>
            <w:tcW w:w="160" w:type="dxa"/>
            <w:vAlign w:val="bottom"/>
            <w:tcBorders>
              <w:top w:val="single" w:sz="8" w:color="1F2668"/>
            </w:tcBorders>
          </w:tcPr>
          <w:p>
            <w:pPr>
              <w:spacing w:after="0"/>
              <w:rPr>
                <w:sz w:val="17"/>
                <w:szCs w:val="17"/>
                <w:color w:val="auto"/>
              </w:rPr>
            </w:pPr>
          </w:p>
        </w:tc>
        <w:tc>
          <w:tcPr>
            <w:tcW w:w="60" w:type="dxa"/>
            <w:vAlign w:val="bottom"/>
          </w:tcPr>
          <w:p>
            <w:pPr>
              <w:spacing w:after="0"/>
              <w:rPr>
                <w:sz w:val="17"/>
                <w:szCs w:val="17"/>
                <w:color w:val="auto"/>
              </w:rPr>
            </w:pPr>
          </w:p>
        </w:tc>
      </w:tr>
      <w:tr>
        <w:trPr>
          <w:trHeight w:val="162"/>
        </w:trPr>
        <w:tc>
          <w:tcPr>
            <w:tcW w:w="7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1F2668"/>
              </w:rPr>
              <w:t>of Shares</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7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1F2668"/>
                <w:w w:val="97"/>
              </w:rPr>
              <w:t>Beneficially</w:t>
            </w:r>
          </w:p>
        </w:tc>
        <w:tc>
          <w:tcPr>
            <w:tcW w:w="880" w:type="dxa"/>
            <w:vAlign w:val="bottom"/>
            <w:gridSpan w:val="3"/>
          </w:tcPr>
          <w:p>
            <w:pPr>
              <w:jc w:val="right"/>
              <w:ind w:right="28"/>
              <w:spacing w:after="0"/>
              <w:rPr>
                <w:sz w:val="20"/>
                <w:szCs w:val="20"/>
                <w:color w:val="auto"/>
              </w:rPr>
            </w:pPr>
            <w:r>
              <w:rPr>
                <w:rFonts w:ascii="Arial" w:cs="Arial" w:eastAsia="Arial" w:hAnsi="Arial"/>
                <w:sz w:val="14"/>
                <w:szCs w:val="14"/>
                <w:b w:val="1"/>
                <w:bCs w:val="1"/>
                <w:color w:val="1F2668"/>
              </w:rPr>
              <w:t>Percent of</w:t>
            </w:r>
          </w:p>
        </w:tc>
      </w:tr>
      <w:tr>
        <w:trPr>
          <w:trHeight w:val="225"/>
        </w:trPr>
        <w:tc>
          <w:tcPr>
            <w:tcW w:w="7160" w:type="dxa"/>
            <w:vAlign w:val="bottom"/>
          </w:tcPr>
          <w:p>
            <w:pPr>
              <w:spacing w:after="0"/>
              <w:rPr>
                <w:sz w:val="20"/>
                <w:szCs w:val="20"/>
                <w:color w:val="auto"/>
              </w:rPr>
            </w:pPr>
            <w:r>
              <w:rPr>
                <w:rFonts w:ascii="Arial" w:cs="Arial" w:eastAsia="Arial" w:hAnsi="Arial"/>
                <w:sz w:val="14"/>
                <w:szCs w:val="14"/>
                <w:b w:val="1"/>
                <w:bCs w:val="1"/>
                <w:color w:val="1F2668"/>
              </w:rPr>
              <w:t>Name**</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1F2668"/>
              </w:rPr>
              <w:t>​​</w:t>
            </w:r>
          </w:p>
        </w:tc>
        <w:tc>
          <w:tcPr>
            <w:tcW w:w="140" w:type="dxa"/>
            <w:vAlign w:val="bottom"/>
          </w:tcPr>
          <w:p>
            <w:pPr>
              <w:spacing w:after="0"/>
              <w:rPr>
                <w:sz w:val="19"/>
                <w:szCs w:val="19"/>
                <w:color w:val="auto"/>
              </w:rPr>
            </w:pPr>
          </w:p>
        </w:tc>
        <w:tc>
          <w:tcPr>
            <w:tcW w:w="1620" w:type="dxa"/>
            <w:vAlign w:val="bottom"/>
            <w:gridSpan w:val="5"/>
          </w:tcPr>
          <w:p>
            <w:pPr>
              <w:jc w:val="right"/>
              <w:spacing w:after="0" w:line="225" w:lineRule="exact"/>
              <w:rPr>
                <w:sz w:val="20"/>
                <w:szCs w:val="20"/>
                <w:color w:val="auto"/>
              </w:rPr>
            </w:pPr>
            <w:r>
              <w:rPr>
                <w:rFonts w:ascii="Arial" w:cs="Arial" w:eastAsia="Arial" w:hAnsi="Arial"/>
                <w:sz w:val="14"/>
                <w:szCs w:val="14"/>
                <w:b w:val="1"/>
                <w:bCs w:val="1"/>
                <w:color w:val="1F2668"/>
              </w:rPr>
              <w:t xml:space="preserve">Owned </w:t>
            </w:r>
            <w:r>
              <w:rPr>
                <w:rFonts w:ascii="Arial" w:cs="Arial" w:eastAsia="Arial" w:hAnsi="Arial"/>
                <w:sz w:val="26"/>
                <w:szCs w:val="26"/>
                <w:b w:val="1"/>
                <w:bCs w:val="1"/>
                <w:color w:val="1F2668"/>
                <w:vertAlign w:val="subscript"/>
              </w:rPr>
              <w:t>​​</w:t>
            </w:r>
            <w:r>
              <w:rPr>
                <w:rFonts w:ascii="Arial" w:cs="Arial" w:eastAsia="Arial" w:hAnsi="Arial"/>
                <w:sz w:val="14"/>
                <w:szCs w:val="14"/>
                <w:b w:val="1"/>
                <w:bCs w:val="1"/>
                <w:color w:val="1F2668"/>
              </w:rPr>
              <w:t>Outstanding</w:t>
            </w:r>
            <w:r>
              <w:rPr>
                <w:rFonts w:ascii="Arial" w:cs="Arial" w:eastAsia="Arial" w:hAnsi="Arial"/>
                <w:sz w:val="26"/>
                <w:szCs w:val="26"/>
                <w:b w:val="1"/>
                <w:bCs w:val="1"/>
                <w:color w:val="1F2668"/>
                <w:vertAlign w:val="subscript"/>
              </w:rPr>
              <w:t>​</w:t>
            </w:r>
          </w:p>
        </w:tc>
      </w:tr>
      <w:tr>
        <w:trPr>
          <w:trHeight w:val="20"/>
        </w:trPr>
        <w:tc>
          <w:tcPr>
            <w:tcW w:w="7160" w:type="dxa"/>
            <w:vAlign w:val="bottom"/>
            <w:shd w:val="clear" w:color="auto" w:fill="1F266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1F2668"/>
          </w:tcPr>
          <w:p>
            <w:pPr>
              <w:spacing w:after="0" w:line="20" w:lineRule="exact"/>
              <w:rPr>
                <w:sz w:val="1"/>
                <w:szCs w:val="1"/>
                <w:color w:val="auto"/>
              </w:rPr>
            </w:pPr>
          </w:p>
        </w:tc>
        <w:tc>
          <w:tcPr>
            <w:tcW w:w="140" w:type="dxa"/>
            <w:vAlign w:val="bottom"/>
            <w:shd w:val="clear" w:color="auto" w:fill="1F2668"/>
          </w:tcPr>
          <w:p>
            <w:pPr>
              <w:spacing w:after="0" w:line="20" w:lineRule="exact"/>
              <w:rPr>
                <w:sz w:val="1"/>
                <w:szCs w:val="1"/>
                <w:color w:val="auto"/>
              </w:rPr>
            </w:pPr>
          </w:p>
        </w:tc>
        <w:tc>
          <w:tcPr>
            <w:tcW w:w="600" w:type="dxa"/>
            <w:vAlign w:val="bottom"/>
            <w:shd w:val="clear" w:color="auto" w:fill="1F2668"/>
          </w:tcPr>
          <w:p>
            <w:pPr>
              <w:spacing w:after="0" w:line="20" w:lineRule="exact"/>
              <w:rPr>
                <w:sz w:val="1"/>
                <w:szCs w:val="1"/>
                <w:color w:val="auto"/>
              </w:rPr>
            </w:pPr>
          </w:p>
        </w:tc>
        <w:tc>
          <w:tcPr>
            <w:tcW w:w="140" w:type="dxa"/>
            <w:vAlign w:val="bottom"/>
            <w:tcBorders>
              <w:right w:val="single" w:sz="8" w:color="1F2668"/>
            </w:tcBorders>
          </w:tcPr>
          <w:p>
            <w:pPr>
              <w:spacing w:after="0" w:line="20" w:lineRule="exact"/>
              <w:rPr>
                <w:sz w:val="1"/>
                <w:szCs w:val="1"/>
                <w:color w:val="auto"/>
              </w:rPr>
            </w:pPr>
          </w:p>
        </w:tc>
        <w:tc>
          <w:tcPr>
            <w:tcW w:w="660" w:type="dxa"/>
            <w:vAlign w:val="bottom"/>
            <w:shd w:val="clear" w:color="auto" w:fill="1F2668"/>
          </w:tcPr>
          <w:p>
            <w:pPr>
              <w:spacing w:after="0" w:line="20" w:lineRule="exact"/>
              <w:rPr>
                <w:sz w:val="1"/>
                <w:szCs w:val="1"/>
                <w:color w:val="auto"/>
              </w:rPr>
            </w:pPr>
          </w:p>
        </w:tc>
        <w:tc>
          <w:tcPr>
            <w:tcW w:w="160" w:type="dxa"/>
            <w:vAlign w:val="bottom"/>
            <w:shd w:val="clear" w:color="auto" w:fill="1F266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7160" w:type="dxa"/>
            <w:vAlign w:val="bottom"/>
          </w:tcPr>
          <w:p>
            <w:pPr>
              <w:spacing w:after="0"/>
              <w:rPr>
                <w:sz w:val="20"/>
                <w:szCs w:val="20"/>
                <w:color w:val="auto"/>
              </w:rPr>
            </w:pPr>
            <w:r>
              <w:rPr>
                <w:rFonts w:ascii="Arial" w:cs="Arial" w:eastAsia="Arial" w:hAnsi="Arial"/>
                <w:sz w:val="16"/>
                <w:szCs w:val="16"/>
                <w:b w:val="1"/>
                <w:bCs w:val="1"/>
                <w:color w:val="1F2668"/>
              </w:rPr>
              <w:t>Matthew J. DiLiberto</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ind w:left="80"/>
              <w:spacing w:after="0" w:line="276"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740" w:type="dxa"/>
            <w:vAlign w:val="bottom"/>
            <w:gridSpan w:val="2"/>
          </w:tcPr>
          <w:p>
            <w:pPr>
              <w:jc w:val="right"/>
              <w:spacing w:after="0" w:line="276" w:lineRule="exact"/>
              <w:rPr>
                <w:sz w:val="20"/>
                <w:szCs w:val="20"/>
                <w:color w:val="auto"/>
              </w:rPr>
            </w:pPr>
            <w:r>
              <w:rPr>
                <w:rFonts w:ascii="Arial" w:cs="Arial" w:eastAsia="Arial" w:hAnsi="Arial"/>
                <w:sz w:val="16"/>
                <w:szCs w:val="16"/>
                <w:color w:val="auto"/>
              </w:rPr>
              <w:t>13,000</w:t>
            </w:r>
            <w:r>
              <w:rPr>
                <w:rFonts w:ascii="Arial" w:cs="Arial" w:eastAsia="Arial" w:hAnsi="Arial"/>
                <w:sz w:val="32"/>
                <w:szCs w:val="32"/>
                <w:color w:val="auto"/>
                <w:vertAlign w:val="subscript"/>
              </w:rPr>
              <w:t>​​​</w:t>
            </w:r>
          </w:p>
        </w:tc>
        <w:tc>
          <w:tcPr>
            <w:tcW w:w="660" w:type="dxa"/>
            <w:vAlign w:val="bottom"/>
          </w:tcPr>
          <w:p>
            <w:pPr>
              <w:ind w:left="360"/>
              <w:spacing w:after="0" w:line="276"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220" w:type="dxa"/>
            <w:vAlign w:val="bottom"/>
            <w:gridSpan w:val="2"/>
          </w:tcPr>
          <w:p>
            <w:pPr>
              <w:jc w:val="right"/>
              <w:spacing w:after="0" w:line="276"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w:t>
            </w:r>
          </w:p>
        </w:tc>
      </w:tr>
      <w:tr>
        <w:trPr>
          <w:trHeight w:val="20"/>
        </w:trPr>
        <w:tc>
          <w:tcPr>
            <w:tcW w:w="716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740" w:type="dxa"/>
            <w:vAlign w:val="bottom"/>
            <w:gridSpan w:val="2"/>
            <w:shd w:val="clear" w:color="auto" w:fill="4B508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shd w:val="clear" w:color="auto" w:fill="4B5088"/>
          </w:tcPr>
          <w:p>
            <w:pPr>
              <w:spacing w:after="0" w:line="20" w:lineRule="exact"/>
              <w:rPr>
                <w:sz w:val="1"/>
                <w:szCs w:val="1"/>
                <w:color w:val="auto"/>
              </w:rPr>
            </w:pPr>
          </w:p>
        </w:tc>
        <w:tc>
          <w:tcPr>
            <w:tcW w:w="60" w:type="dxa"/>
            <w:vAlign w:val="bottom"/>
            <w:tcBorders>
              <w:left w:val="single" w:sz="8" w:color="4B5088"/>
            </w:tcBorders>
          </w:tcPr>
          <w:p>
            <w:pPr>
              <w:spacing w:after="0" w:line="20" w:lineRule="exact"/>
              <w:rPr>
                <w:sz w:val="1"/>
                <w:szCs w:val="1"/>
                <w:color w:val="auto"/>
              </w:rPr>
            </w:pPr>
          </w:p>
        </w:tc>
      </w:tr>
      <w:tr>
        <w:trPr>
          <w:trHeight w:val="277"/>
        </w:trPr>
        <w:tc>
          <w:tcPr>
            <w:tcW w:w="7160" w:type="dxa"/>
            <w:vAlign w:val="bottom"/>
          </w:tcPr>
          <w:p>
            <w:pPr>
              <w:spacing w:after="0"/>
              <w:rPr>
                <w:sz w:val="20"/>
                <w:szCs w:val="20"/>
                <w:color w:val="auto"/>
              </w:rPr>
            </w:pPr>
            <w:r>
              <w:rPr>
                <w:rFonts w:ascii="Arial" w:cs="Arial" w:eastAsia="Arial" w:hAnsi="Arial"/>
                <w:sz w:val="16"/>
                <w:szCs w:val="16"/>
                <w:b w:val="1"/>
                <w:bCs w:val="1"/>
                <w:color w:val="1F2668"/>
              </w:rPr>
              <w:t>Marc Holliday</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 111,473</w:t>
            </w:r>
            <w:r>
              <w:rPr>
                <w:rFonts w:ascii="Arial" w:cs="Arial" w:eastAsia="Arial" w:hAnsi="Arial"/>
                <w:sz w:val="32"/>
                <w:szCs w:val="32"/>
                <w:color w:val="auto"/>
                <w:vertAlign w:val="subscript"/>
              </w:rPr>
              <w:t>​​​</w:t>
            </w:r>
          </w:p>
        </w:tc>
        <w:tc>
          <w:tcPr>
            <w:tcW w:w="880" w:type="dxa"/>
            <w:vAlign w:val="bottom"/>
            <w:gridSpan w:val="3"/>
          </w:tcPr>
          <w:p>
            <w:pPr>
              <w:jc w:val="right"/>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​1.21%</w:t>
            </w:r>
            <w:r>
              <w:rPr>
                <w:rFonts w:ascii="Arial" w:cs="Arial" w:eastAsia="Arial" w:hAnsi="Arial"/>
                <w:sz w:val="32"/>
                <w:szCs w:val="32"/>
                <w:color w:val="auto"/>
                <w:vertAlign w:val="subscript"/>
              </w:rPr>
              <w:t>​</w:t>
            </w:r>
          </w:p>
        </w:tc>
      </w:tr>
      <w:tr>
        <w:trPr>
          <w:trHeight w:val="20"/>
        </w:trPr>
        <w:tc>
          <w:tcPr>
            <w:tcW w:w="716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140" w:type="dxa"/>
            <w:vAlign w:val="bottom"/>
            <w:shd w:val="clear" w:color="auto" w:fill="4B5088"/>
          </w:tcPr>
          <w:p>
            <w:pPr>
              <w:spacing w:after="0" w:line="20" w:lineRule="exact"/>
              <w:rPr>
                <w:sz w:val="1"/>
                <w:szCs w:val="1"/>
                <w:color w:val="auto"/>
              </w:rPr>
            </w:pPr>
          </w:p>
        </w:tc>
        <w:tc>
          <w:tcPr>
            <w:tcW w:w="600" w:type="dxa"/>
            <w:vAlign w:val="bottom"/>
            <w:shd w:val="clear" w:color="auto" w:fill="4B508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4B5088"/>
          </w:tcPr>
          <w:p>
            <w:pPr>
              <w:spacing w:after="0" w:line="20" w:lineRule="exact"/>
              <w:rPr>
                <w:sz w:val="1"/>
                <w:szCs w:val="1"/>
                <w:color w:val="auto"/>
              </w:rPr>
            </w:pPr>
          </w:p>
        </w:tc>
        <w:tc>
          <w:tcPr>
            <w:tcW w:w="160" w:type="dxa"/>
            <w:vAlign w:val="bottom"/>
            <w:shd w:val="clear" w:color="auto" w:fill="4B5088"/>
          </w:tcPr>
          <w:p>
            <w:pPr>
              <w:spacing w:after="0" w:line="20" w:lineRule="exact"/>
              <w:rPr>
                <w:sz w:val="1"/>
                <w:szCs w:val="1"/>
                <w:color w:val="auto"/>
              </w:rPr>
            </w:pPr>
          </w:p>
        </w:tc>
        <w:tc>
          <w:tcPr>
            <w:tcW w:w="60" w:type="dxa"/>
            <w:vAlign w:val="bottom"/>
            <w:tcBorders>
              <w:left w:val="single" w:sz="8" w:color="4B5088"/>
            </w:tcBorders>
          </w:tcPr>
          <w:p>
            <w:pPr>
              <w:spacing w:after="0" w:line="20" w:lineRule="exact"/>
              <w:rPr>
                <w:sz w:val="1"/>
                <w:szCs w:val="1"/>
                <w:color w:val="auto"/>
              </w:rPr>
            </w:pPr>
          </w:p>
        </w:tc>
      </w:tr>
      <w:tr>
        <w:trPr>
          <w:trHeight w:val="277"/>
        </w:trPr>
        <w:tc>
          <w:tcPr>
            <w:tcW w:w="7160" w:type="dxa"/>
            <w:vAlign w:val="bottom"/>
          </w:tcPr>
          <w:p>
            <w:pPr>
              <w:spacing w:after="0"/>
              <w:rPr>
                <w:sz w:val="20"/>
                <w:szCs w:val="20"/>
                <w:color w:val="auto"/>
              </w:rPr>
            </w:pPr>
            <w:r>
              <w:rPr>
                <w:rFonts w:ascii="Arial" w:cs="Arial" w:eastAsia="Arial" w:hAnsi="Arial"/>
                <w:sz w:val="16"/>
                <w:szCs w:val="16"/>
                <w:b w:val="1"/>
                <w:bCs w:val="1"/>
                <w:color w:val="1F2668"/>
              </w:rPr>
              <w:t>Andrew S. Levine</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ind w:left="8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w:t>
            </w:r>
          </w:p>
        </w:tc>
        <w:tc>
          <w:tcPr>
            <w:tcW w:w="740" w:type="dxa"/>
            <w:vAlign w:val="bottom"/>
            <w:gridSpan w:val="2"/>
          </w:tcPr>
          <w:p>
            <w:pPr>
              <w:jc w:val="right"/>
              <w:spacing w:after="0" w:line="276" w:lineRule="exact"/>
              <w:rPr>
                <w:sz w:val="20"/>
                <w:szCs w:val="20"/>
                <w:color w:val="auto"/>
              </w:rPr>
            </w:pPr>
            <w:r>
              <w:rPr>
                <w:rFonts w:ascii="Arial" w:cs="Arial" w:eastAsia="Arial" w:hAnsi="Arial"/>
                <w:sz w:val="16"/>
                <w:szCs w:val="16"/>
                <w:color w:val="auto"/>
              </w:rPr>
              <w:t>15,000</w:t>
            </w:r>
            <w:r>
              <w:rPr>
                <w:rFonts w:ascii="Arial" w:cs="Arial" w:eastAsia="Arial" w:hAnsi="Arial"/>
                <w:sz w:val="32"/>
                <w:szCs w:val="32"/>
                <w:color w:val="auto"/>
                <w:vertAlign w:val="subscript"/>
              </w:rPr>
              <w:t>​​​</w:t>
            </w:r>
          </w:p>
        </w:tc>
        <w:tc>
          <w:tcPr>
            <w:tcW w:w="660" w:type="dxa"/>
            <w:vAlign w:val="bottom"/>
          </w:tcPr>
          <w:p>
            <w:pPr>
              <w:ind w:left="36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w:t>
            </w:r>
          </w:p>
        </w:tc>
        <w:tc>
          <w:tcPr>
            <w:tcW w:w="220" w:type="dxa"/>
            <w:vAlign w:val="bottom"/>
            <w:gridSpan w:val="2"/>
          </w:tcPr>
          <w:p>
            <w:pPr>
              <w:jc w:val="right"/>
              <w:spacing w:after="0" w:line="276"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bscript"/>
              </w:rPr>
              <w:t>​</w:t>
            </w:r>
          </w:p>
        </w:tc>
      </w:tr>
      <w:tr>
        <w:trPr>
          <w:trHeight w:val="20"/>
        </w:trPr>
        <w:tc>
          <w:tcPr>
            <w:tcW w:w="716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4B5088"/>
          </w:tcPr>
          <w:p>
            <w:pPr>
              <w:spacing w:after="0" w:line="20" w:lineRule="exact"/>
              <w:rPr>
                <w:sz w:val="1"/>
                <w:szCs w:val="1"/>
                <w:color w:val="auto"/>
              </w:rPr>
            </w:pPr>
          </w:p>
        </w:tc>
        <w:tc>
          <w:tcPr>
            <w:tcW w:w="740" w:type="dxa"/>
            <w:vAlign w:val="bottom"/>
            <w:gridSpan w:val="2"/>
            <w:shd w:val="clear" w:color="auto" w:fill="4B508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shd w:val="clear" w:color="auto" w:fill="4B5088"/>
          </w:tcPr>
          <w:p>
            <w:pPr>
              <w:spacing w:after="0" w:line="20" w:lineRule="exact"/>
              <w:rPr>
                <w:sz w:val="1"/>
                <w:szCs w:val="1"/>
                <w:color w:val="auto"/>
              </w:rPr>
            </w:pPr>
          </w:p>
        </w:tc>
        <w:tc>
          <w:tcPr>
            <w:tcW w:w="60" w:type="dxa"/>
            <w:vAlign w:val="bottom"/>
            <w:tcBorders>
              <w:left w:val="single" w:sz="8" w:color="4B5088"/>
            </w:tcBorders>
          </w:tcPr>
          <w:p>
            <w:pPr>
              <w:spacing w:after="0" w:line="20" w:lineRule="exact"/>
              <w:rPr>
                <w:sz w:val="1"/>
                <w:szCs w:val="1"/>
                <w:color w:val="auto"/>
              </w:rPr>
            </w:pPr>
          </w:p>
        </w:tc>
      </w:tr>
      <w:tr>
        <w:trPr>
          <w:trHeight w:val="277"/>
        </w:trPr>
        <w:tc>
          <w:tcPr>
            <w:tcW w:w="7160" w:type="dxa"/>
            <w:vAlign w:val="bottom"/>
          </w:tcPr>
          <w:p>
            <w:pPr>
              <w:spacing w:after="0"/>
              <w:rPr>
                <w:sz w:val="20"/>
                <w:szCs w:val="20"/>
                <w:color w:val="auto"/>
              </w:rPr>
            </w:pPr>
            <w:r>
              <w:rPr>
                <w:rFonts w:ascii="Arial" w:cs="Arial" w:eastAsia="Arial" w:hAnsi="Arial"/>
                <w:sz w:val="16"/>
                <w:szCs w:val="16"/>
                <w:b w:val="1"/>
                <w:bCs w:val="1"/>
                <w:color w:val="1F2668"/>
              </w:rPr>
              <w:t>All Directors and Executive Officers as a Group (12 Persons)</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 139,473</w:t>
            </w:r>
            <w:r>
              <w:rPr>
                <w:rFonts w:ascii="Arial" w:cs="Arial" w:eastAsia="Arial" w:hAnsi="Arial"/>
                <w:sz w:val="32"/>
                <w:szCs w:val="32"/>
                <w:color w:val="auto"/>
                <w:vertAlign w:val="subscript"/>
              </w:rPr>
              <w:t>​​​</w:t>
            </w:r>
          </w:p>
        </w:tc>
        <w:tc>
          <w:tcPr>
            <w:tcW w:w="880" w:type="dxa"/>
            <w:vAlign w:val="bottom"/>
            <w:gridSpan w:val="3"/>
          </w:tcPr>
          <w:p>
            <w:pPr>
              <w:jc w:val="right"/>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​1.52%</w:t>
            </w:r>
            <w:r>
              <w:rPr>
                <w:rFonts w:ascii="Arial" w:cs="Arial" w:eastAsia="Arial" w:hAnsi="Arial"/>
                <w:sz w:val="32"/>
                <w:szCs w:val="32"/>
                <w:color w:val="auto"/>
                <w:vertAlign w:val="subscript"/>
              </w:rPr>
              <w:t>​</w:t>
            </w:r>
          </w:p>
        </w:tc>
      </w:tr>
      <w:tr>
        <w:trPr>
          <w:trHeight w:val="20"/>
        </w:trPr>
        <w:tc>
          <w:tcPr>
            <w:tcW w:w="7160" w:type="dxa"/>
            <w:vAlign w:val="bottom"/>
            <w:shd w:val="clear" w:color="auto" w:fill="1F266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1F2668"/>
          </w:tcPr>
          <w:p>
            <w:pPr>
              <w:spacing w:after="0" w:line="20" w:lineRule="exact"/>
              <w:rPr>
                <w:sz w:val="1"/>
                <w:szCs w:val="1"/>
                <w:color w:val="auto"/>
              </w:rPr>
            </w:pPr>
          </w:p>
        </w:tc>
        <w:tc>
          <w:tcPr>
            <w:tcW w:w="140" w:type="dxa"/>
            <w:vAlign w:val="bottom"/>
            <w:shd w:val="clear" w:color="auto" w:fill="1F2668"/>
          </w:tcPr>
          <w:p>
            <w:pPr>
              <w:spacing w:after="0" w:line="20" w:lineRule="exact"/>
              <w:rPr>
                <w:sz w:val="1"/>
                <w:szCs w:val="1"/>
                <w:color w:val="auto"/>
              </w:rPr>
            </w:pPr>
          </w:p>
        </w:tc>
        <w:tc>
          <w:tcPr>
            <w:tcW w:w="600" w:type="dxa"/>
            <w:vAlign w:val="bottom"/>
            <w:shd w:val="clear" w:color="auto" w:fill="1F266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1F2668"/>
          </w:tcPr>
          <w:p>
            <w:pPr>
              <w:spacing w:after="0" w:line="20" w:lineRule="exact"/>
              <w:rPr>
                <w:sz w:val="1"/>
                <w:szCs w:val="1"/>
                <w:color w:val="auto"/>
              </w:rPr>
            </w:pPr>
          </w:p>
        </w:tc>
        <w:tc>
          <w:tcPr>
            <w:tcW w:w="160" w:type="dxa"/>
            <w:vAlign w:val="bottom"/>
            <w:shd w:val="clear" w:color="auto" w:fill="1F2668"/>
          </w:tcPr>
          <w:p>
            <w:pPr>
              <w:spacing w:after="0" w:line="20" w:lineRule="exact"/>
              <w:rPr>
                <w:sz w:val="1"/>
                <w:szCs w:val="1"/>
                <w:color w:val="auto"/>
              </w:rPr>
            </w:pPr>
          </w:p>
        </w:tc>
        <w:tc>
          <w:tcPr>
            <w:tcW w:w="60" w:type="dxa"/>
            <w:vAlign w:val="bottom"/>
            <w:tcBorders>
              <w:left w:val="single" w:sz="8" w:color="1F2668"/>
            </w:tcBorders>
          </w:tcPr>
          <w:p>
            <w:pPr>
              <w:spacing w:after="0" w:line="20" w:lineRule="exact"/>
              <w:rPr>
                <w:sz w:val="1"/>
                <w:szCs w:val="1"/>
                <w:color w:val="auto"/>
              </w:rPr>
            </w:pPr>
          </w:p>
        </w:tc>
      </w:tr>
    </w:tbl>
    <w:p>
      <w:pPr>
        <w:spacing w:after="0" w:line="247" w:lineRule="exact"/>
        <w:rPr>
          <w:sz w:val="20"/>
          <w:szCs w:val="20"/>
          <w:color w:val="auto"/>
        </w:rPr>
      </w:pPr>
    </w:p>
    <w:p>
      <w:pPr>
        <w:ind w:left="1180" w:hanging="364"/>
        <w:spacing w:after="0"/>
        <w:tabs>
          <w:tab w:leader="none" w:pos="118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354" w:lineRule="exact"/>
        <w:rPr>
          <w:sz w:val="20"/>
          <w:szCs w:val="20"/>
          <w:color w:val="auto"/>
        </w:rPr>
      </w:pPr>
    </w:p>
    <w:p>
      <w:pPr>
        <w:ind w:left="820"/>
        <w:spacing w:after="0"/>
        <w:rPr>
          <w:sz w:val="20"/>
          <w:szCs w:val="20"/>
          <w:color w:val="auto"/>
        </w:rPr>
      </w:pPr>
      <w:r>
        <w:rPr>
          <w:rFonts w:ascii="Arial" w:cs="Arial" w:eastAsia="Arial" w:hAnsi="Arial"/>
          <w:sz w:val="29"/>
          <w:szCs w:val="29"/>
          <w:b w:val="1"/>
          <w:bCs w:val="1"/>
          <w:color w:val="83AD40"/>
        </w:rPr>
        <w:t>DELINQUENT SECTION 16(a) REPORTS</w:t>
      </w:r>
    </w:p>
    <w:p>
      <w:pPr>
        <w:spacing w:after="0" w:line="159" w:lineRule="exact"/>
        <w:rPr>
          <w:sz w:val="20"/>
          <w:szCs w:val="20"/>
          <w:color w:val="auto"/>
        </w:rPr>
      </w:pPr>
    </w:p>
    <w:p>
      <w:pPr>
        <w:ind w:left="820" w:right="80"/>
        <w:spacing w:after="0" w:line="286" w:lineRule="auto"/>
        <w:rPr>
          <w:sz w:val="20"/>
          <w:szCs w:val="20"/>
          <w:color w:val="auto"/>
        </w:rPr>
      </w:pPr>
      <w:r>
        <w:rPr>
          <w:rFonts w:ascii="Arial" w:cs="Arial" w:eastAsia="Arial" w:hAnsi="Arial"/>
          <w:sz w:val="16"/>
          <w:szCs w:val="16"/>
          <w:color w:val="auto"/>
        </w:rPr>
        <w:t>Section 16(a) of the Securities Exchange Act of 1934, as amended, requires our executive officers and directors and persons who own more than 10% of a registered class of our equity securities to file reports of ownership and changes in ownership with the SEC and the NYSE. Officers, directors and persons who own more than 10% of a registered class of our equity securities are required by SEC regulation to furnish us with copies of all Section 16(a) forms that they file. To our knowledge, based solely on review of the copies of such reports and any amendments thereto furnished to us during or with respect to our most recent fiscal year, all Section 16(a) filing requirements applicable to our executive officers, directors and persons who own more than 10% of a registered class of our equity securities were satisfied, with the exception of Mr. Alschuler who failed to timely file a Form 4 relating to the settlement of phantom stock units in cash on January 23, 2024, which transaction was subsequently reflected on a Form 4 filed on January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3201035</wp:posOffset>
            </wp:positionV>
            <wp:extent cx="6831965"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100" w:name="page101"/>
    <w:bookmarkEnd w:id="10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91"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1F2668"/>
        </w:rPr>
        <w:t>98</w:t>
      </w:r>
    </w:p>
    <w:p>
      <w:pPr>
        <w:sectPr>
          <w:pgSz w:w="11900" w:h="16838" w:orient="portrait"/>
          <w:cols w:equalWidth="0" w:num="1">
            <w:col w:w="9940"/>
          </w:cols>
          <w:pgMar w:left="580" w:top="97" w:right="1379" w:bottom="1440" w:gutter="0" w:footer="0" w:header="0"/>
        </w:sectPr>
      </w:pPr>
    </w:p>
    <w:p>
      <w:pPr>
        <w:spacing w:after="0" w:line="35"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1F2668"/>
        </w:rPr>
        <w:t>​</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1F2668"/>
        </w:rPr>
        <w:t>​ ​</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1F2668"/>
        </w:rPr>
        <w:t>​</w:t>
      </w:r>
    </w:p>
    <w:p>
      <w:pPr>
        <w:spacing w:after="0" w:line="200" w:lineRule="exact"/>
        <w:rPr>
          <w:sz w:val="20"/>
          <w:szCs w:val="20"/>
          <w:color w:val="auto"/>
        </w:rPr>
      </w:pPr>
    </w:p>
    <w:p>
      <w:pPr>
        <w:sectPr>
          <w:pgSz w:w="11900" w:h="16838" w:orient="portrait"/>
          <w:cols w:equalWidth="0" w:num="3">
            <w:col w:w="880" w:space="580"/>
            <w:col w:w="7700" w:space="720"/>
            <w:col w:w="60"/>
          </w:cols>
          <w:pgMar w:left="580" w:top="97" w:right="1379" w:bottom="1440" w:gutter="0" w:footer="0" w:header="0"/>
          <w:type w:val="continuous"/>
        </w:sectPr>
      </w:pPr>
    </w:p>
    <w:p>
      <w:pPr>
        <w:spacing w:after="0" w:line="258" w:lineRule="exact"/>
        <w:rPr>
          <w:sz w:val="20"/>
          <w:szCs w:val="20"/>
          <w:color w:val="auto"/>
        </w:rPr>
      </w:pPr>
    </w:p>
    <w:p>
      <w:pPr>
        <w:ind w:left="820" w:right="3000"/>
        <w:spacing w:after="0" w:line="311" w:lineRule="auto"/>
        <w:rPr>
          <w:sz w:val="20"/>
          <w:szCs w:val="20"/>
          <w:color w:val="auto"/>
        </w:rPr>
      </w:pPr>
      <w:r>
        <w:rPr>
          <w:rFonts w:ascii="Arial" w:cs="Arial" w:eastAsia="Arial" w:hAnsi="Arial"/>
          <w:sz w:val="36"/>
          <w:szCs w:val="36"/>
          <w:b w:val="1"/>
          <w:bCs w:val="1"/>
          <w:color w:val="1F2668"/>
        </w:rPr>
        <w:t>CERTAIN RELATIONSHIPS AND RELATED PARTY TRANSACTIONS</w:t>
      </w:r>
    </w:p>
    <w:p>
      <w:pPr>
        <w:spacing w:after="0" w:line="137" w:lineRule="exact"/>
        <w:rPr>
          <w:sz w:val="20"/>
          <w:szCs w:val="20"/>
          <w:color w:val="auto"/>
        </w:rPr>
      </w:pPr>
    </w:p>
    <w:p>
      <w:pPr>
        <w:ind w:left="820" w:right="2800"/>
        <w:spacing w:after="0" w:line="297" w:lineRule="auto"/>
        <w:rPr>
          <w:sz w:val="20"/>
          <w:szCs w:val="20"/>
          <w:color w:val="auto"/>
        </w:rPr>
      </w:pPr>
      <w:r>
        <w:rPr>
          <w:rFonts w:ascii="Arial" w:cs="Arial" w:eastAsia="Arial" w:hAnsi="Arial"/>
          <w:sz w:val="28"/>
          <w:szCs w:val="28"/>
          <w:b w:val="1"/>
          <w:bCs w:val="1"/>
          <w:color w:val="83AD40"/>
        </w:rPr>
        <w:t>POLICIES AND PROCEDURES WITH RESPECT TO RELATED PARTY TRANSACTIONS</w:t>
      </w:r>
    </w:p>
    <w:p>
      <w:pPr>
        <w:spacing w:after="0" w:line="20" w:lineRule="exact"/>
        <w:rPr>
          <w:sz w:val="20"/>
          <w:szCs w:val="20"/>
          <w:color w:val="auto"/>
        </w:rPr>
      </w:pPr>
    </w:p>
    <w:p>
      <w:pPr>
        <w:ind w:left="820" w:right="380"/>
        <w:spacing w:after="0" w:line="301" w:lineRule="auto"/>
        <w:rPr>
          <w:sz w:val="20"/>
          <w:szCs w:val="20"/>
          <w:color w:val="auto"/>
        </w:rPr>
      </w:pPr>
      <w:r>
        <w:rPr>
          <w:rFonts w:ascii="Arial" w:cs="Arial" w:eastAsia="Arial" w:hAnsi="Arial"/>
          <w:sz w:val="16"/>
          <w:szCs w:val="16"/>
          <w:color w:val="auto"/>
        </w:rPr>
        <w:t>All related party transactions (generally, transactions involving amounts exceeding $120,000 in which directors and executive officers or their immediate family members, or stockholders owning 5% of more of our outstanding common stock have an interest) are subject to approval or ratification in accordance with the procedures described below.</w:t>
      </w:r>
    </w:p>
    <w:p>
      <w:pPr>
        <w:spacing w:after="0" w:line="104" w:lineRule="exact"/>
        <w:rPr>
          <w:sz w:val="20"/>
          <w:szCs w:val="20"/>
          <w:color w:val="auto"/>
        </w:rPr>
      </w:pPr>
    </w:p>
    <w:p>
      <w:pPr>
        <w:ind w:left="820" w:right="60"/>
        <w:spacing w:after="0" w:line="287" w:lineRule="auto"/>
        <w:rPr>
          <w:sz w:val="20"/>
          <w:szCs w:val="20"/>
          <w:color w:val="auto"/>
        </w:rPr>
      </w:pPr>
      <w:r>
        <w:rPr>
          <w:rFonts w:ascii="Arial" w:cs="Arial" w:eastAsia="Arial" w:hAnsi="Arial"/>
          <w:sz w:val="16"/>
          <w:szCs w:val="16"/>
          <w:color w:val="auto"/>
        </w:rPr>
        <w:t>Our Nominating and Corporate Governance Committee reviews the material facts of all related party transactions and provides a recommendation to the independent directors as a group who then determine whether to approve the entry into such related party transaction. If the Company becomes aware of a related party transaction that has not been approved under the Company’s policy, then the related party transaction will be considered and, if the independent directors determine it to be appropriate, ratified, or terminated. In determining whether to approve or ratify a related party transaction, our Nominating and Corporate Governance Committee and the independent directors take into account, among other factors they deem appropriate, whether the related party transaction is on terms no less favorable than terms generally available to an unaffiliated third-party under the same or similar circumstances and the extent of the related party’s interest in the transaction.</w:t>
      </w:r>
    </w:p>
    <w:p>
      <w:pPr>
        <w:spacing w:after="0" w:line="116" w:lineRule="exact"/>
        <w:rPr>
          <w:sz w:val="20"/>
          <w:szCs w:val="20"/>
          <w:color w:val="auto"/>
        </w:rPr>
      </w:pPr>
    </w:p>
    <w:p>
      <w:pPr>
        <w:jc w:val="both"/>
        <w:ind w:left="820" w:right="480"/>
        <w:spacing w:after="0" w:line="301" w:lineRule="auto"/>
        <w:rPr>
          <w:sz w:val="20"/>
          <w:szCs w:val="20"/>
          <w:color w:val="auto"/>
        </w:rPr>
      </w:pPr>
      <w:r>
        <w:rPr>
          <w:rFonts w:ascii="Arial" w:cs="Arial" w:eastAsia="Arial" w:hAnsi="Arial"/>
          <w:sz w:val="16"/>
          <w:szCs w:val="16"/>
          <w:color w:val="auto"/>
        </w:rPr>
        <w:t>No director may participate in any discussion or approval of a related party transaction for which he or she is a related party, except that the director must provide all material information concerning the related party transaction to our Nominating and Corporate Governance Committee and the independent directors.</w:t>
      </w:r>
    </w:p>
    <w:p>
      <w:pPr>
        <w:spacing w:after="0" w:line="91" w:lineRule="exact"/>
        <w:rPr>
          <w:sz w:val="20"/>
          <w:szCs w:val="20"/>
          <w:color w:val="auto"/>
        </w:rPr>
      </w:pPr>
    </w:p>
    <w:p>
      <w:pPr>
        <w:ind w:left="820" w:right="160"/>
        <w:spacing w:after="0" w:line="295" w:lineRule="auto"/>
        <w:rPr>
          <w:sz w:val="20"/>
          <w:szCs w:val="20"/>
          <w:color w:val="auto"/>
        </w:rPr>
      </w:pPr>
      <w:r>
        <w:rPr>
          <w:rFonts w:ascii="Arial" w:cs="Arial" w:eastAsia="Arial" w:hAnsi="Arial"/>
          <w:sz w:val="16"/>
          <w:szCs w:val="16"/>
          <w:color w:val="auto"/>
        </w:rPr>
        <w:t>If a related party transaction will be ongoing, the independent directors may establish guidelines for our management to follow in its ongoing dealings with the related party. Thereafter, the independent directors, on at least an annual basis, review and assess ongoing relationships with such related party to see that our management is in compliance with our independent directors’ guidelines and that such related party transaction remains appropriate.</w:t>
      </w:r>
    </w:p>
    <w:p>
      <w:pPr>
        <w:spacing w:after="0" w:line="108" w:lineRule="exact"/>
        <w:rPr>
          <w:sz w:val="20"/>
          <w:szCs w:val="20"/>
          <w:color w:val="auto"/>
        </w:rPr>
      </w:pPr>
    </w:p>
    <w:p>
      <w:pPr>
        <w:ind w:left="820"/>
        <w:spacing w:after="0"/>
        <w:rPr>
          <w:sz w:val="20"/>
          <w:szCs w:val="20"/>
          <w:color w:val="auto"/>
        </w:rPr>
      </w:pPr>
      <w:r>
        <w:rPr>
          <w:rFonts w:ascii="Arial" w:cs="Arial" w:eastAsia="Arial" w:hAnsi="Arial"/>
          <w:sz w:val="16"/>
          <w:szCs w:val="16"/>
          <w:color w:val="auto"/>
        </w:rPr>
        <w:t>Related party transactions are disclosed in our SEC filings.</w:t>
      </w:r>
    </w:p>
    <w:p>
      <w:pPr>
        <w:spacing w:after="0" w:line="363" w:lineRule="exact"/>
        <w:rPr>
          <w:sz w:val="20"/>
          <w:szCs w:val="20"/>
          <w:color w:val="auto"/>
        </w:rPr>
      </w:pPr>
    </w:p>
    <w:p>
      <w:pPr>
        <w:ind w:left="820"/>
        <w:spacing w:after="0"/>
        <w:rPr>
          <w:sz w:val="20"/>
          <w:szCs w:val="20"/>
          <w:color w:val="auto"/>
        </w:rPr>
      </w:pPr>
      <w:r>
        <w:rPr>
          <w:rFonts w:ascii="Arial" w:cs="Arial" w:eastAsia="Arial" w:hAnsi="Arial"/>
          <w:sz w:val="29"/>
          <w:szCs w:val="29"/>
          <w:b w:val="1"/>
          <w:bCs w:val="1"/>
          <w:color w:val="83AD40"/>
        </w:rPr>
        <w:t>CHAIRMAN EMERITUS AGREEMENT</w:t>
      </w:r>
    </w:p>
    <w:p>
      <w:pPr>
        <w:spacing w:after="0" w:line="159" w:lineRule="exact"/>
        <w:rPr>
          <w:sz w:val="20"/>
          <w:szCs w:val="20"/>
          <w:color w:val="auto"/>
        </w:rPr>
      </w:pPr>
    </w:p>
    <w:p>
      <w:pPr>
        <w:jc w:val="both"/>
        <w:ind w:left="820" w:right="480"/>
        <w:spacing w:after="0" w:line="301" w:lineRule="auto"/>
        <w:rPr>
          <w:sz w:val="20"/>
          <w:szCs w:val="20"/>
          <w:color w:val="auto"/>
        </w:rPr>
      </w:pPr>
      <w:r>
        <w:rPr>
          <w:rFonts w:ascii="Arial" w:cs="Arial" w:eastAsia="Arial" w:hAnsi="Arial"/>
          <w:sz w:val="16"/>
          <w:szCs w:val="16"/>
          <w:color w:val="auto"/>
        </w:rPr>
        <w:t>On December 21, 2018, we and Stephen L. Green, the former Chairman of the Company, entered into a chairman emeritus agreement in connection with Mr. Green’s retirement as Chairman of the Company and transition into the role of Chairman Emeritus.</w:t>
      </w:r>
    </w:p>
    <w:p>
      <w:pPr>
        <w:spacing w:after="0" w:line="104" w:lineRule="exact"/>
        <w:rPr>
          <w:sz w:val="20"/>
          <w:szCs w:val="20"/>
          <w:color w:val="auto"/>
        </w:rPr>
      </w:pPr>
    </w:p>
    <w:p>
      <w:pPr>
        <w:ind w:left="820" w:right="120"/>
        <w:spacing w:after="0" w:line="291" w:lineRule="auto"/>
        <w:rPr>
          <w:sz w:val="20"/>
          <w:szCs w:val="20"/>
          <w:color w:val="auto"/>
        </w:rPr>
      </w:pPr>
      <w:r>
        <w:rPr>
          <w:rFonts w:ascii="Arial" w:cs="Arial" w:eastAsia="Arial" w:hAnsi="Arial"/>
          <w:sz w:val="16"/>
          <w:szCs w:val="16"/>
          <w:color w:val="auto"/>
        </w:rPr>
        <w:t>On March 29, 2022, we entered into a letter agreement with Mr. Green that amended certain terms of the chairman emeritus agreement. Pursuant to the letter agreement, Mr. Green’s monthly retainer fee was reduced and will ultimately be eliminated. For his service during the period from January 1, 2022 through December 31, 2022, Mr. Green received a monthly retainer fee of $36,111, and during the period from January 1, 2023 through December 31, 2023, Mr. Green received a monthly retainer fee of $18,056, in addition to any fees to which Mr. Green was entitled as a non-employee director.</w:t>
      </w:r>
    </w:p>
    <w:p>
      <w:pPr>
        <w:spacing w:after="0" w:line="113" w:lineRule="exact"/>
        <w:rPr>
          <w:sz w:val="20"/>
          <w:szCs w:val="20"/>
          <w:color w:val="auto"/>
        </w:rPr>
      </w:pPr>
    </w:p>
    <w:p>
      <w:pPr>
        <w:ind w:left="820" w:right="100"/>
        <w:spacing w:after="0" w:line="289" w:lineRule="auto"/>
        <w:rPr>
          <w:sz w:val="20"/>
          <w:szCs w:val="20"/>
          <w:color w:val="auto"/>
        </w:rPr>
      </w:pPr>
      <w:r>
        <w:rPr>
          <w:rFonts w:ascii="Arial" w:cs="Arial" w:eastAsia="Arial" w:hAnsi="Arial"/>
          <w:sz w:val="16"/>
          <w:szCs w:val="16"/>
          <w:color w:val="auto"/>
        </w:rPr>
        <w:t>As of January 1, 2024, Mr. Green no longer receives a monthly retainer and no longer provides consulting services to the Company, but will continue to hold the title of Chairman Emeritus. We will also continue to provide Mr. Green with perquisites under the chairman emeritus agreement consistent with those he previously received as Chairman, as modified by the letter agreement. In addition, Mr. Green is entitled, to the extent eligible, to continue to participate in our group health insurance at the expense of the Company or, if Mr. Green is not eligible, monthly cash payments equal to the amount payable by Mr. Green under COBRA for continued participation in our group health insurance under COBRA.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1003935</wp:posOffset>
            </wp:positionV>
            <wp:extent cx="6831965"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101" w:name="page102"/>
    <w:bookmarkEnd w:id="10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6360" w:type="dxa"/>
            <w:vAlign w:val="bottom"/>
          </w:tcPr>
          <w:p>
            <w:pPr>
              <w:spacing w:after="0"/>
              <w:rPr>
                <w:sz w:val="20"/>
                <w:szCs w:val="20"/>
                <w:color w:val="auto"/>
              </w:rPr>
            </w:pPr>
            <w:r>
              <w:rPr>
                <w:rFonts w:ascii="Arial" w:cs="Arial" w:eastAsia="Arial" w:hAnsi="Arial"/>
                <w:sz w:val="14"/>
                <w:szCs w:val="14"/>
                <w:b w:val="1"/>
                <w:bCs w:val="1"/>
                <w:color w:val="auto"/>
              </w:rPr>
              <w:t>​</w:t>
            </w:r>
          </w:p>
        </w:tc>
        <w:tc>
          <w:tcPr>
            <w:tcW w:w="2220" w:type="dxa"/>
            <w:vAlign w:val="bottom"/>
          </w:tcPr>
          <w:p>
            <w:pPr>
              <w:ind w:left="1840"/>
              <w:spacing w:after="0"/>
              <w:rPr>
                <w:sz w:val="20"/>
                <w:szCs w:val="20"/>
                <w:color w:val="auto"/>
              </w:rPr>
            </w:pPr>
            <w:r>
              <w:rPr>
                <w:rFonts w:ascii="Arial" w:cs="Arial" w:eastAsia="Arial" w:hAnsi="Arial"/>
                <w:sz w:val="14"/>
                <w:szCs w:val="14"/>
                <w:b w:val="1"/>
                <w:bCs w:val="1"/>
                <w:color w:val="auto"/>
              </w:rPr>
              <w:t>​ ​</w:t>
            </w:r>
          </w:p>
        </w:tc>
        <w:tc>
          <w:tcPr>
            <w:tcW w:w="480" w:type="dxa"/>
            <w:vAlign w:val="bottom"/>
            <w:vMerge w:val="restart"/>
          </w:tcPr>
          <w:p>
            <w:pPr>
              <w:jc w:val="right"/>
              <w:spacing w:after="0"/>
              <w:rPr>
                <w:sz w:val="20"/>
                <w:szCs w:val="20"/>
                <w:color w:val="auto"/>
              </w:rPr>
            </w:pPr>
            <w:r>
              <w:rPr>
                <w:rFonts w:ascii="Arial" w:cs="Arial" w:eastAsia="Arial" w:hAnsi="Arial"/>
                <w:sz w:val="22"/>
                <w:szCs w:val="22"/>
                <w:b w:val="1"/>
                <w:bCs w:val="1"/>
                <w:color w:val="1F2668"/>
              </w:rPr>
              <w:t>99</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6360" w:type="dxa"/>
            <w:vAlign w:val="bottom"/>
          </w:tcPr>
          <w:p>
            <w:pPr>
              <w:spacing w:after="0"/>
              <w:rPr>
                <w:sz w:val="20"/>
                <w:szCs w:val="20"/>
                <w:color w:val="auto"/>
              </w:rPr>
            </w:pPr>
            <w:r>
              <w:rPr>
                <w:rFonts w:ascii="Arial" w:cs="Arial" w:eastAsia="Arial" w:hAnsi="Arial"/>
                <w:sz w:val="14"/>
                <w:szCs w:val="14"/>
                <w:b w:val="1"/>
                <w:bCs w:val="1"/>
                <w:color w:val="auto"/>
              </w:rPr>
              <w:t>CERTAIN RELATIONSHIPS AND RELATED PARTY TRANSACTIONS</w:t>
            </w:r>
          </w:p>
        </w:tc>
        <w:tc>
          <w:tcPr>
            <w:tcW w:w="222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820"/>
        <w:spacing w:after="0"/>
        <w:rPr>
          <w:sz w:val="20"/>
          <w:szCs w:val="20"/>
          <w:color w:val="auto"/>
        </w:rPr>
      </w:pPr>
      <w:r>
        <w:rPr>
          <w:rFonts w:ascii="Arial" w:cs="Arial" w:eastAsia="Arial" w:hAnsi="Arial"/>
          <w:sz w:val="29"/>
          <w:szCs w:val="29"/>
          <w:b w:val="1"/>
          <w:bCs w:val="1"/>
          <w:color w:val="83AD40"/>
        </w:rPr>
        <w:t>ONE VANDERBILT AVENUE INVESTMENT</w:t>
      </w:r>
    </w:p>
    <w:p>
      <w:pPr>
        <w:spacing w:after="0" w:line="173" w:lineRule="exact"/>
        <w:rPr>
          <w:sz w:val="20"/>
          <w:szCs w:val="20"/>
          <w:color w:val="auto"/>
        </w:rPr>
      </w:pPr>
    </w:p>
    <w:p>
      <w:pPr>
        <w:ind w:left="820" w:right="100"/>
        <w:spacing w:after="0" w:line="300" w:lineRule="auto"/>
        <w:rPr>
          <w:sz w:val="20"/>
          <w:szCs w:val="20"/>
          <w:color w:val="auto"/>
        </w:rPr>
      </w:pPr>
      <w:r>
        <w:rPr>
          <w:rFonts w:ascii="Arial" w:cs="Arial" w:eastAsia="Arial" w:hAnsi="Arial"/>
          <w:sz w:val="15"/>
          <w:szCs w:val="15"/>
          <w:color w:val="auto"/>
        </w:rPr>
        <w:t>In December 2016, we entered into agreements with entities owned and controlled by our Chairman, Chief Executive Officer and Interim President, Marc Holliday, and our former President, and current director, Andrew Mathias, pursuant to which they agreed to make an investment in our One Vanderbilt project (inclusive of the property and SUMMIT One Vanderbilt) at the appraised fair market value for the interests acquired. This investment entitles these entities to receive a percentage of any profits realized by the Company from its One Vanderbilt project in excess of the Company’s capital contributions, of approximately 1.27% and</w:t>
      </w:r>
    </w:p>
    <w:p>
      <w:pPr>
        <w:spacing w:after="0" w:line="2" w:lineRule="exact"/>
        <w:rPr>
          <w:sz w:val="20"/>
          <w:szCs w:val="20"/>
          <w:color w:val="auto"/>
        </w:rPr>
      </w:pPr>
    </w:p>
    <w:p>
      <w:pPr>
        <w:ind w:left="820" w:right="40"/>
        <w:spacing w:after="0" w:line="288" w:lineRule="auto"/>
        <w:rPr>
          <w:sz w:val="20"/>
          <w:szCs w:val="20"/>
          <w:color w:val="auto"/>
        </w:rPr>
      </w:pPr>
      <w:r>
        <w:rPr>
          <w:rFonts w:ascii="Arial" w:cs="Arial" w:eastAsia="Arial" w:hAnsi="Arial"/>
          <w:sz w:val="16"/>
          <w:szCs w:val="16"/>
          <w:color w:val="auto"/>
        </w:rPr>
        <w:t>0.85%, respectively, on account of the property and 1.92% and 1.28%, respectively, on account of SUMMIT One Vanderbilt. The entities had no right to any return of capital. Accordingly, subject to previously disclosed repurchase rights, these interests had no value and these entities were not entitled to any amounts (other than limited distributions to cover tax liabilities incurred) unless and until the Company received distributions from the One Vanderbilt project in excess of the Company’s aggregate investment in the project. The entities owned and controlled by Messrs. Holliday and Mathias paid $1.4 million and $1.0 million, respectively, which equaled the fair market value of the interests acquired as of the date the investment agreements were entered into as determined by an independent third-party appraisal that we obtained.</w:t>
      </w:r>
    </w:p>
    <w:p>
      <w:pPr>
        <w:spacing w:after="0" w:line="115" w:lineRule="exact"/>
        <w:rPr>
          <w:sz w:val="20"/>
          <w:szCs w:val="20"/>
          <w:color w:val="auto"/>
        </w:rPr>
      </w:pPr>
    </w:p>
    <w:p>
      <w:pPr>
        <w:ind w:left="820" w:right="60"/>
        <w:spacing w:after="0" w:line="285" w:lineRule="auto"/>
        <w:rPr>
          <w:sz w:val="20"/>
          <w:szCs w:val="20"/>
          <w:color w:val="auto"/>
        </w:rPr>
      </w:pPr>
      <w:r>
        <w:rPr>
          <w:rFonts w:ascii="Arial" w:cs="Arial" w:eastAsia="Arial" w:hAnsi="Arial"/>
          <w:sz w:val="16"/>
          <w:szCs w:val="16"/>
          <w:color w:val="auto"/>
        </w:rPr>
        <w:t>Messrs. Holliday and Mathias have the right to tender their interests in the project upon stabilization (50% within three years after stabilization and 100% three years or more after stabilization). In addition, the agreement calls for us to repurchase these interests in the event of a sale of One Vanderbilt or a transactional change of control of the Company. We also have the right to repurchase these interests on the seven-year anniversary of the stabilization of the project or upon the occurrence of certain separation events prior to the stabilization of the project relating to each of Messrs. Holliday’s and Mathias’ continued service with us. The price paid upon a tender of the interests will equal the liquidation value of the interests at the time, with the value based on the project’s sale price, if applicable, or fair market value as determined by an independent third-party appraiser. In 2022, stabilization of the property (excluding SUMMIT One Vanderbilt) was achieved. Therefore, Messrs. Holliday and Mathias exercised their rights to tender 50% of their interests in the property (excluding SUMMIT One Vanderbilt) for liquidation values of $17.9 million and $11.9 million, respectively, which were paid in July 2022. In 2023, stabilization of SUMMIT One Vanderbilt was achieved.</w:t>
      </w:r>
    </w:p>
    <w:p>
      <w:pPr>
        <w:spacing w:after="0" w:line="108" w:lineRule="exact"/>
        <w:rPr>
          <w:sz w:val="20"/>
          <w:szCs w:val="20"/>
          <w:color w:val="auto"/>
        </w:rPr>
      </w:pPr>
    </w:p>
    <w:p>
      <w:pPr>
        <w:jc w:val="both"/>
        <w:ind w:left="820" w:right="480"/>
        <w:spacing w:after="0" w:line="359" w:lineRule="auto"/>
        <w:rPr>
          <w:sz w:val="20"/>
          <w:szCs w:val="20"/>
          <w:color w:val="auto"/>
        </w:rPr>
      </w:pPr>
      <w:r>
        <w:rPr>
          <w:rFonts w:ascii="Arial" w:cs="Arial" w:eastAsia="Arial" w:hAnsi="Arial"/>
          <w:sz w:val="15"/>
          <w:szCs w:val="15"/>
          <w:color w:val="auto"/>
        </w:rPr>
        <w:t>As of December 31, 2024, Messrs. Holliday’s and Mathias’ remaining interests in the One Vanderbilt project are included in preferred units and redeemable equity in the mezzanine equity section of the Company’s consolidated financial statements.</w:t>
      </w:r>
    </w:p>
    <w:p>
      <w:pPr>
        <w:spacing w:after="0" w:line="247" w:lineRule="exact"/>
        <w:rPr>
          <w:sz w:val="20"/>
          <w:szCs w:val="20"/>
          <w:color w:val="auto"/>
        </w:rPr>
      </w:pPr>
    </w:p>
    <w:p>
      <w:pPr>
        <w:ind w:left="820"/>
        <w:spacing w:after="0"/>
        <w:rPr>
          <w:sz w:val="20"/>
          <w:szCs w:val="20"/>
          <w:color w:val="auto"/>
        </w:rPr>
      </w:pPr>
      <w:r>
        <w:rPr>
          <w:rFonts w:ascii="Arial" w:cs="Arial" w:eastAsia="Arial" w:hAnsi="Arial"/>
          <w:sz w:val="29"/>
          <w:szCs w:val="29"/>
          <w:b w:val="1"/>
          <w:bCs w:val="1"/>
          <w:color w:val="83AD40"/>
        </w:rPr>
        <w:t>ONE VANDERBILT AVENUE LEASES</w:t>
      </w:r>
    </w:p>
    <w:p>
      <w:pPr>
        <w:spacing w:after="0" w:line="173" w:lineRule="exact"/>
        <w:rPr>
          <w:sz w:val="20"/>
          <w:szCs w:val="20"/>
          <w:color w:val="auto"/>
        </w:rPr>
      </w:pPr>
    </w:p>
    <w:p>
      <w:pPr>
        <w:jc w:val="both"/>
        <w:ind w:left="820" w:right="80"/>
        <w:spacing w:after="0" w:line="300" w:lineRule="auto"/>
        <w:rPr>
          <w:sz w:val="20"/>
          <w:szCs w:val="20"/>
          <w:color w:val="auto"/>
        </w:rPr>
      </w:pPr>
      <w:r>
        <w:rPr>
          <w:rFonts w:ascii="Arial" w:cs="Arial" w:eastAsia="Arial" w:hAnsi="Arial"/>
          <w:sz w:val="15"/>
          <w:szCs w:val="15"/>
          <w:color w:val="auto"/>
        </w:rPr>
        <w:t>In November 2018, we entered into a lease agreement with the One Vanderbilt Avenue joint venture covering certain floors at the property. In March 2021, the lease commenced and we relocated our corporate headquarters to the leased space. For the years ended December 31, 2024 and 2023, we recorded $3.0 million and $3.0 million, respectively, of rent expense under the lease.</w:t>
      </w:r>
    </w:p>
    <w:p>
      <w:pPr>
        <w:spacing w:after="0" w:line="1" w:lineRule="exact"/>
        <w:rPr>
          <w:sz w:val="20"/>
          <w:szCs w:val="20"/>
          <w:color w:val="auto"/>
        </w:rPr>
      </w:pPr>
    </w:p>
    <w:p>
      <w:pPr>
        <w:ind w:left="820" w:right="40"/>
        <w:spacing w:after="0" w:line="281" w:lineRule="auto"/>
        <w:rPr>
          <w:sz w:val="20"/>
          <w:szCs w:val="20"/>
          <w:color w:val="auto"/>
        </w:rPr>
      </w:pPr>
      <w:r>
        <w:rPr>
          <w:rFonts w:ascii="Arial" w:cs="Arial" w:eastAsia="Arial" w:hAnsi="Arial"/>
          <w:sz w:val="16"/>
          <w:szCs w:val="16"/>
          <w:color w:val="auto"/>
        </w:rPr>
        <w:t>Additionally, in June 2021, we, through a consolidated subsidiary, entered into a lease agreement with the One Vanderbilt Avenue joint venture for SUMMIT One Vanderbilt, which commenced operations in October 2021. For the year ended December 31, 2024, we recorded $41.4 million of rent expense under the lease, including percentage rent, of which $27.7 million was recognized as income as a component of equity in net loss from unconsolidated joint ventures in our consolidated statements of operations. For the year ended December 31, 2023, we recorded $38.9 million of rent expense under the lease,</w:t>
      </w:r>
    </w:p>
    <w:p>
      <w:pPr>
        <w:spacing w:after="0" w:line="3" w:lineRule="exact"/>
        <w:rPr>
          <w:sz w:val="20"/>
          <w:szCs w:val="20"/>
          <w:color w:val="auto"/>
        </w:rPr>
      </w:pPr>
    </w:p>
    <w:p>
      <w:pPr>
        <w:ind w:left="820" w:right="880"/>
        <w:spacing w:after="0" w:line="321" w:lineRule="auto"/>
        <w:rPr>
          <w:sz w:val="20"/>
          <w:szCs w:val="20"/>
          <w:color w:val="auto"/>
        </w:rPr>
      </w:pPr>
      <w:r>
        <w:rPr>
          <w:rFonts w:ascii="Arial" w:cs="Arial" w:eastAsia="Arial" w:hAnsi="Arial"/>
          <w:sz w:val="16"/>
          <w:szCs w:val="16"/>
          <w:color w:val="auto"/>
        </w:rPr>
        <w:t>including percentage rent, of which $26.2 million was recognized as income as a component of equity in net loss from unconsolidated joint ventures in our consolidated statements of operations.</w:t>
      </w:r>
    </w:p>
    <w:p>
      <w:pPr>
        <w:spacing w:after="0" w:line="257" w:lineRule="exact"/>
        <w:rPr>
          <w:sz w:val="20"/>
          <w:szCs w:val="20"/>
          <w:color w:val="auto"/>
        </w:rPr>
      </w:pPr>
    </w:p>
    <w:p>
      <w:pPr>
        <w:ind w:left="820"/>
        <w:spacing w:after="0"/>
        <w:rPr>
          <w:sz w:val="20"/>
          <w:szCs w:val="20"/>
          <w:color w:val="auto"/>
        </w:rPr>
      </w:pPr>
      <w:r>
        <w:rPr>
          <w:rFonts w:ascii="Arial" w:cs="Arial" w:eastAsia="Arial" w:hAnsi="Arial"/>
          <w:sz w:val="29"/>
          <w:szCs w:val="29"/>
          <w:b w:val="1"/>
          <w:bCs w:val="1"/>
          <w:color w:val="83AD40"/>
        </w:rPr>
        <w:t>719 SEVENTH AVENUE TRANSACTION</w:t>
      </w:r>
    </w:p>
    <w:p>
      <w:pPr>
        <w:spacing w:after="0" w:line="173" w:lineRule="exact"/>
        <w:rPr>
          <w:sz w:val="20"/>
          <w:szCs w:val="20"/>
          <w:color w:val="auto"/>
        </w:rPr>
      </w:pPr>
    </w:p>
    <w:p>
      <w:pPr>
        <w:ind w:left="820" w:right="40"/>
        <w:spacing w:after="0" w:line="287" w:lineRule="auto"/>
        <w:rPr>
          <w:sz w:val="20"/>
          <w:szCs w:val="20"/>
          <w:color w:val="auto"/>
        </w:rPr>
      </w:pPr>
      <w:r>
        <w:rPr>
          <w:rFonts w:ascii="Arial" w:cs="Arial" w:eastAsia="Arial" w:hAnsi="Arial"/>
          <w:sz w:val="16"/>
          <w:szCs w:val="16"/>
          <w:color w:val="auto"/>
        </w:rPr>
        <w:t>In April 2024, a special purpose entity (the “SPE”), of which our former President and current director, Andrew Mathias, is a partner, entered into an arms-length, structured arrangement to acquire 719 Seventh Avenue, a property held by the Company in its alternative strategy portfolio of non-core assets. The property was encumbered by a mortgage of $50.0 million, which matured in December 2024, and was conveyed for $30.5 million, plus certain fees payable to the Company. The lender agreed to accept less than the full principal amount of the mortgage in discharging its lien, while permitting the Company to receive $4.5 million in connection with facilitating the transaction. None of such amounts were payable to Mr. Mathias. Mr. Mathias is initially expected to own up to 40% of the equity of the SPE representing an investment by Mr. Mathias of up to approximately $7.0 million in the acquisition of the property. The transaction closed during the second quarter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6831965" cy="425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bookmarkStart w:id="102" w:name="page103"/>
    <w:bookmarkEnd w:id="10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p>
      <w:pPr>
        <w:ind w:left="820"/>
        <w:spacing w:after="0"/>
        <w:tabs>
          <w:tab w:leader="none" w:pos="1440" w:val="left"/>
          <w:tab w:leader="none" w:pos="9860" w:val="left"/>
        </w:tabs>
        <w:rPr>
          <w:sz w:val="20"/>
          <w:szCs w:val="20"/>
          <w:color w:val="auto"/>
        </w:rPr>
      </w:pPr>
      <w:r>
        <w:rPr>
          <w:rFonts w:ascii="Arial" w:cs="Arial" w:eastAsia="Arial" w:hAnsi="Arial"/>
          <w:sz w:val="22"/>
          <w:szCs w:val="22"/>
          <w:b w:val="1"/>
          <w:bCs w:val="1"/>
          <w:color w:val="1F2668"/>
        </w:rPr>
        <w:t>​100</w:t>
        <w:tab/>
        <w:t xml:space="preserve">​ ​ </w:t>
      </w:r>
      <w:r>
        <w:rPr>
          <w:rFonts w:ascii="Arial" w:cs="Arial" w:eastAsia="Arial" w:hAnsi="Arial"/>
          <w:sz w:val="14"/>
          <w:szCs w:val="14"/>
          <w:b w:val="1"/>
          <w:bCs w:val="1"/>
          <w:color w:val="1F2668"/>
        </w:rPr>
        <w:t>SL GREEN REALTY CORP. 2025 PROXY STATEMENT</w:t>
      </w:r>
      <w:r>
        <w:rPr>
          <w:sz w:val="20"/>
          <w:szCs w:val="20"/>
          <w:color w:val="auto"/>
        </w:rPr>
        <w:tab/>
      </w:r>
      <w:r>
        <w:rPr>
          <w:rFonts w:ascii="Arial" w:cs="Arial" w:eastAsia="Arial" w:hAnsi="Arial"/>
          <w:sz w:val="22"/>
          <w:szCs w:val="22"/>
          <w:b w:val="1"/>
          <w:bCs w:val="1"/>
          <w:color w:val="1F2668"/>
        </w:rPr>
        <w:t>​</w:t>
      </w:r>
    </w:p>
    <w:p>
      <w:pPr>
        <w:spacing w:after="0" w:line="200" w:lineRule="exact"/>
        <w:rPr>
          <w:sz w:val="20"/>
          <w:szCs w:val="20"/>
          <w:color w:val="auto"/>
        </w:rPr>
      </w:pPr>
    </w:p>
    <w:p>
      <w:pPr>
        <w:spacing w:after="0" w:line="270" w:lineRule="exact"/>
        <w:rPr>
          <w:sz w:val="20"/>
          <w:szCs w:val="20"/>
          <w:color w:val="auto"/>
        </w:rPr>
      </w:pPr>
    </w:p>
    <w:p>
      <w:pPr>
        <w:ind w:left="820"/>
        <w:spacing w:after="0"/>
        <w:rPr>
          <w:sz w:val="20"/>
          <w:szCs w:val="20"/>
          <w:color w:val="auto"/>
        </w:rPr>
      </w:pPr>
      <w:r>
        <w:rPr>
          <w:rFonts w:ascii="Arial" w:cs="Arial" w:eastAsia="Arial" w:hAnsi="Arial"/>
          <w:sz w:val="29"/>
          <w:szCs w:val="29"/>
          <w:b w:val="1"/>
          <w:bCs w:val="1"/>
          <w:color w:val="83AD40"/>
        </w:rPr>
        <w:t>760 MADISON AVENUE CONDOMINIUM UNIT</w:t>
      </w:r>
    </w:p>
    <w:p>
      <w:pPr>
        <w:spacing w:after="0" w:line="173" w:lineRule="exact"/>
        <w:rPr>
          <w:sz w:val="20"/>
          <w:szCs w:val="20"/>
          <w:color w:val="auto"/>
        </w:rPr>
      </w:pPr>
    </w:p>
    <w:p>
      <w:pPr>
        <w:ind w:left="820" w:right="100"/>
        <w:spacing w:after="0" w:line="301" w:lineRule="auto"/>
        <w:rPr>
          <w:sz w:val="20"/>
          <w:szCs w:val="20"/>
          <w:color w:val="auto"/>
        </w:rPr>
      </w:pPr>
      <w:r>
        <w:rPr>
          <w:rFonts w:ascii="Arial" w:cs="Arial" w:eastAsia="Arial" w:hAnsi="Arial"/>
          <w:sz w:val="16"/>
          <w:szCs w:val="16"/>
          <w:color w:val="auto"/>
        </w:rPr>
        <w:t>In July 2024, the Company entered into an agreement to sell one of the condominium units located at 760 Madison Avenue to an entity owned by a trust of which the beneficiaries are the family members of our Chairman, Chief Executive Officer and Interim President, Marc Holliday, for $8.4 million. The transaction closed in the first quarter of 2025.</w:t>
      </w:r>
    </w:p>
    <w:p>
      <w:pPr>
        <w:spacing w:after="0" w:line="287" w:lineRule="exact"/>
        <w:rPr>
          <w:sz w:val="20"/>
          <w:szCs w:val="20"/>
          <w:color w:val="auto"/>
        </w:rPr>
      </w:pPr>
    </w:p>
    <w:p>
      <w:pPr>
        <w:ind w:left="820"/>
        <w:spacing w:after="0"/>
        <w:rPr>
          <w:sz w:val="20"/>
          <w:szCs w:val="20"/>
          <w:color w:val="auto"/>
        </w:rPr>
      </w:pPr>
      <w:r>
        <w:rPr>
          <w:rFonts w:ascii="Arial" w:cs="Arial" w:eastAsia="Arial" w:hAnsi="Arial"/>
          <w:sz w:val="29"/>
          <w:szCs w:val="29"/>
          <w:b w:val="1"/>
          <w:bCs w:val="1"/>
          <w:color w:val="83AD40"/>
        </w:rPr>
        <w:t>NON-RENEWAL AND ADVISORY AGREEMENT</w:t>
      </w:r>
    </w:p>
    <w:p>
      <w:pPr>
        <w:spacing w:after="0" w:line="15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On October 9, 2023, the Company entered into a Non-Renewal and Advisory Agreement (the “Advisory Agreement”) with</w:t>
      </w:r>
    </w:p>
    <w:p>
      <w:pPr>
        <w:spacing w:after="0" w:line="3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Andrew Mathias, our former President and a current director, to transition Mr. Mathias into a consultancy role for the Company</w:t>
      </w:r>
    </w:p>
    <w:p>
      <w:pPr>
        <w:spacing w:after="0" w:line="3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upon the termination of his employment agreement on December 31, 2023. The term of the Advisory Agreement is January 1,</w:t>
      </w:r>
    </w:p>
    <w:p>
      <w:pPr>
        <w:spacing w:after="0" w:line="3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2024 through December 31, 2024, subject to successive one-year renewal periods. Mr. Mathias receives an advisory fee of</w:t>
      </w:r>
    </w:p>
    <w:p>
      <w:pPr>
        <w:spacing w:after="0" w:line="3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$8,333 monthly for his services and certain perks generally consistent with those he received as an executive officer, in addition</w:t>
      </w:r>
    </w:p>
    <w:p>
      <w:pPr>
        <w:spacing w:after="0" w:line="3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to any fees to which Mr. Mathias is entitled to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5862955</wp:posOffset>
            </wp:positionV>
            <wp:extent cx="6831965"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103" w:name="page104"/>
    <w:bookmarkEnd w:id="10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91" w:lineRule="exact"/>
        <w:rPr>
          <w:sz w:val="20"/>
          <w:szCs w:val="20"/>
          <w:color w:val="auto"/>
        </w:rPr>
      </w:pPr>
    </w:p>
    <w:p>
      <w:pPr>
        <w:ind w:left="9520"/>
        <w:spacing w:after="0"/>
        <w:rPr>
          <w:sz w:val="20"/>
          <w:szCs w:val="20"/>
          <w:color w:val="auto"/>
        </w:rPr>
      </w:pPr>
      <w:r>
        <w:rPr>
          <w:rFonts w:ascii="Arial" w:cs="Arial" w:eastAsia="Arial" w:hAnsi="Arial"/>
          <w:sz w:val="22"/>
          <w:szCs w:val="22"/>
          <w:b w:val="1"/>
          <w:bCs w:val="1"/>
          <w:color w:val="1F2668"/>
        </w:rPr>
        <w:t>101</w:t>
      </w:r>
    </w:p>
    <w:p>
      <w:pPr>
        <w:spacing w:after="0" w:line="12" w:lineRule="exact"/>
        <w:rPr>
          <w:sz w:val="20"/>
          <w:szCs w:val="20"/>
          <w:color w:val="auto"/>
        </w:rPr>
      </w:pPr>
    </w:p>
    <w:p>
      <w:pPr>
        <w:ind w:left="820"/>
        <w:spacing w:after="0"/>
        <w:tabs>
          <w:tab w:leader="none" w:pos="9000" w:val="left"/>
          <w:tab w:leader="none" w:pos="9860" w:val="left"/>
        </w:tabs>
        <w:rPr>
          <w:sz w:val="20"/>
          <w:szCs w:val="20"/>
          <w:color w:val="auto"/>
        </w:rPr>
      </w:pPr>
      <w:r>
        <w:rPr>
          <w:rFonts w:ascii="Arial" w:cs="Arial" w:eastAsia="Arial" w:hAnsi="Arial"/>
          <w:sz w:val="22"/>
          <w:szCs w:val="22"/>
          <w:b w:val="1"/>
          <w:bCs w:val="1"/>
          <w:color w:val="1F2668"/>
        </w:rPr>
        <w:t>​</w:t>
      </w:r>
      <w:r>
        <w:rPr>
          <w:sz w:val="20"/>
          <w:szCs w:val="20"/>
          <w:color w:val="auto"/>
        </w:rPr>
        <w:tab/>
      </w:r>
      <w:r>
        <w:rPr>
          <w:rFonts w:ascii="Arial" w:cs="Arial" w:eastAsia="Arial" w:hAnsi="Arial"/>
          <w:sz w:val="22"/>
          <w:szCs w:val="22"/>
          <w:b w:val="1"/>
          <w:bCs w:val="1"/>
          <w:color w:val="1F2668"/>
        </w:rPr>
        <w:t>​ ​</w:t>
      </w:r>
      <w:r>
        <w:rPr>
          <w:sz w:val="20"/>
          <w:szCs w:val="20"/>
          <w:color w:val="auto"/>
        </w:rPr>
        <w:tab/>
      </w:r>
      <w:r>
        <w:rPr>
          <w:rFonts w:ascii="Arial" w:cs="Arial" w:eastAsia="Arial" w:hAnsi="Arial"/>
          <w:sz w:val="22"/>
          <w:szCs w:val="22"/>
          <w:b w:val="1"/>
          <w:bCs w:val="1"/>
          <w:color w:val="1F2668"/>
        </w:rPr>
        <w:t>​</w:t>
      </w:r>
    </w:p>
    <w:p>
      <w:pPr>
        <w:spacing w:after="0" w:line="200" w:lineRule="exact"/>
        <w:rPr>
          <w:sz w:val="20"/>
          <w:szCs w:val="20"/>
          <w:color w:val="auto"/>
        </w:rPr>
      </w:pPr>
    </w:p>
    <w:p>
      <w:pPr>
        <w:spacing w:after="0" w:line="280" w:lineRule="exact"/>
        <w:rPr>
          <w:sz w:val="20"/>
          <w:szCs w:val="20"/>
          <w:color w:val="auto"/>
        </w:rPr>
      </w:pPr>
    </w:p>
    <w:p>
      <w:pPr>
        <w:ind w:left="820"/>
        <w:spacing w:after="0"/>
        <w:rPr>
          <w:sz w:val="20"/>
          <w:szCs w:val="20"/>
          <w:color w:val="auto"/>
        </w:rPr>
      </w:pPr>
      <w:r>
        <w:rPr>
          <w:rFonts w:ascii="Arial" w:cs="Arial" w:eastAsia="Arial" w:hAnsi="Arial"/>
          <w:sz w:val="38"/>
          <w:szCs w:val="38"/>
          <w:b w:val="1"/>
          <w:bCs w:val="1"/>
          <w:color w:val="1F2668"/>
        </w:rPr>
        <w:t>OTHER INFORMATION</w:t>
      </w:r>
    </w:p>
    <w:p>
      <w:pPr>
        <w:spacing w:after="0" w:line="213" w:lineRule="exact"/>
        <w:rPr>
          <w:sz w:val="20"/>
          <w:szCs w:val="20"/>
          <w:color w:val="auto"/>
        </w:rPr>
      </w:pPr>
    </w:p>
    <w:p>
      <w:pPr>
        <w:ind w:left="820" w:right="380"/>
        <w:spacing w:after="0" w:line="295" w:lineRule="auto"/>
        <w:rPr>
          <w:sz w:val="20"/>
          <w:szCs w:val="20"/>
          <w:color w:val="auto"/>
        </w:rPr>
      </w:pPr>
      <w:r>
        <w:rPr>
          <w:rFonts w:ascii="Arial" w:cs="Arial" w:eastAsia="Arial" w:hAnsi="Arial"/>
          <w:sz w:val="16"/>
          <w:szCs w:val="16"/>
          <w:color w:val="auto"/>
        </w:rPr>
        <w:t>These proxy materials are being made available in connection with the solicitation of proxies by the Board of Directors, or the Board, of SL Green Realty Corp., a Maryland corporation, for use at our 2025 Annual Meeting of stockholders to be held on June 3, 2025 at 12:00 p.m., Eastern Time, in the auditorium at One Vanderbilt Avenue, New York, New York 10017 or at any postponement or adjournment of the Annual Meeting.</w:t>
      </w:r>
    </w:p>
    <w:p>
      <w:pPr>
        <w:spacing w:after="0" w:line="277" w:lineRule="exact"/>
        <w:rPr>
          <w:sz w:val="20"/>
          <w:szCs w:val="20"/>
          <w:color w:val="auto"/>
        </w:rPr>
      </w:pPr>
    </w:p>
    <w:p>
      <w:pPr>
        <w:ind w:left="820" w:right="4140"/>
        <w:spacing w:after="0" w:line="278" w:lineRule="auto"/>
        <w:rPr>
          <w:sz w:val="20"/>
          <w:szCs w:val="20"/>
          <w:color w:val="auto"/>
        </w:rPr>
      </w:pPr>
      <w:r>
        <w:rPr>
          <w:rFonts w:ascii="Arial" w:cs="Arial" w:eastAsia="Arial" w:hAnsi="Arial"/>
          <w:sz w:val="29"/>
          <w:szCs w:val="29"/>
          <w:b w:val="1"/>
          <w:bCs w:val="1"/>
          <w:color w:val="83AD40"/>
        </w:rPr>
        <w:t>QUESTIONS AND ANSWERS ABOUT THE ANNUAL MEETING</w:t>
      </w:r>
    </w:p>
    <w:p>
      <w:pPr>
        <w:spacing w:after="0" w:line="187" w:lineRule="exact"/>
        <w:rPr>
          <w:sz w:val="20"/>
          <w:szCs w:val="20"/>
          <w:color w:val="auto"/>
        </w:rPr>
      </w:pPr>
    </w:p>
    <w:p>
      <w:pPr>
        <w:ind w:left="820" w:right="380"/>
        <w:spacing w:after="0" w:line="296" w:lineRule="auto"/>
        <w:rPr>
          <w:sz w:val="20"/>
          <w:szCs w:val="20"/>
          <w:color w:val="auto"/>
        </w:rPr>
      </w:pPr>
      <w:r>
        <w:rPr>
          <w:rFonts w:ascii="Arial" w:cs="Arial" w:eastAsia="Arial" w:hAnsi="Arial"/>
          <w:sz w:val="23"/>
          <w:szCs w:val="23"/>
          <w:b w:val="1"/>
          <w:bCs w:val="1"/>
          <w:color w:val="1F2668"/>
        </w:rPr>
        <w:t>What is the Notice of Internet Availability of Proxy Materials that I received in the mail this year instead of a full set of proxy materials?</w:t>
      </w:r>
    </w:p>
    <w:p>
      <w:pPr>
        <w:spacing w:after="0" w:line="15" w:lineRule="exact"/>
        <w:rPr>
          <w:sz w:val="20"/>
          <w:szCs w:val="20"/>
          <w:color w:val="auto"/>
        </w:rPr>
      </w:pPr>
    </w:p>
    <w:p>
      <w:pPr>
        <w:ind w:left="820" w:right="60"/>
        <w:spacing w:after="0" w:line="291" w:lineRule="auto"/>
        <w:rPr>
          <w:sz w:val="20"/>
          <w:szCs w:val="20"/>
          <w:color w:val="auto"/>
        </w:rPr>
      </w:pPr>
      <w:r>
        <w:rPr>
          <w:rFonts w:ascii="Arial" w:cs="Arial" w:eastAsia="Arial" w:hAnsi="Arial"/>
          <w:sz w:val="16"/>
          <w:szCs w:val="16"/>
          <w:color w:val="auto"/>
        </w:rPr>
        <w:t>In accordance with rules adopted by the Securities and Exchange Commission, or SEC, we may furnish proxy materials, including this proxy statement and our 2024 annual report to stockholders, by providing access to these documents on the Internet instead of mailing a printed copy of our proxy materials to our stockholders. On or about April 22, 2025, we began mailing a Notice of Internet Availability of Proxy Materials, or the Notice, containing instructions on how to access this proxy statement and our 2024 annual report online, as well as instructions on how to vote.</w:t>
      </w:r>
    </w:p>
    <w:p>
      <w:pPr>
        <w:spacing w:after="0" w:line="100" w:lineRule="exact"/>
        <w:rPr>
          <w:sz w:val="20"/>
          <w:szCs w:val="20"/>
          <w:color w:val="auto"/>
        </w:rPr>
      </w:pPr>
    </w:p>
    <w:p>
      <w:pPr>
        <w:ind w:left="820" w:right="180"/>
        <w:spacing w:after="0" w:line="295" w:lineRule="auto"/>
        <w:rPr>
          <w:sz w:val="20"/>
          <w:szCs w:val="20"/>
          <w:color w:val="auto"/>
        </w:rPr>
      </w:pPr>
      <w:r>
        <w:rPr>
          <w:rFonts w:ascii="Arial" w:cs="Arial" w:eastAsia="Arial" w:hAnsi="Arial"/>
          <w:sz w:val="16"/>
          <w:szCs w:val="16"/>
          <w:color w:val="auto"/>
        </w:rPr>
        <w:t>We believe the delivery option that we have chosen this year allows us to provide our stockholders with the proxy materials they need, while lowering the cost of delivery of the materials and reducing the environmental impact of printing and mailing printed copies. If you would like to receive a paper or an e-mail copy of our proxy materials for the 2025 Annual Meeting or for all future annual meetings, you should follow the instructions for requesting such materials included in the Notice.</w:t>
      </w:r>
    </w:p>
    <w:p>
      <w:pPr>
        <w:spacing w:after="0" w:line="264"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Who is entitled to vote at the Annual Meeting?</w:t>
      </w:r>
    </w:p>
    <w:p>
      <w:pPr>
        <w:spacing w:after="0" w:line="133" w:lineRule="exact"/>
        <w:rPr>
          <w:sz w:val="20"/>
          <w:szCs w:val="20"/>
          <w:color w:val="auto"/>
        </w:rPr>
      </w:pPr>
    </w:p>
    <w:p>
      <w:pPr>
        <w:ind w:left="820" w:right="60"/>
        <w:spacing w:after="0" w:line="289" w:lineRule="auto"/>
        <w:rPr>
          <w:sz w:val="20"/>
          <w:szCs w:val="20"/>
          <w:color w:val="auto"/>
        </w:rPr>
      </w:pPr>
      <w:r>
        <w:rPr>
          <w:rFonts w:ascii="Arial" w:cs="Arial" w:eastAsia="Arial" w:hAnsi="Arial"/>
          <w:sz w:val="16"/>
          <w:szCs w:val="16"/>
          <w:color w:val="auto"/>
        </w:rPr>
        <w:t>Holders of record of our common stock, $0.01 par value per share, at the close of business on March 31, 2025, the record date for the Annual Meeting, are entitled to receive notice of the Annual Meeting and to vote at the Annual Meeting. If you are a holder of record of our common stock as of the record date, you may vote the shares that you held on the record date even if you sell such shares after the record date. Each outstanding share as of the record date entitles its holder to cast one vote for each matter to be voted upon and, with respect to the election of directors, one vote for each director to be elected. Stockholders do not have the right to cumulate voting for the election of directors.</w:t>
      </w:r>
    </w:p>
    <w:p>
      <w:pPr>
        <w:spacing w:after="0" w:line="272"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What is the purpose of the Annual Meeting?</w:t>
      </w:r>
    </w:p>
    <w:p>
      <w:pPr>
        <w:spacing w:after="0" w:line="13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At the Annual Meeting, you will be asked to vote on the following proposals:</w:t>
      </w:r>
    </w:p>
    <w:p>
      <w:pPr>
        <w:spacing w:after="0" w:line="181" w:lineRule="exact"/>
        <w:rPr>
          <w:sz w:val="20"/>
          <w:szCs w:val="20"/>
          <w:color w:val="auto"/>
        </w:rPr>
      </w:pPr>
    </w:p>
    <w:p>
      <w:pPr>
        <w:ind w:left="1000" w:right="400" w:hanging="184"/>
        <w:spacing w:after="0" w:line="299" w:lineRule="auto"/>
        <w:tabs>
          <w:tab w:leader="none" w:pos="1000" w:val="left"/>
        </w:tabs>
        <w:numPr>
          <w:ilvl w:val="0"/>
          <w:numId w:val="129"/>
        </w:numPr>
        <w:rPr>
          <w:rFonts w:ascii="Arial" w:cs="Arial" w:eastAsia="Arial" w:hAnsi="Arial"/>
          <w:sz w:val="16"/>
          <w:szCs w:val="16"/>
          <w:color w:val="auto"/>
        </w:rPr>
      </w:pPr>
      <w:r>
        <w:rPr>
          <w:rFonts w:ascii="Arial" w:cs="Arial" w:eastAsia="Arial" w:hAnsi="Arial"/>
          <w:sz w:val="16"/>
          <w:szCs w:val="16"/>
          <w:i w:val="1"/>
          <w:iCs w:val="1"/>
          <w:color w:val="auto"/>
        </w:rPr>
        <w:t xml:space="preserve">Proposal 1: </w:t>
      </w:r>
      <w:r>
        <w:rPr>
          <w:rFonts w:ascii="Arial" w:cs="Arial" w:eastAsia="Arial" w:hAnsi="Arial"/>
          <w:sz w:val="16"/>
          <w:szCs w:val="16"/>
          <w:color w:val="auto"/>
        </w:rPr>
        <w:t>the election of the eight director nominees named in this proxy statement to serve on the Board for a one-year</w:t>
      </w:r>
      <w:r>
        <w:rPr>
          <w:rFonts w:ascii="Arial" w:cs="Arial" w:eastAsia="Arial" w:hAnsi="Arial"/>
          <w:sz w:val="16"/>
          <w:szCs w:val="16"/>
          <w:i w:val="1"/>
          <w:iCs w:val="1"/>
          <w:color w:val="auto"/>
        </w:rPr>
        <w:t xml:space="preserve"> </w:t>
      </w:r>
      <w:r>
        <w:rPr>
          <w:rFonts w:ascii="Arial" w:cs="Arial" w:eastAsia="Arial" w:hAnsi="Arial"/>
          <w:sz w:val="16"/>
          <w:szCs w:val="16"/>
          <w:color w:val="auto"/>
        </w:rPr>
        <w:t>term and until their successors are duly elected and qualify</w:t>
      </w:r>
    </w:p>
    <w:p>
      <w:pPr>
        <w:ind w:left="1000" w:right="80" w:hanging="184"/>
        <w:spacing w:after="0" w:line="286" w:lineRule="auto"/>
        <w:tabs>
          <w:tab w:leader="none" w:pos="1000" w:val="left"/>
        </w:tabs>
        <w:numPr>
          <w:ilvl w:val="0"/>
          <w:numId w:val="129"/>
        </w:numPr>
        <w:rPr>
          <w:rFonts w:ascii="Arial" w:cs="Arial" w:eastAsia="Arial" w:hAnsi="Arial"/>
          <w:sz w:val="16"/>
          <w:szCs w:val="16"/>
          <w:color w:val="auto"/>
        </w:rPr>
      </w:pPr>
      <w:r>
        <w:rPr>
          <w:rFonts w:ascii="Arial" w:cs="Arial" w:eastAsia="Arial" w:hAnsi="Arial"/>
          <w:sz w:val="16"/>
          <w:szCs w:val="16"/>
          <w:i w:val="1"/>
          <w:iCs w:val="1"/>
          <w:color w:val="auto"/>
        </w:rPr>
        <w:t xml:space="preserve">Proposal 2: </w:t>
      </w:r>
      <w:r>
        <w:rPr>
          <w:rFonts w:ascii="Arial" w:cs="Arial" w:eastAsia="Arial" w:hAnsi="Arial"/>
          <w:sz w:val="16"/>
          <w:szCs w:val="16"/>
          <w:color w:val="auto"/>
        </w:rPr>
        <w:t>the approval of an advisory resolution approving the compensation of our named executive officers as disclosed in</w:t>
      </w:r>
      <w:r>
        <w:rPr>
          <w:rFonts w:ascii="Arial" w:cs="Arial" w:eastAsia="Arial" w:hAnsi="Arial"/>
          <w:sz w:val="16"/>
          <w:szCs w:val="16"/>
          <w:i w:val="1"/>
          <w:iCs w:val="1"/>
          <w:color w:val="auto"/>
        </w:rPr>
        <w:t xml:space="preserve"> </w:t>
      </w:r>
      <w:r>
        <w:rPr>
          <w:rFonts w:ascii="Arial" w:cs="Arial" w:eastAsia="Arial" w:hAnsi="Arial"/>
          <w:sz w:val="16"/>
          <w:szCs w:val="16"/>
          <w:color w:val="auto"/>
        </w:rPr>
        <w:t>this proxy statement pursuant to Item 402 of Regulation S-K</w:t>
      </w:r>
    </w:p>
    <w:p>
      <w:pPr>
        <w:spacing w:after="0" w:line="7" w:lineRule="exact"/>
        <w:rPr>
          <w:rFonts w:ascii="Arial" w:cs="Arial" w:eastAsia="Arial" w:hAnsi="Arial"/>
          <w:sz w:val="16"/>
          <w:szCs w:val="16"/>
          <w:color w:val="auto"/>
        </w:rPr>
      </w:pPr>
    </w:p>
    <w:p>
      <w:pPr>
        <w:ind w:left="1000" w:right="220" w:hanging="184"/>
        <w:spacing w:after="0" w:line="290" w:lineRule="auto"/>
        <w:tabs>
          <w:tab w:leader="none" w:pos="1000" w:val="left"/>
        </w:tabs>
        <w:numPr>
          <w:ilvl w:val="0"/>
          <w:numId w:val="129"/>
        </w:numPr>
        <w:rPr>
          <w:rFonts w:ascii="Arial" w:cs="Arial" w:eastAsia="Arial" w:hAnsi="Arial"/>
          <w:sz w:val="16"/>
          <w:szCs w:val="16"/>
          <w:color w:val="auto"/>
        </w:rPr>
      </w:pPr>
      <w:r>
        <w:rPr>
          <w:rFonts w:ascii="Arial" w:cs="Arial" w:eastAsia="Arial" w:hAnsi="Arial"/>
          <w:sz w:val="16"/>
          <w:szCs w:val="16"/>
          <w:i w:val="1"/>
          <w:iCs w:val="1"/>
          <w:color w:val="auto"/>
        </w:rPr>
        <w:t xml:space="preserve">Proposal 3: </w:t>
      </w:r>
      <w:r>
        <w:rPr>
          <w:rFonts w:ascii="Arial" w:cs="Arial" w:eastAsia="Arial" w:hAnsi="Arial"/>
          <w:sz w:val="16"/>
          <w:szCs w:val="16"/>
          <w:color w:val="auto"/>
        </w:rPr>
        <w:t>the ratification of the appointment of Deloitte &amp; Touche LLP as our independent registered public accounting firm</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fiscal year ending December 31, 2025</w:t>
      </w:r>
    </w:p>
    <w:p>
      <w:pPr>
        <w:ind w:left="1000" w:hanging="184"/>
        <w:spacing w:after="0"/>
        <w:tabs>
          <w:tab w:leader="none" w:pos="1000" w:val="left"/>
        </w:tabs>
        <w:numPr>
          <w:ilvl w:val="0"/>
          <w:numId w:val="129"/>
        </w:numPr>
        <w:rPr>
          <w:rFonts w:ascii="Arial" w:cs="Arial" w:eastAsia="Arial" w:hAnsi="Arial"/>
          <w:sz w:val="16"/>
          <w:szCs w:val="16"/>
          <w:color w:val="auto"/>
        </w:rPr>
      </w:pPr>
      <w:r>
        <w:rPr>
          <w:rFonts w:ascii="Arial" w:cs="Arial" w:eastAsia="Arial" w:hAnsi="Arial"/>
          <w:sz w:val="16"/>
          <w:szCs w:val="16"/>
          <w:i w:val="1"/>
          <w:iCs w:val="1"/>
          <w:color w:val="auto"/>
        </w:rPr>
        <w:t xml:space="preserve">Proposal 4: </w:t>
      </w:r>
      <w:r>
        <w:rPr>
          <w:rFonts w:ascii="Arial" w:cs="Arial" w:eastAsia="Arial" w:hAnsi="Arial"/>
          <w:sz w:val="16"/>
          <w:szCs w:val="16"/>
          <w:color w:val="auto"/>
        </w:rPr>
        <w:t>the approval of our Sixth Amended and Restated 2005 Stock Option and Incentive Plan</w:t>
      </w:r>
    </w:p>
    <w:p>
      <w:pPr>
        <w:spacing w:after="0" w:line="181" w:lineRule="exact"/>
        <w:rPr>
          <w:sz w:val="20"/>
          <w:szCs w:val="20"/>
          <w:color w:val="auto"/>
        </w:rPr>
      </w:pPr>
    </w:p>
    <w:p>
      <w:pPr>
        <w:ind w:left="820" w:right="160"/>
        <w:spacing w:after="0" w:line="321" w:lineRule="auto"/>
        <w:rPr>
          <w:sz w:val="20"/>
          <w:szCs w:val="20"/>
          <w:color w:val="auto"/>
        </w:rPr>
      </w:pPr>
      <w:r>
        <w:rPr>
          <w:rFonts w:ascii="Arial" w:cs="Arial" w:eastAsia="Arial" w:hAnsi="Arial"/>
          <w:sz w:val="16"/>
          <w:szCs w:val="16"/>
          <w:color w:val="auto"/>
        </w:rPr>
        <w:t>You also may be asked to consider and act upon any other matters that may properly be brought before the Annual Meeting and at any adjournments or postponements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1055370</wp:posOffset>
            </wp:positionV>
            <wp:extent cx="6831965" cy="425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104" w:name="page105"/>
    <w:bookmarkEnd w:id="10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p>
      <w:pPr>
        <w:ind w:left="820"/>
        <w:spacing w:after="0"/>
        <w:tabs>
          <w:tab w:leader="none" w:pos="1440" w:val="left"/>
          <w:tab w:leader="none" w:pos="9860" w:val="left"/>
        </w:tabs>
        <w:rPr>
          <w:sz w:val="20"/>
          <w:szCs w:val="20"/>
          <w:color w:val="auto"/>
        </w:rPr>
      </w:pPr>
      <w:r>
        <w:rPr>
          <w:rFonts w:ascii="Arial" w:cs="Arial" w:eastAsia="Arial" w:hAnsi="Arial"/>
          <w:sz w:val="22"/>
          <w:szCs w:val="22"/>
          <w:b w:val="1"/>
          <w:bCs w:val="1"/>
          <w:color w:val="1F2668"/>
        </w:rPr>
        <w:t>​102</w:t>
        <w:tab/>
        <w:t xml:space="preserve">​ ​ </w:t>
      </w:r>
      <w:r>
        <w:rPr>
          <w:rFonts w:ascii="Arial" w:cs="Arial" w:eastAsia="Arial" w:hAnsi="Arial"/>
          <w:sz w:val="14"/>
          <w:szCs w:val="14"/>
          <w:b w:val="1"/>
          <w:bCs w:val="1"/>
          <w:color w:val="1F2668"/>
        </w:rPr>
        <w:t>SL GREEN REALTY CORP. 2025 PROXY STATEMENT</w:t>
      </w:r>
      <w:r>
        <w:rPr>
          <w:sz w:val="20"/>
          <w:szCs w:val="20"/>
          <w:color w:val="auto"/>
        </w:rPr>
        <w:tab/>
      </w:r>
      <w:r>
        <w:rPr>
          <w:rFonts w:ascii="Arial" w:cs="Arial" w:eastAsia="Arial" w:hAnsi="Arial"/>
          <w:sz w:val="22"/>
          <w:szCs w:val="22"/>
          <w:b w:val="1"/>
          <w:bCs w:val="1"/>
          <w:color w:val="1F2668"/>
        </w:rPr>
        <w:t>​</w:t>
      </w:r>
    </w:p>
    <w:p>
      <w:pPr>
        <w:spacing w:after="0" w:line="200" w:lineRule="exact"/>
        <w:rPr>
          <w:sz w:val="20"/>
          <w:szCs w:val="20"/>
          <w:color w:val="auto"/>
        </w:rPr>
      </w:pPr>
    </w:p>
    <w:p>
      <w:pPr>
        <w:spacing w:after="0" w:line="285"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What constitutes a quorum?</w:t>
      </w:r>
    </w:p>
    <w:p>
      <w:pPr>
        <w:spacing w:after="0" w:line="133" w:lineRule="exact"/>
        <w:rPr>
          <w:sz w:val="20"/>
          <w:szCs w:val="20"/>
          <w:color w:val="auto"/>
        </w:rPr>
      </w:pPr>
    </w:p>
    <w:p>
      <w:pPr>
        <w:ind w:left="820" w:right="240"/>
        <w:spacing w:after="0" w:line="319" w:lineRule="auto"/>
        <w:rPr>
          <w:sz w:val="20"/>
          <w:szCs w:val="20"/>
          <w:color w:val="auto"/>
        </w:rPr>
      </w:pPr>
      <w:r>
        <w:rPr>
          <w:rFonts w:ascii="Arial" w:cs="Arial" w:eastAsia="Arial" w:hAnsi="Arial"/>
          <w:sz w:val="16"/>
          <w:szCs w:val="16"/>
          <w:color w:val="auto"/>
        </w:rPr>
        <w:t>The presence, in person or by proxy, of holders of a majority of the total number of outstanding shares entitled to vote at the Annual Meeting is necessary to constitute a quorum for the transaction of any business at the Annual Meeting. As of the record date, there were 71,010,969 shares outstanding and entitled to vote at the Annual Meeting.</w:t>
      </w:r>
    </w:p>
    <w:p>
      <w:pPr>
        <w:spacing w:after="0" w:line="90" w:lineRule="exact"/>
        <w:rPr>
          <w:sz w:val="20"/>
          <w:szCs w:val="20"/>
          <w:color w:val="auto"/>
        </w:rPr>
      </w:pPr>
    </w:p>
    <w:p>
      <w:pPr>
        <w:ind w:left="820" w:right="80"/>
        <w:spacing w:after="0" w:line="300" w:lineRule="auto"/>
        <w:rPr>
          <w:sz w:val="20"/>
          <w:szCs w:val="20"/>
          <w:color w:val="auto"/>
        </w:rPr>
      </w:pPr>
      <w:r>
        <w:rPr>
          <w:rFonts w:ascii="Arial" w:cs="Arial" w:eastAsia="Arial" w:hAnsi="Arial"/>
          <w:sz w:val="16"/>
          <w:szCs w:val="16"/>
          <w:color w:val="auto"/>
        </w:rPr>
        <w:t>Each share of our common stock outstanding on the record date is entitled to one vote on each matter properly submitted at the Annual Meeting and, with respect to the election of directors, one vote for each director to be elected. Abstentions and “broker non-votes” (i​.e., shares represented at the meeting held by brokers, as to which instructions have not been received from the beneficial owners or persons entitled to vote such shares and with respect to which, on a particular matter, the broker does not have discretionary voting power to vote such shares) will be counted for purposes of determining whether a quorum is present for the transaction of business at the Annual Meeting.</w:t>
      </w:r>
    </w:p>
    <w:p>
      <w:pPr>
        <w:spacing w:after="0" w:line="275"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What vote is required to approve each proposal?</w:t>
      </w:r>
    </w:p>
    <w:p>
      <w:pPr>
        <w:spacing w:after="0" w:line="133" w:lineRule="exact"/>
        <w:rPr>
          <w:sz w:val="20"/>
          <w:szCs w:val="20"/>
          <w:color w:val="auto"/>
        </w:rPr>
      </w:pPr>
    </w:p>
    <w:p>
      <w:pPr>
        <w:ind w:left="820" w:right="80"/>
        <w:spacing w:after="0" w:line="300" w:lineRule="auto"/>
        <w:rPr>
          <w:sz w:val="20"/>
          <w:szCs w:val="20"/>
          <w:color w:val="auto"/>
        </w:rPr>
      </w:pPr>
      <w:r>
        <w:rPr>
          <w:rFonts w:ascii="Arial" w:cs="Arial" w:eastAsia="Arial" w:hAnsi="Arial"/>
          <w:sz w:val="16"/>
          <w:szCs w:val="16"/>
          <w:color w:val="auto"/>
        </w:rPr>
        <w:t>For Proposal 1, a majority of all the votes cast with respect to a nominee’s election is required for such nominee to be elected to serve on the Board. This means that the number of votes cast “for” a nominee must exceed the number of votes cast “against” such nominee. Abstentions and broker non-votes are not counted as a vote cast either “for” or “against” a nominee, and therefore, will have no effect on the election of directors. For more information on the operation of our majority voting standard in director elections, see the section entitled “Our Board of Directors and Corporate Governance—Corporate​ Governance—Majority Voting Standard and Director Resignation Policy.”</w:t>
      </w:r>
    </w:p>
    <w:p>
      <w:pPr>
        <w:spacing w:after="0" w:line="105" w:lineRule="exact"/>
        <w:rPr>
          <w:sz w:val="20"/>
          <w:szCs w:val="20"/>
          <w:color w:val="auto"/>
        </w:rPr>
      </w:pPr>
    </w:p>
    <w:p>
      <w:pPr>
        <w:jc w:val="both"/>
        <w:ind w:left="820" w:right="140"/>
        <w:spacing w:after="0" w:line="319" w:lineRule="auto"/>
        <w:rPr>
          <w:sz w:val="20"/>
          <w:szCs w:val="20"/>
          <w:color w:val="auto"/>
        </w:rPr>
      </w:pPr>
      <w:r>
        <w:rPr>
          <w:rFonts w:ascii="Arial" w:cs="Arial" w:eastAsia="Arial" w:hAnsi="Arial"/>
          <w:sz w:val="16"/>
          <w:szCs w:val="16"/>
          <w:color w:val="auto"/>
        </w:rPr>
        <w:t>A majority of all of the votes cast with respect to the proposal is required for approval of each of Proposals 2, 3 and 4. In respect of Proposals 2, 3 and 4, abstentions and broker non-votes are not counted as votes cast, and therefore will have no effect on the votes for these proposals.</w:t>
      </w:r>
    </w:p>
    <w:p>
      <w:pPr>
        <w:spacing w:after="0" w:line="246"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How do I vote?</w:t>
      </w:r>
    </w:p>
    <w:p>
      <w:pPr>
        <w:spacing w:after="0" w:line="133" w:lineRule="exact"/>
        <w:rPr>
          <w:sz w:val="20"/>
          <w:szCs w:val="20"/>
          <w:color w:val="auto"/>
        </w:rPr>
      </w:pPr>
    </w:p>
    <w:p>
      <w:pPr>
        <w:ind w:left="820" w:right="180"/>
        <w:spacing w:after="0" w:line="306" w:lineRule="auto"/>
        <w:rPr>
          <w:sz w:val="20"/>
          <w:szCs w:val="20"/>
          <w:color w:val="auto"/>
        </w:rPr>
      </w:pPr>
      <w:r>
        <w:rPr>
          <w:rFonts w:ascii="Arial" w:cs="Arial" w:eastAsia="Arial" w:hAnsi="Arial"/>
          <w:sz w:val="16"/>
          <w:szCs w:val="16"/>
          <w:i w:val="1"/>
          <w:iCs w:val="1"/>
          <w:color w:val="auto"/>
        </w:rPr>
        <w:t xml:space="preserve">Voting in Person at the Annual Meeting. </w:t>
      </w:r>
      <w:r>
        <w:rPr>
          <w:rFonts w:ascii="Arial" w:cs="Arial" w:eastAsia="Arial" w:hAnsi="Arial"/>
          <w:sz w:val="16"/>
          <w:szCs w:val="16"/>
          <w:color w:val="auto"/>
        </w:rPr>
        <w:t>If you hold your shares in your own name as a holder of record with our transfer agent,</w:t>
      </w:r>
      <w:r>
        <w:rPr>
          <w:rFonts w:ascii="Arial" w:cs="Arial" w:eastAsia="Arial" w:hAnsi="Arial"/>
          <w:sz w:val="16"/>
          <w:szCs w:val="16"/>
          <w:i w:val="1"/>
          <w:iCs w:val="1"/>
          <w:color w:val="auto"/>
        </w:rPr>
        <w:t xml:space="preserve"> </w:t>
      </w:r>
      <w:r>
        <w:rPr>
          <w:rFonts w:ascii="Arial" w:cs="Arial" w:eastAsia="Arial" w:hAnsi="Arial"/>
          <w:sz w:val="16"/>
          <w:szCs w:val="16"/>
          <w:color w:val="auto"/>
        </w:rPr>
        <w:t>Computershare, and attend the Annual Meeting, you may vote in person at the Annual Meeting. If your shares are held by a bank, broker or other nominee, that is, in “street name,” and you wish to vote in person at the Annual Meeting, you will need to obtain a “legal proxy” from the bank, broker or other nominee that holds your shares of record.</w:t>
      </w:r>
    </w:p>
    <w:p>
      <w:pPr>
        <w:spacing w:after="0" w:line="115" w:lineRule="exact"/>
        <w:rPr>
          <w:sz w:val="20"/>
          <w:szCs w:val="20"/>
          <w:color w:val="auto"/>
        </w:rPr>
      </w:pPr>
    </w:p>
    <w:p>
      <w:pPr>
        <w:ind w:left="820" w:right="140"/>
        <w:spacing w:after="0" w:line="310" w:lineRule="auto"/>
        <w:rPr>
          <w:sz w:val="20"/>
          <w:szCs w:val="20"/>
          <w:color w:val="auto"/>
        </w:rPr>
      </w:pPr>
      <w:r>
        <w:rPr>
          <w:rFonts w:ascii="Arial" w:cs="Arial" w:eastAsia="Arial" w:hAnsi="Arial"/>
          <w:sz w:val="16"/>
          <w:szCs w:val="16"/>
          <w:i w:val="1"/>
          <w:iCs w:val="1"/>
          <w:color w:val="auto"/>
        </w:rPr>
        <w:t xml:space="preserve">If you received a paper copy of this Proxy Statement. </w:t>
      </w:r>
      <w:r>
        <w:rPr>
          <w:rFonts w:ascii="Arial" w:cs="Arial" w:eastAsia="Arial" w:hAnsi="Arial"/>
          <w:sz w:val="16"/>
          <w:szCs w:val="16"/>
          <w:color w:val="auto"/>
        </w:rPr>
        <w:t>You can vote by valid proxy received by telephone, electronically via the</w:t>
      </w:r>
      <w:r>
        <w:rPr>
          <w:rFonts w:ascii="Arial" w:cs="Arial" w:eastAsia="Arial" w:hAnsi="Arial"/>
          <w:sz w:val="16"/>
          <w:szCs w:val="16"/>
          <w:i w:val="1"/>
          <w:iCs w:val="1"/>
          <w:color w:val="auto"/>
        </w:rPr>
        <w:t xml:space="preserve"> </w:t>
      </w:r>
      <w:r>
        <w:rPr>
          <w:rFonts w:ascii="Arial" w:cs="Arial" w:eastAsia="Arial" w:hAnsi="Arial"/>
          <w:sz w:val="16"/>
          <w:szCs w:val="16"/>
          <w:color w:val="auto"/>
        </w:rPr>
        <w:t>Internet or by mail. The deadline for voting by telephone or electronically via the Internet is 11:59 p.m., Eastern Daylight Time, on June 2, 2025. If voting by mail, you must:</w:t>
      </w:r>
    </w:p>
    <w:p>
      <w:pPr>
        <w:spacing w:after="0" w:line="111" w:lineRule="exact"/>
        <w:rPr>
          <w:sz w:val="20"/>
          <w:szCs w:val="20"/>
          <w:color w:val="auto"/>
        </w:rPr>
      </w:pPr>
    </w:p>
    <w:p>
      <w:pPr>
        <w:ind w:left="1000" w:hanging="184"/>
        <w:spacing w:after="0"/>
        <w:tabs>
          <w:tab w:leader="none" w:pos="10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indicate your instructions on the proxy</w:t>
      </w:r>
    </w:p>
    <w:p>
      <w:pPr>
        <w:spacing w:after="0" w:line="86" w:lineRule="exact"/>
        <w:rPr>
          <w:rFonts w:ascii="Arial" w:cs="Arial" w:eastAsia="Arial" w:hAnsi="Arial"/>
          <w:sz w:val="16"/>
          <w:szCs w:val="16"/>
          <w:color w:val="auto"/>
        </w:rPr>
      </w:pPr>
    </w:p>
    <w:p>
      <w:pPr>
        <w:ind w:left="1000" w:hanging="184"/>
        <w:spacing w:after="0"/>
        <w:tabs>
          <w:tab w:leader="none" w:pos="10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date and sign the proxy</w:t>
      </w:r>
    </w:p>
    <w:p>
      <w:pPr>
        <w:spacing w:after="0" w:line="72" w:lineRule="exact"/>
        <w:rPr>
          <w:rFonts w:ascii="Arial" w:cs="Arial" w:eastAsia="Arial" w:hAnsi="Arial"/>
          <w:sz w:val="16"/>
          <w:szCs w:val="16"/>
          <w:color w:val="auto"/>
        </w:rPr>
      </w:pPr>
    </w:p>
    <w:p>
      <w:pPr>
        <w:ind w:left="1000" w:hanging="184"/>
        <w:spacing w:after="0"/>
        <w:tabs>
          <w:tab w:leader="none" w:pos="10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promptly mail the proxy in the enclosed envelope</w:t>
      </w:r>
    </w:p>
    <w:p>
      <w:pPr>
        <w:spacing w:after="0" w:line="72" w:lineRule="exact"/>
        <w:rPr>
          <w:rFonts w:ascii="Arial" w:cs="Arial" w:eastAsia="Arial" w:hAnsi="Arial"/>
          <w:sz w:val="16"/>
          <w:szCs w:val="16"/>
          <w:color w:val="auto"/>
        </w:rPr>
      </w:pPr>
    </w:p>
    <w:p>
      <w:pPr>
        <w:ind w:left="1000" w:hanging="184"/>
        <w:spacing w:after="0"/>
        <w:tabs>
          <w:tab w:leader="none" w:pos="10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allow sufficient time for the proxy to be received before the date of the Annual Meeting</w:t>
      </w:r>
    </w:p>
    <w:p>
      <w:pPr>
        <w:spacing w:after="0" w:line="181" w:lineRule="exact"/>
        <w:rPr>
          <w:sz w:val="20"/>
          <w:szCs w:val="20"/>
          <w:color w:val="auto"/>
        </w:rPr>
      </w:pPr>
    </w:p>
    <w:p>
      <w:pPr>
        <w:ind w:left="820" w:right="460"/>
        <w:spacing w:after="0" w:line="321" w:lineRule="auto"/>
        <w:rPr>
          <w:sz w:val="20"/>
          <w:szCs w:val="20"/>
          <w:color w:val="auto"/>
        </w:rPr>
      </w:pPr>
      <w:r>
        <w:rPr>
          <w:rFonts w:ascii="Arial" w:cs="Arial" w:eastAsia="Arial" w:hAnsi="Arial"/>
          <w:sz w:val="16"/>
          <w:szCs w:val="16"/>
          <w:color w:val="auto"/>
        </w:rPr>
        <w:t>If your shares are held in “street name” such as in a stock brokerage account, by a bank or other nominee, please follow the instructions you received from your broker with respect to the voting of your shares.</w:t>
      </w:r>
    </w:p>
    <w:p>
      <w:pPr>
        <w:spacing w:after="0" w:line="75" w:lineRule="exact"/>
        <w:rPr>
          <w:sz w:val="20"/>
          <w:szCs w:val="20"/>
          <w:color w:val="auto"/>
        </w:rPr>
      </w:pPr>
    </w:p>
    <w:p>
      <w:pPr>
        <w:jc w:val="both"/>
        <w:ind w:left="820" w:right="80"/>
        <w:spacing w:after="0" w:line="319" w:lineRule="auto"/>
        <w:rPr>
          <w:sz w:val="20"/>
          <w:szCs w:val="20"/>
          <w:color w:val="auto"/>
        </w:rPr>
      </w:pPr>
      <w:r>
        <w:rPr>
          <w:rFonts w:ascii="Arial" w:cs="Arial" w:eastAsia="Arial" w:hAnsi="Arial"/>
          <w:sz w:val="16"/>
          <w:szCs w:val="16"/>
          <w:i w:val="1"/>
          <w:iCs w:val="1"/>
          <w:color w:val="auto"/>
        </w:rPr>
        <w:t xml:space="preserve">If you received a Notice of Internet Availability of Proxy Statement. </w:t>
      </w:r>
      <w:r>
        <w:rPr>
          <w:rFonts w:ascii="Arial" w:cs="Arial" w:eastAsia="Arial" w:hAnsi="Arial"/>
          <w:sz w:val="16"/>
          <w:szCs w:val="16"/>
          <w:color w:val="auto"/>
        </w:rPr>
        <w:t>Please submit your proxy electronically via the Internet using</w:t>
      </w:r>
      <w:r>
        <w:rPr>
          <w:rFonts w:ascii="Arial" w:cs="Arial" w:eastAsia="Arial" w:hAnsi="Arial"/>
          <w:sz w:val="16"/>
          <w:szCs w:val="16"/>
          <w:i w:val="1"/>
          <w:iCs w:val="1"/>
          <w:color w:val="auto"/>
        </w:rPr>
        <w:t xml:space="preserve"> </w:t>
      </w:r>
      <w:r>
        <w:rPr>
          <w:rFonts w:ascii="Arial" w:cs="Arial" w:eastAsia="Arial" w:hAnsi="Arial"/>
          <w:sz w:val="16"/>
          <w:szCs w:val="16"/>
          <w:color w:val="auto"/>
        </w:rPr>
        <w:t>the instructions included in the Notice. The deadline for voting electronically via the Internet is 11:59 p.m., Eastern Daylight Time, on June 2, 2025.</w:t>
      </w:r>
    </w:p>
    <w:p>
      <w:pPr>
        <w:spacing w:after="0" w:line="90" w:lineRule="exact"/>
        <w:rPr>
          <w:sz w:val="20"/>
          <w:szCs w:val="20"/>
          <w:color w:val="auto"/>
        </w:rPr>
      </w:pPr>
    </w:p>
    <w:p>
      <w:pPr>
        <w:ind w:left="820" w:right="140"/>
        <w:spacing w:after="0" w:line="310" w:lineRule="auto"/>
        <w:rPr>
          <w:sz w:val="20"/>
          <w:szCs w:val="20"/>
          <w:color w:val="auto"/>
        </w:rPr>
      </w:pPr>
      <w:r>
        <w:rPr>
          <w:rFonts w:ascii="Arial" w:cs="Arial" w:eastAsia="Arial" w:hAnsi="Arial"/>
          <w:sz w:val="16"/>
          <w:szCs w:val="16"/>
          <w:i w:val="1"/>
          <w:iCs w:val="1"/>
          <w:color w:val="auto"/>
        </w:rPr>
        <w:t xml:space="preserve">If you received an e-mail copy of this Proxy Statement. </w:t>
      </w:r>
      <w:r>
        <w:rPr>
          <w:rFonts w:ascii="Arial" w:cs="Arial" w:eastAsia="Arial" w:hAnsi="Arial"/>
          <w:sz w:val="16"/>
          <w:szCs w:val="16"/>
          <w:color w:val="auto"/>
        </w:rPr>
        <w:t>Please submit your proxy electronically via the Internet or telephonically</w:t>
      </w:r>
      <w:r>
        <w:rPr>
          <w:rFonts w:ascii="Arial" w:cs="Arial" w:eastAsia="Arial" w:hAnsi="Arial"/>
          <w:sz w:val="16"/>
          <w:szCs w:val="16"/>
          <w:i w:val="1"/>
          <w:iCs w:val="1"/>
          <w:color w:val="auto"/>
        </w:rPr>
        <w:t xml:space="preserve"> </w:t>
      </w:r>
      <w:r>
        <w:rPr>
          <w:rFonts w:ascii="Arial" w:cs="Arial" w:eastAsia="Arial" w:hAnsi="Arial"/>
          <w:sz w:val="16"/>
          <w:szCs w:val="16"/>
          <w:color w:val="auto"/>
        </w:rPr>
        <w:t>using the instructions included on the Proxy Card. The deadline for voting electronically via the Internet or telephonically is 11:59 p.m., Eastern Daylight Time, on June 2, 2025.</w:t>
      </w:r>
    </w:p>
    <w:p>
      <w:pPr>
        <w:spacing w:after="0" w:line="97" w:lineRule="exact"/>
        <w:rPr>
          <w:sz w:val="20"/>
          <w:szCs w:val="20"/>
          <w:color w:val="auto"/>
        </w:rPr>
      </w:pPr>
    </w:p>
    <w:p>
      <w:pPr>
        <w:ind w:left="820" w:right="740"/>
        <w:spacing w:after="0" w:line="339" w:lineRule="auto"/>
        <w:rPr>
          <w:sz w:val="20"/>
          <w:szCs w:val="20"/>
          <w:color w:val="auto"/>
        </w:rPr>
      </w:pPr>
      <w:r>
        <w:rPr>
          <w:rFonts w:ascii="Arial" w:cs="Arial" w:eastAsia="Arial" w:hAnsi="Arial"/>
          <w:sz w:val="16"/>
          <w:szCs w:val="16"/>
          <w:color w:val="auto"/>
        </w:rPr>
        <w:t>If you have any questions regarding how to authorize your proxy by telephone or via the Internet, please call MacKenzie Partners, Inc., toll-free at (800) 322-2885 or collect at (212) 929-5500.</w:t>
      </w:r>
    </w:p>
    <w:p>
      <w:pPr>
        <w:spacing w:after="0" w:line="74" w:lineRule="exact"/>
        <w:rPr>
          <w:sz w:val="20"/>
          <w:szCs w:val="20"/>
          <w:color w:val="auto"/>
        </w:rPr>
      </w:pPr>
    </w:p>
    <w:p>
      <w:pPr>
        <w:ind w:left="820" w:right="360"/>
        <w:spacing w:after="0" w:line="321" w:lineRule="auto"/>
        <w:rPr>
          <w:sz w:val="20"/>
          <w:szCs w:val="20"/>
          <w:color w:val="auto"/>
        </w:rPr>
      </w:pPr>
      <w:r>
        <w:rPr>
          <w:rFonts w:ascii="Arial" w:cs="Arial" w:eastAsia="Arial" w:hAnsi="Arial"/>
          <w:sz w:val="16"/>
          <w:szCs w:val="16"/>
          <w:color w:val="auto"/>
        </w:rPr>
        <w:t>Even if you plan to attend the Annual Meeting, we recommend that you submit a proxy to vote your shares in advance so that your vote will be counted if you later are unable to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43815</wp:posOffset>
            </wp:positionV>
            <wp:extent cx="6831965"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105" w:name="page106"/>
    <w:bookmarkEnd w:id="10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4860" w:type="dxa"/>
            <w:vAlign w:val="bottom"/>
          </w:tcPr>
          <w:p>
            <w:pPr>
              <w:spacing w:after="0"/>
              <w:rPr>
                <w:sz w:val="20"/>
                <w:szCs w:val="20"/>
                <w:color w:val="auto"/>
              </w:rPr>
            </w:pPr>
            <w:r>
              <w:rPr>
                <w:rFonts w:ascii="Arial" w:cs="Arial" w:eastAsia="Arial" w:hAnsi="Arial"/>
                <w:sz w:val="14"/>
                <w:szCs w:val="14"/>
                <w:b w:val="1"/>
                <w:bCs w:val="1"/>
                <w:color w:val="auto"/>
              </w:rPr>
              <w:t>​</w:t>
            </w:r>
          </w:p>
        </w:tc>
        <w:tc>
          <w:tcPr>
            <w:tcW w:w="3660" w:type="dxa"/>
            <w:vAlign w:val="bottom"/>
          </w:tcPr>
          <w:p>
            <w:pPr>
              <w:ind w:left="3340"/>
              <w:spacing w:after="0"/>
              <w:rPr>
                <w:sz w:val="20"/>
                <w:szCs w:val="20"/>
                <w:color w:val="auto"/>
              </w:rPr>
            </w:pPr>
            <w:r>
              <w:rPr>
                <w:rFonts w:ascii="Arial" w:cs="Arial" w:eastAsia="Arial" w:hAnsi="Arial"/>
                <w:sz w:val="14"/>
                <w:szCs w:val="14"/>
                <w:b w:val="1"/>
                <w:bCs w:val="1"/>
                <w:color w:val="auto"/>
              </w:rPr>
              <w:t>​ ​</w:t>
            </w:r>
          </w:p>
        </w:tc>
        <w:tc>
          <w:tcPr>
            <w:tcW w:w="540" w:type="dxa"/>
            <w:vAlign w:val="bottom"/>
            <w:vMerge w:val="restart"/>
          </w:tcPr>
          <w:p>
            <w:pPr>
              <w:jc w:val="right"/>
              <w:spacing w:after="0"/>
              <w:rPr>
                <w:sz w:val="20"/>
                <w:szCs w:val="20"/>
                <w:color w:val="auto"/>
              </w:rPr>
            </w:pPr>
            <w:r>
              <w:rPr>
                <w:rFonts w:ascii="Arial" w:cs="Arial" w:eastAsia="Arial" w:hAnsi="Arial"/>
                <w:sz w:val="22"/>
                <w:szCs w:val="22"/>
                <w:b w:val="1"/>
                <w:bCs w:val="1"/>
                <w:color w:val="1F2668"/>
              </w:rPr>
              <w:t>103</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4860" w:type="dxa"/>
            <w:vAlign w:val="bottom"/>
          </w:tcPr>
          <w:p>
            <w:pPr>
              <w:spacing w:after="0"/>
              <w:rPr>
                <w:sz w:val="20"/>
                <w:szCs w:val="20"/>
                <w:color w:val="auto"/>
              </w:rPr>
            </w:pPr>
            <w:r>
              <w:rPr>
                <w:rFonts w:ascii="Arial" w:cs="Arial" w:eastAsia="Arial" w:hAnsi="Arial"/>
                <w:sz w:val="14"/>
                <w:szCs w:val="14"/>
                <w:b w:val="1"/>
                <w:bCs w:val="1"/>
                <w:color w:val="auto"/>
              </w:rPr>
              <w:t>OTHER INFORMATION</w:t>
            </w:r>
          </w:p>
        </w:tc>
        <w:tc>
          <w:tcPr>
            <w:tcW w:w="366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38"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Can I change my vote after I have voted?</w:t>
      </w:r>
    </w:p>
    <w:p>
      <w:pPr>
        <w:spacing w:after="0" w:line="13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If you cast a vote by proxy, you may revoke it at any time before it is voted by:</w:t>
      </w:r>
    </w:p>
    <w:p>
      <w:pPr>
        <w:spacing w:after="0" w:line="181" w:lineRule="exact"/>
        <w:rPr>
          <w:sz w:val="20"/>
          <w:szCs w:val="20"/>
          <w:color w:val="auto"/>
        </w:rPr>
      </w:pPr>
    </w:p>
    <w:p>
      <w:pPr>
        <w:ind w:left="1000" w:hanging="184"/>
        <w:spacing w:after="0"/>
        <w:tabs>
          <w:tab w:leader="none" w:pos="10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filing a written notice revoking the proxy with our Secretary at our address;</w:t>
      </w:r>
    </w:p>
    <w:p>
      <w:pPr>
        <w:spacing w:after="0" w:line="72" w:lineRule="exact"/>
        <w:rPr>
          <w:rFonts w:ascii="Arial" w:cs="Arial" w:eastAsia="Arial" w:hAnsi="Arial"/>
          <w:sz w:val="16"/>
          <w:szCs w:val="16"/>
          <w:color w:val="auto"/>
        </w:rPr>
      </w:pPr>
    </w:p>
    <w:p>
      <w:pPr>
        <w:ind w:left="1000" w:hanging="184"/>
        <w:spacing w:after="0"/>
        <w:tabs>
          <w:tab w:leader="none" w:pos="10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properly signing and forwarding to us a proxy with a later date; or</w:t>
      </w:r>
    </w:p>
    <w:p>
      <w:pPr>
        <w:spacing w:after="0" w:line="72" w:lineRule="exact"/>
        <w:rPr>
          <w:rFonts w:ascii="Arial" w:cs="Arial" w:eastAsia="Arial" w:hAnsi="Arial"/>
          <w:sz w:val="16"/>
          <w:szCs w:val="16"/>
          <w:color w:val="auto"/>
        </w:rPr>
      </w:pPr>
    </w:p>
    <w:p>
      <w:pPr>
        <w:ind w:left="1000" w:hanging="184"/>
        <w:spacing w:after="0"/>
        <w:tabs>
          <w:tab w:leader="none" w:pos="10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voting during the Annual Meeting</w:t>
      </w:r>
    </w:p>
    <w:p>
      <w:pPr>
        <w:spacing w:after="0" w:line="167" w:lineRule="exact"/>
        <w:rPr>
          <w:sz w:val="20"/>
          <w:szCs w:val="20"/>
          <w:color w:val="auto"/>
        </w:rPr>
      </w:pPr>
    </w:p>
    <w:p>
      <w:pPr>
        <w:ind w:left="820" w:right="60"/>
        <w:spacing w:after="0" w:line="295" w:lineRule="auto"/>
        <w:rPr>
          <w:sz w:val="20"/>
          <w:szCs w:val="20"/>
          <w:color w:val="auto"/>
        </w:rPr>
      </w:pPr>
      <w:r>
        <w:rPr>
          <w:rFonts w:ascii="Arial" w:cs="Arial" w:eastAsia="Arial" w:hAnsi="Arial"/>
          <w:sz w:val="16"/>
          <w:szCs w:val="16"/>
          <w:color w:val="auto"/>
        </w:rPr>
        <w:t>If you attend the Annual Meeting, you may vote whether or not you previously have given a proxy, but your attendance (without further action) at the Annual Meeting will not constitute revocation of a previously given proxy. Unless you have received a legal proxy to vote the shares, if you hold your shares through a bank, broker or other nominee, that is, in “street name,” only that bank, broker or other nominee can revoke your proxy on your behalf.</w:t>
      </w:r>
    </w:p>
    <w:p>
      <w:pPr>
        <w:spacing w:after="0" w:line="108" w:lineRule="exact"/>
        <w:rPr>
          <w:sz w:val="20"/>
          <w:szCs w:val="20"/>
          <w:color w:val="auto"/>
        </w:rPr>
      </w:pPr>
    </w:p>
    <w:p>
      <w:pPr>
        <w:ind w:left="820"/>
        <w:spacing w:after="0"/>
        <w:rPr>
          <w:sz w:val="20"/>
          <w:szCs w:val="20"/>
          <w:color w:val="auto"/>
        </w:rPr>
      </w:pPr>
      <w:r>
        <w:rPr>
          <w:rFonts w:ascii="Arial" w:cs="Arial" w:eastAsia="Arial" w:hAnsi="Arial"/>
          <w:sz w:val="16"/>
          <w:szCs w:val="16"/>
          <w:color w:val="auto"/>
        </w:rPr>
        <w:t>You may revoke a proxy for shares held by a bank, broker or other nominee by submitting new voting instructions to the bank,</w:t>
      </w:r>
    </w:p>
    <w:p>
      <w:pPr>
        <w:spacing w:after="0" w:line="32" w:lineRule="exact"/>
        <w:rPr>
          <w:sz w:val="20"/>
          <w:szCs w:val="20"/>
          <w:color w:val="auto"/>
        </w:rPr>
      </w:pPr>
    </w:p>
    <w:p>
      <w:pPr>
        <w:ind w:left="820" w:right="380"/>
        <w:spacing w:after="0" w:line="321" w:lineRule="auto"/>
        <w:rPr>
          <w:sz w:val="20"/>
          <w:szCs w:val="20"/>
          <w:color w:val="auto"/>
        </w:rPr>
      </w:pPr>
      <w:r>
        <w:rPr>
          <w:rFonts w:ascii="Arial" w:cs="Arial" w:eastAsia="Arial" w:hAnsi="Arial"/>
          <w:sz w:val="16"/>
          <w:szCs w:val="16"/>
          <w:color w:val="auto"/>
        </w:rPr>
        <w:t>broker or other nominee, or by attending the Annual Meeting and voting during the meeting. See “</w:t>
      </w:r>
      <w:r>
        <w:rPr>
          <w:rFonts w:ascii="Arial" w:cs="Arial" w:eastAsia="Arial" w:hAnsi="Arial"/>
          <w:sz w:val="16"/>
          <w:szCs w:val="16"/>
          <w:i w:val="1"/>
          <w:iCs w:val="1"/>
          <w:color w:val="auto"/>
        </w:rPr>
        <w:t>How Do I Vote?—Voting</w:t>
      </w:r>
      <w:r>
        <w:rPr>
          <w:rFonts w:ascii="Arial" w:cs="Arial" w:eastAsia="Arial" w:hAnsi="Arial"/>
          <w:sz w:val="16"/>
          <w:szCs w:val="16"/>
          <w:color w:val="auto"/>
        </w:rPr>
        <w:t xml:space="preserve">​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Person at the Annual Meeting” </w:t>
      </w:r>
      <w:r>
        <w:rPr>
          <w:rFonts w:ascii="Arial" w:cs="Arial" w:eastAsia="Arial" w:hAnsi="Arial"/>
          <w:sz w:val="16"/>
          <w:szCs w:val="16"/>
          <w:color w:val="auto"/>
        </w:rPr>
        <w:t>above.</w:t>
      </w:r>
    </w:p>
    <w:p>
      <w:pPr>
        <w:spacing w:after="0" w:line="245"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How is my vote counted?</w:t>
      </w:r>
    </w:p>
    <w:p>
      <w:pPr>
        <w:spacing w:after="0" w:line="133" w:lineRule="exact"/>
        <w:rPr>
          <w:sz w:val="20"/>
          <w:szCs w:val="20"/>
          <w:color w:val="auto"/>
        </w:rPr>
      </w:pPr>
    </w:p>
    <w:p>
      <w:pPr>
        <w:ind w:left="820" w:right="100"/>
        <w:spacing w:after="0" w:line="287" w:lineRule="auto"/>
        <w:rPr>
          <w:sz w:val="20"/>
          <w:szCs w:val="20"/>
          <w:color w:val="auto"/>
        </w:rPr>
      </w:pPr>
      <w:r>
        <w:rPr>
          <w:rFonts w:ascii="Arial" w:cs="Arial" w:eastAsia="Arial" w:hAnsi="Arial"/>
          <w:sz w:val="16"/>
          <w:szCs w:val="16"/>
          <w:color w:val="auto"/>
        </w:rPr>
        <w:t>If you authorize your proxy to vote your shares electronically via the Internet or by telephone, or, if you received a proxy card by mail and you properly marked, signed, dated and returned it, the shares that the proxy represents will be voted in the manner specified on the proxy. If no specification is made, your shares will be voted “for” the election of the nominees for directors named in this proxy statement, “for” advisory approval of the compensation of our named executive officers, “for” ratification of the appointment of Deloitte &amp; Touche LLP as our independent registered public accounting firm for the fiscal year ending December 31, 2025 and “for” the approval of our Sixth Amended and Restated 2005 Stock Option and Incentive Plan. It is not anticipated that any matters other than those set forth in this proxy statement will be presented at the Annual Meeting. If other matters are presented, proxies will be voted in accordance with the discretion of the proxy holders.</w:t>
      </w:r>
    </w:p>
    <w:p>
      <w:pPr>
        <w:sectPr>
          <w:pgSz w:w="11900" w:h="16838" w:orient="portrait"/>
          <w:cols w:equalWidth="0" w:num="1">
            <w:col w:w="9940"/>
          </w:cols>
          <w:pgMar w:left="580" w:top="97" w:right="1379" w:bottom="1440" w:gutter="0" w:footer="0" w:header="0"/>
        </w:sectPr>
      </w:pPr>
    </w:p>
    <w:p>
      <w:pPr>
        <w:spacing w:after="0" w:line="273"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How does the Board recommend that I vote on each of the proposals?</w:t>
      </w:r>
    </w:p>
    <w:p>
      <w:pPr>
        <w:spacing w:after="0" w:line="13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Board recommends that you vote:</w:t>
      </w:r>
    </w:p>
    <w:p>
      <w:pPr>
        <w:spacing w:after="0" w:line="44" w:lineRule="exact"/>
        <w:rPr>
          <w:sz w:val="20"/>
          <w:szCs w:val="20"/>
          <w:color w:val="auto"/>
        </w:rPr>
      </w:pPr>
    </w:p>
    <w:tbl>
      <w:tblPr>
        <w:tblLayout w:type="fixed"/>
        <w:tblInd w:w="820" w:type="dxa"/>
        <w:tblCellMar>
          <w:top w:w="0" w:type="dxa"/>
          <w:left w:w="0" w:type="dxa"/>
          <w:bottom w:w="0" w:type="dxa"/>
          <w:right w:w="0" w:type="dxa"/>
        </w:tblCellMar>
      </w:tblPr>
      <w:tr>
        <w:trPr>
          <w:trHeight w:val="367"/>
        </w:trPr>
        <w:tc>
          <w:tcPr>
            <w:tcW w:w="3400" w:type="dxa"/>
            <w:vAlign w:val="bottom"/>
            <w:tcBorders>
              <w:bottom w:val="single" w:sz="8" w:color="83AD40"/>
            </w:tcBorders>
          </w:tcPr>
          <w:p>
            <w:pPr>
              <w:spacing w:after="0"/>
              <w:rPr>
                <w:sz w:val="20"/>
                <w:szCs w:val="20"/>
                <w:color w:val="auto"/>
              </w:rPr>
            </w:pPr>
            <w:r>
              <w:rPr>
                <w:rFonts w:ascii="Arial" w:cs="Arial" w:eastAsia="Arial" w:hAnsi="Arial"/>
                <w:sz w:val="14"/>
                <w:szCs w:val="14"/>
                <w:color w:val="auto"/>
              </w:rPr>
              <w:t>Item</w:t>
            </w:r>
          </w:p>
        </w:tc>
        <w:tc>
          <w:tcPr>
            <w:tcW w:w="540" w:type="dxa"/>
            <w:vAlign w:val="bottom"/>
            <w:tcBorders>
              <w:bottom w:val="single" w:sz="8" w:color="83AD40"/>
            </w:tcBorders>
          </w:tcPr>
          <w:p>
            <w:pPr>
              <w:ind w:left="60"/>
              <w:spacing w:after="0"/>
              <w:rPr>
                <w:sz w:val="20"/>
                <w:szCs w:val="20"/>
                <w:color w:val="auto"/>
              </w:rPr>
            </w:pPr>
            <w:r>
              <w:rPr>
                <w:rFonts w:ascii="Arial" w:cs="Arial" w:eastAsia="Arial" w:hAnsi="Arial"/>
                <w:sz w:val="14"/>
                <w:szCs w:val="14"/>
                <w:color w:val="auto"/>
              </w:rPr>
              <w:t>​ ​ ​</w:t>
            </w:r>
          </w:p>
        </w:tc>
        <w:tc>
          <w:tcPr>
            <w:tcW w:w="5120" w:type="dxa"/>
            <w:vAlign w:val="bottom"/>
            <w:tcBorders>
              <w:bottom w:val="single" w:sz="8" w:color="83AD40"/>
            </w:tcBorders>
          </w:tcPr>
          <w:p>
            <w:pPr>
              <w:ind w:left="220"/>
              <w:spacing w:after="0"/>
              <w:rPr>
                <w:sz w:val="20"/>
                <w:szCs w:val="20"/>
                <w:color w:val="auto"/>
              </w:rPr>
            </w:pPr>
            <w:r>
              <w:rPr>
                <w:rFonts w:ascii="Arial" w:cs="Arial" w:eastAsia="Arial" w:hAnsi="Arial"/>
                <w:sz w:val="28"/>
                <w:szCs w:val="28"/>
                <w:color w:val="auto"/>
                <w:vertAlign w:val="subscript"/>
              </w:rPr>
              <w:t>​ ​</w:t>
            </w:r>
            <w:r>
              <w:rPr>
                <w:rFonts w:ascii="Arial" w:cs="Arial" w:eastAsia="Arial" w:hAnsi="Arial"/>
                <w:sz w:val="14"/>
                <w:szCs w:val="14"/>
                <w:color w:val="auto"/>
              </w:rPr>
              <w:t xml:space="preserve"> Board Recommendation</w:t>
            </w:r>
          </w:p>
        </w:tc>
      </w:tr>
      <w:tr>
        <w:trPr>
          <w:trHeight w:val="290"/>
        </w:trPr>
        <w:tc>
          <w:tcPr>
            <w:tcW w:w="3400" w:type="dxa"/>
            <w:vAlign w:val="bottom"/>
          </w:tcPr>
          <w:p>
            <w:pPr>
              <w:spacing w:after="0"/>
              <w:rPr>
                <w:sz w:val="20"/>
                <w:szCs w:val="20"/>
                <w:color w:val="auto"/>
              </w:rPr>
            </w:pPr>
            <w:r>
              <w:rPr>
                <w:rFonts w:ascii="Arial" w:cs="Arial" w:eastAsia="Arial" w:hAnsi="Arial"/>
                <w:sz w:val="16"/>
                <w:szCs w:val="16"/>
                <w:b w:val="1"/>
                <w:bCs w:val="1"/>
                <w:color w:val="1F2668"/>
              </w:rPr>
              <w:t xml:space="preserve">Proposal 1: </w:t>
            </w:r>
            <w:r>
              <w:rPr>
                <w:rFonts w:ascii="Arial" w:cs="Arial" w:eastAsia="Arial" w:hAnsi="Arial"/>
                <w:sz w:val="16"/>
                <w:szCs w:val="16"/>
                <w:color w:val="000000"/>
              </w:rPr>
              <w:t>Election of Directors</w:t>
            </w:r>
          </w:p>
        </w:tc>
        <w:tc>
          <w:tcPr>
            <w:tcW w:w="540" w:type="dxa"/>
            <w:vAlign w:val="bottom"/>
          </w:tcPr>
          <w:p>
            <w:pPr>
              <w:ind w:left="60"/>
              <w:spacing w:after="0"/>
              <w:rPr>
                <w:sz w:val="20"/>
                <w:szCs w:val="20"/>
                <w:color w:val="auto"/>
              </w:rPr>
            </w:pPr>
            <w:r>
              <w:rPr>
                <w:rFonts w:ascii="Arial" w:cs="Arial" w:eastAsia="Arial" w:hAnsi="Arial"/>
                <w:sz w:val="16"/>
                <w:szCs w:val="16"/>
                <w:color w:val="auto"/>
              </w:rPr>
              <w:t>​ ​</w:t>
            </w:r>
          </w:p>
        </w:tc>
        <w:tc>
          <w:tcPr>
            <w:tcW w:w="5120" w:type="dxa"/>
            <w:vAlign w:val="bottom"/>
          </w:tcPr>
          <w:p>
            <w:pPr>
              <w:ind w:left="220"/>
              <w:spacing w:after="0" w:line="290" w:lineRule="exact"/>
              <w:rPr>
                <w:sz w:val="20"/>
                <w:szCs w:val="20"/>
                <w:color w:val="auto"/>
              </w:rPr>
            </w:pPr>
            <w:r>
              <w:rPr>
                <w:rFonts w:ascii="Arial" w:cs="Arial" w:eastAsia="Arial" w:hAnsi="Arial"/>
                <w:sz w:val="32"/>
                <w:szCs w:val="32"/>
                <w:color w:val="auto"/>
                <w:vertAlign w:val="superscript"/>
              </w:rPr>
              <w:t>​ ​</w:t>
            </w:r>
            <w:r>
              <w:rPr>
                <w:rFonts w:ascii="Arial" w:cs="Arial" w:eastAsia="Arial" w:hAnsi="Arial"/>
                <w:sz w:val="16"/>
                <w:szCs w:val="16"/>
                <w:b w:val="1"/>
                <w:bCs w:val="1"/>
                <w:color w:val="auto"/>
              </w:rPr>
              <w:t xml:space="preserve"> FOR </w:t>
            </w:r>
            <w:r>
              <w:rPr>
                <w:rFonts w:ascii="Arial" w:cs="Arial" w:eastAsia="Arial" w:hAnsi="Arial"/>
                <w:sz w:val="16"/>
                <w:szCs w:val="16"/>
                <w:color w:val="auto"/>
              </w:rPr>
              <w:t>the election of John H. Alschuler, Carol N. Brown, Lauren B.</w:t>
            </w:r>
          </w:p>
        </w:tc>
      </w:tr>
      <w:tr>
        <w:trPr>
          <w:trHeight w:val="189"/>
        </w:trPr>
        <w:tc>
          <w:tcPr>
            <w:tcW w:w="3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120" w:type="dxa"/>
            <w:vAlign w:val="bottom"/>
          </w:tcPr>
          <w:p>
            <w:pPr>
              <w:ind w:left="440"/>
              <w:spacing w:after="0"/>
              <w:rPr>
                <w:sz w:val="20"/>
                <w:szCs w:val="20"/>
                <w:color w:val="auto"/>
              </w:rPr>
            </w:pPr>
            <w:r>
              <w:rPr>
                <w:rFonts w:ascii="Arial" w:cs="Arial" w:eastAsia="Arial" w:hAnsi="Arial"/>
                <w:sz w:val="16"/>
                <w:szCs w:val="16"/>
                <w:color w:val="auto"/>
              </w:rPr>
              <w:t>Dillard, Stephen L. Green, Craig M. Hatkoff, Marc Holliday, Peggy</w:t>
            </w:r>
          </w:p>
        </w:tc>
      </w:tr>
      <w:tr>
        <w:trPr>
          <w:trHeight w:val="202"/>
        </w:trPr>
        <w:tc>
          <w:tcPr>
            <w:tcW w:w="3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120" w:type="dxa"/>
            <w:vAlign w:val="bottom"/>
          </w:tcPr>
          <w:p>
            <w:pPr>
              <w:ind w:left="440"/>
              <w:spacing w:after="0"/>
              <w:rPr>
                <w:sz w:val="20"/>
                <w:szCs w:val="20"/>
                <w:color w:val="auto"/>
              </w:rPr>
            </w:pPr>
            <w:r>
              <w:rPr>
                <w:rFonts w:ascii="Arial" w:cs="Arial" w:eastAsia="Arial" w:hAnsi="Arial"/>
                <w:sz w:val="16"/>
                <w:szCs w:val="16"/>
                <w:color w:val="auto"/>
              </w:rPr>
              <w:t>Lamb and Andrew W. Mathias as directors to serve on the Board</w:t>
            </w:r>
          </w:p>
        </w:tc>
      </w:tr>
      <w:tr>
        <w:trPr>
          <w:trHeight w:val="203"/>
        </w:trPr>
        <w:tc>
          <w:tcPr>
            <w:tcW w:w="3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120" w:type="dxa"/>
            <w:vAlign w:val="bottom"/>
          </w:tcPr>
          <w:p>
            <w:pPr>
              <w:ind w:left="440"/>
              <w:spacing w:after="0"/>
              <w:rPr>
                <w:sz w:val="20"/>
                <w:szCs w:val="20"/>
                <w:color w:val="auto"/>
              </w:rPr>
            </w:pPr>
            <w:r>
              <w:rPr>
                <w:rFonts w:ascii="Arial" w:cs="Arial" w:eastAsia="Arial" w:hAnsi="Arial"/>
                <w:sz w:val="16"/>
                <w:szCs w:val="16"/>
                <w:color w:val="auto"/>
                <w:w w:val="99"/>
              </w:rPr>
              <w:t>for a one-year term and until their successors are duly elected and</w:t>
            </w:r>
          </w:p>
        </w:tc>
      </w:tr>
      <w:tr>
        <w:trPr>
          <w:trHeight w:val="215"/>
        </w:trPr>
        <w:tc>
          <w:tcPr>
            <w:tcW w:w="3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120" w:type="dxa"/>
            <w:vAlign w:val="bottom"/>
          </w:tcPr>
          <w:p>
            <w:pPr>
              <w:ind w:left="440"/>
              <w:spacing w:after="0"/>
              <w:rPr>
                <w:sz w:val="20"/>
                <w:szCs w:val="20"/>
                <w:color w:val="auto"/>
              </w:rPr>
            </w:pPr>
            <w:r>
              <w:rPr>
                <w:rFonts w:ascii="Arial" w:cs="Arial" w:eastAsia="Arial" w:hAnsi="Arial"/>
                <w:sz w:val="16"/>
                <w:szCs w:val="16"/>
                <w:color w:val="auto"/>
              </w:rPr>
              <w:t>qualify</w:t>
            </w:r>
          </w:p>
        </w:tc>
      </w:tr>
      <w:tr>
        <w:trPr>
          <w:trHeight w:val="70"/>
        </w:trPr>
        <w:tc>
          <w:tcPr>
            <w:tcW w:w="3940" w:type="dxa"/>
            <w:vAlign w:val="bottom"/>
            <w:tcBorders>
              <w:bottom w:val="single" w:sz="8" w:color="auto"/>
            </w:tcBorders>
            <w:gridSpan w:val="2"/>
          </w:tcPr>
          <w:p>
            <w:pPr>
              <w:spacing w:after="0"/>
              <w:rPr>
                <w:sz w:val="6"/>
                <w:szCs w:val="6"/>
                <w:color w:val="auto"/>
              </w:rPr>
            </w:pPr>
          </w:p>
        </w:tc>
        <w:tc>
          <w:tcPr>
            <w:tcW w:w="5120" w:type="dxa"/>
            <w:vAlign w:val="bottom"/>
            <w:tcBorders>
              <w:bottom w:val="single" w:sz="8" w:color="auto"/>
            </w:tcBorders>
          </w:tcPr>
          <w:p>
            <w:pPr>
              <w:spacing w:after="0"/>
              <w:rPr>
                <w:sz w:val="6"/>
                <w:szCs w:val="6"/>
                <w:color w:val="auto"/>
              </w:rPr>
            </w:pPr>
          </w:p>
        </w:tc>
      </w:tr>
      <w:tr>
        <w:trPr>
          <w:trHeight w:val="303"/>
        </w:trPr>
        <w:tc>
          <w:tcPr>
            <w:tcW w:w="3940" w:type="dxa"/>
            <w:vAlign w:val="bottom"/>
            <w:gridSpan w:val="2"/>
          </w:tcPr>
          <w:p>
            <w:pPr>
              <w:spacing w:after="0" w:line="303" w:lineRule="exact"/>
              <w:rPr>
                <w:sz w:val="20"/>
                <w:szCs w:val="20"/>
                <w:color w:val="auto"/>
              </w:rPr>
            </w:pPr>
            <w:r>
              <w:rPr>
                <w:rFonts w:ascii="Arial" w:cs="Arial" w:eastAsia="Arial" w:hAnsi="Arial"/>
                <w:sz w:val="16"/>
                <w:szCs w:val="16"/>
                <w:b w:val="1"/>
                <w:bCs w:val="1"/>
                <w:color w:val="1F2668"/>
              </w:rPr>
              <w:t xml:space="preserve">Proposal 2: </w:t>
            </w:r>
            <w:r>
              <w:rPr>
                <w:rFonts w:ascii="Arial" w:cs="Arial" w:eastAsia="Arial" w:hAnsi="Arial"/>
                <w:sz w:val="16"/>
                <w:szCs w:val="16"/>
                <w:color w:val="000000"/>
              </w:rPr>
              <w:t>Approval of an Advisory Resolution</w:t>
            </w:r>
            <w:r>
              <w:rPr>
                <w:rFonts w:ascii="Arial" w:cs="Arial" w:eastAsia="Arial" w:hAnsi="Arial"/>
                <w:sz w:val="16"/>
                <w:szCs w:val="16"/>
                <w:b w:val="1"/>
                <w:bCs w:val="1"/>
                <w:color w:val="1F2668"/>
              </w:rPr>
              <w:t xml:space="preserve"> </w:t>
            </w:r>
            <w:r>
              <w:rPr>
                <w:rFonts w:ascii="Arial" w:cs="Arial" w:eastAsia="Arial" w:hAnsi="Arial"/>
                <w:sz w:val="32"/>
                <w:szCs w:val="32"/>
                <w:color w:val="000000"/>
                <w:vertAlign w:val="superscript"/>
              </w:rPr>
              <w:t>​ ​</w:t>
            </w:r>
          </w:p>
        </w:tc>
        <w:tc>
          <w:tcPr>
            <w:tcW w:w="5120" w:type="dxa"/>
            <w:vAlign w:val="bottom"/>
          </w:tcPr>
          <w:p>
            <w:pPr>
              <w:ind w:left="220"/>
              <w:spacing w:after="0" w:line="303" w:lineRule="exact"/>
              <w:rPr>
                <w:sz w:val="20"/>
                <w:szCs w:val="20"/>
                <w:color w:val="auto"/>
              </w:rPr>
            </w:pPr>
            <w:r>
              <w:rPr>
                <w:rFonts w:ascii="Arial" w:cs="Arial" w:eastAsia="Arial" w:hAnsi="Arial"/>
                <w:sz w:val="32"/>
                <w:szCs w:val="32"/>
                <w:color w:val="000000"/>
                <w:vertAlign w:val="superscript"/>
              </w:rPr>
              <w:t>​ ​</w:t>
            </w:r>
            <w:r>
              <w:rPr>
                <w:rFonts w:ascii="Arial" w:cs="Arial" w:eastAsia="Arial" w:hAnsi="Arial"/>
                <w:sz w:val="16"/>
                <w:szCs w:val="16"/>
                <w:b w:val="1"/>
                <w:bCs w:val="1"/>
                <w:color w:val="1F2668"/>
              </w:rPr>
              <w:t xml:space="preserve"> FOR </w:t>
            </w:r>
            <w:r>
              <w:rPr>
                <w:rFonts w:ascii="Arial" w:cs="Arial" w:eastAsia="Arial" w:hAnsi="Arial"/>
                <w:sz w:val="16"/>
                <w:szCs w:val="16"/>
                <w:color w:val="000000"/>
              </w:rPr>
              <w:t>the approval of an advisory resolution approving the</w:t>
            </w:r>
          </w:p>
        </w:tc>
      </w:tr>
      <w:tr>
        <w:trPr>
          <w:trHeight w:val="203"/>
        </w:trPr>
        <w:tc>
          <w:tcPr>
            <w:tcW w:w="3400" w:type="dxa"/>
            <w:vAlign w:val="bottom"/>
          </w:tcPr>
          <w:p>
            <w:pPr>
              <w:spacing w:after="0"/>
              <w:rPr>
                <w:sz w:val="20"/>
                <w:szCs w:val="20"/>
                <w:color w:val="auto"/>
              </w:rPr>
            </w:pPr>
            <w:r>
              <w:rPr>
                <w:rFonts w:ascii="Arial" w:cs="Arial" w:eastAsia="Arial" w:hAnsi="Arial"/>
                <w:sz w:val="16"/>
                <w:szCs w:val="16"/>
                <w:color w:val="auto"/>
              </w:rPr>
              <w:t>Approving the Compensation of Our Named</w:t>
            </w:r>
          </w:p>
        </w:tc>
        <w:tc>
          <w:tcPr>
            <w:tcW w:w="540" w:type="dxa"/>
            <w:vAlign w:val="bottom"/>
          </w:tcPr>
          <w:p>
            <w:pPr>
              <w:spacing w:after="0"/>
              <w:rPr>
                <w:sz w:val="17"/>
                <w:szCs w:val="17"/>
                <w:color w:val="auto"/>
              </w:rPr>
            </w:pPr>
          </w:p>
        </w:tc>
        <w:tc>
          <w:tcPr>
            <w:tcW w:w="5120" w:type="dxa"/>
            <w:vAlign w:val="bottom"/>
          </w:tcPr>
          <w:p>
            <w:pPr>
              <w:ind w:left="440"/>
              <w:spacing w:after="0"/>
              <w:rPr>
                <w:sz w:val="20"/>
                <w:szCs w:val="20"/>
                <w:color w:val="auto"/>
              </w:rPr>
            </w:pPr>
            <w:r>
              <w:rPr>
                <w:rFonts w:ascii="Arial" w:cs="Arial" w:eastAsia="Arial" w:hAnsi="Arial"/>
                <w:sz w:val="16"/>
                <w:szCs w:val="16"/>
                <w:color w:val="auto"/>
              </w:rPr>
              <w:t>compensation of our named executive officers as disclosed in this</w:t>
            </w:r>
          </w:p>
        </w:tc>
      </w:tr>
      <w:tr>
        <w:trPr>
          <w:trHeight w:val="215"/>
        </w:trPr>
        <w:tc>
          <w:tcPr>
            <w:tcW w:w="3400" w:type="dxa"/>
            <w:vAlign w:val="bottom"/>
          </w:tcPr>
          <w:p>
            <w:pPr>
              <w:spacing w:after="0"/>
              <w:rPr>
                <w:sz w:val="20"/>
                <w:szCs w:val="20"/>
                <w:color w:val="auto"/>
              </w:rPr>
            </w:pPr>
            <w:r>
              <w:rPr>
                <w:rFonts w:ascii="Arial" w:cs="Arial" w:eastAsia="Arial" w:hAnsi="Arial"/>
                <w:sz w:val="16"/>
                <w:szCs w:val="16"/>
                <w:color w:val="auto"/>
              </w:rPr>
              <w:t>Executive Officers</w:t>
            </w:r>
          </w:p>
        </w:tc>
        <w:tc>
          <w:tcPr>
            <w:tcW w:w="540" w:type="dxa"/>
            <w:vAlign w:val="bottom"/>
          </w:tcPr>
          <w:p>
            <w:pPr>
              <w:spacing w:after="0"/>
              <w:rPr>
                <w:sz w:val="18"/>
                <w:szCs w:val="18"/>
                <w:color w:val="auto"/>
              </w:rPr>
            </w:pPr>
          </w:p>
        </w:tc>
        <w:tc>
          <w:tcPr>
            <w:tcW w:w="5120" w:type="dxa"/>
            <w:vAlign w:val="bottom"/>
          </w:tcPr>
          <w:p>
            <w:pPr>
              <w:ind w:left="440"/>
              <w:spacing w:after="0"/>
              <w:rPr>
                <w:sz w:val="20"/>
                <w:szCs w:val="20"/>
                <w:color w:val="auto"/>
              </w:rPr>
            </w:pPr>
            <w:r>
              <w:rPr>
                <w:rFonts w:ascii="Arial" w:cs="Arial" w:eastAsia="Arial" w:hAnsi="Arial"/>
                <w:sz w:val="16"/>
                <w:szCs w:val="16"/>
                <w:color w:val="auto"/>
              </w:rPr>
              <w:t>proxy statement pursuant to Item 402 of Regulation S-K</w:t>
            </w:r>
          </w:p>
        </w:tc>
      </w:tr>
      <w:tr>
        <w:trPr>
          <w:trHeight w:val="70"/>
        </w:trPr>
        <w:tc>
          <w:tcPr>
            <w:tcW w:w="3940" w:type="dxa"/>
            <w:vAlign w:val="bottom"/>
            <w:tcBorders>
              <w:bottom w:val="single" w:sz="8" w:color="auto"/>
            </w:tcBorders>
            <w:gridSpan w:val="2"/>
          </w:tcPr>
          <w:p>
            <w:pPr>
              <w:spacing w:after="0"/>
              <w:rPr>
                <w:sz w:val="6"/>
                <w:szCs w:val="6"/>
                <w:color w:val="auto"/>
              </w:rPr>
            </w:pPr>
          </w:p>
        </w:tc>
        <w:tc>
          <w:tcPr>
            <w:tcW w:w="5120" w:type="dxa"/>
            <w:vAlign w:val="bottom"/>
            <w:tcBorders>
              <w:bottom w:val="single" w:sz="8" w:color="auto"/>
            </w:tcBorders>
          </w:tcPr>
          <w:p>
            <w:pPr>
              <w:spacing w:after="0"/>
              <w:rPr>
                <w:sz w:val="6"/>
                <w:szCs w:val="6"/>
                <w:color w:val="auto"/>
              </w:rPr>
            </w:pPr>
          </w:p>
        </w:tc>
      </w:tr>
      <w:tr>
        <w:trPr>
          <w:trHeight w:val="303"/>
        </w:trPr>
        <w:tc>
          <w:tcPr>
            <w:tcW w:w="3940" w:type="dxa"/>
            <w:vAlign w:val="bottom"/>
            <w:gridSpan w:val="2"/>
          </w:tcPr>
          <w:p>
            <w:pPr>
              <w:spacing w:after="0" w:line="303" w:lineRule="exact"/>
              <w:rPr>
                <w:sz w:val="20"/>
                <w:szCs w:val="20"/>
                <w:color w:val="auto"/>
              </w:rPr>
            </w:pPr>
            <w:r>
              <w:rPr>
                <w:rFonts w:ascii="Arial" w:cs="Arial" w:eastAsia="Arial" w:hAnsi="Arial"/>
                <w:sz w:val="16"/>
                <w:szCs w:val="16"/>
                <w:b w:val="1"/>
                <w:bCs w:val="1"/>
                <w:color w:val="1F2668"/>
              </w:rPr>
              <w:t xml:space="preserve">Proposal 3: </w:t>
            </w:r>
            <w:r>
              <w:rPr>
                <w:rFonts w:ascii="Arial" w:cs="Arial" w:eastAsia="Arial" w:hAnsi="Arial"/>
                <w:sz w:val="16"/>
                <w:szCs w:val="16"/>
                <w:color w:val="000000"/>
              </w:rPr>
              <w:t>The Ratification of the Appointment</w:t>
            </w:r>
            <w:r>
              <w:rPr>
                <w:rFonts w:ascii="Arial" w:cs="Arial" w:eastAsia="Arial" w:hAnsi="Arial"/>
                <w:sz w:val="16"/>
                <w:szCs w:val="16"/>
                <w:b w:val="1"/>
                <w:bCs w:val="1"/>
                <w:color w:val="1F2668"/>
              </w:rPr>
              <w:t xml:space="preserve"> </w:t>
            </w:r>
            <w:r>
              <w:rPr>
                <w:rFonts w:ascii="Arial" w:cs="Arial" w:eastAsia="Arial" w:hAnsi="Arial"/>
                <w:sz w:val="32"/>
                <w:szCs w:val="32"/>
                <w:color w:val="000000"/>
                <w:vertAlign w:val="superscript"/>
              </w:rPr>
              <w:t>​ ​</w:t>
            </w:r>
          </w:p>
        </w:tc>
        <w:tc>
          <w:tcPr>
            <w:tcW w:w="5120" w:type="dxa"/>
            <w:vAlign w:val="bottom"/>
          </w:tcPr>
          <w:p>
            <w:pPr>
              <w:ind w:left="220"/>
              <w:spacing w:after="0" w:line="303" w:lineRule="exact"/>
              <w:rPr>
                <w:sz w:val="20"/>
                <w:szCs w:val="20"/>
                <w:color w:val="auto"/>
              </w:rPr>
            </w:pPr>
            <w:r>
              <w:rPr>
                <w:rFonts w:ascii="Arial" w:cs="Arial" w:eastAsia="Arial" w:hAnsi="Arial"/>
                <w:sz w:val="32"/>
                <w:szCs w:val="32"/>
                <w:color w:val="000000"/>
                <w:vertAlign w:val="superscript"/>
              </w:rPr>
              <w:t>​ ​</w:t>
            </w:r>
            <w:r>
              <w:rPr>
                <w:rFonts w:ascii="Arial" w:cs="Arial" w:eastAsia="Arial" w:hAnsi="Arial"/>
                <w:sz w:val="16"/>
                <w:szCs w:val="16"/>
                <w:b w:val="1"/>
                <w:bCs w:val="1"/>
                <w:color w:val="1F2668"/>
              </w:rPr>
              <w:t xml:space="preserve"> FOR </w:t>
            </w:r>
            <w:r>
              <w:rPr>
                <w:rFonts w:ascii="Arial" w:cs="Arial" w:eastAsia="Arial" w:hAnsi="Arial"/>
                <w:sz w:val="16"/>
                <w:szCs w:val="16"/>
                <w:color w:val="000000"/>
              </w:rPr>
              <w:t>the ratification of the appointment of Deloitte &amp; Touche LLP</w:t>
            </w:r>
          </w:p>
        </w:tc>
      </w:tr>
      <w:tr>
        <w:trPr>
          <w:trHeight w:val="203"/>
        </w:trPr>
        <w:tc>
          <w:tcPr>
            <w:tcW w:w="3400" w:type="dxa"/>
            <w:vAlign w:val="bottom"/>
          </w:tcPr>
          <w:p>
            <w:pPr>
              <w:spacing w:after="0"/>
              <w:rPr>
                <w:sz w:val="20"/>
                <w:szCs w:val="20"/>
                <w:color w:val="auto"/>
              </w:rPr>
            </w:pPr>
            <w:r>
              <w:rPr>
                <w:rFonts w:ascii="Arial" w:cs="Arial" w:eastAsia="Arial" w:hAnsi="Arial"/>
                <w:sz w:val="16"/>
                <w:szCs w:val="16"/>
                <w:color w:val="auto"/>
              </w:rPr>
              <w:t>of Deloitte &amp; Touche LLP as Our Independent</w:t>
            </w:r>
          </w:p>
        </w:tc>
        <w:tc>
          <w:tcPr>
            <w:tcW w:w="540" w:type="dxa"/>
            <w:vAlign w:val="bottom"/>
          </w:tcPr>
          <w:p>
            <w:pPr>
              <w:spacing w:after="0"/>
              <w:rPr>
                <w:sz w:val="17"/>
                <w:szCs w:val="17"/>
                <w:color w:val="auto"/>
              </w:rPr>
            </w:pPr>
          </w:p>
        </w:tc>
        <w:tc>
          <w:tcPr>
            <w:tcW w:w="5120" w:type="dxa"/>
            <w:vAlign w:val="bottom"/>
          </w:tcPr>
          <w:p>
            <w:pPr>
              <w:ind w:left="440"/>
              <w:spacing w:after="0"/>
              <w:rPr>
                <w:sz w:val="20"/>
                <w:szCs w:val="20"/>
                <w:color w:val="auto"/>
              </w:rPr>
            </w:pPr>
            <w:r>
              <w:rPr>
                <w:rFonts w:ascii="Arial" w:cs="Arial" w:eastAsia="Arial" w:hAnsi="Arial"/>
                <w:sz w:val="16"/>
                <w:szCs w:val="16"/>
                <w:color w:val="auto"/>
              </w:rPr>
              <w:t>as our independent registered public accounting firm for the fiscal</w:t>
            </w:r>
          </w:p>
        </w:tc>
      </w:tr>
      <w:tr>
        <w:trPr>
          <w:trHeight w:val="215"/>
        </w:trPr>
        <w:tc>
          <w:tcPr>
            <w:tcW w:w="3400" w:type="dxa"/>
            <w:vAlign w:val="bottom"/>
          </w:tcPr>
          <w:p>
            <w:pPr>
              <w:spacing w:after="0"/>
              <w:rPr>
                <w:sz w:val="20"/>
                <w:szCs w:val="20"/>
                <w:color w:val="auto"/>
              </w:rPr>
            </w:pPr>
            <w:r>
              <w:rPr>
                <w:rFonts w:ascii="Arial" w:cs="Arial" w:eastAsia="Arial" w:hAnsi="Arial"/>
                <w:sz w:val="16"/>
                <w:szCs w:val="16"/>
                <w:color w:val="auto"/>
              </w:rPr>
              <w:t>Registered Public Accounting Firm</w:t>
            </w:r>
          </w:p>
        </w:tc>
        <w:tc>
          <w:tcPr>
            <w:tcW w:w="540" w:type="dxa"/>
            <w:vAlign w:val="bottom"/>
          </w:tcPr>
          <w:p>
            <w:pPr>
              <w:spacing w:after="0"/>
              <w:rPr>
                <w:sz w:val="18"/>
                <w:szCs w:val="18"/>
                <w:color w:val="auto"/>
              </w:rPr>
            </w:pPr>
          </w:p>
        </w:tc>
        <w:tc>
          <w:tcPr>
            <w:tcW w:w="5120" w:type="dxa"/>
            <w:vAlign w:val="bottom"/>
          </w:tcPr>
          <w:p>
            <w:pPr>
              <w:ind w:left="440"/>
              <w:spacing w:after="0"/>
              <w:rPr>
                <w:sz w:val="20"/>
                <w:szCs w:val="20"/>
                <w:color w:val="auto"/>
              </w:rPr>
            </w:pPr>
            <w:r>
              <w:rPr>
                <w:rFonts w:ascii="Arial" w:cs="Arial" w:eastAsia="Arial" w:hAnsi="Arial"/>
                <w:sz w:val="16"/>
                <w:szCs w:val="16"/>
                <w:color w:val="auto"/>
              </w:rPr>
              <w:t>year ending December 31, 2025</w:t>
            </w:r>
          </w:p>
        </w:tc>
      </w:tr>
      <w:tr>
        <w:trPr>
          <w:trHeight w:val="218"/>
        </w:trPr>
        <w:tc>
          <w:tcPr>
            <w:tcW w:w="3940" w:type="dxa"/>
            <w:vAlign w:val="bottom"/>
            <w:tcBorders>
              <w:bottom w:val="single" w:sz="8" w:color="auto"/>
            </w:tcBorders>
            <w:gridSpan w:val="2"/>
          </w:tcPr>
          <w:p>
            <w:pPr>
              <w:spacing w:after="0"/>
              <w:rPr>
                <w:sz w:val="18"/>
                <w:szCs w:val="18"/>
                <w:color w:val="auto"/>
              </w:rPr>
            </w:pPr>
          </w:p>
        </w:tc>
        <w:tc>
          <w:tcPr>
            <w:tcW w:w="5120" w:type="dxa"/>
            <w:vAlign w:val="bottom"/>
            <w:tcBorders>
              <w:bottom w:val="single" w:sz="8" w:color="auto"/>
            </w:tcBorders>
          </w:tcPr>
          <w:p>
            <w:pPr>
              <w:spacing w:after="0"/>
              <w:rPr>
                <w:sz w:val="18"/>
                <w:szCs w:val="18"/>
                <w:color w:val="auto"/>
              </w:rPr>
            </w:pPr>
          </w:p>
        </w:tc>
      </w:tr>
      <w:tr>
        <w:trPr>
          <w:trHeight w:val="303"/>
        </w:trPr>
        <w:tc>
          <w:tcPr>
            <w:tcW w:w="3940" w:type="dxa"/>
            <w:vAlign w:val="bottom"/>
            <w:gridSpan w:val="2"/>
          </w:tcPr>
          <w:p>
            <w:pPr>
              <w:spacing w:after="0" w:line="303" w:lineRule="exact"/>
              <w:rPr>
                <w:sz w:val="20"/>
                <w:szCs w:val="20"/>
                <w:color w:val="auto"/>
              </w:rPr>
            </w:pPr>
            <w:r>
              <w:rPr>
                <w:rFonts w:ascii="Arial" w:cs="Arial" w:eastAsia="Arial" w:hAnsi="Arial"/>
                <w:sz w:val="16"/>
                <w:szCs w:val="16"/>
                <w:b w:val="1"/>
                <w:bCs w:val="1"/>
                <w:color w:val="1F2668"/>
              </w:rPr>
              <w:t xml:space="preserve">Proposal 4: </w:t>
            </w:r>
            <w:r>
              <w:rPr>
                <w:rFonts w:ascii="Arial" w:cs="Arial" w:eastAsia="Arial" w:hAnsi="Arial"/>
                <w:sz w:val="16"/>
                <w:szCs w:val="16"/>
                <w:color w:val="000000"/>
              </w:rPr>
              <w:t>Approval of our Sixth Amended and</w:t>
            </w:r>
            <w:r>
              <w:rPr>
                <w:rFonts w:ascii="Arial" w:cs="Arial" w:eastAsia="Arial" w:hAnsi="Arial"/>
                <w:sz w:val="16"/>
                <w:szCs w:val="16"/>
                <w:b w:val="1"/>
                <w:bCs w:val="1"/>
                <w:color w:val="1F2668"/>
              </w:rPr>
              <w:t xml:space="preserve"> </w:t>
            </w:r>
            <w:r>
              <w:rPr>
                <w:rFonts w:ascii="Arial" w:cs="Arial" w:eastAsia="Arial" w:hAnsi="Arial"/>
                <w:sz w:val="32"/>
                <w:szCs w:val="32"/>
                <w:color w:val="000000"/>
                <w:vertAlign w:val="superscript"/>
              </w:rPr>
              <w:t>​ ​</w:t>
            </w:r>
          </w:p>
        </w:tc>
        <w:tc>
          <w:tcPr>
            <w:tcW w:w="5120" w:type="dxa"/>
            <w:vAlign w:val="bottom"/>
          </w:tcPr>
          <w:p>
            <w:pPr>
              <w:ind w:left="220"/>
              <w:spacing w:after="0" w:line="303" w:lineRule="exact"/>
              <w:rPr>
                <w:sz w:val="20"/>
                <w:szCs w:val="20"/>
                <w:color w:val="auto"/>
              </w:rPr>
            </w:pPr>
            <w:r>
              <w:rPr>
                <w:rFonts w:ascii="Arial" w:cs="Arial" w:eastAsia="Arial" w:hAnsi="Arial"/>
                <w:sz w:val="32"/>
                <w:szCs w:val="32"/>
                <w:color w:val="000000"/>
                <w:vertAlign w:val="superscript"/>
              </w:rPr>
              <w:t>​ ​</w:t>
            </w:r>
            <w:r>
              <w:rPr>
                <w:rFonts w:ascii="Arial" w:cs="Arial" w:eastAsia="Arial" w:hAnsi="Arial"/>
                <w:sz w:val="16"/>
                <w:szCs w:val="16"/>
                <w:b w:val="1"/>
                <w:bCs w:val="1"/>
                <w:color w:val="1F2668"/>
              </w:rPr>
              <w:t xml:space="preserve"> FOR </w:t>
            </w:r>
            <w:r>
              <w:rPr>
                <w:rFonts w:ascii="Arial" w:cs="Arial" w:eastAsia="Arial" w:hAnsi="Arial"/>
                <w:sz w:val="16"/>
                <w:szCs w:val="16"/>
                <w:color w:val="000000"/>
              </w:rPr>
              <w:t>the approval of our Sixth Amended and Restated 2005 Stock</w:t>
            </w:r>
          </w:p>
        </w:tc>
      </w:tr>
      <w:tr>
        <w:trPr>
          <w:trHeight w:val="215"/>
        </w:trPr>
        <w:tc>
          <w:tcPr>
            <w:tcW w:w="3400" w:type="dxa"/>
            <w:vAlign w:val="bottom"/>
          </w:tcPr>
          <w:p>
            <w:pPr>
              <w:spacing w:after="0"/>
              <w:rPr>
                <w:sz w:val="20"/>
                <w:szCs w:val="20"/>
                <w:color w:val="auto"/>
              </w:rPr>
            </w:pPr>
            <w:r>
              <w:rPr>
                <w:rFonts w:ascii="Arial" w:cs="Arial" w:eastAsia="Arial" w:hAnsi="Arial"/>
                <w:sz w:val="16"/>
                <w:szCs w:val="16"/>
                <w:color w:val="auto"/>
              </w:rPr>
              <w:t>Restated 2005 Stock Option and Incentive Plan</w:t>
            </w:r>
          </w:p>
        </w:tc>
        <w:tc>
          <w:tcPr>
            <w:tcW w:w="540" w:type="dxa"/>
            <w:vAlign w:val="bottom"/>
          </w:tcPr>
          <w:p>
            <w:pPr>
              <w:spacing w:after="0"/>
              <w:rPr>
                <w:sz w:val="18"/>
                <w:szCs w:val="18"/>
                <w:color w:val="auto"/>
              </w:rPr>
            </w:pPr>
          </w:p>
        </w:tc>
        <w:tc>
          <w:tcPr>
            <w:tcW w:w="5120" w:type="dxa"/>
            <w:vAlign w:val="bottom"/>
          </w:tcPr>
          <w:p>
            <w:pPr>
              <w:ind w:left="440"/>
              <w:spacing w:after="0"/>
              <w:rPr>
                <w:sz w:val="20"/>
                <w:szCs w:val="20"/>
                <w:color w:val="auto"/>
              </w:rPr>
            </w:pPr>
            <w:r>
              <w:rPr>
                <w:rFonts w:ascii="Arial" w:cs="Arial" w:eastAsia="Arial" w:hAnsi="Arial"/>
                <w:sz w:val="16"/>
                <w:szCs w:val="16"/>
                <w:color w:val="auto"/>
              </w:rPr>
              <w:t>Option and Incentive Plan</w:t>
            </w:r>
          </w:p>
        </w:tc>
      </w:tr>
      <w:tr>
        <w:trPr>
          <w:trHeight w:val="420"/>
        </w:trPr>
        <w:tc>
          <w:tcPr>
            <w:tcW w:w="3400" w:type="dxa"/>
            <w:vAlign w:val="bottom"/>
            <w:tcBorders>
              <w:bottom w:val="single" w:sz="8" w:color="83AD40"/>
            </w:tcBorders>
          </w:tcPr>
          <w:p>
            <w:pPr>
              <w:spacing w:after="0"/>
              <w:rPr>
                <w:sz w:val="24"/>
                <w:szCs w:val="24"/>
                <w:color w:val="auto"/>
              </w:rPr>
            </w:pPr>
          </w:p>
        </w:tc>
        <w:tc>
          <w:tcPr>
            <w:tcW w:w="540" w:type="dxa"/>
            <w:vAlign w:val="bottom"/>
            <w:tcBorders>
              <w:bottom w:val="single" w:sz="8" w:color="83AD40"/>
            </w:tcBorders>
          </w:tcPr>
          <w:p>
            <w:pPr>
              <w:spacing w:after="0"/>
              <w:rPr>
                <w:sz w:val="24"/>
                <w:szCs w:val="24"/>
                <w:color w:val="auto"/>
              </w:rPr>
            </w:pPr>
          </w:p>
        </w:tc>
        <w:tc>
          <w:tcPr>
            <w:tcW w:w="5120" w:type="dxa"/>
            <w:vAlign w:val="bottom"/>
            <w:tcBorders>
              <w:bottom w:val="single" w:sz="8" w:color="83AD4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964565</wp:posOffset>
            </wp:positionV>
            <wp:extent cx="6831965" cy="425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2848610</wp:posOffset>
            </wp:positionH>
            <wp:positionV relativeFrom="paragraph">
              <wp:posOffset>-2408555</wp:posOffset>
            </wp:positionV>
            <wp:extent cx="308610" cy="30861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2848610</wp:posOffset>
            </wp:positionH>
            <wp:positionV relativeFrom="paragraph">
              <wp:posOffset>-1654175</wp:posOffset>
            </wp:positionV>
            <wp:extent cx="308610" cy="30861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2848610</wp:posOffset>
            </wp:positionH>
            <wp:positionV relativeFrom="paragraph">
              <wp:posOffset>-1139825</wp:posOffset>
            </wp:positionV>
            <wp:extent cx="308610" cy="30861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2848610</wp:posOffset>
            </wp:positionH>
            <wp:positionV relativeFrom="paragraph">
              <wp:posOffset>-530860</wp:posOffset>
            </wp:positionV>
            <wp:extent cx="308610" cy="30861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308610"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ectPr>
          <w:pgSz w:w="11900" w:h="16838" w:orient="portrait"/>
          <w:cols w:equalWidth="0" w:num="2">
            <w:col w:w="9880" w:space="0"/>
            <w:col w:w="60"/>
          </w:cols>
          <w:pgMar w:left="580" w:top="97" w:right="1379" w:bottom="1440" w:gutter="0" w:footer="0" w:header="0"/>
          <w:type w:val="continuous"/>
        </w:sectPr>
      </w:pPr>
    </w:p>
    <w:bookmarkStart w:id="106" w:name="page107"/>
    <w:bookmarkEnd w:id="10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78" w:lineRule="exact"/>
        <w:rPr>
          <w:sz w:val="20"/>
          <w:szCs w:val="20"/>
          <w:color w:val="auto"/>
        </w:rPr>
      </w:pPr>
    </w:p>
    <w:p>
      <w:pPr>
        <w:ind w:left="820"/>
        <w:spacing w:after="0"/>
        <w:tabs>
          <w:tab w:leader="none" w:pos="1440" w:val="left"/>
          <w:tab w:leader="none" w:pos="9860" w:val="left"/>
        </w:tabs>
        <w:rPr>
          <w:sz w:val="20"/>
          <w:szCs w:val="20"/>
          <w:color w:val="auto"/>
        </w:rPr>
      </w:pPr>
      <w:r>
        <w:rPr>
          <w:rFonts w:ascii="Arial" w:cs="Arial" w:eastAsia="Arial" w:hAnsi="Arial"/>
          <w:sz w:val="22"/>
          <w:szCs w:val="22"/>
          <w:b w:val="1"/>
          <w:bCs w:val="1"/>
          <w:color w:val="1F2668"/>
        </w:rPr>
        <w:t>​104</w:t>
        <w:tab/>
        <w:t xml:space="preserve">​ ​ </w:t>
      </w:r>
      <w:r>
        <w:rPr>
          <w:rFonts w:ascii="Arial" w:cs="Arial" w:eastAsia="Arial" w:hAnsi="Arial"/>
          <w:sz w:val="14"/>
          <w:szCs w:val="14"/>
          <w:b w:val="1"/>
          <w:bCs w:val="1"/>
          <w:color w:val="1F2668"/>
        </w:rPr>
        <w:t>SL GREEN REALTY CORP. 2025 PROXY STATEMENT</w:t>
      </w:r>
      <w:r>
        <w:rPr>
          <w:sz w:val="20"/>
          <w:szCs w:val="20"/>
          <w:color w:val="auto"/>
        </w:rPr>
        <w:tab/>
      </w:r>
      <w:r>
        <w:rPr>
          <w:rFonts w:ascii="Arial" w:cs="Arial" w:eastAsia="Arial" w:hAnsi="Arial"/>
          <w:sz w:val="22"/>
          <w:szCs w:val="22"/>
          <w:b w:val="1"/>
          <w:bCs w:val="1"/>
          <w:color w:val="1F2668"/>
        </w:rPr>
        <w:t>​</w:t>
      </w:r>
    </w:p>
    <w:p>
      <w:pPr>
        <w:spacing w:after="0" w:line="200" w:lineRule="exact"/>
        <w:rPr>
          <w:sz w:val="20"/>
          <w:szCs w:val="20"/>
          <w:color w:val="auto"/>
        </w:rPr>
      </w:pPr>
    </w:p>
    <w:p>
      <w:pPr>
        <w:spacing w:after="0" w:line="285"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What other information should I review before voting?</w:t>
      </w:r>
    </w:p>
    <w:p>
      <w:pPr>
        <w:spacing w:after="0" w:line="133" w:lineRule="exact"/>
        <w:rPr>
          <w:sz w:val="20"/>
          <w:szCs w:val="20"/>
          <w:color w:val="auto"/>
        </w:rPr>
      </w:pPr>
    </w:p>
    <w:p>
      <w:pPr>
        <w:ind w:left="820" w:right="160"/>
        <w:spacing w:after="0" w:line="310" w:lineRule="auto"/>
        <w:rPr>
          <w:sz w:val="20"/>
          <w:szCs w:val="20"/>
          <w:color w:val="auto"/>
        </w:rPr>
      </w:pPr>
      <w:r>
        <w:rPr>
          <w:rFonts w:ascii="Arial" w:cs="Arial" w:eastAsia="Arial" w:hAnsi="Arial"/>
          <w:sz w:val="15"/>
          <w:szCs w:val="15"/>
          <w:color w:val="auto"/>
        </w:rPr>
        <w:t>Our 2024 annual report, including financial statements for the fiscal year ended December 31, 2024, is being made available to you along with this proxy statement. You may obtain, free of charge, copies of our 2024 annual report and our Annual Report on Form 10-K for the fiscal year ended December 31, 2024, which contains additional information about the Company, on our website at http://www.slgreen.com or by directing your request in writing to SL Green Realty Corp., One Vanderbilt Avenue, 28th Floor, New York, New York 10017-3852. The 2024 annual report and the Annual Report on Form 10-K, however, are not part of the proxy solicitation materials, and the information found on, or accessible through, our website is not incorporated into, and does not form a part of, this proxy statement or any other report or document we file with or furnish to the SEC.</w:t>
      </w:r>
    </w:p>
    <w:p>
      <w:pPr>
        <w:spacing w:after="0" w:line="257"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How do I change how I receive proxy materials in the future?</w:t>
      </w:r>
    </w:p>
    <w:p>
      <w:pPr>
        <w:spacing w:after="0" w:line="133" w:lineRule="exact"/>
        <w:rPr>
          <w:sz w:val="20"/>
          <w:szCs w:val="20"/>
          <w:color w:val="auto"/>
        </w:rPr>
      </w:pPr>
    </w:p>
    <w:p>
      <w:pPr>
        <w:ind w:left="820" w:right="60"/>
        <w:spacing w:after="0" w:line="305" w:lineRule="auto"/>
        <w:rPr>
          <w:sz w:val="20"/>
          <w:szCs w:val="20"/>
          <w:color w:val="auto"/>
        </w:rPr>
      </w:pPr>
      <w:r>
        <w:rPr>
          <w:rFonts w:ascii="Arial" w:cs="Arial" w:eastAsia="Arial" w:hAnsi="Arial"/>
          <w:sz w:val="15"/>
          <w:szCs w:val="15"/>
          <w:color w:val="auto"/>
        </w:rPr>
        <w:t>Instead of receiving a Notice of Internet Availability of Proxy Materials in the mail for future meetings, stockholders may elect to receive links to proxy materials by e-mail or to receive a paper copy of the proxy materials and a paper proxy card by mail. If you elect to receive proxy materials by e-mail, you will not receive a Notice of Internet Availability of Proxy Materials in the mail. Instead, you will receive an e-mail with links to proxy materials and online voting. In addition, if you elect to receive a paper copy of the proxy materials, or if applicable rules or regulations require paper delivery of the proxy materials, you will not receive a Notice of Internet Availability of Proxy Materials in the mail. If you received a paper copy of the proxy materials or the Notice of Internet Availability of Proxy Materials in the mail, you can eliminate all such paper mailings in the future by electing to receive an e-mail that will provide Internet links to these documents. Opting to receive all future proxy materials online will save us the cost of producing and mailing such documents to you and help us conserve natural resources. You can change your election by directing your request in writing to SL Green Realty Corp., One Vanderbilt Avenue, 28th Floor, New York, New York 10017-3852, by sending a blank e-mail with the 16-digit control number on your Notice of Internet Availability to sendmaterial@proxyvote.com, via the internet at http://www.proxyvote.com or by telephone at (800) 579-1639. Your election will remain in effect until you change it.</w:t>
      </w:r>
    </w:p>
    <w:p>
      <w:pPr>
        <w:spacing w:after="0" w:line="267" w:lineRule="exact"/>
        <w:rPr>
          <w:sz w:val="20"/>
          <w:szCs w:val="20"/>
          <w:color w:val="auto"/>
        </w:rPr>
      </w:pPr>
    </w:p>
    <w:p>
      <w:pPr>
        <w:ind w:left="820" w:right="120"/>
        <w:spacing w:after="0" w:line="296" w:lineRule="auto"/>
        <w:rPr>
          <w:sz w:val="20"/>
          <w:szCs w:val="20"/>
          <w:color w:val="auto"/>
        </w:rPr>
      </w:pPr>
      <w:r>
        <w:rPr>
          <w:rFonts w:ascii="Arial" w:cs="Arial" w:eastAsia="Arial" w:hAnsi="Arial"/>
          <w:sz w:val="23"/>
          <w:szCs w:val="23"/>
          <w:b w:val="1"/>
          <w:bCs w:val="1"/>
          <w:color w:val="1F2668"/>
        </w:rPr>
        <w:t>What should I do if I received more than one Notice of Internet Availability of Proxy Materials?</w:t>
      </w:r>
    </w:p>
    <w:p>
      <w:pPr>
        <w:spacing w:after="0" w:line="15" w:lineRule="exact"/>
        <w:rPr>
          <w:sz w:val="20"/>
          <w:szCs w:val="20"/>
          <w:color w:val="auto"/>
        </w:rPr>
      </w:pPr>
    </w:p>
    <w:p>
      <w:pPr>
        <w:ind w:left="820" w:right="80"/>
        <w:spacing w:after="0" w:line="289" w:lineRule="auto"/>
        <w:rPr>
          <w:sz w:val="20"/>
          <w:szCs w:val="20"/>
          <w:color w:val="auto"/>
        </w:rPr>
      </w:pPr>
      <w:r>
        <w:rPr>
          <w:rFonts w:ascii="Arial" w:cs="Arial" w:eastAsia="Arial" w:hAnsi="Arial"/>
          <w:sz w:val="16"/>
          <w:szCs w:val="16"/>
          <w:color w:val="auto"/>
        </w:rPr>
        <w:t>There are circumstances under which you may receive more than one Notice of Internet Availability of Proxy Materials. For example, if you hold your shares in more than one brokerage account, you may receive a separate voting instruction card for each such brokerage account. In addition, if you are a stockholder of record and your shares are registered in more than one name, you will receive more than one Notice of Internet Availability of Proxy Materials. Please authorize your proxy in accordance with the instructions of each Notice of Internet Availability of Proxy Materials separately, since each one represents different shares that you own.</w:t>
      </w:r>
    </w:p>
    <w:p>
      <w:pPr>
        <w:spacing w:after="0" w:line="115" w:lineRule="exact"/>
        <w:rPr>
          <w:sz w:val="20"/>
          <w:szCs w:val="20"/>
          <w:color w:val="auto"/>
        </w:rPr>
      </w:pPr>
    </w:p>
    <w:p>
      <w:pPr>
        <w:ind w:left="820" w:right="220"/>
        <w:spacing w:after="0" w:line="306" w:lineRule="auto"/>
        <w:rPr>
          <w:sz w:val="20"/>
          <w:szCs w:val="20"/>
          <w:color w:val="auto"/>
        </w:rPr>
      </w:pPr>
      <w:r>
        <w:rPr>
          <w:rFonts w:ascii="Arial" w:cs="Arial" w:eastAsia="Arial" w:hAnsi="Arial"/>
          <w:sz w:val="16"/>
          <w:szCs w:val="16"/>
          <w:b w:val="1"/>
          <w:bCs w:val="1"/>
          <w:color w:val="auto"/>
        </w:rPr>
        <w:t>No person is authorized on our behalf to give any information or to make any representations with respect to the proposals other than the information and the representations contained in this proxy statement, and, if given or made, such information and/or representations must not be relied upon as having been authorized.</w:t>
      </w:r>
    </w:p>
    <w:p>
      <w:pPr>
        <w:spacing w:after="0" w:line="275" w:lineRule="exact"/>
        <w:rPr>
          <w:sz w:val="20"/>
          <w:szCs w:val="20"/>
          <w:color w:val="auto"/>
        </w:rPr>
      </w:pPr>
    </w:p>
    <w:p>
      <w:pPr>
        <w:ind w:left="820"/>
        <w:spacing w:after="0"/>
        <w:rPr>
          <w:sz w:val="20"/>
          <w:szCs w:val="20"/>
          <w:color w:val="auto"/>
        </w:rPr>
      </w:pPr>
      <w:r>
        <w:rPr>
          <w:rFonts w:ascii="Arial" w:cs="Arial" w:eastAsia="Arial" w:hAnsi="Arial"/>
          <w:sz w:val="29"/>
          <w:szCs w:val="29"/>
          <w:b w:val="1"/>
          <w:bCs w:val="1"/>
          <w:color w:val="83AD40"/>
        </w:rPr>
        <w:t>OTHER MATTERS</w:t>
      </w:r>
    </w:p>
    <w:p>
      <w:pPr>
        <w:spacing w:after="0" w:line="288"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Attendance at the 2025 Annual Meeting</w:t>
      </w:r>
    </w:p>
    <w:p>
      <w:pPr>
        <w:spacing w:after="0" w:line="133" w:lineRule="exact"/>
        <w:rPr>
          <w:sz w:val="20"/>
          <w:szCs w:val="20"/>
          <w:color w:val="auto"/>
        </w:rPr>
      </w:pPr>
    </w:p>
    <w:p>
      <w:pPr>
        <w:ind w:left="820" w:right="100"/>
        <w:spacing w:after="0" w:line="289" w:lineRule="auto"/>
        <w:rPr>
          <w:sz w:val="20"/>
          <w:szCs w:val="20"/>
          <w:color w:val="auto"/>
        </w:rPr>
      </w:pPr>
      <w:r>
        <w:rPr>
          <w:rFonts w:ascii="Arial" w:cs="Arial" w:eastAsia="Arial" w:hAnsi="Arial"/>
          <w:sz w:val="16"/>
          <w:szCs w:val="16"/>
          <w:color w:val="auto"/>
        </w:rPr>
        <w:t>All stockholders of record, as well as stockholders that hold their shares through a broker, bank or similar organization, of shares of SLG’s common stock at the close of business on the record date, or their designated proxies, are authorized to attend the 2025 Annual Meeting. You may be asked to present valid picture identification, such as a driver’s license or passport, before being admitted to the Annual Meeting. To be admitted to the Annual Meeting, you will be required to present a recent brokerage statement or other evidence of your ownership of our stock as of the record date of the Annual Meeting. Stockholders will be able to vote and submit questions during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960755</wp:posOffset>
            </wp:positionV>
            <wp:extent cx="6831965" cy="425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107" w:name="page108"/>
    <w:bookmarkEnd w:id="10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4860" w:type="dxa"/>
            <w:vAlign w:val="bottom"/>
          </w:tcPr>
          <w:p>
            <w:pPr>
              <w:spacing w:after="0"/>
              <w:rPr>
                <w:sz w:val="20"/>
                <w:szCs w:val="20"/>
                <w:color w:val="auto"/>
              </w:rPr>
            </w:pPr>
            <w:r>
              <w:rPr>
                <w:rFonts w:ascii="Arial" w:cs="Arial" w:eastAsia="Arial" w:hAnsi="Arial"/>
                <w:sz w:val="14"/>
                <w:szCs w:val="14"/>
                <w:b w:val="1"/>
                <w:bCs w:val="1"/>
                <w:color w:val="auto"/>
              </w:rPr>
              <w:t>​</w:t>
            </w:r>
          </w:p>
        </w:tc>
        <w:tc>
          <w:tcPr>
            <w:tcW w:w="3660" w:type="dxa"/>
            <w:vAlign w:val="bottom"/>
          </w:tcPr>
          <w:p>
            <w:pPr>
              <w:ind w:left="3340"/>
              <w:spacing w:after="0"/>
              <w:rPr>
                <w:sz w:val="20"/>
                <w:szCs w:val="20"/>
                <w:color w:val="auto"/>
              </w:rPr>
            </w:pPr>
            <w:r>
              <w:rPr>
                <w:rFonts w:ascii="Arial" w:cs="Arial" w:eastAsia="Arial" w:hAnsi="Arial"/>
                <w:sz w:val="14"/>
                <w:szCs w:val="14"/>
                <w:b w:val="1"/>
                <w:bCs w:val="1"/>
                <w:color w:val="auto"/>
              </w:rPr>
              <w:t>​ ​</w:t>
            </w:r>
          </w:p>
        </w:tc>
        <w:tc>
          <w:tcPr>
            <w:tcW w:w="540" w:type="dxa"/>
            <w:vAlign w:val="bottom"/>
            <w:vMerge w:val="restart"/>
          </w:tcPr>
          <w:p>
            <w:pPr>
              <w:jc w:val="right"/>
              <w:spacing w:after="0"/>
              <w:rPr>
                <w:sz w:val="20"/>
                <w:szCs w:val="20"/>
                <w:color w:val="auto"/>
              </w:rPr>
            </w:pPr>
            <w:r>
              <w:rPr>
                <w:rFonts w:ascii="Arial" w:cs="Arial" w:eastAsia="Arial" w:hAnsi="Arial"/>
                <w:sz w:val="22"/>
                <w:szCs w:val="22"/>
                <w:b w:val="1"/>
                <w:bCs w:val="1"/>
                <w:color w:val="1F2668"/>
              </w:rPr>
              <w:t>105</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4860" w:type="dxa"/>
            <w:vAlign w:val="bottom"/>
          </w:tcPr>
          <w:p>
            <w:pPr>
              <w:spacing w:after="0"/>
              <w:rPr>
                <w:sz w:val="20"/>
                <w:szCs w:val="20"/>
                <w:color w:val="auto"/>
              </w:rPr>
            </w:pPr>
            <w:r>
              <w:rPr>
                <w:rFonts w:ascii="Arial" w:cs="Arial" w:eastAsia="Arial" w:hAnsi="Arial"/>
                <w:sz w:val="14"/>
                <w:szCs w:val="14"/>
                <w:b w:val="1"/>
                <w:bCs w:val="1"/>
                <w:color w:val="auto"/>
              </w:rPr>
              <w:t>OTHER INFORMATION</w:t>
            </w:r>
          </w:p>
        </w:tc>
        <w:tc>
          <w:tcPr>
            <w:tcW w:w="366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38"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Solicitation of Proxies</w:t>
      </w:r>
    </w:p>
    <w:p>
      <w:pPr>
        <w:spacing w:after="0" w:line="133" w:lineRule="exact"/>
        <w:rPr>
          <w:sz w:val="20"/>
          <w:szCs w:val="20"/>
          <w:color w:val="auto"/>
        </w:rPr>
      </w:pPr>
    </w:p>
    <w:p>
      <w:pPr>
        <w:ind w:left="820" w:right="160"/>
        <w:spacing w:after="0" w:line="289" w:lineRule="auto"/>
        <w:rPr>
          <w:sz w:val="20"/>
          <w:szCs w:val="20"/>
          <w:color w:val="auto"/>
        </w:rPr>
      </w:pPr>
      <w:r>
        <w:rPr>
          <w:rFonts w:ascii="Arial" w:cs="Arial" w:eastAsia="Arial" w:hAnsi="Arial"/>
          <w:sz w:val="16"/>
          <w:szCs w:val="16"/>
          <w:color w:val="auto"/>
        </w:rPr>
        <w:t>We will pay the cost of solicitation of proxies. Our directors, officers and employees may solicit proxies personally, by telephone, via the Internet or by mail without additional compensation for such activities. We also will request persons, firms and corporations holding shares in their names or in the names of their nominees, which are beneficially owned by others, to send a Notice of Internet Availability of Proxy Materials to and obtain proxies from such beneficial owners. We will reimburse such holders for their reasonable expenses. In addition, we intend to utilize the proxy solicitation services of MacKenzie Partners, Inc. at an aggregate estimated cost of $15,000 plus out-of-pocket expenses.</w:t>
      </w:r>
    </w:p>
    <w:p>
      <w:pPr>
        <w:spacing w:after="0" w:line="272"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Stockholder Proposals and Nominations</w:t>
      </w:r>
    </w:p>
    <w:p>
      <w:pPr>
        <w:spacing w:after="0" w:line="110"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83AD40"/>
        </w:rPr>
        <w:t>Proposals for Inclusion in our 2026 Proxy Materials</w:t>
      </w:r>
    </w:p>
    <w:p>
      <w:pPr>
        <w:spacing w:after="0" w:line="144" w:lineRule="exact"/>
        <w:rPr>
          <w:sz w:val="20"/>
          <w:szCs w:val="20"/>
          <w:color w:val="auto"/>
        </w:rPr>
      </w:pPr>
    </w:p>
    <w:p>
      <w:pPr>
        <w:ind w:left="820" w:right="440"/>
        <w:spacing w:after="0" w:line="295" w:lineRule="auto"/>
        <w:rPr>
          <w:sz w:val="20"/>
          <w:szCs w:val="20"/>
          <w:color w:val="auto"/>
        </w:rPr>
      </w:pPr>
      <w:r>
        <w:rPr>
          <w:rFonts w:ascii="Arial" w:cs="Arial" w:eastAsia="Arial" w:hAnsi="Arial"/>
          <w:sz w:val="16"/>
          <w:szCs w:val="16"/>
          <w:color w:val="auto"/>
        </w:rPr>
        <w:t>SEC rules permit stockholders to submit proposals to be included in our proxy materials if the stockholder and the proposal satisfy the requirements specified in Rule 14a-8 under the Exchange Act. For a stockholder proposal to be considered for inclusion in our proxy materials for the 2026 annual meeting, the proposal must be delivered to our Secretary at the address provided below by December 23, 2025.</w:t>
      </w:r>
    </w:p>
    <w:p>
      <w:pPr>
        <w:spacing w:after="0" w:line="152"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83AD40"/>
        </w:rPr>
        <w:t>Director Nominations Under our Proxy Access Bylaws</w:t>
      </w:r>
    </w:p>
    <w:p>
      <w:pPr>
        <w:spacing w:after="0" w:line="131" w:lineRule="exact"/>
        <w:rPr>
          <w:sz w:val="20"/>
          <w:szCs w:val="20"/>
          <w:color w:val="auto"/>
        </w:rPr>
      </w:pPr>
    </w:p>
    <w:p>
      <w:pPr>
        <w:ind w:left="820" w:right="40"/>
        <w:spacing w:after="0" w:line="315" w:lineRule="auto"/>
        <w:rPr>
          <w:sz w:val="20"/>
          <w:szCs w:val="20"/>
          <w:color w:val="auto"/>
        </w:rPr>
      </w:pPr>
      <w:r>
        <w:rPr>
          <w:rFonts w:ascii="Arial" w:cs="Arial" w:eastAsia="Arial" w:hAnsi="Arial"/>
          <w:sz w:val="15"/>
          <w:szCs w:val="15"/>
          <w:color w:val="auto"/>
        </w:rPr>
        <w:t>Our proxy access bylaw permits a stockholder (or a group of up to 20 stockholders) owning 3% or more of our outstanding common stock continuously for at least three years to nominate and include in the Company’s proxy materials director candidates constituting up to the greater of two individuals or 20% of the Board, if the nominating stockholder(s) and the nominee(s) satisfy the requirements specified in our bylaws. For the 2026 annual meeting, notice of a proxy access nomination must be delivered to our Secretary at the address provided below no later than December 23, 2025 and no earlier than November 23, 2025.</w:t>
      </w:r>
    </w:p>
    <w:p>
      <w:pPr>
        <w:spacing w:after="0" w:line="141"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83AD40"/>
        </w:rPr>
        <w:t>Other Proposals or Nominations to be brought before our 2026 Annual Meeting</w:t>
      </w:r>
    </w:p>
    <w:p>
      <w:pPr>
        <w:spacing w:after="0" w:line="131" w:lineRule="exact"/>
        <w:rPr>
          <w:sz w:val="20"/>
          <w:szCs w:val="20"/>
          <w:color w:val="auto"/>
        </w:rPr>
      </w:pPr>
    </w:p>
    <w:p>
      <w:pPr>
        <w:ind w:left="820" w:right="120"/>
        <w:spacing w:after="0" w:line="295" w:lineRule="auto"/>
        <w:rPr>
          <w:sz w:val="20"/>
          <w:szCs w:val="20"/>
          <w:color w:val="auto"/>
        </w:rPr>
      </w:pPr>
      <w:r>
        <w:rPr>
          <w:rFonts w:ascii="Arial" w:cs="Arial" w:eastAsia="Arial" w:hAnsi="Arial"/>
          <w:sz w:val="16"/>
          <w:szCs w:val="16"/>
          <w:color w:val="auto"/>
        </w:rPr>
        <w:t>Our bylaws permit a stockholder to propose items of business that are not intended to be included in our proxy materials and to nominate candidates other than under our proxy access bylaw if the stockholder complies with the procedures set forth in our bylaws. For the 2026 annual meeting, notice of such proposals or nominations must be delivered to our Secretary at the address provided below no later than March 5, 2026 and no earlier than February 3, 2026.</w:t>
      </w:r>
    </w:p>
    <w:p>
      <w:pPr>
        <w:spacing w:after="0" w:line="108" w:lineRule="exact"/>
        <w:rPr>
          <w:sz w:val="20"/>
          <w:szCs w:val="20"/>
          <w:color w:val="auto"/>
        </w:rPr>
      </w:pPr>
    </w:p>
    <w:p>
      <w:pPr>
        <w:ind w:left="820" w:right="60"/>
        <w:spacing w:after="0" w:line="295" w:lineRule="auto"/>
        <w:rPr>
          <w:sz w:val="20"/>
          <w:szCs w:val="20"/>
          <w:color w:val="auto"/>
        </w:rPr>
      </w:pPr>
      <w:r>
        <w:rPr>
          <w:rFonts w:ascii="Arial" w:cs="Arial" w:eastAsia="Arial" w:hAnsi="Arial"/>
          <w:sz w:val="16"/>
          <w:szCs w:val="16"/>
          <w:color w:val="auto"/>
        </w:rPr>
        <w:t>If the Company moves the 2026 annual meeting to a date that is more than 25 days before or after the date which is the one-year anniversary of this year’s Annual Meeting date (i.e., June 3, 2026), the Company must receive notice of proposals or nominations no later than the close of business on the 10th day following the earlier of the day on which the Company makes a public announcement of the meeting date or the day on which notice of the meeting date is first distributed to stockholders.</w:t>
      </w:r>
    </w:p>
    <w:p>
      <w:pPr>
        <w:spacing w:after="0" w:line="108" w:lineRule="exact"/>
        <w:rPr>
          <w:sz w:val="20"/>
          <w:szCs w:val="20"/>
          <w:color w:val="auto"/>
        </w:rPr>
      </w:pPr>
    </w:p>
    <w:p>
      <w:pPr>
        <w:ind w:left="820" w:right="160"/>
        <w:spacing w:after="0" w:line="301" w:lineRule="auto"/>
        <w:rPr>
          <w:sz w:val="20"/>
          <w:szCs w:val="20"/>
          <w:color w:val="auto"/>
        </w:rPr>
      </w:pPr>
      <w:r>
        <w:rPr>
          <w:rFonts w:ascii="Arial" w:cs="Arial" w:eastAsia="Arial" w:hAnsi="Arial"/>
          <w:sz w:val="16"/>
          <w:szCs w:val="16"/>
          <w:color w:val="auto"/>
        </w:rPr>
        <w:t>Additionally, stockholders who intend to solicit proxies in support of director nominees other than the Company’s nominees must provide notice that sets forth the information required by Rule 14a-19 under the Exchange Act to our Secretary at the address provided no later than April 4, 2026.</w:t>
      </w:r>
    </w:p>
    <w:p>
      <w:pPr>
        <w:spacing w:after="0" w:line="149"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83AD40"/>
        </w:rPr>
        <w:t>Address for Submission of Notices and Additional Information</w:t>
      </w:r>
    </w:p>
    <w:p>
      <w:pPr>
        <w:spacing w:after="0" w:line="131" w:lineRule="exact"/>
        <w:rPr>
          <w:sz w:val="20"/>
          <w:szCs w:val="20"/>
          <w:color w:val="auto"/>
        </w:rPr>
      </w:pPr>
    </w:p>
    <w:p>
      <w:pPr>
        <w:ind w:left="820" w:right="340"/>
        <w:spacing w:after="0" w:line="295" w:lineRule="auto"/>
        <w:rPr>
          <w:sz w:val="20"/>
          <w:szCs w:val="20"/>
          <w:color w:val="auto"/>
        </w:rPr>
      </w:pPr>
      <w:r>
        <w:rPr>
          <w:rFonts w:ascii="Arial" w:cs="Arial" w:eastAsia="Arial" w:hAnsi="Arial"/>
          <w:sz w:val="16"/>
          <w:szCs w:val="16"/>
          <w:color w:val="auto"/>
        </w:rPr>
        <w:t>All stockholder nominations of individuals for election as directors or proposals of other items of business to be considered by stockholders at the 2026 Annual Meeting (whether or not intended for inclusion in our proxy materials) must be submitted in writing to SL Green Realty Corp., One Vanderbilt Avenue, 28th Floor, New York, New York 10017-3852, Attention: Andrew S. Levine, Secretary.</w:t>
      </w:r>
    </w:p>
    <w:p>
      <w:pPr>
        <w:spacing w:after="0" w:line="108" w:lineRule="exact"/>
        <w:rPr>
          <w:sz w:val="20"/>
          <w:szCs w:val="20"/>
          <w:color w:val="auto"/>
        </w:rPr>
      </w:pPr>
    </w:p>
    <w:p>
      <w:pPr>
        <w:ind w:left="820" w:right="100"/>
        <w:spacing w:after="0" w:line="329" w:lineRule="auto"/>
        <w:rPr>
          <w:sz w:val="20"/>
          <w:szCs w:val="20"/>
          <w:color w:val="auto"/>
        </w:rPr>
      </w:pPr>
      <w:r>
        <w:rPr>
          <w:rFonts w:ascii="Arial" w:cs="Arial" w:eastAsia="Arial" w:hAnsi="Arial"/>
          <w:sz w:val="15"/>
          <w:szCs w:val="15"/>
          <w:color w:val="auto"/>
        </w:rPr>
        <w:t>In addition, both the proxy access and the advance notice provisions of our bylaws require a stockholder’s notice of a nomination or other item of business to include certain information. Director nominees must also meet certain eligibility requirements. Any stockholder considering introducing a nomination or other item of business should carefully review our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1089025</wp:posOffset>
            </wp:positionV>
            <wp:extent cx="6831965" cy="425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bookmarkStart w:id="108" w:name="page109"/>
    <w:bookmarkEnd w:id="10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p>
      <w:pPr>
        <w:ind w:left="820"/>
        <w:spacing w:after="0"/>
        <w:tabs>
          <w:tab w:leader="none" w:pos="1440" w:val="left"/>
          <w:tab w:leader="none" w:pos="9860" w:val="left"/>
        </w:tabs>
        <w:rPr>
          <w:sz w:val="20"/>
          <w:szCs w:val="20"/>
          <w:color w:val="auto"/>
        </w:rPr>
      </w:pPr>
      <w:r>
        <w:rPr>
          <w:rFonts w:ascii="Arial" w:cs="Arial" w:eastAsia="Arial" w:hAnsi="Arial"/>
          <w:sz w:val="22"/>
          <w:szCs w:val="22"/>
          <w:b w:val="1"/>
          <w:bCs w:val="1"/>
          <w:color w:val="1F2668"/>
        </w:rPr>
        <w:t>​106</w:t>
        <w:tab/>
        <w:t xml:space="preserve">​ ​ </w:t>
      </w:r>
      <w:r>
        <w:rPr>
          <w:rFonts w:ascii="Arial" w:cs="Arial" w:eastAsia="Arial" w:hAnsi="Arial"/>
          <w:sz w:val="14"/>
          <w:szCs w:val="14"/>
          <w:b w:val="1"/>
          <w:bCs w:val="1"/>
          <w:color w:val="1F2668"/>
        </w:rPr>
        <w:t>SL GREEN REALTY CORP. 2025 PROXY STATEMENT</w:t>
      </w:r>
      <w:r>
        <w:rPr>
          <w:sz w:val="20"/>
          <w:szCs w:val="20"/>
          <w:color w:val="auto"/>
        </w:rPr>
        <w:tab/>
      </w:r>
      <w:r>
        <w:rPr>
          <w:rFonts w:ascii="Arial" w:cs="Arial" w:eastAsia="Arial" w:hAnsi="Arial"/>
          <w:sz w:val="22"/>
          <w:szCs w:val="22"/>
          <w:b w:val="1"/>
          <w:bCs w:val="1"/>
          <w:color w:val="1F2668"/>
        </w:rPr>
        <w:t>​</w:t>
      </w:r>
    </w:p>
    <w:p>
      <w:pPr>
        <w:spacing w:after="0" w:line="200" w:lineRule="exact"/>
        <w:rPr>
          <w:sz w:val="20"/>
          <w:szCs w:val="20"/>
          <w:color w:val="auto"/>
        </w:rPr>
      </w:pPr>
    </w:p>
    <w:p>
      <w:pPr>
        <w:spacing w:after="0" w:line="285" w:lineRule="exact"/>
        <w:rPr>
          <w:sz w:val="20"/>
          <w:szCs w:val="20"/>
          <w:color w:val="auto"/>
        </w:rPr>
      </w:pPr>
    </w:p>
    <w:p>
      <w:pPr>
        <w:ind w:left="820"/>
        <w:spacing w:after="0"/>
        <w:rPr>
          <w:sz w:val="20"/>
          <w:szCs w:val="20"/>
          <w:color w:val="auto"/>
        </w:rPr>
      </w:pPr>
      <w:r>
        <w:rPr>
          <w:rFonts w:ascii="Arial" w:cs="Arial" w:eastAsia="Arial" w:hAnsi="Arial"/>
          <w:sz w:val="23"/>
          <w:szCs w:val="23"/>
          <w:b w:val="1"/>
          <w:bCs w:val="1"/>
          <w:color w:val="1F2668"/>
        </w:rPr>
        <w:t>Householding of Proxy Materials</w:t>
      </w:r>
    </w:p>
    <w:p>
      <w:pPr>
        <w:spacing w:after="0" w:line="133" w:lineRule="exact"/>
        <w:rPr>
          <w:sz w:val="20"/>
          <w:szCs w:val="20"/>
          <w:color w:val="auto"/>
        </w:rPr>
      </w:pPr>
    </w:p>
    <w:p>
      <w:pPr>
        <w:ind w:left="820" w:right="100"/>
        <w:spacing w:after="0" w:line="291" w:lineRule="auto"/>
        <w:rPr>
          <w:sz w:val="20"/>
          <w:szCs w:val="20"/>
          <w:color w:val="auto"/>
        </w:rPr>
      </w:pPr>
      <w:r>
        <w:rPr>
          <w:rFonts w:ascii="Arial" w:cs="Arial" w:eastAsia="Arial" w:hAnsi="Arial"/>
          <w:sz w:val="16"/>
          <w:szCs w:val="16"/>
          <w:color w:val="auto"/>
        </w:rPr>
        <w:t>The SEC adopted rules that permit companies and intermediaries (such as banks and brokers) to satisfy the delivery requirements for proxy materials with respect to two or more stockholders sharing the same address by delivering a single proxy statement, annual report or Notice of Internet Availability of Proxy Materials, as applicable, addressed to those stockholders. This process, which is commonly referred to as “householding,” potentially means extra convenience for stockholders and cost savings for companies.</w:t>
      </w:r>
    </w:p>
    <w:p>
      <w:pPr>
        <w:spacing w:after="0" w:line="113" w:lineRule="exact"/>
        <w:rPr>
          <w:sz w:val="20"/>
          <w:szCs w:val="20"/>
          <w:color w:val="auto"/>
        </w:rPr>
      </w:pPr>
    </w:p>
    <w:p>
      <w:pPr>
        <w:ind w:left="820" w:right="60"/>
        <w:spacing w:after="0" w:line="291" w:lineRule="auto"/>
        <w:rPr>
          <w:sz w:val="20"/>
          <w:szCs w:val="20"/>
          <w:color w:val="auto"/>
        </w:rPr>
      </w:pPr>
      <w:r>
        <w:rPr>
          <w:rFonts w:ascii="Arial" w:cs="Arial" w:eastAsia="Arial" w:hAnsi="Arial"/>
          <w:sz w:val="16"/>
          <w:szCs w:val="16"/>
          <w:color w:val="auto"/>
        </w:rPr>
        <w:t>This year, a number of brokers with account holders who are our stockholders will be “householding” our proxy materials. A single Notice of Internet Availability of Proxy Materials will be delivered to multiple stockholders sharing an address unless contrary instructions have been received from the affected stockholders. Once you have received notice from your broker that such broker will be “householding” communications, including the proxy materials, to your address, “householding” will continue until you are notified otherwise or until you revoke your consent.</w:t>
      </w:r>
    </w:p>
    <w:p>
      <w:pPr>
        <w:spacing w:after="0" w:line="113" w:lineRule="exact"/>
        <w:rPr>
          <w:sz w:val="20"/>
          <w:szCs w:val="20"/>
          <w:color w:val="auto"/>
        </w:rPr>
      </w:pPr>
    </w:p>
    <w:p>
      <w:pPr>
        <w:ind w:left="820" w:right="60"/>
        <w:spacing w:after="0" w:line="295" w:lineRule="auto"/>
        <w:rPr>
          <w:sz w:val="20"/>
          <w:szCs w:val="20"/>
          <w:color w:val="auto"/>
        </w:rPr>
      </w:pPr>
      <w:r>
        <w:rPr>
          <w:rFonts w:ascii="Arial" w:cs="Arial" w:eastAsia="Arial" w:hAnsi="Arial"/>
          <w:sz w:val="16"/>
          <w:szCs w:val="16"/>
          <w:color w:val="auto"/>
        </w:rPr>
        <w:t>Stockholders who currently receive only one copy of the proxy materials at their address and would like to receive additional copies and/or stockholders who no longer wish to participate in “householding” and would prefer to receive separate proxy materials in the future should direct their request either to their broker or to the Company in writing to SL Green Realty Corp., One Vanderbilt Avenue, 28th Floor, New York, New York 10017-3852 or by telephone at (212) 594-2700.</w:t>
      </w:r>
    </w:p>
    <w:p>
      <w:pPr>
        <w:spacing w:after="0" w:line="94" w:lineRule="exact"/>
        <w:rPr>
          <w:sz w:val="20"/>
          <w:szCs w:val="20"/>
          <w:color w:val="auto"/>
        </w:rPr>
      </w:pPr>
    </w:p>
    <w:p>
      <w:pPr>
        <w:ind w:left="820" w:right="200"/>
        <w:spacing w:after="0" w:line="301" w:lineRule="auto"/>
        <w:rPr>
          <w:sz w:val="20"/>
          <w:szCs w:val="20"/>
          <w:color w:val="auto"/>
        </w:rPr>
      </w:pPr>
      <w:r>
        <w:rPr>
          <w:rFonts w:ascii="Arial" w:cs="Arial" w:eastAsia="Arial" w:hAnsi="Arial"/>
          <w:sz w:val="16"/>
          <w:szCs w:val="16"/>
          <w:color w:val="auto"/>
        </w:rPr>
        <w:t>Stockholders who currently receive multiple copies of the proxy materials at their address and would like to request “householding” of their future communications should direct their request either to their broker or to the Company at the address of telephone number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5026025</wp:posOffset>
            </wp:positionV>
            <wp:extent cx="6831965" cy="425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109" w:name="page110"/>
    <w:bookmarkEnd w:id="10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91" w:lineRule="exact"/>
        <w:rPr>
          <w:sz w:val="20"/>
          <w:szCs w:val="20"/>
          <w:color w:val="auto"/>
        </w:rPr>
      </w:pPr>
    </w:p>
    <w:p>
      <w:pPr>
        <w:ind w:left="9540"/>
        <w:spacing w:after="0"/>
        <w:rPr>
          <w:sz w:val="20"/>
          <w:szCs w:val="20"/>
          <w:color w:val="auto"/>
        </w:rPr>
      </w:pPr>
      <w:r>
        <w:rPr>
          <w:rFonts w:ascii="Arial" w:cs="Arial" w:eastAsia="Arial" w:hAnsi="Arial"/>
          <w:sz w:val="22"/>
          <w:szCs w:val="22"/>
          <w:b w:val="1"/>
          <w:bCs w:val="1"/>
          <w:color w:val="1F2668"/>
        </w:rPr>
        <w:t>A-1</w:t>
      </w:r>
    </w:p>
    <w:p>
      <w:pPr>
        <w:spacing w:after="0" w:line="12" w:lineRule="exact"/>
        <w:rPr>
          <w:sz w:val="20"/>
          <w:szCs w:val="20"/>
          <w:color w:val="auto"/>
        </w:rPr>
      </w:pPr>
    </w:p>
    <w:p>
      <w:pPr>
        <w:ind w:left="820"/>
        <w:spacing w:after="0"/>
        <w:tabs>
          <w:tab w:leader="none" w:pos="9000" w:val="left"/>
          <w:tab w:leader="none" w:pos="9860" w:val="left"/>
        </w:tabs>
        <w:rPr>
          <w:sz w:val="20"/>
          <w:szCs w:val="20"/>
          <w:color w:val="auto"/>
        </w:rPr>
      </w:pPr>
      <w:r>
        <w:rPr>
          <w:rFonts w:ascii="Arial" w:cs="Arial" w:eastAsia="Arial" w:hAnsi="Arial"/>
          <w:sz w:val="22"/>
          <w:szCs w:val="22"/>
          <w:b w:val="1"/>
          <w:bCs w:val="1"/>
          <w:color w:val="1F2668"/>
        </w:rPr>
        <w:t>​</w:t>
      </w:r>
      <w:r>
        <w:rPr>
          <w:sz w:val="20"/>
          <w:szCs w:val="20"/>
          <w:color w:val="auto"/>
        </w:rPr>
        <w:tab/>
      </w:r>
      <w:r>
        <w:rPr>
          <w:rFonts w:ascii="Arial" w:cs="Arial" w:eastAsia="Arial" w:hAnsi="Arial"/>
          <w:sz w:val="22"/>
          <w:szCs w:val="22"/>
          <w:b w:val="1"/>
          <w:bCs w:val="1"/>
          <w:color w:val="1F2668"/>
        </w:rPr>
        <w:t>​ ​</w:t>
      </w:r>
      <w:r>
        <w:rPr>
          <w:sz w:val="20"/>
          <w:szCs w:val="20"/>
          <w:color w:val="auto"/>
        </w:rPr>
        <w:tab/>
      </w:r>
      <w:r>
        <w:rPr>
          <w:rFonts w:ascii="Arial" w:cs="Arial" w:eastAsia="Arial" w:hAnsi="Arial"/>
          <w:sz w:val="22"/>
          <w:szCs w:val="22"/>
          <w:b w:val="1"/>
          <w:bCs w:val="1"/>
          <w:color w:val="1F2668"/>
        </w:rPr>
        <w:t>​</w:t>
      </w:r>
    </w:p>
    <w:p>
      <w:pPr>
        <w:spacing w:after="0" w:line="200" w:lineRule="exact"/>
        <w:rPr>
          <w:sz w:val="20"/>
          <w:szCs w:val="20"/>
          <w:color w:val="auto"/>
        </w:rPr>
      </w:pPr>
    </w:p>
    <w:p>
      <w:pPr>
        <w:spacing w:after="0" w:line="240" w:lineRule="exact"/>
        <w:rPr>
          <w:sz w:val="20"/>
          <w:szCs w:val="20"/>
          <w:color w:val="auto"/>
        </w:rPr>
      </w:pPr>
    </w:p>
    <w:p>
      <w:pPr>
        <w:ind w:left="820"/>
        <w:spacing w:after="0"/>
        <w:rPr>
          <w:sz w:val="20"/>
          <w:szCs w:val="20"/>
          <w:color w:val="auto"/>
        </w:rPr>
      </w:pPr>
      <w:r>
        <w:rPr>
          <w:rFonts w:ascii="Arial" w:cs="Arial" w:eastAsia="Arial" w:hAnsi="Arial"/>
          <w:sz w:val="38"/>
          <w:szCs w:val="38"/>
          <w:b w:val="1"/>
          <w:bCs w:val="1"/>
          <w:color w:val="1F2668"/>
        </w:rPr>
        <w:t>APPENDIX A:</w:t>
      </w:r>
    </w:p>
    <w:p>
      <w:pPr>
        <w:spacing w:after="0" w:line="328" w:lineRule="exact"/>
        <w:rPr>
          <w:sz w:val="20"/>
          <w:szCs w:val="20"/>
          <w:color w:val="auto"/>
        </w:rPr>
      </w:pPr>
    </w:p>
    <w:p>
      <w:pPr>
        <w:ind w:left="820" w:right="160"/>
        <w:spacing w:after="0" w:line="268" w:lineRule="auto"/>
        <w:rPr>
          <w:sz w:val="20"/>
          <w:szCs w:val="20"/>
          <w:color w:val="auto"/>
        </w:rPr>
      </w:pPr>
      <w:r>
        <w:rPr>
          <w:rFonts w:ascii="Arial" w:cs="Arial" w:eastAsia="Arial" w:hAnsi="Arial"/>
          <w:sz w:val="29"/>
          <w:szCs w:val="29"/>
          <w:b w:val="1"/>
          <w:bCs w:val="1"/>
          <w:color w:val="83AD40"/>
        </w:rPr>
        <w:t>SL GREEN REALTY CORP. SIXTH AMENDED AND RESTATED 2005 STOCK OPTION AND INCENTIVE PLAN</w:t>
      </w:r>
    </w:p>
    <w:p>
      <w:pPr>
        <w:spacing w:after="0" w:line="58" w:lineRule="exact"/>
        <w:rPr>
          <w:sz w:val="20"/>
          <w:szCs w:val="20"/>
          <w:color w:val="auto"/>
        </w:rPr>
      </w:pPr>
    </w:p>
    <w:p>
      <w:pPr>
        <w:ind w:left="820" w:right="60"/>
        <w:spacing w:after="0" w:line="301" w:lineRule="auto"/>
        <w:rPr>
          <w:sz w:val="20"/>
          <w:szCs w:val="20"/>
          <w:color w:val="auto"/>
        </w:rPr>
      </w:pPr>
      <w:r>
        <w:rPr>
          <w:rFonts w:ascii="Arial" w:cs="Arial" w:eastAsia="Arial" w:hAnsi="Arial"/>
          <w:sz w:val="15"/>
          <w:szCs w:val="15"/>
          <w:color w:val="auto"/>
        </w:rPr>
        <w:t>SL Green Realty Corp., a Maryland corporation, wishes to attract and retain qualified key employees, Directors, officers, advisors, consultants and other personnel and encourage them to increase their efforts to make the Company’s business more successful whether directly or through its Subsidiaries or other affiliates. In furtherance thereof, the SL Green Realty Corp. Sixth Amended and Restated 2005 Stock Option and Incentive Plan, as amended as of June 3, 2025, is designed to provide equity-based incentives to certain Eligible Persons. Awards under the Plan may be made to Eligible Persons in the form of Options, Restricted Stock, Phantom Shares, Dividend Equivalent Rights, Cash-Based Awards or other forms of equity-based compensation.</w:t>
      </w:r>
    </w:p>
    <w:p>
      <w:pPr>
        <w:spacing w:after="0" w:line="106" w:lineRule="exact"/>
        <w:rPr>
          <w:sz w:val="20"/>
          <w:szCs w:val="20"/>
          <w:color w:val="auto"/>
        </w:rPr>
      </w:pPr>
    </w:p>
    <w:p>
      <w:pPr>
        <w:ind w:left="1080" w:hanging="264"/>
        <w:spacing w:after="0"/>
        <w:tabs>
          <w:tab w:leader="none" w:pos="1080" w:val="left"/>
        </w:tabs>
        <w:numPr>
          <w:ilvl w:val="0"/>
          <w:numId w:val="13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DEFINITIONS.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used herein, the following terms shall have the meanings set forth below:</w:t>
      </w:r>
    </w:p>
    <w:p>
      <w:pPr>
        <w:spacing w:after="0" w:line="167" w:lineRule="exact"/>
        <w:rPr>
          <w:sz w:val="20"/>
          <w:szCs w:val="20"/>
          <w:color w:val="auto"/>
        </w:rPr>
      </w:pPr>
    </w:p>
    <w:p>
      <w:pPr>
        <w:ind w:left="820" w:right="220"/>
        <w:spacing w:after="0" w:line="284" w:lineRule="auto"/>
        <w:rPr>
          <w:sz w:val="20"/>
          <w:szCs w:val="20"/>
          <w:color w:val="auto"/>
        </w:rPr>
      </w:pPr>
      <w:r>
        <w:rPr>
          <w:rFonts w:ascii="Arial" w:cs="Arial" w:eastAsia="Arial" w:hAnsi="Arial"/>
          <w:sz w:val="16"/>
          <w:szCs w:val="16"/>
          <w:color w:val="auto"/>
        </w:rPr>
        <w:t>“Award,” except where referring to a particular category of grant under the Plan, shall include Incentive Stock Options, Non-Qualified Stock Options, Restricted Stock, Phantom Shares, Dividend Equivalent Rights, Cash-Based Awards and other equity-based Awards as contemplated herein.</w:t>
      </w:r>
    </w:p>
    <w:p>
      <w:pPr>
        <w:spacing w:after="0" w:line="103" w:lineRule="exact"/>
        <w:rPr>
          <w:sz w:val="20"/>
          <w:szCs w:val="20"/>
          <w:color w:val="auto"/>
        </w:rPr>
      </w:pPr>
    </w:p>
    <w:p>
      <w:pPr>
        <w:ind w:left="820" w:right="220"/>
        <w:spacing w:after="0" w:line="320" w:lineRule="auto"/>
        <w:rPr>
          <w:sz w:val="20"/>
          <w:szCs w:val="20"/>
          <w:color w:val="auto"/>
        </w:rPr>
      </w:pPr>
      <w:r>
        <w:rPr>
          <w:rFonts w:ascii="Arial" w:cs="Arial" w:eastAsia="Arial" w:hAnsi="Arial"/>
          <w:sz w:val="15"/>
          <w:szCs w:val="15"/>
          <w:color w:val="auto"/>
        </w:rPr>
        <w:t>“Award Agreement” means a written agreement in a form approved by the Committee to be entered into between the Company and the Participant as provided in Section 3. An Award Agreement may be, without limitation, an employment or other similar agreement containing provisions governing grants hereunder, if approved by the Committee for use under the Plan.</w:t>
      </w:r>
    </w:p>
    <w:p>
      <w:pPr>
        <w:spacing w:after="0" w:line="9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“Board” means the Board of Directors of the Company.</w:t>
      </w:r>
    </w:p>
    <w:p>
      <w:pPr>
        <w:spacing w:after="0" w:line="167" w:lineRule="exact"/>
        <w:rPr>
          <w:sz w:val="20"/>
          <w:szCs w:val="20"/>
          <w:color w:val="auto"/>
        </w:rPr>
      </w:pPr>
    </w:p>
    <w:p>
      <w:pPr>
        <w:ind w:left="820"/>
        <w:spacing w:after="0"/>
        <w:rPr>
          <w:sz w:val="20"/>
          <w:szCs w:val="20"/>
          <w:color w:val="auto"/>
        </w:rPr>
      </w:pPr>
      <w:r>
        <w:rPr>
          <w:rFonts w:ascii="Arial" w:cs="Arial" w:eastAsia="Arial" w:hAnsi="Arial"/>
          <w:sz w:val="15"/>
          <w:szCs w:val="15"/>
          <w:color w:val="auto"/>
        </w:rPr>
        <w:t>“Cause” means, unless otherwise provided in the Participant’s Award Agreement, (i) engaging in (A) willful or gross misconduct or</w:t>
      </w:r>
    </w:p>
    <w:p>
      <w:pPr>
        <w:spacing w:after="0" w:line="42" w:lineRule="exact"/>
        <w:rPr>
          <w:sz w:val="20"/>
          <w:szCs w:val="20"/>
          <w:color w:val="auto"/>
        </w:rPr>
      </w:pPr>
    </w:p>
    <w:p>
      <w:pPr>
        <w:ind w:left="820" w:right="140" w:hanging="4"/>
        <w:spacing w:after="0" w:line="271" w:lineRule="auto"/>
        <w:tabs>
          <w:tab w:leader="none" w:pos="1074" w:val="left"/>
        </w:tabs>
        <w:numPr>
          <w:ilvl w:val="0"/>
          <w:numId w:val="133"/>
        </w:numPr>
        <w:rPr>
          <w:rFonts w:ascii="Arial" w:cs="Arial" w:eastAsia="Arial" w:hAnsi="Arial"/>
          <w:sz w:val="16"/>
          <w:szCs w:val="16"/>
          <w:color w:val="auto"/>
        </w:rPr>
      </w:pPr>
      <w:r>
        <w:rPr>
          <w:rFonts w:ascii="Arial" w:cs="Arial" w:eastAsia="Arial" w:hAnsi="Arial"/>
          <w:sz w:val="16"/>
          <w:szCs w:val="16"/>
          <w:color w:val="auto"/>
        </w:rPr>
        <w:t>willful or gross neglect; (ii) repeatedly failing to adhere to the directions of superiors or the Board or the written policies and practices of the Company or its Subsidiaries or its affiliates; (iii) the commission of a felony or a crime of moral turpitude, dishonesty, breach of trust or unethical business conduct, or any crime involving the Company or its Subsidiaries, or any affiliate thereof; (iv) fraud, misappropriation or embezzlement; (v) any illegal act detrimental to the Company its Subsidiaries or any affiliate thereof; (vi) repeated failure to devote substantially all of the Participant’s business time and efforts to the Company or its Subsidiaries, or any affiliate thereof, if required by the Participant’s employment agreement; or (vii) the Participant’s failure adequately and competently to perform his duties after receiving notice from the Company or its Subsidiaries, or any affiliate thereof specifically identifying the manner in which the Participant has failed to perform; provided, however, that, if at any particular time the Participant is subject to an effective employment agreement or consulting agreement with the Company, then, in lieu of the foregoing definition, “Cause” shall at that time have such meaning as may be specified in such employment agreement.</w:t>
      </w:r>
    </w:p>
    <w:p>
      <w:pPr>
        <w:spacing w:after="0" w:line="13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“Cash-Based Awards” means an Award under Section 10 of the Plan that is payable in cash.</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“Change in Control” means:</w:t>
      </w:r>
    </w:p>
    <w:p>
      <w:pPr>
        <w:spacing w:after="0" w:line="167" w:lineRule="exact"/>
        <w:rPr>
          <w:sz w:val="20"/>
          <w:szCs w:val="20"/>
          <w:color w:val="auto"/>
        </w:rPr>
      </w:pPr>
    </w:p>
    <w:p>
      <w:pPr>
        <w:ind w:left="1180" w:right="80" w:hanging="364"/>
        <w:spacing w:after="0" w:line="285" w:lineRule="auto"/>
        <w:tabs>
          <w:tab w:leader="none" w:pos="11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any “person,” including a “group” (as​ such terms are used in Sections 13(d) and 14(d) of the Exchange Act, together with all “affiliates” and “associates” (as​ such terms are defined in Rule 12b-2 under the Exchange Act) of such person, shall become the “beneficial owner” (as​ such term is defined in Rule 13d-3 under the Exchange Act), directly or indirectly, of securities of the Company representing 25% or more of either (A) the combined voting power of the Company’s then outstanding securities having the right to vote in an election of the Board (“Voting Securities”) or (B) the then outstanding shares of all classes of stock of the Company (in either such case other than as a result of the acquisition of securities directly from the Company); (ii) the members of the Board at the beginning of any consecutive 24-calendar-month period commencing on or after the initial effective date of the Plan (the “Incumbent Directors”) cease for any reason other than death including without limitation, as a result of a tender offer, proxy contest, merger or similar transaction, to constitute at least a majority of the members of the Board; provided that any person becoming a director of the Company whose election or nomination was approved by a vote of at least a majority of the Incumbent Directors shall, for purposes hereof, be considered an Incumbent Director;</w:t>
      </w:r>
    </w:p>
    <w:p>
      <w:pPr>
        <w:spacing w:after="0" w:line="118" w:lineRule="exact"/>
        <w:rPr>
          <w:rFonts w:ascii="Arial" w:cs="Arial" w:eastAsia="Arial" w:hAnsi="Arial"/>
          <w:sz w:val="16"/>
          <w:szCs w:val="16"/>
          <w:color w:val="auto"/>
        </w:rPr>
      </w:pPr>
    </w:p>
    <w:p>
      <w:pPr>
        <w:ind w:left="1180" w:right="80" w:hanging="364"/>
        <w:spacing w:after="0" w:line="301" w:lineRule="auto"/>
        <w:tabs>
          <w:tab w:leader="none" w:pos="11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consummation of (A) any consolidation or merger of the Company or any subsidiary that would result in the Voting Securities outstanding immediately prior to such merger or consolidation representing (either by remaining outstanding or by being converted into voting securities of the surviving entity) less than 50% of the total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45085</wp:posOffset>
            </wp:positionV>
            <wp:extent cx="6831965" cy="425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110" w:name="page111"/>
    <w:bookmarkEnd w:id="1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p>
      <w:pPr>
        <w:ind w:left="820"/>
        <w:spacing w:after="0"/>
        <w:tabs>
          <w:tab w:leader="none" w:pos="1440" w:val="left"/>
          <w:tab w:leader="none" w:pos="9860" w:val="left"/>
        </w:tabs>
        <w:rPr>
          <w:sz w:val="20"/>
          <w:szCs w:val="20"/>
          <w:color w:val="auto"/>
        </w:rPr>
      </w:pPr>
      <w:r>
        <w:rPr>
          <w:rFonts w:ascii="Arial" w:cs="Arial" w:eastAsia="Arial" w:hAnsi="Arial"/>
          <w:sz w:val="22"/>
          <w:szCs w:val="22"/>
          <w:b w:val="1"/>
          <w:bCs w:val="1"/>
          <w:color w:val="1F2668"/>
        </w:rPr>
        <w:t>​A-2</w:t>
        <w:tab/>
        <w:t xml:space="preserve">​ ​ </w:t>
      </w:r>
      <w:r>
        <w:rPr>
          <w:rFonts w:ascii="Arial" w:cs="Arial" w:eastAsia="Arial" w:hAnsi="Arial"/>
          <w:sz w:val="14"/>
          <w:szCs w:val="14"/>
          <w:b w:val="1"/>
          <w:bCs w:val="1"/>
          <w:color w:val="1F2668"/>
        </w:rPr>
        <w:t>SL GREEN REALTY CORP. 2025 PROXY STATEMENT</w:t>
      </w:r>
      <w:r>
        <w:rPr>
          <w:sz w:val="20"/>
          <w:szCs w:val="20"/>
          <w:color w:val="auto"/>
        </w:rPr>
        <w:tab/>
      </w:r>
      <w:r>
        <w:rPr>
          <w:rFonts w:ascii="Arial" w:cs="Arial" w:eastAsia="Arial" w:hAnsi="Arial"/>
          <w:sz w:val="22"/>
          <w:szCs w:val="22"/>
          <w:b w:val="1"/>
          <w:bCs w:val="1"/>
          <w:color w:val="1F2668"/>
        </w:rPr>
        <w:t>​</w:t>
      </w:r>
    </w:p>
    <w:p>
      <w:pPr>
        <w:spacing w:after="0" w:line="200" w:lineRule="exact"/>
        <w:rPr>
          <w:sz w:val="20"/>
          <w:szCs w:val="20"/>
          <w:color w:val="auto"/>
        </w:rPr>
      </w:pPr>
    </w:p>
    <w:p>
      <w:pPr>
        <w:spacing w:after="0" w:line="290" w:lineRule="exact"/>
        <w:rPr>
          <w:sz w:val="20"/>
          <w:szCs w:val="20"/>
          <w:color w:val="auto"/>
        </w:rPr>
      </w:pPr>
    </w:p>
    <w:p>
      <w:pPr>
        <w:ind w:left="1180" w:right="220"/>
        <w:spacing w:after="0" w:line="299" w:lineRule="auto"/>
        <w:rPr>
          <w:sz w:val="20"/>
          <w:szCs w:val="20"/>
          <w:color w:val="auto"/>
        </w:rPr>
      </w:pPr>
      <w:r>
        <w:rPr>
          <w:rFonts w:ascii="Arial" w:cs="Arial" w:eastAsia="Arial" w:hAnsi="Arial"/>
          <w:sz w:val="15"/>
          <w:szCs w:val="15"/>
          <w:color w:val="auto"/>
        </w:rPr>
        <w:t>power of the voting securities of the surviving entity outstanding immediately after such merger or consolidation or ceasing to have the power to elect at least a majority of the board of directors or other governing body of such surviving entity or</w:t>
      </w:r>
    </w:p>
    <w:p>
      <w:pPr>
        <w:spacing w:after="0" w:line="1" w:lineRule="exact"/>
        <w:rPr>
          <w:sz w:val="20"/>
          <w:szCs w:val="20"/>
          <w:color w:val="auto"/>
        </w:rPr>
      </w:pPr>
    </w:p>
    <w:p>
      <w:pPr>
        <w:ind w:left="1180" w:right="100" w:hanging="4"/>
        <w:spacing w:after="0" w:line="276" w:lineRule="auto"/>
        <w:tabs>
          <w:tab w:leader="none" w:pos="1417"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any sale, lease, exchange or other transfer (in one transaction or a series of transactions contemplated or arranged by any party as a single plan) of all or substantially all of the assets of the Company, if the stockholders of the Company and unitholders of SL Green Operating Partnership, L.P. taken as a whole and considered as one class immediately before such transaction own, immediately after consummation of such transaction, equity securities and partnership units possessing less than 50% of the surviving or acquiring company and partnership taken as a whole; or (iv) the stockholders of the Company shall approve any plan or proposal for the liquidation or dissolution of the Company.</w:t>
      </w:r>
    </w:p>
    <w:p>
      <w:pPr>
        <w:spacing w:after="0" w:line="109" w:lineRule="exact"/>
        <w:rPr>
          <w:sz w:val="20"/>
          <w:szCs w:val="20"/>
          <w:color w:val="auto"/>
        </w:rPr>
      </w:pPr>
    </w:p>
    <w:p>
      <w:pPr>
        <w:ind w:left="820" w:right="80"/>
        <w:spacing w:after="0" w:line="273" w:lineRule="auto"/>
        <w:rPr>
          <w:sz w:val="20"/>
          <w:szCs w:val="20"/>
          <w:color w:val="auto"/>
        </w:rPr>
      </w:pPr>
      <w:r>
        <w:rPr>
          <w:rFonts w:ascii="Arial" w:cs="Arial" w:eastAsia="Arial" w:hAnsi="Arial"/>
          <w:sz w:val="16"/>
          <w:szCs w:val="16"/>
          <w:color w:val="auto"/>
        </w:rPr>
        <w:t>Notwithstanding the foregoing clause (i), an event described in clause (i) shall not be a Change in Control if such event occurs solely as the result of an acquisition of securities by the Company which, by reducing the number of shares of stock or other Voting Securities outstanding, increases (x) the proportionate number of shares of stock of the Company beneficially owned by any “person” (as​ defined above) to 25% or more of the shares of stock then outstanding or (y) the proportionate voting power represented by the Voting Securities beneficially owned by any “person” (as​ defined above) to 25% or more of the combined voting power of all then outstanding Voting Securities; provided, however, that if any “person” referred to in clause (x) or (y) of this sentence shall thereafter become the beneficial owner of any additional stock of the Company or other Voting Securities (other than pursuant to a share split, stock dividend, or similar transaction), then a Change in Control shall be deemed to have occurred for purposes of the foregoing clause (i).</w:t>
      </w:r>
    </w:p>
    <w:p>
      <w:pPr>
        <w:spacing w:after="0" w:line="114" w:lineRule="exact"/>
        <w:rPr>
          <w:sz w:val="20"/>
          <w:szCs w:val="20"/>
          <w:color w:val="auto"/>
        </w:rPr>
      </w:pPr>
    </w:p>
    <w:p>
      <w:pPr>
        <w:ind w:left="820" w:right="160"/>
        <w:spacing w:after="0" w:line="283" w:lineRule="auto"/>
        <w:rPr>
          <w:sz w:val="20"/>
          <w:szCs w:val="20"/>
          <w:color w:val="auto"/>
        </w:rPr>
      </w:pPr>
      <w:r>
        <w:rPr>
          <w:rFonts w:ascii="Arial" w:cs="Arial" w:eastAsia="Arial" w:hAnsi="Arial"/>
          <w:sz w:val="16"/>
          <w:szCs w:val="16"/>
          <w:color w:val="auto"/>
        </w:rPr>
        <w:t>Notwithstanding the foregoing, no event or condition shall constitute a Change in Control to the extent that, if it were, a 20% tax would be imposed under Section 409A of the Code; provided that, in such a case, the event or condition shall continue to constitute a Change in Control to the maximum extent possible (e.g., if applicable, in regard of vesting without an acceleration of distribution) without causing the imposition of such 20% tax.</w:t>
      </w:r>
    </w:p>
    <w:p>
      <w:pPr>
        <w:spacing w:after="0" w:line="118" w:lineRule="exact"/>
        <w:rPr>
          <w:sz w:val="20"/>
          <w:szCs w:val="20"/>
          <w:color w:val="auto"/>
        </w:rPr>
      </w:pPr>
    </w:p>
    <w:p>
      <w:pPr>
        <w:ind w:left="820"/>
        <w:spacing w:after="0"/>
        <w:rPr>
          <w:sz w:val="20"/>
          <w:szCs w:val="20"/>
          <w:color w:val="auto"/>
        </w:rPr>
      </w:pPr>
      <w:r>
        <w:rPr>
          <w:rFonts w:ascii="Arial" w:cs="Arial" w:eastAsia="Arial" w:hAnsi="Arial"/>
          <w:sz w:val="16"/>
          <w:szCs w:val="16"/>
          <w:color w:val="auto"/>
        </w:rPr>
        <w:t>“Code” means the Internal Revenue Code of 1986, as amended.</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“Committee” means the Compensation Committee of the Board.</w:t>
      </w:r>
    </w:p>
    <w:p>
      <w:pPr>
        <w:spacing w:after="0" w:line="154" w:lineRule="exact"/>
        <w:rPr>
          <w:sz w:val="20"/>
          <w:szCs w:val="20"/>
          <w:color w:val="auto"/>
        </w:rPr>
      </w:pPr>
    </w:p>
    <w:p>
      <w:pPr>
        <w:jc w:val="both"/>
        <w:ind w:left="820" w:right="280"/>
        <w:spacing w:after="0" w:line="292" w:lineRule="auto"/>
        <w:rPr>
          <w:sz w:val="20"/>
          <w:szCs w:val="20"/>
          <w:color w:val="auto"/>
        </w:rPr>
      </w:pPr>
      <w:r>
        <w:rPr>
          <w:rFonts w:ascii="Arial" w:cs="Arial" w:eastAsia="Arial" w:hAnsi="Arial"/>
          <w:sz w:val="16"/>
          <w:szCs w:val="16"/>
          <w:color w:val="auto"/>
        </w:rPr>
        <w:t>“Common Stock” means the shares of common stock of the Company as constituted on the effective date of the Plan, and any other shares into which such common stock shall thereafter be changed by reason of a recapitalization, merger, consolidation, split-up, combination, exchange of shares or the like.</w:t>
      </w:r>
    </w:p>
    <w:p>
      <w:pPr>
        <w:spacing w:after="0" w:line="11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“Company” means SL Green Realty Corp., a Maryland corporation.</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“Director” means a non-employee director of the Company or its Subsidiaries.</w:t>
      </w:r>
    </w:p>
    <w:p>
      <w:pPr>
        <w:spacing w:after="0" w:line="154" w:lineRule="exact"/>
        <w:rPr>
          <w:sz w:val="20"/>
          <w:szCs w:val="20"/>
          <w:color w:val="auto"/>
        </w:rPr>
      </w:pPr>
    </w:p>
    <w:p>
      <w:pPr>
        <w:ind w:left="820" w:right="60"/>
        <w:spacing w:after="0" w:line="279" w:lineRule="auto"/>
        <w:rPr>
          <w:sz w:val="20"/>
          <w:szCs w:val="20"/>
          <w:color w:val="auto"/>
        </w:rPr>
      </w:pPr>
      <w:r>
        <w:rPr>
          <w:rFonts w:ascii="Arial" w:cs="Arial" w:eastAsia="Arial" w:hAnsi="Arial"/>
          <w:sz w:val="16"/>
          <w:szCs w:val="16"/>
          <w:color w:val="auto"/>
        </w:rPr>
        <w:t>“Disability” means, unless otherwise provided by the Committee in the Participant’s Award Agreement, a disability which renders the Participant incapable of performing all of his or her material duties for a period of at least 150 consecutive or non-consecutive days during any consecutive twelve-month period. Notwithstanding the foregoing, no circumstances or condition shall constitute a Disability to the extent that, if it were, a 20% tax would be imposed under Section 409A of the Code; provided that, in such a case, the event or condition shall continue to constitute a Disability to the maximum extent possible (e.g., if applicable, in regard of vesting without an acceleration of distribution) without causing the imposition of such 20% tax.</w:t>
      </w:r>
    </w:p>
    <w:p>
      <w:pPr>
        <w:spacing w:after="0" w:line="107" w:lineRule="exact"/>
        <w:rPr>
          <w:sz w:val="20"/>
          <w:szCs w:val="20"/>
          <w:color w:val="auto"/>
        </w:rPr>
      </w:pPr>
    </w:p>
    <w:p>
      <w:pPr>
        <w:ind w:left="820" w:right="120"/>
        <w:spacing w:after="0" w:line="304" w:lineRule="auto"/>
        <w:rPr>
          <w:sz w:val="20"/>
          <w:szCs w:val="20"/>
          <w:color w:val="auto"/>
        </w:rPr>
      </w:pPr>
      <w:r>
        <w:rPr>
          <w:rFonts w:ascii="Arial" w:cs="Arial" w:eastAsia="Arial" w:hAnsi="Arial"/>
          <w:sz w:val="16"/>
          <w:szCs w:val="16"/>
          <w:color w:val="auto"/>
        </w:rPr>
        <w:t>“Dividend Equivalent Right” means a right awarded under Section 8 of the Plan to receive (or have credited) the equivalent value of dividends paid on Common Stock.</w:t>
      </w:r>
    </w:p>
    <w:p>
      <w:pPr>
        <w:spacing w:after="0" w:line="87" w:lineRule="exact"/>
        <w:rPr>
          <w:sz w:val="20"/>
          <w:szCs w:val="20"/>
          <w:color w:val="auto"/>
        </w:rPr>
      </w:pPr>
    </w:p>
    <w:p>
      <w:pPr>
        <w:ind w:left="820" w:right="120"/>
        <w:spacing w:after="0" w:line="292" w:lineRule="auto"/>
        <w:rPr>
          <w:sz w:val="20"/>
          <w:szCs w:val="20"/>
          <w:color w:val="auto"/>
        </w:rPr>
      </w:pPr>
      <w:r>
        <w:rPr>
          <w:rFonts w:ascii="Arial" w:cs="Arial" w:eastAsia="Arial" w:hAnsi="Arial"/>
          <w:sz w:val="16"/>
          <w:szCs w:val="16"/>
          <w:color w:val="auto"/>
        </w:rPr>
        <w:t>“Eligible Person” means a key employee, Director, officer, advisor, consultant or other personnel of the Company and its Subsidiaries or other person expected to provide significant services (of a type expressly approved by the Committee as covered services for these purposes) to the Company or its Subsidiaries.</w:t>
      </w:r>
    </w:p>
    <w:p>
      <w:pPr>
        <w:spacing w:after="0" w:line="11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“Exchange Act” means the Securities Exchange Act of 1934, as amended.</w:t>
      </w:r>
    </w:p>
    <w:p>
      <w:pPr>
        <w:spacing w:after="0" w:line="167" w:lineRule="exact"/>
        <w:rPr>
          <w:sz w:val="20"/>
          <w:szCs w:val="20"/>
          <w:color w:val="auto"/>
        </w:rPr>
      </w:pPr>
    </w:p>
    <w:p>
      <w:pPr>
        <w:ind w:left="820" w:right="120"/>
        <w:spacing w:after="0" w:line="274" w:lineRule="auto"/>
        <w:rPr>
          <w:sz w:val="20"/>
          <w:szCs w:val="20"/>
          <w:color w:val="auto"/>
        </w:rPr>
      </w:pPr>
      <w:r>
        <w:rPr>
          <w:rFonts w:ascii="Arial" w:cs="Arial" w:eastAsia="Arial" w:hAnsi="Arial"/>
          <w:sz w:val="16"/>
          <w:szCs w:val="16"/>
          <w:color w:val="auto"/>
        </w:rPr>
        <w:t>“Fair Market Value” per Share as of a particular date means (i) if Shares are then listed on a national stock exchange, the closing sales price per Share on the exchange for the last preceding date on which there was a sale of Shares on such exchange, as determined by the Committee, (ii) if Shares are not then listed on a national stock exchange but are then traded on an over-the-counter market, the average of the closing bid and asked prices for the Shares in such over-the-counter market for the last preceding date on which there was a sale of such Shares in such market, as determined by the Committee, or (iii) if Shares are not then listed on a national stock exchange or traded on an over-the-counter market, such value as the Committee in its discretion may in good faith determine; provided that, where the Shares are so listed or traded, the Committee may make such discretionary determinations where the Shares have not been traded for 10 trading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69215</wp:posOffset>
            </wp:positionV>
            <wp:extent cx="6831965" cy="425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111" w:name="page112"/>
    <w:bookmarkEnd w:id="1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4540" w:type="dxa"/>
            <w:vAlign w:val="bottom"/>
          </w:tcPr>
          <w:p>
            <w:pPr>
              <w:spacing w:after="0"/>
              <w:rPr>
                <w:sz w:val="20"/>
                <w:szCs w:val="20"/>
                <w:color w:val="auto"/>
              </w:rPr>
            </w:pPr>
            <w:r>
              <w:rPr>
                <w:rFonts w:ascii="Arial" w:cs="Arial" w:eastAsia="Arial" w:hAnsi="Arial"/>
                <w:sz w:val="14"/>
                <w:szCs w:val="14"/>
                <w:b w:val="1"/>
                <w:bCs w:val="1"/>
                <w:color w:val="auto"/>
              </w:rPr>
              <w:t>​</w:t>
            </w:r>
          </w:p>
        </w:tc>
        <w:tc>
          <w:tcPr>
            <w:tcW w:w="4000" w:type="dxa"/>
            <w:vAlign w:val="bottom"/>
          </w:tcPr>
          <w:p>
            <w:pPr>
              <w:ind w:left="3660"/>
              <w:spacing w:after="0"/>
              <w:rPr>
                <w:sz w:val="20"/>
                <w:szCs w:val="20"/>
                <w:color w:val="auto"/>
              </w:rPr>
            </w:pPr>
            <w:r>
              <w:rPr>
                <w:rFonts w:ascii="Arial" w:cs="Arial" w:eastAsia="Arial" w:hAnsi="Arial"/>
                <w:sz w:val="14"/>
                <w:szCs w:val="14"/>
                <w:b w:val="1"/>
                <w:bCs w:val="1"/>
                <w:color w:val="auto"/>
              </w:rPr>
              <w:t>​ ​</w:t>
            </w:r>
          </w:p>
        </w:tc>
        <w:tc>
          <w:tcPr>
            <w:tcW w:w="520" w:type="dxa"/>
            <w:vAlign w:val="bottom"/>
            <w:vMerge w:val="restart"/>
          </w:tcPr>
          <w:p>
            <w:pPr>
              <w:ind w:left="180"/>
              <w:spacing w:after="0"/>
              <w:rPr>
                <w:sz w:val="20"/>
                <w:szCs w:val="20"/>
                <w:color w:val="auto"/>
              </w:rPr>
            </w:pPr>
            <w:r>
              <w:rPr>
                <w:rFonts w:ascii="Arial" w:cs="Arial" w:eastAsia="Arial" w:hAnsi="Arial"/>
                <w:sz w:val="22"/>
                <w:szCs w:val="22"/>
                <w:b w:val="1"/>
                <w:bCs w:val="1"/>
                <w:color w:val="1F2668"/>
                <w:w w:val="90"/>
              </w:rPr>
              <w:t>A-3</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4540" w:type="dxa"/>
            <w:vAlign w:val="bottom"/>
          </w:tcPr>
          <w:p>
            <w:pPr>
              <w:spacing w:after="0"/>
              <w:rPr>
                <w:sz w:val="20"/>
                <w:szCs w:val="20"/>
                <w:color w:val="auto"/>
              </w:rPr>
            </w:pPr>
            <w:r>
              <w:rPr>
                <w:rFonts w:ascii="Arial" w:cs="Arial" w:eastAsia="Arial" w:hAnsi="Arial"/>
                <w:sz w:val="14"/>
                <w:szCs w:val="14"/>
                <w:b w:val="1"/>
                <w:bCs w:val="1"/>
                <w:color w:val="auto"/>
              </w:rPr>
              <w:t>APPENDIX A</w:t>
            </w:r>
          </w:p>
        </w:tc>
        <w:tc>
          <w:tcPr>
            <w:tcW w:w="400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57" w:lineRule="exact"/>
        <w:rPr>
          <w:sz w:val="20"/>
          <w:szCs w:val="20"/>
          <w:color w:val="auto"/>
        </w:rPr>
      </w:pPr>
    </w:p>
    <w:p>
      <w:pPr>
        <w:ind w:left="820" w:right="200"/>
        <w:spacing w:after="0" w:line="321" w:lineRule="auto"/>
        <w:rPr>
          <w:sz w:val="20"/>
          <w:szCs w:val="20"/>
          <w:color w:val="auto"/>
        </w:rPr>
      </w:pPr>
      <w:r>
        <w:rPr>
          <w:rFonts w:ascii="Arial" w:cs="Arial" w:eastAsia="Arial" w:hAnsi="Arial"/>
          <w:sz w:val="16"/>
          <w:szCs w:val="16"/>
          <w:color w:val="auto"/>
        </w:rPr>
        <w:t>“Full-Value Award” means an Award other than an Option, Stock Appreciation Right or other Award that does not deliver the full value at grant thereof of the underlying shares.</w:t>
      </w:r>
    </w:p>
    <w:p>
      <w:pPr>
        <w:spacing w:after="0" w:line="88" w:lineRule="exact"/>
        <w:rPr>
          <w:sz w:val="20"/>
          <w:szCs w:val="20"/>
          <w:color w:val="auto"/>
        </w:rPr>
      </w:pPr>
    </w:p>
    <w:p>
      <w:pPr>
        <w:ind w:left="820" w:right="40"/>
        <w:spacing w:after="0" w:line="288" w:lineRule="auto"/>
        <w:rPr>
          <w:sz w:val="20"/>
          <w:szCs w:val="20"/>
          <w:color w:val="auto"/>
        </w:rPr>
      </w:pPr>
      <w:r>
        <w:rPr>
          <w:rFonts w:ascii="Arial" w:cs="Arial" w:eastAsia="Arial" w:hAnsi="Arial"/>
          <w:sz w:val="16"/>
          <w:szCs w:val="16"/>
          <w:color w:val="auto"/>
        </w:rPr>
        <w:t>“Fungible Pool Unit” shall be the measuring unit used for purposes of the Plan, as specified in Section 4, to determine the number of Shares which may be subject to Awards hereunder, which shall consist of Shares in the proportions (a) with respect to Awards granted prior to June 15, 2010 (ranging from 0.7 to 3.0), (b) with respect to Awards granted on or after June 15, 2010 but before June 13, 2013 (ranging from 0.79 to 1.65), (c) with respect to Awards granted on or after June 13, 2013 but before June 2, 2016 (ranging from 0.77 to 2.76), (d) with respect to Awards granted on or after June 2, 2016 (ranging from 0.73 to 3.74), (e) with respect to Awards granted on or after June 1, 2022 (ranging from 0.84 to 2.59), and (f) with respect to Awards granted on or after June 3, 2025 (ranging from 0.87 to 3.2), as set forth in Section 4(a).</w:t>
      </w:r>
    </w:p>
    <w:p>
      <w:pPr>
        <w:spacing w:after="0" w:line="115" w:lineRule="exact"/>
        <w:rPr>
          <w:sz w:val="20"/>
          <w:szCs w:val="20"/>
          <w:color w:val="auto"/>
        </w:rPr>
      </w:pPr>
    </w:p>
    <w:p>
      <w:pPr>
        <w:jc w:val="both"/>
        <w:ind w:left="820" w:right="60"/>
        <w:spacing w:after="0" w:line="321" w:lineRule="auto"/>
        <w:rPr>
          <w:sz w:val="20"/>
          <w:szCs w:val="20"/>
          <w:color w:val="auto"/>
        </w:rPr>
      </w:pPr>
      <w:r>
        <w:rPr>
          <w:rFonts w:ascii="Arial" w:cs="Arial" w:eastAsia="Arial" w:hAnsi="Arial"/>
          <w:sz w:val="16"/>
          <w:szCs w:val="16"/>
          <w:color w:val="auto"/>
        </w:rPr>
        <w:t>“Grantee” means an Eligible Person granted Restricted Stock, Phantom Shares, Dividend Equivalent Rights or such other equity-based Awards as may be granted pursuant to Section 9.</w:t>
      </w:r>
    </w:p>
    <w:p>
      <w:pPr>
        <w:spacing w:after="0" w:line="7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“Incentive Stock Option” means an “incentive stock option” within the meaning of Section 422(b) of the Code.</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“Non-Qualified Stock Option” means an Option which is not an Incentive Stock Option.</w:t>
      </w:r>
    </w:p>
    <w:p>
      <w:pPr>
        <w:spacing w:after="0" w:line="181" w:lineRule="exact"/>
        <w:rPr>
          <w:sz w:val="20"/>
          <w:szCs w:val="20"/>
          <w:color w:val="auto"/>
        </w:rPr>
      </w:pPr>
    </w:p>
    <w:p>
      <w:pPr>
        <w:jc w:val="both"/>
        <w:ind w:left="820" w:right="80"/>
        <w:spacing w:after="0" w:line="301" w:lineRule="auto"/>
        <w:rPr>
          <w:sz w:val="20"/>
          <w:szCs w:val="20"/>
          <w:color w:val="auto"/>
        </w:rPr>
      </w:pPr>
      <w:r>
        <w:rPr>
          <w:rFonts w:ascii="Arial" w:cs="Arial" w:eastAsia="Arial" w:hAnsi="Arial"/>
          <w:sz w:val="16"/>
          <w:szCs w:val="16"/>
          <w:color w:val="auto"/>
        </w:rPr>
        <w:t>“Option” means the right to purchase, at a price and for the term fixed by the Committee in accordance with the Plan, and subject to such other limitations and restrictions in the Plan and the applicable Award Agreement, a number of Shares determined by the Committee.</w:t>
      </w:r>
    </w:p>
    <w:p>
      <w:pPr>
        <w:spacing w:after="0" w:line="91" w:lineRule="exact"/>
        <w:rPr>
          <w:sz w:val="20"/>
          <w:szCs w:val="20"/>
          <w:color w:val="auto"/>
        </w:rPr>
      </w:pPr>
    </w:p>
    <w:p>
      <w:pPr>
        <w:ind w:left="820" w:right="640"/>
        <w:spacing w:after="0" w:line="321" w:lineRule="auto"/>
        <w:rPr>
          <w:sz w:val="20"/>
          <w:szCs w:val="20"/>
          <w:color w:val="auto"/>
        </w:rPr>
      </w:pPr>
      <w:r>
        <w:rPr>
          <w:rFonts w:ascii="Arial" w:cs="Arial" w:eastAsia="Arial" w:hAnsi="Arial"/>
          <w:sz w:val="16"/>
          <w:szCs w:val="16"/>
          <w:color w:val="auto"/>
        </w:rPr>
        <w:t>“Optionee” means an Eligible Person to whom an Option is granted, or the Successors of the Optionee, as the context so requires.</w:t>
      </w:r>
    </w:p>
    <w:p>
      <w:pPr>
        <w:spacing w:after="0" w:line="88" w:lineRule="exact"/>
        <w:rPr>
          <w:sz w:val="20"/>
          <w:szCs w:val="20"/>
          <w:color w:val="auto"/>
        </w:rPr>
      </w:pPr>
    </w:p>
    <w:p>
      <w:pPr>
        <w:ind w:left="820"/>
        <w:spacing w:after="0"/>
        <w:rPr>
          <w:sz w:val="20"/>
          <w:szCs w:val="20"/>
          <w:color w:val="auto"/>
        </w:rPr>
      </w:pPr>
      <w:r>
        <w:rPr>
          <w:rFonts w:ascii="Arial" w:cs="Arial" w:eastAsia="Arial" w:hAnsi="Arial"/>
          <w:sz w:val="16"/>
          <w:szCs w:val="16"/>
          <w:color w:val="auto"/>
        </w:rPr>
        <w:t>“Option Price” means the price per Share, determined by the Board or the Committee, at which an Option may be exercised.</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“Participant” means a Grantee or Optionee.</w:t>
      </w:r>
    </w:p>
    <w:p>
      <w:pPr>
        <w:spacing w:after="0" w:line="167" w:lineRule="exact"/>
        <w:rPr>
          <w:sz w:val="20"/>
          <w:szCs w:val="20"/>
          <w:color w:val="auto"/>
        </w:rPr>
      </w:pPr>
    </w:p>
    <w:p>
      <w:pPr>
        <w:ind w:left="820" w:right="40"/>
        <w:spacing w:after="0" w:line="284" w:lineRule="auto"/>
        <w:rPr>
          <w:sz w:val="20"/>
          <w:szCs w:val="20"/>
          <w:color w:val="auto"/>
        </w:rPr>
      </w:pPr>
      <w:r>
        <w:rPr>
          <w:rFonts w:ascii="Arial" w:cs="Arial" w:eastAsia="Arial" w:hAnsi="Arial"/>
          <w:sz w:val="16"/>
          <w:szCs w:val="16"/>
          <w:color w:val="auto"/>
        </w:rPr>
        <w:t>“Performance Criteria” means the following business criteria (or any combination thereof) with respect to one or more of the Company, any Subsidiary or any division or operating unit thereof: (i) pre-tax income, (ii) after-tax income, (iii) net income (meaning net income as reflected in the Company’s financial reports for the applicable period, on an aggregate, diluted and/or per share basis), (iv) operating income, (iv) cash flow, (v) earnings per share, (vi) return on equity, (vii) return on invested capital or assets, (viii) cash and/or funds available for distribution, (ix) appreciation in the fair market value of the Common Stock, (x) return on investment, (xi) total return to shareholders, (xii) net earnings growth, (xiii) stock appreciation (meaning an increase in the price or value of the Common Stock after the date of grant of an award and during the applicable period), (xiv) related return ratios, (xv) increase in revenues, (xvi) net earnings, (xvii) changes (or the absence of changes) in the per share or aggregate market price of the Company’s Common Stock, (xviii) number of securities sold, (xix) earnings before any one or more of the following items: interest, taxes, depreciation or amortization for the applicable period, as reflected in the Company’s financial reports for the applicable period, (xx) total revenue growth (meaning the increase in total revenues after the date of grant of an award and during the applicable period, as reflected in the Company’s financial reports for the applicable period), (xxi) the Company’s published ranking against its peer group of real estate investment trusts based on total shareholder return, and (xxii) FFO.</w:t>
      </w:r>
    </w:p>
    <w:p>
      <w:pPr>
        <w:spacing w:after="0" w:line="124" w:lineRule="exact"/>
        <w:rPr>
          <w:sz w:val="20"/>
          <w:szCs w:val="20"/>
          <w:color w:val="auto"/>
        </w:rPr>
      </w:pPr>
    </w:p>
    <w:p>
      <w:pPr>
        <w:ind w:left="820" w:right="120"/>
        <w:spacing w:after="0" w:line="312" w:lineRule="auto"/>
        <w:rPr>
          <w:sz w:val="20"/>
          <w:szCs w:val="20"/>
          <w:color w:val="auto"/>
        </w:rPr>
      </w:pPr>
      <w:r>
        <w:rPr>
          <w:rFonts w:ascii="Arial" w:cs="Arial" w:eastAsia="Arial" w:hAnsi="Arial"/>
          <w:sz w:val="15"/>
          <w:szCs w:val="15"/>
          <w:color w:val="auto"/>
        </w:rPr>
        <w:t>“Performance Goals” means (i) 7% FFO growth, (ii) 10% total return to shareholders and (iii) Total return to shareholders in the top one-third of the “peer group.” For purposes of this definition, “peer group” shall be Alexandria Real Estate Equities, Inc., American Financial Realty Trust, Boston Properties, Inc., Brandywine Realty Trust, Corporate Office Properties Trust, Crescent Real Estate Equities Company, Douglas Emmett, Duke Realty Corporation, Highwoods Properties, Inc., HRPT Properties, Kilroy Realty Corporation, Liberty Property Trust, Mack-Cali Realty Corporation, Maguire Properties, Parkway Properties, SL Green Realty Corp., and Washington REIT. Such “peer group” may not change with respect to any particular Award.</w:t>
      </w:r>
    </w:p>
    <w:p>
      <w:pPr>
        <w:spacing w:after="0" w:line="9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“Phantom Share” means a right, pursuant to the Plan, of the Grantee to payment of the Phantom Share Value.</w:t>
      </w:r>
    </w:p>
    <w:p>
      <w:pPr>
        <w:spacing w:after="0" w:line="167" w:lineRule="exact"/>
        <w:rPr>
          <w:sz w:val="20"/>
          <w:szCs w:val="20"/>
          <w:color w:val="auto"/>
        </w:rPr>
      </w:pPr>
    </w:p>
    <w:p>
      <w:pPr>
        <w:ind w:left="820" w:right="80"/>
        <w:spacing w:after="0" w:line="359" w:lineRule="auto"/>
        <w:rPr>
          <w:sz w:val="20"/>
          <w:szCs w:val="20"/>
          <w:color w:val="auto"/>
        </w:rPr>
      </w:pPr>
      <w:r>
        <w:rPr>
          <w:rFonts w:ascii="Arial" w:cs="Arial" w:eastAsia="Arial" w:hAnsi="Arial"/>
          <w:sz w:val="15"/>
          <w:szCs w:val="15"/>
          <w:color w:val="auto"/>
        </w:rPr>
        <w:t>“Phantom Share Value,” per Phantom Share, means the Fair Market Value of a Share of Common Stock, or, if so provided by the Committee, such Fair Market Value to the extent in excess of a base value established by the Committee at the time of grant.</w:t>
      </w:r>
    </w:p>
    <w:p>
      <w:pPr>
        <w:spacing w:after="0" w:line="64" w:lineRule="exact"/>
        <w:rPr>
          <w:sz w:val="20"/>
          <w:szCs w:val="20"/>
          <w:color w:val="auto"/>
        </w:rPr>
      </w:pPr>
    </w:p>
    <w:p>
      <w:pPr>
        <w:ind w:left="820" w:right="140"/>
        <w:spacing w:after="0" w:line="321" w:lineRule="auto"/>
        <w:rPr>
          <w:sz w:val="20"/>
          <w:szCs w:val="20"/>
          <w:color w:val="auto"/>
        </w:rPr>
      </w:pPr>
      <w:r>
        <w:rPr>
          <w:rFonts w:ascii="Arial" w:cs="Arial" w:eastAsia="Arial" w:hAnsi="Arial"/>
          <w:sz w:val="16"/>
          <w:szCs w:val="16"/>
          <w:color w:val="auto"/>
        </w:rPr>
        <w:t>“Plan” means the Company’s Sixth Amended and Restated 2005 Stock Option and Incentive Plan, as amended and restated on June 3, 2025, as set forth herein and as the same may from time to time be amended.</w:t>
      </w:r>
    </w:p>
    <w:p>
      <w:pPr>
        <w:spacing w:after="0" w:line="88" w:lineRule="exact"/>
        <w:rPr>
          <w:sz w:val="20"/>
          <w:szCs w:val="20"/>
          <w:color w:val="auto"/>
        </w:rPr>
      </w:pPr>
    </w:p>
    <w:p>
      <w:pPr>
        <w:ind w:left="820"/>
        <w:spacing w:after="0"/>
        <w:rPr>
          <w:sz w:val="20"/>
          <w:szCs w:val="20"/>
          <w:color w:val="auto"/>
        </w:rPr>
      </w:pPr>
      <w:r>
        <w:rPr>
          <w:rFonts w:ascii="Arial" w:cs="Arial" w:eastAsia="Arial" w:hAnsi="Arial"/>
          <w:sz w:val="16"/>
          <w:szCs w:val="16"/>
          <w:color w:val="auto"/>
        </w:rPr>
        <w:t>“Restricted Stock” means an award of Shares that are subject to restrictions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93980</wp:posOffset>
            </wp:positionV>
            <wp:extent cx="6831965" cy="425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bookmarkStart w:id="112" w:name="page113"/>
    <w:bookmarkEnd w:id="1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p>
      <w:pPr>
        <w:ind w:left="820"/>
        <w:spacing w:after="0"/>
        <w:tabs>
          <w:tab w:leader="none" w:pos="1440" w:val="left"/>
          <w:tab w:leader="none" w:pos="9860" w:val="left"/>
        </w:tabs>
        <w:rPr>
          <w:sz w:val="20"/>
          <w:szCs w:val="20"/>
          <w:color w:val="auto"/>
        </w:rPr>
      </w:pPr>
      <w:r>
        <w:rPr>
          <w:rFonts w:ascii="Arial" w:cs="Arial" w:eastAsia="Arial" w:hAnsi="Arial"/>
          <w:sz w:val="22"/>
          <w:szCs w:val="22"/>
          <w:b w:val="1"/>
          <w:bCs w:val="1"/>
          <w:color w:val="1F2668"/>
        </w:rPr>
        <w:t>​A-4</w:t>
        <w:tab/>
        <w:t xml:space="preserve">​ ​ </w:t>
      </w:r>
      <w:r>
        <w:rPr>
          <w:rFonts w:ascii="Arial" w:cs="Arial" w:eastAsia="Arial" w:hAnsi="Arial"/>
          <w:sz w:val="14"/>
          <w:szCs w:val="14"/>
          <w:b w:val="1"/>
          <w:bCs w:val="1"/>
          <w:color w:val="1F2668"/>
        </w:rPr>
        <w:t>SL GREEN REALTY CORP. 2025 PROXY STATEMENT</w:t>
      </w:r>
      <w:r>
        <w:rPr>
          <w:sz w:val="20"/>
          <w:szCs w:val="20"/>
          <w:color w:val="auto"/>
        </w:rPr>
        <w:tab/>
      </w:r>
      <w:r>
        <w:rPr>
          <w:rFonts w:ascii="Arial" w:cs="Arial" w:eastAsia="Arial" w:hAnsi="Arial"/>
          <w:sz w:val="22"/>
          <w:szCs w:val="22"/>
          <w:b w:val="1"/>
          <w:bCs w:val="1"/>
          <w:color w:val="1F2668"/>
        </w:rPr>
        <w:t>​</w:t>
      </w:r>
    </w:p>
    <w:p>
      <w:pPr>
        <w:spacing w:after="0" w:line="200" w:lineRule="exact"/>
        <w:rPr>
          <w:sz w:val="20"/>
          <w:szCs w:val="20"/>
          <w:color w:val="auto"/>
        </w:rPr>
      </w:pPr>
    </w:p>
    <w:p>
      <w:pPr>
        <w:spacing w:after="0" w:line="304" w:lineRule="exact"/>
        <w:rPr>
          <w:sz w:val="20"/>
          <w:szCs w:val="20"/>
          <w:color w:val="auto"/>
        </w:rPr>
      </w:pPr>
    </w:p>
    <w:p>
      <w:pPr>
        <w:ind w:left="820" w:right="380"/>
        <w:spacing w:after="0" w:line="329" w:lineRule="auto"/>
        <w:rPr>
          <w:sz w:val="20"/>
          <w:szCs w:val="20"/>
          <w:color w:val="auto"/>
        </w:rPr>
      </w:pPr>
      <w:r>
        <w:rPr>
          <w:rFonts w:ascii="Arial" w:cs="Arial" w:eastAsia="Arial" w:hAnsi="Arial"/>
          <w:sz w:val="15"/>
          <w:szCs w:val="15"/>
          <w:color w:val="auto"/>
        </w:rPr>
        <w:t>“Retirement” means, unless otherwise provided by the Committee in the Participant’s Award Agreement, the Termination of Service (other than for Cause) of a Participant on or after the Participant’s attainment of age 65 or on or after the Participant’s attainment of age 55 with five consecutive years of service with the Company and or its Subsidiaries or its affiliates.</w:t>
      </w:r>
    </w:p>
    <w:p>
      <w:pPr>
        <w:spacing w:after="0" w:line="87" w:lineRule="exact"/>
        <w:rPr>
          <w:sz w:val="20"/>
          <w:szCs w:val="20"/>
          <w:color w:val="auto"/>
        </w:rPr>
      </w:pPr>
    </w:p>
    <w:p>
      <w:pPr>
        <w:ind w:left="820"/>
        <w:spacing w:after="0"/>
        <w:rPr>
          <w:sz w:val="20"/>
          <w:szCs w:val="20"/>
          <w:color w:val="auto"/>
        </w:rPr>
      </w:pPr>
      <w:r>
        <w:rPr>
          <w:rFonts w:ascii="Arial" w:cs="Arial" w:eastAsia="Arial" w:hAnsi="Arial"/>
          <w:sz w:val="16"/>
          <w:szCs w:val="16"/>
          <w:color w:val="auto"/>
        </w:rPr>
        <w:t>“Securities Act” means the Securities Act of 1933, as amended.</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“Settlement Date” means the date determined under Section 7.4(c).</w:t>
      </w:r>
    </w:p>
    <w:p>
      <w:pPr>
        <w:spacing w:after="0" w:line="167" w:lineRule="exact"/>
        <w:rPr>
          <w:sz w:val="20"/>
          <w:szCs w:val="20"/>
          <w:color w:val="auto"/>
        </w:rPr>
      </w:pPr>
    </w:p>
    <w:p>
      <w:pPr>
        <w:ind w:left="820"/>
        <w:spacing w:after="0"/>
        <w:rPr>
          <w:sz w:val="20"/>
          <w:szCs w:val="20"/>
          <w:color w:val="auto"/>
        </w:rPr>
      </w:pPr>
      <w:r>
        <w:rPr>
          <w:rFonts w:ascii="Arial" w:cs="Arial" w:eastAsia="Arial" w:hAnsi="Arial"/>
          <w:sz w:val="16"/>
          <w:szCs w:val="16"/>
          <w:color w:val="auto"/>
        </w:rPr>
        <w:t>“Shares” means shares of Common Stock of the Company.</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“Stock Appreciation Right” means the right to settle an Option as provided for in Section 5.7.</w:t>
      </w:r>
    </w:p>
    <w:p>
      <w:pPr>
        <w:spacing w:after="0" w:line="181" w:lineRule="exact"/>
        <w:rPr>
          <w:sz w:val="20"/>
          <w:szCs w:val="20"/>
          <w:color w:val="auto"/>
        </w:rPr>
      </w:pPr>
    </w:p>
    <w:p>
      <w:pPr>
        <w:ind w:left="820" w:right="360"/>
        <w:spacing w:after="0" w:line="295" w:lineRule="auto"/>
        <w:rPr>
          <w:sz w:val="20"/>
          <w:szCs w:val="20"/>
          <w:color w:val="auto"/>
        </w:rPr>
      </w:pPr>
      <w:r>
        <w:rPr>
          <w:rFonts w:ascii="Arial" w:cs="Arial" w:eastAsia="Arial" w:hAnsi="Arial"/>
          <w:sz w:val="16"/>
          <w:szCs w:val="16"/>
          <w:color w:val="auto"/>
        </w:rPr>
        <w:t>“Subsidiary” means any corporation (other than the Company) that is a “subsidiary corporation” with respect to the Company under Section 424(f) of the Code. In the event the Company becomes a subsidiary of another company, the provisions hereof applicable to subsidiaries shall, unless otherwise determined by the Committee, also be applicable to any company that is a “parent corporation” with respect to the Company under Section 424(e) of the Code.</w:t>
      </w:r>
    </w:p>
    <w:p>
      <w:pPr>
        <w:spacing w:after="0" w:line="94" w:lineRule="exact"/>
        <w:rPr>
          <w:sz w:val="20"/>
          <w:szCs w:val="20"/>
          <w:color w:val="auto"/>
        </w:rPr>
      </w:pPr>
    </w:p>
    <w:p>
      <w:pPr>
        <w:ind w:left="820" w:right="200"/>
        <w:spacing w:after="0" w:line="321" w:lineRule="auto"/>
        <w:rPr>
          <w:sz w:val="20"/>
          <w:szCs w:val="20"/>
          <w:color w:val="auto"/>
        </w:rPr>
      </w:pPr>
      <w:r>
        <w:rPr>
          <w:rFonts w:ascii="Arial" w:cs="Arial" w:eastAsia="Arial" w:hAnsi="Arial"/>
          <w:sz w:val="16"/>
          <w:szCs w:val="16"/>
          <w:color w:val="auto"/>
        </w:rPr>
        <w:t>“Successor of the Optionee” means the legal representative of the estate of a deceased Optionee or the person or persons who shall acquire the right to exercise an Option by bequest or inheritance or by reason of the death of the Optionee.</w:t>
      </w:r>
    </w:p>
    <w:p>
      <w:pPr>
        <w:spacing w:after="0" w:line="88" w:lineRule="exact"/>
        <w:rPr>
          <w:sz w:val="20"/>
          <w:szCs w:val="20"/>
          <w:color w:val="auto"/>
        </w:rPr>
      </w:pPr>
    </w:p>
    <w:p>
      <w:pPr>
        <w:ind w:left="820" w:right="180"/>
        <w:spacing w:after="0" w:line="321" w:lineRule="auto"/>
        <w:rPr>
          <w:sz w:val="20"/>
          <w:szCs w:val="20"/>
          <w:color w:val="auto"/>
        </w:rPr>
      </w:pPr>
      <w:r>
        <w:rPr>
          <w:rFonts w:ascii="Arial" w:cs="Arial" w:eastAsia="Arial" w:hAnsi="Arial"/>
          <w:sz w:val="16"/>
          <w:szCs w:val="16"/>
          <w:color w:val="auto"/>
        </w:rPr>
        <w:t>“Termination of Service” means a Participant’s termination of employment or other service, as applicable, with the Company and its Subsidiaries.</w:t>
      </w:r>
    </w:p>
    <w:p>
      <w:pPr>
        <w:spacing w:after="0" w:line="88" w:lineRule="exact"/>
        <w:rPr>
          <w:sz w:val="20"/>
          <w:szCs w:val="20"/>
          <w:color w:val="auto"/>
        </w:rPr>
      </w:pPr>
    </w:p>
    <w:p>
      <w:pPr>
        <w:ind w:left="820" w:right="120" w:hanging="4"/>
        <w:spacing w:after="0" w:line="307" w:lineRule="auto"/>
        <w:tabs>
          <w:tab w:leader="none" w:pos="1082" w:val="left"/>
        </w:tabs>
        <w:numPr>
          <w:ilvl w:val="0"/>
          <w:numId w:val="13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EFFECTIVE DATE AND TERMINATION OF PLAN.</w:t>
      </w:r>
      <w:r>
        <w:rPr>
          <w:rFonts w:ascii="Arial" w:cs="Arial" w:eastAsia="Arial" w:hAnsi="Arial"/>
          <w:sz w:val="15"/>
          <w:szCs w:val="15"/>
          <w:b w:val="1"/>
          <w:bCs w:val="1"/>
          <w:color w:val="auto"/>
        </w:rPr>
        <w:t xml:space="preserve"> </w:t>
      </w:r>
      <w:r>
        <w:rPr>
          <w:rFonts w:ascii="Arial" w:cs="Arial" w:eastAsia="Arial" w:hAnsi="Arial"/>
          <w:sz w:val="15"/>
          <w:szCs w:val="15"/>
          <w:color w:val="auto"/>
        </w:rPr>
        <w:t>The effective date of the Plan is June 3, 2025. The amendments</w:t>
      </w:r>
      <w:r>
        <w:rPr>
          <w:rFonts w:ascii="Arial" w:cs="Arial" w:eastAsia="Arial" w:hAnsi="Arial"/>
          <w:sz w:val="15"/>
          <w:szCs w:val="15"/>
          <w:b w:val="1"/>
          <w:bCs w:val="1"/>
          <w:color w:val="auto"/>
        </w:rPr>
        <w:t xml:space="preserve"> </w:t>
      </w:r>
      <w:r>
        <w:rPr>
          <w:rFonts w:ascii="Arial" w:cs="Arial" w:eastAsia="Arial" w:hAnsi="Arial"/>
          <w:sz w:val="15"/>
          <w:szCs w:val="15"/>
          <w:color w:val="auto"/>
        </w:rPr>
        <w:t>reflected in this Sixth Amended and Restated 2005 Stock Option and Incentive Plan shall not become effective unless and until it is approved by the requisite percentage of the holders of the Common Stock of the Company. The Plan shall terminate on, and no Award shall be granted hereunder on or after, the 10-year anniversary of the approval of this Sixth Amended and Restated 2005 Stock Option and Incentive Plan by the shareholders of the Company; provided, that no Incentive Stock Options shall be granted hereunder on or after the 10-year anniversary of the approval of this Sixth Amended and Restated 2005 Stock Option and Incentive Plan by the Board; provided further that the Board may at any time prior to that date terminate the Plan; and provided, further, that all Awards made under the Plan prior to a Plan termination shall remain in effect until such Awards have been satisfied or terminated in accordance with the terms and provisions of the Plan and the applicable Award Agreement.</w:t>
      </w:r>
    </w:p>
    <w:p>
      <w:pPr>
        <w:spacing w:after="0" w:line="93" w:lineRule="exact"/>
        <w:rPr>
          <w:rFonts w:ascii="Arial" w:cs="Arial" w:eastAsia="Arial" w:hAnsi="Arial"/>
          <w:sz w:val="15"/>
          <w:szCs w:val="15"/>
          <w:b w:val="1"/>
          <w:bCs w:val="1"/>
          <w:color w:val="auto"/>
        </w:rPr>
      </w:pPr>
    </w:p>
    <w:p>
      <w:pPr>
        <w:ind w:left="820" w:right="100" w:hanging="4"/>
        <w:spacing w:after="0" w:line="285" w:lineRule="auto"/>
        <w:tabs>
          <w:tab w:leader="none" w:pos="1082" w:val="left"/>
        </w:tabs>
        <w:numPr>
          <w:ilvl w:val="0"/>
          <w:numId w:val="13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ADMINISTRATION OF PLAN.</w:t>
      </w:r>
      <w:r>
        <w:rPr>
          <w:rFonts w:ascii="Arial" w:cs="Arial" w:eastAsia="Arial" w:hAnsi="Arial"/>
          <w:sz w:val="16"/>
          <w:szCs w:val="16"/>
          <w:b w:val="1"/>
          <w:bCs w:val="1"/>
          <w:color w:val="auto"/>
        </w:rPr>
        <w:t xml:space="preserve"> </w:t>
      </w:r>
      <w:r>
        <w:rPr>
          <w:rFonts w:ascii="Arial" w:cs="Arial" w:eastAsia="Arial" w:hAnsi="Arial"/>
          <w:sz w:val="16"/>
          <w:szCs w:val="16"/>
          <w:color w:val="auto"/>
        </w:rPr>
        <w:t>(a) The Plan shall be administered by the Committee appointed by the Board. Unless</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determined by the Board, the Committee, upon and after such time as it is covered in Section 16 of the Exchange Act, shall consist of at least two individuals each of whom shall be a “nonemployee director” as defined in Rule 16b-3 as promulgated by the Securities and Exchange Commission (“Rule 16b-3”) under the Exchange Act and shall, at such times as the Company is subject to Section 162(m) of the Code (to the extent relief from the limitation of Section 162(m) of the Code is sought with respect to Awards), qualify as “outside directors” for purposes of Section 162(m) of the Code; provided that no action taken by the Committee (including without limitation grants) shall be invalidated because any or all of the members of the Committee fails to satisfy the foregoing requirements of this sentence. If and to the extent applicable, no member of the Committee may act as to matters under the Plan specifically relating to such member. Notwithstanding the other foregoing provisions of this Section 3(a), any Award under the Plan to a person who is a member of the Committee shall be made and administered by the Board. If no Committee is designated by the Board to act for these purposes, the Board shall have the rights and responsibilities of the Committee hereunder and under the Award Agreements.</w:t>
      </w:r>
    </w:p>
    <w:p>
      <w:pPr>
        <w:spacing w:after="0" w:line="119" w:lineRule="exact"/>
        <w:rPr>
          <w:sz w:val="20"/>
          <w:szCs w:val="20"/>
          <w:color w:val="auto"/>
        </w:rPr>
      </w:pPr>
    </w:p>
    <w:p>
      <w:pPr>
        <w:ind w:left="820" w:right="180" w:hanging="4"/>
        <w:spacing w:after="0" w:line="291" w:lineRule="auto"/>
        <w:tabs>
          <w:tab w:leader="none" w:pos="1143" w:val="left"/>
        </w:tabs>
        <w:numPr>
          <w:ilvl w:val="0"/>
          <w:numId w:val="137"/>
        </w:numPr>
        <w:rPr>
          <w:rFonts w:ascii="Arial" w:cs="Arial" w:eastAsia="Arial" w:hAnsi="Arial"/>
          <w:sz w:val="16"/>
          <w:szCs w:val="16"/>
          <w:color w:val="auto"/>
        </w:rPr>
      </w:pPr>
      <w:r>
        <w:rPr>
          <w:rFonts w:ascii="Arial" w:cs="Arial" w:eastAsia="Arial" w:hAnsi="Arial"/>
          <w:sz w:val="16"/>
          <w:szCs w:val="16"/>
          <w:color w:val="auto"/>
        </w:rPr>
        <w:t>Subject to the provisions of the Plan, the Committee shall in its discretion (i) authorize the granting of Awards to Eligible Persons; and (ii) determine the eligibility of Eligible Persons to receive an Award, as well as determine the number of Shares to be covered under any Award Agreement, considering the position and responsibilities of the Eligible Persons, the nature and value to the Company of the Eligible Person’s present and potential contribution to the success of the Company whether directly or through its Subsidiaries and such other factors as the Committee may deem relevant.</w:t>
      </w:r>
    </w:p>
    <w:p>
      <w:pPr>
        <w:spacing w:after="0" w:line="113" w:lineRule="exact"/>
        <w:rPr>
          <w:rFonts w:ascii="Arial" w:cs="Arial" w:eastAsia="Arial" w:hAnsi="Arial"/>
          <w:sz w:val="16"/>
          <w:szCs w:val="16"/>
          <w:color w:val="auto"/>
        </w:rPr>
      </w:pPr>
    </w:p>
    <w:p>
      <w:pPr>
        <w:ind w:left="820" w:right="140" w:hanging="4"/>
        <w:spacing w:after="0" w:line="287" w:lineRule="auto"/>
        <w:tabs>
          <w:tab w:leader="none" w:pos="1131"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Award Agreement shall contain such other terms, provisions and conditions not inconsistent herewith as shall be determined by the Committee. In the event that any Award Agreement or other agreement hereunder provides (without regard to this sentence) for the obligation of the Company or any affiliate thereof to purchase or repurchase Shares from a Participant or any other person, then, notwithstanding the provisions of the Award Agreement or such other agreement, such obligation shall not apply to the extent that the purchase or repurchase would not be permitted under governing state law. The Participant shall take whatever additional actions and execute whatever additional documents the Committee may in its reasonable judgment deem necessary or advisable in order to carry out or effect one or more of the obligations or restrictions imposed on the Participant pursuant to the express provisions of the Plan and the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52705</wp:posOffset>
            </wp:positionV>
            <wp:extent cx="6831965" cy="425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113" w:name="page114"/>
    <w:bookmarkEnd w:id="1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4540" w:type="dxa"/>
            <w:vAlign w:val="bottom"/>
          </w:tcPr>
          <w:p>
            <w:pPr>
              <w:spacing w:after="0"/>
              <w:rPr>
                <w:sz w:val="20"/>
                <w:szCs w:val="20"/>
                <w:color w:val="auto"/>
              </w:rPr>
            </w:pPr>
            <w:r>
              <w:rPr>
                <w:rFonts w:ascii="Arial" w:cs="Arial" w:eastAsia="Arial" w:hAnsi="Arial"/>
                <w:sz w:val="14"/>
                <w:szCs w:val="14"/>
                <w:b w:val="1"/>
                <w:bCs w:val="1"/>
                <w:color w:val="auto"/>
              </w:rPr>
              <w:t>​</w:t>
            </w:r>
          </w:p>
        </w:tc>
        <w:tc>
          <w:tcPr>
            <w:tcW w:w="4000" w:type="dxa"/>
            <w:vAlign w:val="bottom"/>
          </w:tcPr>
          <w:p>
            <w:pPr>
              <w:ind w:left="3660"/>
              <w:spacing w:after="0"/>
              <w:rPr>
                <w:sz w:val="20"/>
                <w:szCs w:val="20"/>
                <w:color w:val="auto"/>
              </w:rPr>
            </w:pPr>
            <w:r>
              <w:rPr>
                <w:rFonts w:ascii="Arial" w:cs="Arial" w:eastAsia="Arial" w:hAnsi="Arial"/>
                <w:sz w:val="14"/>
                <w:szCs w:val="14"/>
                <w:b w:val="1"/>
                <w:bCs w:val="1"/>
                <w:color w:val="auto"/>
              </w:rPr>
              <w:t>​ ​</w:t>
            </w:r>
          </w:p>
        </w:tc>
        <w:tc>
          <w:tcPr>
            <w:tcW w:w="520" w:type="dxa"/>
            <w:vAlign w:val="bottom"/>
            <w:vMerge w:val="restart"/>
          </w:tcPr>
          <w:p>
            <w:pPr>
              <w:ind w:left="180"/>
              <w:spacing w:after="0"/>
              <w:rPr>
                <w:sz w:val="20"/>
                <w:szCs w:val="20"/>
                <w:color w:val="auto"/>
              </w:rPr>
            </w:pPr>
            <w:r>
              <w:rPr>
                <w:rFonts w:ascii="Arial" w:cs="Arial" w:eastAsia="Arial" w:hAnsi="Arial"/>
                <w:sz w:val="22"/>
                <w:szCs w:val="22"/>
                <w:b w:val="1"/>
                <w:bCs w:val="1"/>
                <w:color w:val="1F2668"/>
                <w:w w:val="90"/>
              </w:rPr>
              <w:t>A-5</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4540" w:type="dxa"/>
            <w:vAlign w:val="bottom"/>
          </w:tcPr>
          <w:p>
            <w:pPr>
              <w:spacing w:after="0"/>
              <w:rPr>
                <w:sz w:val="20"/>
                <w:szCs w:val="20"/>
                <w:color w:val="auto"/>
              </w:rPr>
            </w:pPr>
            <w:r>
              <w:rPr>
                <w:rFonts w:ascii="Arial" w:cs="Arial" w:eastAsia="Arial" w:hAnsi="Arial"/>
                <w:sz w:val="14"/>
                <w:szCs w:val="14"/>
                <w:b w:val="1"/>
                <w:bCs w:val="1"/>
                <w:color w:val="auto"/>
              </w:rPr>
              <w:t>APPENDIX A</w:t>
            </w:r>
          </w:p>
        </w:tc>
        <w:tc>
          <w:tcPr>
            <w:tcW w:w="400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820" w:right="100" w:hanging="4"/>
        <w:spacing w:after="0" w:line="283" w:lineRule="auto"/>
        <w:tabs>
          <w:tab w:leader="none" w:pos="114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Committee may provide, in its discretion, that (i) all stock issued hereunder be initially maintained in separate brokerage account for the Participant at a brokerage firm selected by, and pursuant to an arrangement with, the Company; and (ii) in the case of vested Shares, the Participant may move such Shares to another brokerage account of the Participant’s choosing or request that a stock certificate be issued and delivered to him or her.</w:t>
      </w:r>
    </w:p>
    <w:p>
      <w:pPr>
        <w:spacing w:after="0" w:line="104" w:lineRule="exact"/>
        <w:rPr>
          <w:rFonts w:ascii="Arial" w:cs="Arial" w:eastAsia="Arial" w:hAnsi="Arial"/>
          <w:sz w:val="16"/>
          <w:szCs w:val="16"/>
          <w:color w:val="auto"/>
        </w:rPr>
      </w:pPr>
    </w:p>
    <w:p>
      <w:pPr>
        <w:ind w:left="820" w:right="60" w:hanging="4"/>
        <w:spacing w:after="0" w:line="277" w:lineRule="auto"/>
        <w:tabs>
          <w:tab w:leader="none" w:pos="114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Committee, in its discretion, may delegate to the Chief Executive Officer of the Company all or part of the Committee’s authority and duties with respect to awards, including, without limitation, the granting of awards to individuals who are not subject to the reporting and other provisions of Section 16 of the Act and who are not and are not expected to be “covered employees” within the meaning of Section 162(m) of the Code. Any such delegation by the Committee may, in the sole discretion of the Committee, include a limitation as to the amount of awards that may be awarded during the period of the delegation and may contain guidelines as to the determination of the option exercise price, or price of other awards and the vesting criteria. The Committee may revoke or amend the terms of a delegation at any time but such action shall not invalidate any prior actions of the Committee’s delegate that were consistent with the terms of the Plan.</w:t>
      </w:r>
    </w:p>
    <w:p>
      <w:pPr>
        <w:spacing w:after="0" w:line="110" w:lineRule="exact"/>
        <w:rPr>
          <w:sz w:val="20"/>
          <w:szCs w:val="20"/>
          <w:color w:val="auto"/>
        </w:rPr>
      </w:pPr>
    </w:p>
    <w:p>
      <w:pPr>
        <w:ind w:left="820" w:right="40" w:hanging="4"/>
        <w:spacing w:after="0" w:line="270" w:lineRule="auto"/>
        <w:tabs>
          <w:tab w:leader="none" w:pos="1082" w:val="left"/>
        </w:tabs>
        <w:numPr>
          <w:ilvl w:val="0"/>
          <w:numId w:val="13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SHARES AND UNITS SUBJECT TO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(a) Subject to adjustments as provided in Section 15, the total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Shares subject to Awards granted under the Plan, in the aggregate, may not exceed 39,890,000 (the “Fungible Pool Limit”). Each Share issued or to be issued in connection with Full-Value Awards that vest or are granted based on the achievement of the Performance Goals granted prior to June 15, 2010 but before June 13, 2013 shall be counted against the Fungible Pool Limit as 2.0 Fungible Pool Units. Each Share issued or to be issued in connection with any other Full-Value Awards granted prior to June 15, 2010 but before June 13, 2013 shall be counted against the Fungible Pool Limit as 3.0 Fungible Pool Units. Each Share issued or to be issued in connection with any Full-Value Awards granted on or after June 15, 2010 but before June 13, 2013 shall be counted against the Fungible Pool Limit as 1.65 Fungible Pool Units. Each Share issued or to be issued in connection with any Full-Value Awards granted on or after June 13, 2013 but before June 2, 2016 shall be counted against the Fungible Pool Limit as 2.76 Fungible Pool Units. Each Share issued or to be issued in connection with any Full-Value Awards granted on or after June 2, 2016 but before June 1, 2022 shall be counted against the Fungible Pool Limit as 3.74 Fungible Pool Units. Each Share issued or to be issued in connection with any Full-Value Awards granted on or after June 1, 2022 but before June 3, 2025 shall be counted against the Fungible Pool Limit as 2.59 Fungible Pool Units. Each Share issued or to be issued in connection with any Full-Value Awards granted on or after June 3, 2025 shall be counted against the Fungible Pool Limit as 3.2 Fungible Pool Units. Options, Stock Appreciation Rights and other Awards that do not deliver the full value at grant thereof of the underlying Shares and that expire 10 years from the date of grant shall be counted against the Fungible Pool Limit as 1 Fungible Pool Unit. Options, Stock Appreciation Rights and other Awards that do not deliver the full value at grant thereof of the underlying Shares and that expire five years from the date of grant (i) granted prior to June 15, 2010 shall be counted against the Fungible Pool Limit as 0.7 of a Fungible Pool Unit, (ii) granted on or after June 15, 2010 but before June 13, 2013 shall be counted against the Fungible Pool Limit as 0.79 of a Fungible Pool Unit, (iii) granted on or after June 13, 2013 but before June 2, 2016 shall be counted against the Fungible Pool Limit as 0.77 of a Fungible Pool Unit, (iv) granted on or after June 2, 2016 but before June 1, 2022 shall be counted against the Fungible Pool Limit as 0.73 of a Fungible Pool Unit, (v) granted on or after June 1, 2022 but before June 3, 2025 shall be counted against the Fungible Pool Limit as 0.84 of a Fungible Pool Unit and (vi) granted on or after June 3, 2025 shall be counted against the Fungible Pool Limit as 0.87 for a Fungible Pool Unit. (For these purposes, the number of Shares taken into account with respect to a Stock Appreciation Right shall be the number of Shares underlying the Stock Appreciation Rights at grant (i.e., not the final number of Shares delivered upon exercise of the Stock Appreciation Rights).) Shares that have been granted as Restricted Stock or that have been reserved for distribution in payment for Options, Phantom Shares or other equity-based Awards but are later forfeited or for any other reason are not payable under the Plan may again be made the subject of Awards under the Plan. Such Shares shall be added back to the Plan using the same ratio as in effect when such Awards were granted, except that the ratios for Awards forfeited after June 3, 2025 shall not be less than the ratios in effect for such Awards as of the date of forfeiture. The following Shares shall not be added to the Shares authorized for grant under the Plan: (i) Shares tendered or held back upon exercise of an Option or settlement or vesting of an Award to cover the exercise price or tax withholding, and (ii) shares subject to a Stock Appreciation Right that are not issued in connection with the stock settlement of the Stock Appreciation Right upon exercise thereof.</w:t>
      </w:r>
    </w:p>
    <w:p>
      <w:pPr>
        <w:spacing w:after="0" w:line="131" w:lineRule="exact"/>
        <w:rPr>
          <w:sz w:val="20"/>
          <w:szCs w:val="20"/>
          <w:color w:val="auto"/>
        </w:rPr>
      </w:pPr>
    </w:p>
    <w:p>
      <w:pPr>
        <w:ind w:left="820" w:right="40" w:hanging="4"/>
        <w:spacing w:after="0" w:line="305" w:lineRule="auto"/>
        <w:tabs>
          <w:tab w:leader="none" w:pos="1143" w:val="left"/>
        </w:tabs>
        <w:numPr>
          <w:ilvl w:val="0"/>
          <w:numId w:val="140"/>
        </w:numPr>
        <w:rPr>
          <w:rFonts w:ascii="Arial" w:cs="Arial" w:eastAsia="Arial" w:hAnsi="Arial"/>
          <w:sz w:val="15"/>
          <w:szCs w:val="15"/>
          <w:color w:val="auto"/>
        </w:rPr>
      </w:pPr>
      <w:r>
        <w:rPr>
          <w:rFonts w:ascii="Arial" w:cs="Arial" w:eastAsia="Arial" w:hAnsi="Arial"/>
          <w:sz w:val="15"/>
          <w:szCs w:val="15"/>
          <w:color w:val="auto"/>
        </w:rPr>
        <w:t>Shares subject to Dividend Equivalent Rights, other than Dividend Equivalent Rights based directly on the dividends payable with respect to Shares subject to Options or the dividends payable on a number of Shares corresponding to the number of Phantom Shares awarded, shall be subject to the limitation of Section 4(a). If any Phantom Shares, Dividend Equivalent Rights or other equity-based Awards under Section 9 are paid out in cash, then, notwithstanding the first sentence of Section 4(a) above (but subject to the second sentence thereof) the underlying Shares may again be made the subject of Awards under the Plan.</w:t>
      </w:r>
    </w:p>
    <w:p>
      <w:pPr>
        <w:spacing w:after="0" w:line="92" w:lineRule="exact"/>
        <w:rPr>
          <w:rFonts w:ascii="Arial" w:cs="Arial" w:eastAsia="Arial" w:hAnsi="Arial"/>
          <w:sz w:val="15"/>
          <w:szCs w:val="15"/>
          <w:color w:val="auto"/>
        </w:rPr>
      </w:pPr>
    </w:p>
    <w:p>
      <w:pPr>
        <w:ind w:left="820" w:right="120" w:hanging="4"/>
        <w:spacing w:after="0" w:line="284" w:lineRule="auto"/>
        <w:tabs>
          <w:tab w:leader="none" w:pos="1131"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certificates for Shares issued hereunder may include any legend which the Committee deems appropriate to reflect any rights of first refusal or other restrictions on transfer hereunder or under the Award Agreement, or as the Committee may otherwise deem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61595</wp:posOffset>
            </wp:positionV>
            <wp:extent cx="6831965" cy="425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bookmarkStart w:id="114" w:name="page115"/>
    <w:bookmarkEnd w:id="1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p>
      <w:pPr>
        <w:ind w:left="820"/>
        <w:spacing w:after="0"/>
        <w:tabs>
          <w:tab w:leader="none" w:pos="1440" w:val="left"/>
          <w:tab w:leader="none" w:pos="9860" w:val="left"/>
        </w:tabs>
        <w:rPr>
          <w:sz w:val="20"/>
          <w:szCs w:val="20"/>
          <w:color w:val="auto"/>
        </w:rPr>
      </w:pPr>
      <w:r>
        <w:rPr>
          <w:rFonts w:ascii="Arial" w:cs="Arial" w:eastAsia="Arial" w:hAnsi="Arial"/>
          <w:sz w:val="22"/>
          <w:szCs w:val="22"/>
          <w:b w:val="1"/>
          <w:bCs w:val="1"/>
          <w:color w:val="1F2668"/>
        </w:rPr>
        <w:t>​A-6</w:t>
        <w:tab/>
        <w:t xml:space="preserve">​ ​ </w:t>
      </w:r>
      <w:r>
        <w:rPr>
          <w:rFonts w:ascii="Arial" w:cs="Arial" w:eastAsia="Arial" w:hAnsi="Arial"/>
          <w:sz w:val="14"/>
          <w:szCs w:val="14"/>
          <w:b w:val="1"/>
          <w:bCs w:val="1"/>
          <w:color w:val="1F2668"/>
        </w:rPr>
        <w:t>SL GREEN REALTY CORP. 2025 PROXY STATEMENT</w:t>
      </w:r>
      <w:r>
        <w:rPr>
          <w:sz w:val="20"/>
          <w:szCs w:val="20"/>
          <w:color w:val="auto"/>
        </w:rPr>
        <w:tab/>
      </w:r>
      <w:r>
        <w:rPr>
          <w:rFonts w:ascii="Arial" w:cs="Arial" w:eastAsia="Arial" w:hAnsi="Arial"/>
          <w:sz w:val="22"/>
          <w:szCs w:val="22"/>
          <w:b w:val="1"/>
          <w:bCs w:val="1"/>
          <w:color w:val="1F2668"/>
        </w:rPr>
        <w:t>​</w:t>
      </w:r>
    </w:p>
    <w:p>
      <w:pPr>
        <w:spacing w:after="0" w:line="200" w:lineRule="exact"/>
        <w:rPr>
          <w:sz w:val="20"/>
          <w:szCs w:val="20"/>
          <w:color w:val="auto"/>
        </w:rPr>
      </w:pPr>
    </w:p>
    <w:p>
      <w:pPr>
        <w:spacing w:after="0" w:line="290" w:lineRule="exact"/>
        <w:rPr>
          <w:sz w:val="20"/>
          <w:szCs w:val="20"/>
          <w:color w:val="auto"/>
        </w:rPr>
      </w:pPr>
    </w:p>
    <w:p>
      <w:pPr>
        <w:ind w:left="820" w:right="100" w:hanging="4"/>
        <w:spacing w:after="0" w:line="277" w:lineRule="auto"/>
        <w:tabs>
          <w:tab w:leader="none" w:pos="1143" w:val="left"/>
        </w:tabs>
        <w:numPr>
          <w:ilvl w:val="0"/>
          <w:numId w:val="141"/>
        </w:numPr>
        <w:rPr>
          <w:rFonts w:ascii="Arial" w:cs="Arial" w:eastAsia="Arial" w:hAnsi="Arial"/>
          <w:sz w:val="16"/>
          <w:szCs w:val="16"/>
          <w:color w:val="auto"/>
        </w:rPr>
      </w:pPr>
      <w:r>
        <w:rPr>
          <w:rFonts w:ascii="Arial" w:cs="Arial" w:eastAsia="Arial" w:hAnsi="Arial"/>
          <w:sz w:val="16"/>
          <w:szCs w:val="16"/>
          <w:color w:val="auto"/>
        </w:rPr>
        <w:t>No award may be granted under the Plan to any person who, assuming exercise of all options and payment of all awards held by such person, would own or be deemed to own more than 9.8% of the outstanding shares of Common Stock. Subject to adjustments as provided in Section 15, no Eligible Person shall be granted Awards in any one year covering more than 700,000 Shares (with each Share subject to an Award being counted as one Share, notwithstanding the type of Award or the fact that it may count as more or less than one Fungible Pool Unit for purposes of Section 4(a)), it being expressly contemplated that Awards in exclusively one category (e.g., Options) can (but need not) be used in the discretion of the Committee to reach the limitation set forth in this sentence; provided that this limit shall only apply to Awards that are intended to qualify as “performance-based compensation” under Section 162(m) of the Code and the regulations promulgated thereunder.</w:t>
      </w:r>
    </w:p>
    <w:p>
      <w:pPr>
        <w:spacing w:after="0" w:line="110" w:lineRule="exact"/>
        <w:rPr>
          <w:rFonts w:ascii="Arial" w:cs="Arial" w:eastAsia="Arial" w:hAnsi="Arial"/>
          <w:sz w:val="16"/>
          <w:szCs w:val="16"/>
          <w:color w:val="auto"/>
        </w:rPr>
      </w:pPr>
    </w:p>
    <w:p>
      <w:pPr>
        <w:ind w:left="820" w:right="80" w:hanging="4"/>
        <w:spacing w:after="0" w:line="278" w:lineRule="auto"/>
        <w:tabs>
          <w:tab w:leader="none" w:pos="1143" w:val="left"/>
        </w:tabs>
        <w:numPr>
          <w:ilvl w:val="0"/>
          <w:numId w:val="141"/>
        </w:numPr>
        <w:rPr>
          <w:rFonts w:ascii="Arial" w:cs="Arial" w:eastAsia="Arial" w:hAnsi="Arial"/>
          <w:sz w:val="16"/>
          <w:szCs w:val="16"/>
          <w:color w:val="auto"/>
        </w:rPr>
      </w:pPr>
      <w:r>
        <w:rPr>
          <w:rFonts w:ascii="Arial" w:cs="Arial" w:eastAsia="Arial" w:hAnsi="Arial"/>
          <w:sz w:val="16"/>
          <w:szCs w:val="16"/>
          <w:color w:val="auto"/>
        </w:rPr>
        <w:t>Notwithstanding anything to the contrary in this Plan, the value of all Awards awarded under this Plan and all other cash compensation paid by the Company as regular compensation to any Director other than the Chairman or the Lead Director in any calendar year shall not exceed $500,000. For the purpose of this limitation, the value of any Award shall be its grant date fair value, as determined in accordance with FASB ASC 718 (or any successor provision) but excluding the impact of estimated forfeitures related to service-based vesting provisions.</w:t>
      </w:r>
    </w:p>
    <w:p>
      <w:pPr>
        <w:spacing w:after="0" w:line="122" w:lineRule="exact"/>
        <w:rPr>
          <w:sz w:val="20"/>
          <w:szCs w:val="20"/>
          <w:color w:val="auto"/>
        </w:rPr>
      </w:pPr>
    </w:p>
    <w:p>
      <w:pPr>
        <w:ind w:left="820" w:right="5140" w:hanging="4"/>
        <w:spacing w:after="0" w:line="457" w:lineRule="auto"/>
        <w:tabs>
          <w:tab w:leader="none" w:pos="1082" w:val="left"/>
        </w:tabs>
        <w:numPr>
          <w:ilvl w:val="0"/>
          <w:numId w:val="14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PROVISIONS APPLICABLE TO STOCK OPTIONS. </w:t>
      </w:r>
      <w:r>
        <w:rPr>
          <w:rFonts w:ascii="Arial" w:cs="Arial" w:eastAsia="Arial" w:hAnsi="Arial"/>
          <w:sz w:val="16"/>
          <w:szCs w:val="16"/>
          <w:b w:val="1"/>
          <w:bCs w:val="1"/>
          <w:color w:val="auto"/>
        </w:rPr>
        <w:t xml:space="preserve">5.1 </w:t>
      </w:r>
      <w:r>
        <w:rPr>
          <w:rFonts w:ascii="Arial" w:cs="Arial" w:eastAsia="Arial" w:hAnsi="Arial"/>
          <w:sz w:val="16"/>
          <w:szCs w:val="16"/>
          <w:b w:val="1"/>
          <w:bCs w:val="1"/>
          <w:u w:val="single" w:color="auto"/>
          <w:color w:val="auto"/>
        </w:rPr>
        <w:t>Grant of Option.</w:t>
      </w:r>
    </w:p>
    <w:p>
      <w:pPr>
        <w:spacing w:after="0" w:line="1" w:lineRule="exact"/>
        <w:rPr>
          <w:sz w:val="20"/>
          <w:szCs w:val="20"/>
          <w:color w:val="auto"/>
        </w:rPr>
      </w:pPr>
    </w:p>
    <w:p>
      <w:pPr>
        <w:jc w:val="both"/>
        <w:ind w:left="820" w:right="120"/>
        <w:spacing w:after="0" w:line="293" w:lineRule="auto"/>
        <w:rPr>
          <w:sz w:val="20"/>
          <w:szCs w:val="20"/>
          <w:color w:val="auto"/>
        </w:rPr>
      </w:pPr>
      <w:r>
        <w:rPr>
          <w:rFonts w:ascii="Arial" w:cs="Arial" w:eastAsia="Arial" w:hAnsi="Arial"/>
          <w:sz w:val="15"/>
          <w:szCs w:val="15"/>
          <w:color w:val="auto"/>
        </w:rPr>
        <w:t>Subject to the other terms of the Plan, the Committee (or, as expressly permitted by Section 3, the Chief Executive Officer) shall, in its discretion as reflected by the terms of the applicable Award Agreement: (i) determine and designate from time to time those Eligible Persons to whom Options are to be granted and the number of Shares to be optioned to each Eligible Person;</w:t>
      </w:r>
    </w:p>
    <w:p>
      <w:pPr>
        <w:spacing w:after="0" w:line="1" w:lineRule="exact"/>
        <w:rPr>
          <w:sz w:val="20"/>
          <w:szCs w:val="20"/>
          <w:color w:val="auto"/>
        </w:rPr>
      </w:pPr>
    </w:p>
    <w:p>
      <w:pPr>
        <w:ind w:left="820" w:right="160" w:hanging="4"/>
        <w:spacing w:after="0" w:line="276" w:lineRule="auto"/>
        <w:tabs>
          <w:tab w:leader="none" w:pos="1037" w:val="left"/>
        </w:tabs>
        <w:numPr>
          <w:ilvl w:val="0"/>
          <w:numId w:val="143"/>
        </w:numPr>
        <w:rPr>
          <w:rFonts w:ascii="Arial" w:cs="Arial" w:eastAsia="Arial" w:hAnsi="Arial"/>
          <w:sz w:val="16"/>
          <w:szCs w:val="16"/>
          <w:color w:val="auto"/>
        </w:rPr>
      </w:pPr>
      <w:r>
        <w:rPr>
          <w:rFonts w:ascii="Arial" w:cs="Arial" w:eastAsia="Arial" w:hAnsi="Arial"/>
          <w:sz w:val="16"/>
          <w:szCs w:val="16"/>
          <w:color w:val="auto"/>
        </w:rPr>
        <w:t>determine whether to grant Incentive Stock Options or to grant Non-Qualified Stock Options, or both (to the extent that any Option does not qualify as an Incentive Stock Option, it shall constitute a separate Non-Qualified Stock Option); provided that Incentive Stock Options may only be granted to employees; (iii) determine the time or times when and the manner and condition in which each Option shall be exercisable and the duration of the exercise period; (iv) designate each Option as one intended to be an Incentive Stock Option or as a Non-Qualified Stock Option; and (v) determine or impose other conditions to the grant or exercise of Options under the Plan as it may deem appropriate.</w:t>
      </w:r>
    </w:p>
    <w:p>
      <w:pPr>
        <w:spacing w:after="0" w:line="122"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 xml:space="preserve">5.2  </w:t>
      </w:r>
      <w:r>
        <w:rPr>
          <w:rFonts w:ascii="Arial" w:cs="Arial" w:eastAsia="Arial" w:hAnsi="Arial"/>
          <w:sz w:val="16"/>
          <w:szCs w:val="16"/>
          <w:b w:val="1"/>
          <w:bCs w:val="1"/>
          <w:u w:val="single" w:color="auto"/>
          <w:color w:val="auto"/>
        </w:rPr>
        <w:t>Option Price.</w:t>
      </w:r>
    </w:p>
    <w:p>
      <w:pPr>
        <w:spacing w:after="0" w:line="154" w:lineRule="exact"/>
        <w:rPr>
          <w:sz w:val="20"/>
          <w:szCs w:val="20"/>
          <w:color w:val="auto"/>
        </w:rPr>
      </w:pPr>
    </w:p>
    <w:p>
      <w:pPr>
        <w:ind w:left="820" w:right="120"/>
        <w:spacing w:after="0" w:line="283" w:lineRule="auto"/>
        <w:rPr>
          <w:sz w:val="20"/>
          <w:szCs w:val="20"/>
          <w:color w:val="auto"/>
        </w:rPr>
      </w:pPr>
      <w:r>
        <w:rPr>
          <w:rFonts w:ascii="Arial" w:cs="Arial" w:eastAsia="Arial" w:hAnsi="Arial"/>
          <w:sz w:val="16"/>
          <w:szCs w:val="16"/>
          <w:color w:val="auto"/>
        </w:rPr>
        <w:t>The Option Price shall be determined by the Committee on the date the Option is granted and reflected in the Award Agreement, as the same may be amended from time to time. The Option Price shall not be less than 100% of the Fair Market Value of a Share on the day the Option is granted. Any particular Award Agreement may provide for different exercise prices for specified amounts of Shares subject to the Option.</w:t>
      </w:r>
    </w:p>
    <w:p>
      <w:pPr>
        <w:spacing w:after="0" w:line="11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 xml:space="preserve">5.3  </w:t>
      </w:r>
      <w:r>
        <w:rPr>
          <w:rFonts w:ascii="Arial" w:cs="Arial" w:eastAsia="Arial" w:hAnsi="Arial"/>
          <w:sz w:val="16"/>
          <w:szCs w:val="16"/>
          <w:b w:val="1"/>
          <w:bCs w:val="1"/>
          <w:u w:val="single" w:color="auto"/>
          <w:color w:val="auto"/>
        </w:rPr>
        <w:t>Period of Option and Vesting.</w:t>
      </w:r>
    </w:p>
    <w:p>
      <w:pPr>
        <w:spacing w:after="0" w:line="167" w:lineRule="exact"/>
        <w:rPr>
          <w:sz w:val="20"/>
          <w:szCs w:val="20"/>
          <w:color w:val="auto"/>
        </w:rPr>
      </w:pPr>
    </w:p>
    <w:p>
      <w:pPr>
        <w:ind w:left="820" w:right="140" w:hanging="4"/>
        <w:spacing w:after="0" w:line="279" w:lineRule="auto"/>
        <w:tabs>
          <w:tab w:leader="none" w:pos="1143" w:val="left"/>
        </w:tabs>
        <w:numPr>
          <w:ilvl w:val="0"/>
          <w:numId w:val="144"/>
        </w:numPr>
        <w:rPr>
          <w:rFonts w:ascii="Arial" w:cs="Arial" w:eastAsia="Arial" w:hAnsi="Arial"/>
          <w:sz w:val="16"/>
          <w:szCs w:val="16"/>
          <w:color w:val="auto"/>
        </w:rPr>
      </w:pPr>
      <w:r>
        <w:rPr>
          <w:rFonts w:ascii="Arial" w:cs="Arial" w:eastAsia="Arial" w:hAnsi="Arial"/>
          <w:sz w:val="16"/>
          <w:szCs w:val="16"/>
          <w:color w:val="auto"/>
        </w:rPr>
        <w:t>Unless earlier expired, forfeited or otherwise terminated, each Option shall expire in its entirety upon the 10th anniversary of the date of grant or shall have such other term (which may be shorter, but not longer) as is set forth in the applicable Award Agreement (except that, in the case of an individual described in Section 422(b)(6) of the Code (relating to certain 10% owners) who is granted an Incentive Stock Option, the term of such Option shall be no more than five years from the date of grant). The Option shall also expire, be forfeited and terminate at such times and in such circumstances as otherwise provided hereunder or under the Award Agreement.</w:t>
      </w:r>
    </w:p>
    <w:p>
      <w:pPr>
        <w:spacing w:after="0" w:line="107" w:lineRule="exact"/>
        <w:rPr>
          <w:rFonts w:ascii="Arial" w:cs="Arial" w:eastAsia="Arial" w:hAnsi="Arial"/>
          <w:sz w:val="16"/>
          <w:szCs w:val="16"/>
          <w:color w:val="auto"/>
        </w:rPr>
      </w:pPr>
    </w:p>
    <w:p>
      <w:pPr>
        <w:ind w:left="820" w:right="60" w:hanging="4"/>
        <w:spacing w:after="0" w:line="274" w:lineRule="auto"/>
        <w:tabs>
          <w:tab w:leader="none" w:pos="1143" w:val="left"/>
        </w:tabs>
        <w:numPr>
          <w:ilvl w:val="0"/>
          <w:numId w:val="144"/>
        </w:numPr>
        <w:rPr>
          <w:rFonts w:ascii="Arial" w:cs="Arial" w:eastAsia="Arial" w:hAnsi="Arial"/>
          <w:sz w:val="16"/>
          <w:szCs w:val="16"/>
          <w:color w:val="auto"/>
        </w:rPr>
      </w:pPr>
      <w:r>
        <w:rPr>
          <w:rFonts w:ascii="Arial" w:cs="Arial" w:eastAsia="Arial" w:hAnsi="Arial"/>
          <w:sz w:val="16"/>
          <w:szCs w:val="16"/>
          <w:color w:val="auto"/>
        </w:rPr>
        <w:t>Each Option, to the extent that the Optionee has not had a Termination of Service and the Option has not otherwise lapsed, expired, terminated or been forfeited, shall first become exercisable according to the terms and conditions set forth in the Award Agreement, as determined by the Committee at the time of grant. Unless otherwise provided in the Award Agreement, no Option (or portion thereof) shall ever be exercisable if the Optionee has a Termination of Service before the time at which such Option (or portion thereof) would otherwise have become exercisable, and any Option that would otherwise become exercisable after such Termination of Service shall not become exercisable and shall be forfeited upon such termination. Upon and after the death of an Optionee, such Optionee’s Options, if and to the extent otherwise exercisable hereunder or under the applicable Award Agreement after the Optionee’s death, may be exercised by the Successors of the Optionee.</w:t>
      </w:r>
    </w:p>
    <w:p>
      <w:pPr>
        <w:spacing w:after="0" w:line="129"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 xml:space="preserve">5.4  </w:t>
      </w:r>
      <w:r>
        <w:rPr>
          <w:rFonts w:ascii="Arial" w:cs="Arial" w:eastAsia="Arial" w:hAnsi="Arial"/>
          <w:sz w:val="16"/>
          <w:szCs w:val="16"/>
          <w:b w:val="1"/>
          <w:bCs w:val="1"/>
          <w:u w:val="single" w:color="auto"/>
          <w:color w:val="auto"/>
        </w:rPr>
        <w:t>Exercisability Upon and After Termination of Optionee.</w:t>
      </w:r>
    </w:p>
    <w:p>
      <w:pPr>
        <w:spacing w:after="0" w:line="167" w:lineRule="exact"/>
        <w:rPr>
          <w:sz w:val="20"/>
          <w:szCs w:val="20"/>
          <w:color w:val="auto"/>
        </w:rPr>
      </w:pPr>
    </w:p>
    <w:p>
      <w:pPr>
        <w:ind w:left="820" w:right="160" w:hanging="4"/>
        <w:spacing w:after="0" w:line="283" w:lineRule="auto"/>
        <w:tabs>
          <w:tab w:leader="none" w:pos="1143" w:val="left"/>
        </w:tabs>
        <w:numPr>
          <w:ilvl w:val="0"/>
          <w:numId w:val="145"/>
        </w:numPr>
        <w:rPr>
          <w:rFonts w:ascii="Arial" w:cs="Arial" w:eastAsia="Arial" w:hAnsi="Arial"/>
          <w:sz w:val="16"/>
          <w:szCs w:val="16"/>
          <w:color w:val="auto"/>
        </w:rPr>
      </w:pPr>
      <w:r>
        <w:rPr>
          <w:rFonts w:ascii="Arial" w:cs="Arial" w:eastAsia="Arial" w:hAnsi="Arial"/>
          <w:sz w:val="16"/>
          <w:szCs w:val="16"/>
          <w:color w:val="auto"/>
        </w:rPr>
        <w:t>Subject to provisions of the Award Agreement, in the event the Optionee has a Termination of Service other than by the Company or its Subsidiaries for Cause, or other than by reason of death or Disability, no exercise of an Option may occur after the expiration of the three-month period to follow the termination, or if earlier, the expiration of the term of the Option as provided under Section 5.3(a); provided that, if the Optionee should die after the Termination of Service, such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53975</wp:posOffset>
            </wp:positionV>
            <wp:extent cx="6831965" cy="425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115" w:name="page116"/>
    <w:bookmarkEnd w:id="1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4540" w:type="dxa"/>
            <w:vAlign w:val="bottom"/>
          </w:tcPr>
          <w:p>
            <w:pPr>
              <w:spacing w:after="0"/>
              <w:rPr>
                <w:sz w:val="20"/>
                <w:szCs w:val="20"/>
                <w:color w:val="auto"/>
              </w:rPr>
            </w:pPr>
            <w:r>
              <w:rPr>
                <w:rFonts w:ascii="Arial" w:cs="Arial" w:eastAsia="Arial" w:hAnsi="Arial"/>
                <w:sz w:val="14"/>
                <w:szCs w:val="14"/>
                <w:b w:val="1"/>
                <w:bCs w:val="1"/>
                <w:color w:val="auto"/>
              </w:rPr>
              <w:t>​</w:t>
            </w:r>
          </w:p>
        </w:tc>
        <w:tc>
          <w:tcPr>
            <w:tcW w:w="4000" w:type="dxa"/>
            <w:vAlign w:val="bottom"/>
          </w:tcPr>
          <w:p>
            <w:pPr>
              <w:ind w:left="3660"/>
              <w:spacing w:after="0"/>
              <w:rPr>
                <w:sz w:val="20"/>
                <w:szCs w:val="20"/>
                <w:color w:val="auto"/>
              </w:rPr>
            </w:pPr>
            <w:r>
              <w:rPr>
                <w:rFonts w:ascii="Arial" w:cs="Arial" w:eastAsia="Arial" w:hAnsi="Arial"/>
                <w:sz w:val="14"/>
                <w:szCs w:val="14"/>
                <w:b w:val="1"/>
                <w:bCs w:val="1"/>
                <w:color w:val="auto"/>
              </w:rPr>
              <w:t>​ ​</w:t>
            </w:r>
          </w:p>
        </w:tc>
        <w:tc>
          <w:tcPr>
            <w:tcW w:w="520" w:type="dxa"/>
            <w:vAlign w:val="bottom"/>
            <w:vMerge w:val="restart"/>
          </w:tcPr>
          <w:p>
            <w:pPr>
              <w:ind w:left="180"/>
              <w:spacing w:after="0"/>
              <w:rPr>
                <w:sz w:val="20"/>
                <w:szCs w:val="20"/>
                <w:color w:val="auto"/>
              </w:rPr>
            </w:pPr>
            <w:r>
              <w:rPr>
                <w:rFonts w:ascii="Arial" w:cs="Arial" w:eastAsia="Arial" w:hAnsi="Arial"/>
                <w:sz w:val="22"/>
                <w:szCs w:val="22"/>
                <w:b w:val="1"/>
                <w:bCs w:val="1"/>
                <w:color w:val="1F2668"/>
                <w:w w:val="90"/>
              </w:rPr>
              <w:t>A-7</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4540" w:type="dxa"/>
            <w:vAlign w:val="bottom"/>
          </w:tcPr>
          <w:p>
            <w:pPr>
              <w:spacing w:after="0"/>
              <w:rPr>
                <w:sz w:val="20"/>
                <w:szCs w:val="20"/>
                <w:color w:val="auto"/>
              </w:rPr>
            </w:pPr>
            <w:r>
              <w:rPr>
                <w:rFonts w:ascii="Arial" w:cs="Arial" w:eastAsia="Arial" w:hAnsi="Arial"/>
                <w:sz w:val="14"/>
                <w:szCs w:val="14"/>
                <w:b w:val="1"/>
                <w:bCs w:val="1"/>
                <w:color w:val="auto"/>
              </w:rPr>
              <w:t>APPENDIX A</w:t>
            </w:r>
          </w:p>
        </w:tc>
        <w:tc>
          <w:tcPr>
            <w:tcW w:w="400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820" w:right="120"/>
        <w:spacing w:after="0" w:line="320" w:lineRule="auto"/>
        <w:rPr>
          <w:sz w:val="20"/>
          <w:szCs w:val="20"/>
          <w:color w:val="auto"/>
        </w:rPr>
      </w:pPr>
      <w:r>
        <w:rPr>
          <w:rFonts w:ascii="Arial" w:cs="Arial" w:eastAsia="Arial" w:hAnsi="Arial"/>
          <w:sz w:val="15"/>
          <w:szCs w:val="15"/>
          <w:color w:val="auto"/>
        </w:rPr>
        <w:t>being for a reason other than Cause or Disability, but while the Option is still in effect, the Option (if and to the extent otherwise exercisable by the Optionee at the time of death) may be exercised until the earlier of (i) one year from the date of the Termination of Service of the Optionee, or (ii) the date on which the term of the Option expires in accordance with Section 5.3(a).</w:t>
      </w:r>
    </w:p>
    <w:p>
      <w:pPr>
        <w:spacing w:after="0" w:line="80" w:lineRule="exact"/>
        <w:rPr>
          <w:sz w:val="20"/>
          <w:szCs w:val="20"/>
          <w:color w:val="auto"/>
        </w:rPr>
      </w:pPr>
    </w:p>
    <w:p>
      <w:pPr>
        <w:ind w:left="820" w:right="40" w:hanging="4"/>
        <w:spacing w:after="0" w:line="320" w:lineRule="auto"/>
        <w:tabs>
          <w:tab w:leader="none" w:pos="1143" w:val="left"/>
        </w:tabs>
        <w:numPr>
          <w:ilvl w:val="0"/>
          <w:numId w:val="146"/>
        </w:numPr>
        <w:rPr>
          <w:rFonts w:ascii="Arial" w:cs="Arial" w:eastAsia="Arial" w:hAnsi="Arial"/>
          <w:sz w:val="15"/>
          <w:szCs w:val="15"/>
          <w:color w:val="auto"/>
        </w:rPr>
      </w:pPr>
      <w:r>
        <w:rPr>
          <w:rFonts w:ascii="Arial" w:cs="Arial" w:eastAsia="Arial" w:hAnsi="Arial"/>
          <w:sz w:val="15"/>
          <w:szCs w:val="15"/>
          <w:color w:val="auto"/>
        </w:rPr>
        <w:t>Subject to provisions of the Award Agreement, in the event the Optionee has a Termination of Service on account of death or Disability, the Option (whether or not otherwise exercisable) may be exercised until the earlier of (i) one year from the date of the Termination of Service of the Optionee, or (ii) the date on which the term of the Option expires in accordance with Section 5.3.</w:t>
      </w:r>
    </w:p>
    <w:p>
      <w:pPr>
        <w:spacing w:after="0" w:line="79" w:lineRule="exact"/>
        <w:rPr>
          <w:rFonts w:ascii="Arial" w:cs="Arial" w:eastAsia="Arial" w:hAnsi="Arial"/>
          <w:sz w:val="15"/>
          <w:szCs w:val="15"/>
          <w:color w:val="auto"/>
        </w:rPr>
      </w:pPr>
    </w:p>
    <w:p>
      <w:pPr>
        <w:ind w:left="820" w:right="60" w:hanging="4"/>
        <w:spacing w:after="0" w:line="284" w:lineRule="auto"/>
        <w:tabs>
          <w:tab w:leader="none" w:pos="1134" w:val="left"/>
        </w:tabs>
        <w:numPr>
          <w:ilvl w:val="0"/>
          <w:numId w:val="146"/>
        </w:numPr>
        <w:rPr>
          <w:rFonts w:ascii="Arial" w:cs="Arial" w:eastAsia="Arial" w:hAnsi="Arial"/>
          <w:sz w:val="16"/>
          <w:szCs w:val="16"/>
          <w:color w:val="auto"/>
        </w:rPr>
      </w:pPr>
      <w:r>
        <w:rPr>
          <w:rFonts w:ascii="Arial" w:cs="Arial" w:eastAsia="Arial" w:hAnsi="Arial"/>
          <w:sz w:val="16"/>
          <w:szCs w:val="16"/>
          <w:color w:val="auto"/>
        </w:rPr>
        <w:t>Notwithstanding any other provision hereof, unless otherwise provided in the Award Agreement, if the Optionee has a Termination of Service by the Company for Cause, the Optionee’s Options, to the extent then unexercised, shall thereupon cease to be exercisable and shall be forfeited forthwith.</w:t>
      </w:r>
    </w:p>
    <w:p>
      <w:pPr>
        <w:spacing w:after="0" w:line="116"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 xml:space="preserve">5.5  </w:t>
      </w:r>
      <w:r>
        <w:rPr>
          <w:rFonts w:ascii="Arial" w:cs="Arial" w:eastAsia="Arial" w:hAnsi="Arial"/>
          <w:sz w:val="16"/>
          <w:szCs w:val="16"/>
          <w:b w:val="1"/>
          <w:bCs w:val="1"/>
          <w:u w:val="single" w:color="auto"/>
          <w:color w:val="auto"/>
        </w:rPr>
        <w:t>Exercise of Options.</w:t>
      </w:r>
    </w:p>
    <w:p>
      <w:pPr>
        <w:spacing w:after="0" w:line="167" w:lineRule="exact"/>
        <w:rPr>
          <w:sz w:val="20"/>
          <w:szCs w:val="20"/>
          <w:color w:val="auto"/>
        </w:rPr>
      </w:pPr>
    </w:p>
    <w:p>
      <w:pPr>
        <w:ind w:left="820" w:right="100" w:hanging="4"/>
        <w:spacing w:after="0" w:line="320" w:lineRule="auto"/>
        <w:tabs>
          <w:tab w:leader="none" w:pos="1143" w:val="left"/>
        </w:tabs>
        <w:numPr>
          <w:ilvl w:val="0"/>
          <w:numId w:val="147"/>
        </w:numPr>
        <w:rPr>
          <w:rFonts w:ascii="Arial" w:cs="Arial" w:eastAsia="Arial" w:hAnsi="Arial"/>
          <w:sz w:val="15"/>
          <w:szCs w:val="15"/>
          <w:color w:val="auto"/>
        </w:rPr>
      </w:pPr>
      <w:r>
        <w:rPr>
          <w:rFonts w:ascii="Arial" w:cs="Arial" w:eastAsia="Arial" w:hAnsi="Arial"/>
          <w:sz w:val="15"/>
          <w:szCs w:val="15"/>
          <w:color w:val="auto"/>
        </w:rPr>
        <w:t>Subject to vesting, restrictions on exercisability and other restrictions provided for hereunder or otherwise imposed in accordance herewith, an Option may be exercised, and payment in full of the aggregate Option Price made, by an Optionee only by written notice (in the form prescribed by the Committee) to the Company specifying the number of Shares to be purchased.</w:t>
      </w:r>
    </w:p>
    <w:p>
      <w:pPr>
        <w:spacing w:after="0" w:line="79" w:lineRule="exact"/>
        <w:rPr>
          <w:rFonts w:ascii="Arial" w:cs="Arial" w:eastAsia="Arial" w:hAnsi="Arial"/>
          <w:sz w:val="15"/>
          <w:szCs w:val="15"/>
          <w:color w:val="auto"/>
        </w:rPr>
      </w:pPr>
    </w:p>
    <w:p>
      <w:pPr>
        <w:ind w:left="820" w:right="40" w:hanging="4"/>
        <w:spacing w:after="0" w:line="284" w:lineRule="auto"/>
        <w:tabs>
          <w:tab w:leader="none" w:pos="1143" w:val="left"/>
        </w:tabs>
        <w:numPr>
          <w:ilvl w:val="0"/>
          <w:numId w:val="147"/>
        </w:numPr>
        <w:rPr>
          <w:rFonts w:ascii="Arial" w:cs="Arial" w:eastAsia="Arial" w:hAnsi="Arial"/>
          <w:sz w:val="16"/>
          <w:szCs w:val="16"/>
          <w:color w:val="auto"/>
        </w:rPr>
      </w:pPr>
      <w:r>
        <w:rPr>
          <w:rFonts w:ascii="Arial" w:cs="Arial" w:eastAsia="Arial" w:hAnsi="Arial"/>
          <w:sz w:val="16"/>
          <w:szCs w:val="16"/>
          <w:color w:val="auto"/>
        </w:rPr>
        <w:t>Without limiting the scope of the Committee’s discretion hereunder, the Committee may impose such other restrictions on the exercise of Incentive Stock Options (whether or not in the nature of the foregoing restrictions) as it may deem necessary or appropriate.</w:t>
      </w:r>
    </w:p>
    <w:p>
      <w:pPr>
        <w:spacing w:after="0" w:line="116"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 xml:space="preserve">5.6  </w:t>
      </w:r>
      <w:r>
        <w:rPr>
          <w:rFonts w:ascii="Arial" w:cs="Arial" w:eastAsia="Arial" w:hAnsi="Arial"/>
          <w:sz w:val="16"/>
          <w:szCs w:val="16"/>
          <w:b w:val="1"/>
          <w:bCs w:val="1"/>
          <w:u w:val="single" w:color="auto"/>
          <w:color w:val="auto"/>
        </w:rPr>
        <w:t>Payment.</w:t>
      </w:r>
    </w:p>
    <w:p>
      <w:pPr>
        <w:spacing w:after="0" w:line="167" w:lineRule="exact"/>
        <w:rPr>
          <w:sz w:val="20"/>
          <w:szCs w:val="20"/>
          <w:color w:val="auto"/>
        </w:rPr>
      </w:pPr>
    </w:p>
    <w:p>
      <w:pPr>
        <w:ind w:left="820" w:right="520" w:hanging="4"/>
        <w:spacing w:after="0" w:line="304" w:lineRule="auto"/>
        <w:tabs>
          <w:tab w:leader="none" w:pos="114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aggregate Option Price shall be paid in full upon the exercise of the Option. Payment must be made by one of the following methods:</w:t>
      </w:r>
    </w:p>
    <w:p>
      <w:pPr>
        <w:spacing w:after="0" w:line="101" w:lineRule="exact"/>
        <w:rPr>
          <w:sz w:val="20"/>
          <w:szCs w:val="20"/>
          <w:color w:val="auto"/>
        </w:rPr>
      </w:pPr>
    </w:p>
    <w:p>
      <w:pPr>
        <w:ind w:left="1180" w:hanging="364"/>
        <w:spacing w:after="0"/>
        <w:tabs>
          <w:tab w:leader="none" w:pos="118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a certified or bank cashier’s check or wire transfer;</w:t>
      </w:r>
    </w:p>
    <w:p>
      <w:pPr>
        <w:spacing w:after="0" w:line="167" w:lineRule="exact"/>
        <w:rPr>
          <w:rFonts w:ascii="Arial" w:cs="Arial" w:eastAsia="Arial" w:hAnsi="Arial"/>
          <w:sz w:val="16"/>
          <w:szCs w:val="16"/>
          <w:color w:val="auto"/>
        </w:rPr>
      </w:pPr>
    </w:p>
    <w:p>
      <w:pPr>
        <w:ind w:left="1180" w:right="40" w:hanging="364"/>
        <w:spacing w:after="0" w:line="301" w:lineRule="auto"/>
        <w:tabs>
          <w:tab w:leader="none" w:pos="118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subject to Section 13(e), the proceeds of a Company loan program or third-party sale program or a notice acceptable to the Committee given as consideration under such a program, in each case if permitted by the Committee in its discretion, if such a program has been established and the Optionee is eligible to participate therein;</w:t>
      </w:r>
    </w:p>
    <w:p>
      <w:pPr>
        <w:spacing w:after="0" w:line="90" w:lineRule="exact"/>
        <w:rPr>
          <w:rFonts w:ascii="Arial" w:cs="Arial" w:eastAsia="Arial" w:hAnsi="Arial"/>
          <w:sz w:val="16"/>
          <w:szCs w:val="16"/>
          <w:color w:val="auto"/>
        </w:rPr>
      </w:pPr>
    </w:p>
    <w:p>
      <w:pPr>
        <w:ind w:left="1180" w:right="40" w:hanging="364"/>
        <w:spacing w:after="0" w:line="295" w:lineRule="auto"/>
        <w:tabs>
          <w:tab w:leader="none" w:pos="118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if approved by the Committee in its discretion, Shares of previously owned Common Stock, which have been previously owned for more than six months, having an aggregate Fair Market Value on the date of exercise equal to the aggregate Option Price; or (iv) by any combination of such methods of payment or any other method acceptable to the Committee in its discretion.</w:t>
      </w:r>
    </w:p>
    <w:p>
      <w:pPr>
        <w:spacing w:after="0" w:line="94" w:lineRule="exact"/>
        <w:rPr>
          <w:sz w:val="20"/>
          <w:szCs w:val="20"/>
          <w:color w:val="auto"/>
        </w:rPr>
      </w:pPr>
    </w:p>
    <w:p>
      <w:pPr>
        <w:ind w:left="1140" w:hanging="324"/>
        <w:spacing w:after="0"/>
        <w:tabs>
          <w:tab w:leader="none" w:pos="114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Except in the case of Options exercised by certified or bank cashier’s check, the Committee may impose limitations and</w:t>
      </w:r>
    </w:p>
    <w:p>
      <w:pPr>
        <w:spacing w:after="0" w:line="30" w:lineRule="exact"/>
        <w:rPr>
          <w:rFonts w:ascii="Arial" w:cs="Arial" w:eastAsia="Arial" w:hAnsi="Arial"/>
          <w:sz w:val="16"/>
          <w:szCs w:val="16"/>
          <w:color w:val="auto"/>
        </w:rPr>
      </w:pPr>
    </w:p>
    <w:p>
      <w:pPr>
        <w:ind w:left="820" w:right="80"/>
        <w:spacing w:after="0" w:line="342" w:lineRule="auto"/>
        <w:rPr>
          <w:rFonts w:ascii="Arial" w:cs="Arial" w:eastAsia="Arial" w:hAnsi="Arial"/>
          <w:sz w:val="16"/>
          <w:szCs w:val="16"/>
          <w:color w:val="auto"/>
        </w:rPr>
      </w:pPr>
      <w:r>
        <w:rPr>
          <w:rFonts w:ascii="Arial" w:cs="Arial" w:eastAsia="Arial" w:hAnsi="Arial"/>
          <w:sz w:val="15"/>
          <w:szCs w:val="15"/>
          <w:color w:val="auto"/>
        </w:rPr>
        <w:t>prohibitions on the exercise of Options as it deems appropriate, including, without limitation, any limitation or prohibition designed to avoid accounting consequences which may result from the use of Common Stock as payment upon exercise of an Option.</w:t>
      </w:r>
    </w:p>
    <w:p>
      <w:pPr>
        <w:spacing w:after="0" w:line="63" w:lineRule="exact"/>
        <w:rPr>
          <w:rFonts w:ascii="Arial" w:cs="Arial" w:eastAsia="Arial" w:hAnsi="Arial"/>
          <w:sz w:val="16"/>
          <w:szCs w:val="16"/>
          <w:color w:val="auto"/>
        </w:rPr>
      </w:pPr>
    </w:p>
    <w:p>
      <w:pPr>
        <w:ind w:left="820" w:right="220" w:hanging="4"/>
        <w:spacing w:after="0" w:line="340" w:lineRule="auto"/>
        <w:tabs>
          <w:tab w:leader="none" w:pos="1131" w:val="left"/>
        </w:tabs>
        <w:numPr>
          <w:ilvl w:val="0"/>
          <w:numId w:val="150"/>
        </w:numPr>
        <w:rPr>
          <w:rFonts w:ascii="Arial" w:cs="Arial" w:eastAsia="Arial" w:hAnsi="Arial"/>
          <w:sz w:val="15"/>
          <w:szCs w:val="15"/>
          <w:color w:val="auto"/>
        </w:rPr>
      </w:pPr>
      <w:r>
        <w:rPr>
          <w:rFonts w:ascii="Arial" w:cs="Arial" w:eastAsia="Arial" w:hAnsi="Arial"/>
          <w:sz w:val="15"/>
          <w:szCs w:val="15"/>
          <w:color w:val="auto"/>
        </w:rPr>
        <w:t>The Committee may provide that no Option may be exercised with respect to any fractional Share. Any fractional Shares resulting from an Optionee’s exercise that is accepted by the Company shall in the discretion of the Committee be paid in cash.</w:t>
      </w:r>
    </w:p>
    <w:p>
      <w:pPr>
        <w:spacing w:after="0" w:line="7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 xml:space="preserve">5.7  </w:t>
      </w:r>
      <w:r>
        <w:rPr>
          <w:rFonts w:ascii="Arial" w:cs="Arial" w:eastAsia="Arial" w:hAnsi="Arial"/>
          <w:sz w:val="16"/>
          <w:szCs w:val="16"/>
          <w:b w:val="1"/>
          <w:bCs w:val="1"/>
          <w:u w:val="single" w:color="auto"/>
          <w:color w:val="auto"/>
        </w:rPr>
        <w:t>Stock Appreciation Rights.</w:t>
      </w:r>
    </w:p>
    <w:p>
      <w:pPr>
        <w:spacing w:after="0" w:line="167" w:lineRule="exact"/>
        <w:rPr>
          <w:sz w:val="20"/>
          <w:szCs w:val="20"/>
          <w:color w:val="auto"/>
        </w:rPr>
      </w:pPr>
    </w:p>
    <w:p>
      <w:pPr>
        <w:ind w:left="820" w:right="60"/>
        <w:spacing w:after="0" w:line="275" w:lineRule="auto"/>
        <w:rPr>
          <w:sz w:val="20"/>
          <w:szCs w:val="20"/>
          <w:color w:val="auto"/>
        </w:rPr>
      </w:pPr>
      <w:r>
        <w:rPr>
          <w:rFonts w:ascii="Arial" w:cs="Arial" w:eastAsia="Arial" w:hAnsi="Arial"/>
          <w:sz w:val="16"/>
          <w:szCs w:val="16"/>
          <w:color w:val="auto"/>
        </w:rPr>
        <w:t>The Committee, in its discretion, may also permit (taking into account, without limitation, the application of Section 409A of the Code, as the Committee may deem appropriate) the Optionee to elect to exercise an Option by receiving a combination of Shares and cash, or, in the discretion of the Committee, either Shares or solely in cash, with an aggregate Fair Market Value (or, to the extent of payment in cash, in an amount) equal to the excess of the Fair Market Value of the Shares with respect to which the Option is being exercised over the aggregate Option Price, as determined as of the day the Option is exercised. Such tandem Stock Appreciation Right shall expire at the same time as the Option to which it pertains expires.</w:t>
      </w:r>
    </w:p>
    <w:p>
      <w:pPr>
        <w:spacing w:after="0" w:line="126"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 xml:space="preserve">5.8  </w:t>
      </w:r>
      <w:r>
        <w:rPr>
          <w:rFonts w:ascii="Arial" w:cs="Arial" w:eastAsia="Arial" w:hAnsi="Arial"/>
          <w:sz w:val="16"/>
          <w:szCs w:val="16"/>
          <w:b w:val="1"/>
          <w:bCs w:val="1"/>
          <w:u w:val="single" w:color="auto"/>
          <w:color w:val="auto"/>
        </w:rPr>
        <w:t>Exercise by Successors.</w:t>
      </w:r>
    </w:p>
    <w:p>
      <w:pPr>
        <w:spacing w:after="0" w:line="167" w:lineRule="exact"/>
        <w:rPr>
          <w:sz w:val="20"/>
          <w:szCs w:val="20"/>
          <w:color w:val="auto"/>
        </w:rPr>
      </w:pPr>
    </w:p>
    <w:p>
      <w:pPr>
        <w:ind w:left="820" w:right="80"/>
        <w:spacing w:after="0" w:line="304" w:lineRule="auto"/>
        <w:rPr>
          <w:sz w:val="20"/>
          <w:szCs w:val="20"/>
          <w:color w:val="auto"/>
        </w:rPr>
      </w:pPr>
      <w:r>
        <w:rPr>
          <w:rFonts w:ascii="Arial" w:cs="Arial" w:eastAsia="Arial" w:hAnsi="Arial"/>
          <w:sz w:val="16"/>
          <w:szCs w:val="16"/>
          <w:color w:val="auto"/>
        </w:rPr>
        <w:t>An Option may be exercised, and payment in full of the aggregate Option Price made, by the Successors of the Optionee only by written notice (in the form prescribed by the Committee) to the Company specifying the number of Shares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52070</wp:posOffset>
            </wp:positionV>
            <wp:extent cx="6831965" cy="425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bookmarkStart w:id="116" w:name="page117"/>
    <w:bookmarkEnd w:id="1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p>
      <w:pPr>
        <w:ind w:left="820"/>
        <w:spacing w:after="0"/>
        <w:tabs>
          <w:tab w:leader="none" w:pos="1440" w:val="left"/>
          <w:tab w:leader="none" w:pos="9860" w:val="left"/>
        </w:tabs>
        <w:rPr>
          <w:sz w:val="20"/>
          <w:szCs w:val="20"/>
          <w:color w:val="auto"/>
        </w:rPr>
      </w:pPr>
      <w:r>
        <w:rPr>
          <w:rFonts w:ascii="Arial" w:cs="Arial" w:eastAsia="Arial" w:hAnsi="Arial"/>
          <w:sz w:val="22"/>
          <w:szCs w:val="22"/>
          <w:b w:val="1"/>
          <w:bCs w:val="1"/>
          <w:color w:val="1F2668"/>
        </w:rPr>
        <w:t>​A-8</w:t>
        <w:tab/>
        <w:t xml:space="preserve">​ ​ </w:t>
      </w:r>
      <w:r>
        <w:rPr>
          <w:rFonts w:ascii="Arial" w:cs="Arial" w:eastAsia="Arial" w:hAnsi="Arial"/>
          <w:sz w:val="14"/>
          <w:szCs w:val="14"/>
          <w:b w:val="1"/>
          <w:bCs w:val="1"/>
          <w:color w:val="1F2668"/>
        </w:rPr>
        <w:t>SL GREEN REALTY CORP. 2025 PROXY STATEMENT</w:t>
      </w:r>
      <w:r>
        <w:rPr>
          <w:sz w:val="20"/>
          <w:szCs w:val="20"/>
          <w:color w:val="auto"/>
        </w:rPr>
        <w:tab/>
      </w:r>
      <w:r>
        <w:rPr>
          <w:rFonts w:ascii="Arial" w:cs="Arial" w:eastAsia="Arial" w:hAnsi="Arial"/>
          <w:sz w:val="22"/>
          <w:szCs w:val="22"/>
          <w:b w:val="1"/>
          <w:bCs w:val="1"/>
          <w:color w:val="1F2668"/>
        </w:rPr>
        <w:t>​</w:t>
      </w:r>
    </w:p>
    <w:p>
      <w:pPr>
        <w:spacing w:after="0" w:line="200" w:lineRule="exact"/>
        <w:rPr>
          <w:sz w:val="20"/>
          <w:szCs w:val="20"/>
          <w:color w:val="auto"/>
        </w:rPr>
      </w:pPr>
    </w:p>
    <w:p>
      <w:pPr>
        <w:spacing w:after="0" w:line="290" w:lineRule="exact"/>
        <w:rPr>
          <w:sz w:val="20"/>
          <w:szCs w:val="20"/>
          <w:color w:val="auto"/>
        </w:rPr>
      </w:pPr>
    </w:p>
    <w:p>
      <w:pPr>
        <w:ind w:left="820" w:right="500"/>
        <w:spacing w:after="0" w:line="321" w:lineRule="auto"/>
        <w:rPr>
          <w:sz w:val="20"/>
          <w:szCs w:val="20"/>
          <w:color w:val="auto"/>
        </w:rPr>
      </w:pPr>
      <w:r>
        <w:rPr>
          <w:rFonts w:ascii="Arial" w:cs="Arial" w:eastAsia="Arial" w:hAnsi="Arial"/>
          <w:sz w:val="16"/>
          <w:szCs w:val="16"/>
          <w:color w:val="auto"/>
        </w:rPr>
        <w:t>purchased. Such notice shall state that the aggregate Option Price will be paid in full, or that the Option will be exercised as otherwise provided hereunder, in the discretion of the Company or the Committee, if and as applicable.</w:t>
      </w:r>
    </w:p>
    <w:p>
      <w:pPr>
        <w:spacing w:after="0" w:line="8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 xml:space="preserve">5.9  </w:t>
      </w:r>
      <w:r>
        <w:rPr>
          <w:rFonts w:ascii="Arial" w:cs="Arial" w:eastAsia="Arial" w:hAnsi="Arial"/>
          <w:sz w:val="16"/>
          <w:szCs w:val="16"/>
          <w:b w:val="1"/>
          <w:bCs w:val="1"/>
          <w:u w:val="single" w:color="auto"/>
          <w:color w:val="auto"/>
        </w:rPr>
        <w:t>Nontransferability of Option.</w:t>
      </w:r>
    </w:p>
    <w:p>
      <w:pPr>
        <w:spacing w:after="0" w:line="154" w:lineRule="exact"/>
        <w:rPr>
          <w:sz w:val="20"/>
          <w:szCs w:val="20"/>
          <w:color w:val="auto"/>
        </w:rPr>
      </w:pPr>
    </w:p>
    <w:p>
      <w:pPr>
        <w:ind w:left="820" w:right="120"/>
        <w:spacing w:after="0" w:line="279" w:lineRule="auto"/>
        <w:rPr>
          <w:sz w:val="20"/>
          <w:szCs w:val="20"/>
          <w:color w:val="auto"/>
        </w:rPr>
      </w:pPr>
      <w:r>
        <w:rPr>
          <w:rFonts w:ascii="Arial" w:cs="Arial" w:eastAsia="Arial" w:hAnsi="Arial"/>
          <w:sz w:val="16"/>
          <w:szCs w:val="16"/>
          <w:color w:val="auto"/>
        </w:rPr>
        <w:t>Each Option granted under the Plan shall be nontransferable by the Optionee except by will or the laws of descent and distribution of the state wherein the Optionee is domiciled at the time of his death; provided, however, that the Committee may (but need not) permit other transfers, where the Committee concludes that such transferability (i) does not result in accelerated U.S. federal income taxation, (ii) does not cause any Option intended to be an Incentive Stock Option to fail to be described in Section 422(b) of the Code, and (iii) is otherwise appropriate and desirable; and provided, further, that in no event may an Option be transferred by the Optionee for consideration without shareholder approval.</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 xml:space="preserve">5.10  </w:t>
      </w:r>
      <w:r>
        <w:rPr>
          <w:rFonts w:ascii="Arial" w:cs="Arial" w:eastAsia="Arial" w:hAnsi="Arial"/>
          <w:sz w:val="16"/>
          <w:szCs w:val="16"/>
          <w:b w:val="1"/>
          <w:bCs w:val="1"/>
          <w:u w:val="single" w:color="auto"/>
          <w:color w:val="auto"/>
        </w:rPr>
        <w:t>Certain Incentive Stock Option Provisions.</w:t>
      </w:r>
    </w:p>
    <w:p>
      <w:pPr>
        <w:spacing w:after="0" w:line="167" w:lineRule="exact"/>
        <w:rPr>
          <w:sz w:val="20"/>
          <w:szCs w:val="20"/>
          <w:color w:val="auto"/>
        </w:rPr>
      </w:pPr>
    </w:p>
    <w:p>
      <w:pPr>
        <w:ind w:left="820" w:right="280" w:hanging="4"/>
        <w:spacing w:after="0" w:line="283" w:lineRule="auto"/>
        <w:tabs>
          <w:tab w:leader="none" w:pos="114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aggregate Fair Market Value, determined as of the date an Option is granted, of the Common Stock for which any Optionee may be awarded Incentive Stock Options which are first exercisable by the Optionee during any calendar year under the Plan (or any other stock option plan required to be taken into account under Section 422(d) of the Code) shall not exceed $100,000.</w:t>
      </w:r>
    </w:p>
    <w:p>
      <w:pPr>
        <w:spacing w:after="0" w:line="104" w:lineRule="exact"/>
        <w:rPr>
          <w:rFonts w:ascii="Arial" w:cs="Arial" w:eastAsia="Arial" w:hAnsi="Arial"/>
          <w:sz w:val="16"/>
          <w:szCs w:val="16"/>
          <w:color w:val="auto"/>
        </w:rPr>
      </w:pPr>
    </w:p>
    <w:p>
      <w:pPr>
        <w:ind w:left="820" w:right="260" w:hanging="4"/>
        <w:spacing w:after="0" w:line="276" w:lineRule="auto"/>
        <w:tabs>
          <w:tab w:leader="none" w:pos="1143" w:val="left"/>
        </w:tabs>
        <w:numPr>
          <w:ilvl w:val="0"/>
          <w:numId w:val="151"/>
        </w:numPr>
        <w:rPr>
          <w:rFonts w:ascii="Arial" w:cs="Arial" w:eastAsia="Arial" w:hAnsi="Arial"/>
          <w:sz w:val="16"/>
          <w:szCs w:val="16"/>
          <w:color w:val="auto"/>
        </w:rPr>
      </w:pPr>
      <w:r>
        <w:rPr>
          <w:rFonts w:ascii="Arial" w:cs="Arial" w:eastAsia="Arial" w:hAnsi="Arial"/>
          <w:sz w:val="16"/>
          <w:szCs w:val="16"/>
          <w:color w:val="auto"/>
        </w:rPr>
        <w:t>If Shares acquired upon exercise of an Incentive Stock Option are disposed of in a disqualifying disposition within the meaning of Section 422 of the Code by an Optionee prior to the expiration of either two years from the date of grant of such Option or one year from the transfer of Shares to the Optionee pursuant to the exercise of such Option, or in any other disqualifying disposition within the meaning of Section 422 of the Code, such Optionee shall notify the Company in writing as soon as practicable thereafter of the date and terms of such disposition and, if the Company (or any affiliate thereof) thereupon has a tax-withholding obligation, shall pay to the Company (or such affiliate) an amount equal to any withholding tax the Company (or affiliate) is required to pay as a result of the disqualifying disposition.</w:t>
      </w:r>
    </w:p>
    <w:p>
      <w:pPr>
        <w:spacing w:after="0" w:line="111" w:lineRule="exact"/>
        <w:rPr>
          <w:rFonts w:ascii="Arial" w:cs="Arial" w:eastAsia="Arial" w:hAnsi="Arial"/>
          <w:sz w:val="16"/>
          <w:szCs w:val="16"/>
          <w:color w:val="auto"/>
        </w:rPr>
      </w:pPr>
    </w:p>
    <w:p>
      <w:pPr>
        <w:ind w:left="820" w:right="140" w:hanging="4"/>
        <w:spacing w:after="0" w:line="301" w:lineRule="auto"/>
        <w:tabs>
          <w:tab w:leader="none" w:pos="1131"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Option Price with respect to each Incentive Stock Option shall not be less than 100%, or 110% in the case of an individual described in Section 422(b)(6) of the Code (relating to certain 10% owners), of the Fair Market Value of a Share on the day the Option is granted.</w:t>
      </w:r>
    </w:p>
    <w:p>
      <w:pPr>
        <w:spacing w:after="0" w:line="104" w:lineRule="exact"/>
        <w:rPr>
          <w:sz w:val="20"/>
          <w:szCs w:val="20"/>
          <w:color w:val="auto"/>
        </w:rPr>
      </w:pPr>
    </w:p>
    <w:p>
      <w:pPr>
        <w:ind w:left="820" w:right="4840" w:hanging="4"/>
        <w:spacing w:after="0" w:line="466" w:lineRule="auto"/>
        <w:tabs>
          <w:tab w:leader="none" w:pos="1082" w:val="left"/>
        </w:tabs>
        <w:numPr>
          <w:ilvl w:val="0"/>
          <w:numId w:val="15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PROVISIONS APPLICABLE TO RESTRICTED STOCK. </w:t>
      </w:r>
      <w:r>
        <w:rPr>
          <w:rFonts w:ascii="Arial" w:cs="Arial" w:eastAsia="Arial" w:hAnsi="Arial"/>
          <w:sz w:val="16"/>
          <w:szCs w:val="16"/>
          <w:b w:val="1"/>
          <w:bCs w:val="1"/>
          <w:color w:val="auto"/>
        </w:rPr>
        <w:t xml:space="preserve">6.1 </w:t>
      </w:r>
      <w:r>
        <w:rPr>
          <w:rFonts w:ascii="Arial" w:cs="Arial" w:eastAsia="Arial" w:hAnsi="Arial"/>
          <w:sz w:val="16"/>
          <w:szCs w:val="16"/>
          <w:b w:val="1"/>
          <w:bCs w:val="1"/>
          <w:u w:val="single" w:color="auto"/>
          <w:color w:val="auto"/>
        </w:rPr>
        <w:t>Grant of Restricted Stock.</w:t>
      </w:r>
    </w:p>
    <w:p>
      <w:pPr>
        <w:spacing w:after="0" w:line="1" w:lineRule="exact"/>
        <w:rPr>
          <w:sz w:val="20"/>
          <w:szCs w:val="20"/>
          <w:color w:val="auto"/>
        </w:rPr>
      </w:pPr>
    </w:p>
    <w:p>
      <w:pPr>
        <w:ind w:left="820" w:right="180" w:hanging="4"/>
        <w:spacing w:after="0" w:line="310" w:lineRule="auto"/>
        <w:tabs>
          <w:tab w:leader="none" w:pos="1143" w:val="left"/>
        </w:tabs>
        <w:numPr>
          <w:ilvl w:val="0"/>
          <w:numId w:val="153"/>
        </w:numPr>
        <w:rPr>
          <w:rFonts w:ascii="Arial" w:cs="Arial" w:eastAsia="Arial" w:hAnsi="Arial"/>
          <w:sz w:val="15"/>
          <w:szCs w:val="15"/>
          <w:color w:val="auto"/>
        </w:rPr>
      </w:pPr>
      <w:r>
        <w:rPr>
          <w:rFonts w:ascii="Arial" w:cs="Arial" w:eastAsia="Arial" w:hAnsi="Arial"/>
          <w:sz w:val="15"/>
          <w:szCs w:val="15"/>
          <w:color w:val="auto"/>
        </w:rPr>
        <w:t>In connection with the grant of Restricted Stock, whether or not performance goals (as provided for under Section 11) apply thereto, the Committee shall establish one or more vesting periods with respect to the shares of Restricted Stock granted, the length of which shall be determined in the discretion of the Committee. Subject to the provisions of this Section 6, the applicable Award Agreement and the other provisions of the Plan, restrictions on Restricted Stock shall lapse if the Grantee satisfies all applicable employment or other service requirements through the end of the applicable vesting period. Nothing in this Section 6 shall limit the Committee’s authority, and the Committee is expressly authorized, to grant Shares which are fully vested upon grant (and for which there is no period of forfeiture), and which are subject to the rules of this Section 6.</w:t>
      </w:r>
    </w:p>
    <w:p>
      <w:pPr>
        <w:spacing w:after="0" w:line="100" w:lineRule="exact"/>
        <w:rPr>
          <w:rFonts w:ascii="Arial" w:cs="Arial" w:eastAsia="Arial" w:hAnsi="Arial"/>
          <w:sz w:val="15"/>
          <w:szCs w:val="15"/>
          <w:color w:val="auto"/>
        </w:rPr>
      </w:pPr>
    </w:p>
    <w:p>
      <w:pPr>
        <w:ind w:left="820" w:right="140" w:hanging="4"/>
        <w:spacing w:after="0" w:line="281" w:lineRule="auto"/>
        <w:tabs>
          <w:tab w:leader="none" w:pos="1143" w:val="left"/>
        </w:tabs>
        <w:numPr>
          <w:ilvl w:val="0"/>
          <w:numId w:val="153"/>
        </w:numPr>
        <w:rPr>
          <w:rFonts w:ascii="Arial" w:cs="Arial" w:eastAsia="Arial" w:hAnsi="Arial"/>
          <w:sz w:val="16"/>
          <w:szCs w:val="16"/>
          <w:color w:val="auto"/>
        </w:rPr>
      </w:pPr>
      <w:r>
        <w:rPr>
          <w:rFonts w:ascii="Arial" w:cs="Arial" w:eastAsia="Arial" w:hAnsi="Arial"/>
          <w:sz w:val="16"/>
          <w:szCs w:val="16"/>
          <w:color w:val="auto"/>
        </w:rPr>
        <w:t>Subject to the other terms of the Plan, the Committee may, in its discretion as reflected by the terms of the applicable Award Agreement: (i) authorize the granting of Restricted Stock to Eligible Persons; (ii) provide a specified purchase price for the Restricted Stock (whether or not the payment of a purchase price is required by any state law applicable to the Company);</w:t>
      </w:r>
    </w:p>
    <w:p>
      <w:pPr>
        <w:spacing w:after="0" w:line="1" w:lineRule="exact"/>
        <w:rPr>
          <w:rFonts w:ascii="Arial" w:cs="Arial" w:eastAsia="Arial" w:hAnsi="Arial"/>
          <w:sz w:val="16"/>
          <w:szCs w:val="16"/>
          <w:color w:val="auto"/>
        </w:rPr>
      </w:pPr>
    </w:p>
    <w:p>
      <w:pPr>
        <w:ind w:left="820" w:right="740" w:hanging="4"/>
        <w:spacing w:after="0" w:line="321" w:lineRule="auto"/>
        <w:tabs>
          <w:tab w:leader="none" w:pos="1071" w:val="left"/>
        </w:tabs>
        <w:numPr>
          <w:ilvl w:val="0"/>
          <w:numId w:val="154"/>
        </w:numPr>
        <w:rPr>
          <w:rFonts w:ascii="Arial" w:cs="Arial" w:eastAsia="Arial" w:hAnsi="Arial"/>
          <w:sz w:val="16"/>
          <w:szCs w:val="16"/>
          <w:color w:val="auto"/>
        </w:rPr>
      </w:pPr>
      <w:r>
        <w:rPr>
          <w:rFonts w:ascii="Arial" w:cs="Arial" w:eastAsia="Arial" w:hAnsi="Arial"/>
          <w:sz w:val="16"/>
          <w:szCs w:val="16"/>
          <w:color w:val="auto"/>
        </w:rPr>
        <w:t>determine the restrictions applicable to Restricted Stock and (iv) determine or impose other conditions, including any applicable performance goals, to the grant of Restricted Stock under the Plan as it may deem appropriate.</w:t>
      </w:r>
    </w:p>
    <w:p>
      <w:pPr>
        <w:spacing w:after="0" w:line="8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 xml:space="preserve">6.2  </w:t>
      </w:r>
      <w:r>
        <w:rPr>
          <w:rFonts w:ascii="Arial" w:cs="Arial" w:eastAsia="Arial" w:hAnsi="Arial"/>
          <w:sz w:val="16"/>
          <w:szCs w:val="16"/>
          <w:b w:val="1"/>
          <w:bCs w:val="1"/>
          <w:u w:val="single" w:color="auto"/>
          <w:color w:val="auto"/>
        </w:rPr>
        <w:t>Certificates.</w:t>
      </w:r>
    </w:p>
    <w:p>
      <w:pPr>
        <w:spacing w:after="0" w:line="167" w:lineRule="exact"/>
        <w:rPr>
          <w:sz w:val="20"/>
          <w:szCs w:val="20"/>
          <w:color w:val="auto"/>
        </w:rPr>
      </w:pPr>
    </w:p>
    <w:p>
      <w:pPr>
        <w:ind w:left="820" w:right="140" w:hanging="4"/>
        <w:spacing w:after="0" w:line="312" w:lineRule="auto"/>
        <w:tabs>
          <w:tab w:leader="none" w:pos="1143" w:val="left"/>
        </w:tabs>
        <w:numPr>
          <w:ilvl w:val="0"/>
          <w:numId w:val="155"/>
        </w:numPr>
        <w:rPr>
          <w:rFonts w:ascii="Arial" w:cs="Arial" w:eastAsia="Arial" w:hAnsi="Arial"/>
          <w:sz w:val="15"/>
          <w:szCs w:val="15"/>
          <w:color w:val="auto"/>
        </w:rPr>
      </w:pPr>
      <w:r>
        <w:rPr>
          <w:rFonts w:ascii="Arial" w:cs="Arial" w:eastAsia="Arial" w:hAnsi="Arial"/>
          <w:sz w:val="15"/>
          <w:szCs w:val="15"/>
          <w:color w:val="auto"/>
        </w:rPr>
        <w:t>Unless otherwise provided by the Committee, each Grantee of Restricted Stock shall be issued a stock certificate in respect of Shares of Restricted Stock awarded under the Plan. Each such certificate shall be registered in the name of the Grantee. Without limiting the generality of Section 4(c), the certificates for Shares of Restricted Stock issued hereunder may include any legend which the Committee deems appropriate to reflect any restrictions on transfer hereunder or under the Award Agreement, or as the Committee may otherwise deem appropriate, and, without limiting the generality of the foregoing, shall bear a legend referring to the terms, conditions, and restrictions applicable to such Award, substantially in the following form:</w:t>
      </w:r>
    </w:p>
    <w:p>
      <w:pPr>
        <w:spacing w:after="0" w:line="99" w:lineRule="exact"/>
        <w:rPr>
          <w:sz w:val="20"/>
          <w:szCs w:val="20"/>
          <w:color w:val="auto"/>
        </w:rPr>
      </w:pPr>
    </w:p>
    <w:p>
      <w:pPr>
        <w:ind w:left="820" w:right="100"/>
        <w:spacing w:after="0" w:line="321" w:lineRule="auto"/>
        <w:rPr>
          <w:sz w:val="20"/>
          <w:szCs w:val="20"/>
          <w:color w:val="auto"/>
        </w:rPr>
      </w:pPr>
      <w:r>
        <w:rPr>
          <w:rFonts w:ascii="Arial" w:cs="Arial" w:eastAsia="Arial" w:hAnsi="Arial"/>
          <w:sz w:val="16"/>
          <w:szCs w:val="16"/>
          <w:color w:val="auto"/>
        </w:rPr>
        <w:t>The transferability of this certificate and the shares of stock represented hereby are subject to the terms and conditions (including forfeiture) of the SL Green Realty Corp. Sixth Amended and Restated 2005 Stock Option and Incentive Plan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34925</wp:posOffset>
            </wp:positionV>
            <wp:extent cx="6831965" cy="425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117" w:name="page118"/>
    <w:bookmarkEnd w:id="1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4540" w:type="dxa"/>
            <w:vAlign w:val="bottom"/>
          </w:tcPr>
          <w:p>
            <w:pPr>
              <w:spacing w:after="0"/>
              <w:rPr>
                <w:sz w:val="20"/>
                <w:szCs w:val="20"/>
                <w:color w:val="auto"/>
              </w:rPr>
            </w:pPr>
            <w:r>
              <w:rPr>
                <w:rFonts w:ascii="Arial" w:cs="Arial" w:eastAsia="Arial" w:hAnsi="Arial"/>
                <w:sz w:val="14"/>
                <w:szCs w:val="14"/>
                <w:b w:val="1"/>
                <w:bCs w:val="1"/>
                <w:color w:val="auto"/>
              </w:rPr>
              <w:t>​</w:t>
            </w:r>
          </w:p>
        </w:tc>
        <w:tc>
          <w:tcPr>
            <w:tcW w:w="4000" w:type="dxa"/>
            <w:vAlign w:val="bottom"/>
          </w:tcPr>
          <w:p>
            <w:pPr>
              <w:ind w:left="3660"/>
              <w:spacing w:after="0"/>
              <w:rPr>
                <w:sz w:val="20"/>
                <w:szCs w:val="20"/>
                <w:color w:val="auto"/>
              </w:rPr>
            </w:pPr>
            <w:r>
              <w:rPr>
                <w:rFonts w:ascii="Arial" w:cs="Arial" w:eastAsia="Arial" w:hAnsi="Arial"/>
                <w:sz w:val="14"/>
                <w:szCs w:val="14"/>
                <w:b w:val="1"/>
                <w:bCs w:val="1"/>
                <w:color w:val="auto"/>
              </w:rPr>
              <w:t>​ ​</w:t>
            </w:r>
          </w:p>
        </w:tc>
        <w:tc>
          <w:tcPr>
            <w:tcW w:w="520" w:type="dxa"/>
            <w:vAlign w:val="bottom"/>
            <w:vMerge w:val="restart"/>
          </w:tcPr>
          <w:p>
            <w:pPr>
              <w:ind w:left="180"/>
              <w:spacing w:after="0"/>
              <w:rPr>
                <w:sz w:val="20"/>
                <w:szCs w:val="20"/>
                <w:color w:val="auto"/>
              </w:rPr>
            </w:pPr>
            <w:r>
              <w:rPr>
                <w:rFonts w:ascii="Arial" w:cs="Arial" w:eastAsia="Arial" w:hAnsi="Arial"/>
                <w:sz w:val="22"/>
                <w:szCs w:val="22"/>
                <w:b w:val="1"/>
                <w:bCs w:val="1"/>
                <w:color w:val="1F2668"/>
                <w:w w:val="90"/>
              </w:rPr>
              <w:t>A-9</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4540" w:type="dxa"/>
            <w:vAlign w:val="bottom"/>
          </w:tcPr>
          <w:p>
            <w:pPr>
              <w:spacing w:after="0"/>
              <w:rPr>
                <w:sz w:val="20"/>
                <w:szCs w:val="20"/>
                <w:color w:val="auto"/>
              </w:rPr>
            </w:pPr>
            <w:r>
              <w:rPr>
                <w:rFonts w:ascii="Arial" w:cs="Arial" w:eastAsia="Arial" w:hAnsi="Arial"/>
                <w:sz w:val="14"/>
                <w:szCs w:val="14"/>
                <w:b w:val="1"/>
                <w:bCs w:val="1"/>
                <w:color w:val="auto"/>
              </w:rPr>
              <w:t>APPENDIX A</w:t>
            </w:r>
          </w:p>
        </w:tc>
        <w:tc>
          <w:tcPr>
            <w:tcW w:w="400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820" w:right="380"/>
        <w:spacing w:after="0" w:line="359" w:lineRule="auto"/>
        <w:rPr>
          <w:sz w:val="20"/>
          <w:szCs w:val="20"/>
          <w:color w:val="auto"/>
        </w:rPr>
      </w:pPr>
      <w:r>
        <w:rPr>
          <w:rFonts w:ascii="Arial" w:cs="Arial" w:eastAsia="Arial" w:hAnsi="Arial"/>
          <w:sz w:val="15"/>
          <w:szCs w:val="15"/>
          <w:color w:val="auto"/>
        </w:rPr>
        <w:t>an Award Agreement entered into between the registered owner and SL Green Realty Corp. Copies of such Plan and Award Agreement are on file in the offices of SL Green Realty Corp., at One Vanderbilt Avenue, New York, New York 10017.</w:t>
      </w:r>
    </w:p>
    <w:p>
      <w:pPr>
        <w:spacing w:after="0" w:line="51" w:lineRule="exact"/>
        <w:rPr>
          <w:sz w:val="20"/>
          <w:szCs w:val="20"/>
          <w:color w:val="auto"/>
        </w:rPr>
      </w:pPr>
    </w:p>
    <w:p>
      <w:pPr>
        <w:ind w:left="820" w:right="60" w:hanging="4"/>
        <w:spacing w:after="0" w:line="278" w:lineRule="auto"/>
        <w:tabs>
          <w:tab w:leader="none" w:pos="114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Committee may require that any stock certificates evidencing such Shares be held in custody by the Company until the restrictions hereunder shall have lapsed, and that, as a condition of any Award of Restricted Stock, the Grantee shall have delivered to the Company a stock power, endorsed in blank, relating to the stock covered by such Award. If and when such restrictions so lapse, the stock certificates shall be delivered by the Company to the Grantee or his or her designee as provided in Section 6.3 (and the stock power shall be so delivered or shall be discarded).</w:t>
      </w:r>
    </w:p>
    <w:p>
      <w:pPr>
        <w:spacing w:after="0" w:line="122"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 xml:space="preserve">6.3  </w:t>
      </w:r>
      <w:r>
        <w:rPr>
          <w:rFonts w:ascii="Arial" w:cs="Arial" w:eastAsia="Arial" w:hAnsi="Arial"/>
          <w:sz w:val="16"/>
          <w:szCs w:val="16"/>
          <w:b w:val="1"/>
          <w:bCs w:val="1"/>
          <w:u w:val="single" w:color="auto"/>
          <w:color w:val="auto"/>
        </w:rPr>
        <w:t>Restrictions and Conditions.</w:t>
      </w:r>
    </w:p>
    <w:p>
      <w:pPr>
        <w:spacing w:after="0" w:line="167" w:lineRule="exact"/>
        <w:rPr>
          <w:sz w:val="20"/>
          <w:szCs w:val="20"/>
          <w:color w:val="auto"/>
        </w:rPr>
      </w:pPr>
    </w:p>
    <w:p>
      <w:pPr>
        <w:ind w:left="820" w:right="40"/>
        <w:spacing w:after="0" w:line="304" w:lineRule="auto"/>
        <w:rPr>
          <w:sz w:val="20"/>
          <w:szCs w:val="20"/>
          <w:color w:val="auto"/>
        </w:rPr>
      </w:pPr>
      <w:r>
        <w:rPr>
          <w:rFonts w:ascii="Arial" w:cs="Arial" w:eastAsia="Arial" w:hAnsi="Arial"/>
          <w:sz w:val="16"/>
          <w:szCs w:val="16"/>
          <w:color w:val="auto"/>
        </w:rPr>
        <w:t>Unless otherwise provided by the Committee, the Shares of Restricted Stock awarded pursuant to the Plan shall be subject to the following restrictions and conditions:</w:t>
      </w:r>
    </w:p>
    <w:p>
      <w:pPr>
        <w:spacing w:after="0" w:line="101" w:lineRule="exact"/>
        <w:rPr>
          <w:sz w:val="20"/>
          <w:szCs w:val="20"/>
          <w:color w:val="auto"/>
        </w:rPr>
      </w:pPr>
    </w:p>
    <w:p>
      <w:pPr>
        <w:ind w:left="1180" w:right="180" w:hanging="364"/>
        <w:spacing w:after="0" w:line="288" w:lineRule="auto"/>
        <w:tabs>
          <w:tab w:leader="none" w:pos="118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Subject to the provisions of the Plan and the Award Agreements, during a period commencing with the date of such Award and ending on the date the period of forfeiture with respect to such Shares lapses, the Grantee shall not be permitted voluntarily or involuntarily to sell, transfer, pledge, anticipate, alienate, encumber or assign Shares of Restricted Stock awarded under the Plan (or have such Shares attached or garnished). Subject to the provisions of the Award Agreements and clause (iii) below, the period of forfeiture with respect to Shares granted hereunder shall lapse as provided in the applicable Award Agreement. Notwithstanding the foregoing, unless otherwise expressly provided by the Committee, the period of forfeiture with respect to such Shares shall only lapse as to whole Shares.</w:t>
      </w:r>
    </w:p>
    <w:p>
      <w:pPr>
        <w:spacing w:after="0" w:line="101" w:lineRule="exact"/>
        <w:rPr>
          <w:rFonts w:ascii="Arial" w:cs="Arial" w:eastAsia="Arial" w:hAnsi="Arial"/>
          <w:sz w:val="16"/>
          <w:szCs w:val="16"/>
          <w:color w:val="auto"/>
        </w:rPr>
      </w:pPr>
    </w:p>
    <w:p>
      <w:pPr>
        <w:ind w:left="1180" w:right="40" w:hanging="364"/>
        <w:spacing w:after="0" w:line="286" w:lineRule="auto"/>
        <w:tabs>
          <w:tab w:leader="none" w:pos="118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Except as provided in the foregoing clause (i), below in this clause (ii), in Section 15, or as otherwise provided in the applicable Award Agreement, the Grantee shall have, in respect of the Shares of Restricted Stock, all of the rights of a shareholder of the Company, including the right to vote the Shares and the right to receive any cash dividends currently; provided, however that, if provided in an Award Agreement, cash dividends on such Shares shall (A) be held by the Company (unsegregated as a part of its general assets) until the period of forfeiture lapses (and forfeited if the underlying Shares are forfeited), and paid over to the Grantee (without interest) as soon as practicable after such period lapses (if not forfeited), or (B) treated as may otherwise be provided in an Award Agreement. Certificates for Shares (not subject to restrictions) shall be delivered to the Grantee or his or her designee, at the request thereof, promptly after, and only after, the period of forfeiture shall lapse without forfeiture in respect of such Shares of Restricted Stock.</w:t>
      </w:r>
    </w:p>
    <w:p>
      <w:pPr>
        <w:spacing w:after="0" w:line="105" w:lineRule="exact"/>
        <w:rPr>
          <w:rFonts w:ascii="Arial" w:cs="Arial" w:eastAsia="Arial" w:hAnsi="Arial"/>
          <w:sz w:val="16"/>
          <w:szCs w:val="16"/>
          <w:color w:val="auto"/>
        </w:rPr>
      </w:pPr>
    </w:p>
    <w:p>
      <w:pPr>
        <w:ind w:left="1180" w:right="260" w:hanging="364"/>
        <w:spacing w:after="0" w:line="300" w:lineRule="auto"/>
        <w:tabs>
          <w:tab w:leader="none" w:pos="1180" w:val="left"/>
        </w:tabs>
        <w:numPr>
          <w:ilvl w:val="0"/>
          <w:numId w:val="157"/>
        </w:numPr>
        <w:rPr>
          <w:rFonts w:ascii="Arial" w:cs="Arial" w:eastAsia="Arial" w:hAnsi="Arial"/>
          <w:sz w:val="15"/>
          <w:szCs w:val="15"/>
          <w:color w:val="auto"/>
        </w:rPr>
      </w:pPr>
      <w:r>
        <w:rPr>
          <w:rFonts w:ascii="Arial" w:cs="Arial" w:eastAsia="Arial" w:hAnsi="Arial"/>
          <w:sz w:val="15"/>
          <w:szCs w:val="15"/>
          <w:color w:val="auto"/>
        </w:rPr>
        <w:t>Except as otherwise provided in the applicable Award Agreement, if the Grantee has a Termination of Service by the Company and its Subsidiaries for Cause, or by the Grantee for any reason, during the applicable period of forfeiture, then</w:t>
      </w:r>
    </w:p>
    <w:p>
      <w:pPr>
        <w:ind w:left="1180" w:right="60" w:hanging="4"/>
        <w:spacing w:after="0" w:line="291" w:lineRule="auto"/>
        <w:tabs>
          <w:tab w:leader="none" w:pos="1435" w:val="left"/>
        </w:tabs>
        <w:numPr>
          <w:ilvl w:val="1"/>
          <w:numId w:val="157"/>
        </w:numPr>
        <w:rPr>
          <w:rFonts w:ascii="Arial" w:cs="Arial" w:eastAsia="Arial" w:hAnsi="Arial"/>
          <w:sz w:val="16"/>
          <w:szCs w:val="16"/>
          <w:color w:val="auto"/>
        </w:rPr>
      </w:pPr>
      <w:r>
        <w:rPr>
          <w:rFonts w:ascii="Arial" w:cs="Arial" w:eastAsia="Arial" w:hAnsi="Arial"/>
          <w:sz w:val="16"/>
          <w:szCs w:val="16"/>
          <w:color w:val="auto"/>
        </w:rPr>
        <w:t>all Shares still subject to restriction shall thereupon, and with no further action, be forfeited by the Grantee, and (B) in the event the Grantee has paid a cash purchase price for the forfeited Shares, the Company shall pay to the Grantee as soon as practicable (and in no event more than 30 days) after such termination an amount equal to the lesser of (x) the amount paid by the Grantee (if any) for such forfeited Restricted Stock as contemplated by Section 6.1, and (y) the Fair Market Value on the date of termination of the forfeited Restricted Stock.</w:t>
      </w:r>
    </w:p>
    <w:p>
      <w:pPr>
        <w:spacing w:after="0" w:line="100" w:lineRule="exact"/>
        <w:rPr>
          <w:sz w:val="20"/>
          <w:szCs w:val="20"/>
          <w:color w:val="auto"/>
        </w:rPr>
      </w:pPr>
    </w:p>
    <w:p>
      <w:pPr>
        <w:ind w:left="820" w:right="40"/>
        <w:spacing w:after="0" w:line="278" w:lineRule="auto"/>
        <w:rPr>
          <w:sz w:val="20"/>
          <w:szCs w:val="20"/>
          <w:color w:val="auto"/>
        </w:rPr>
      </w:pPr>
      <w:r>
        <w:rPr>
          <w:rFonts w:ascii="Arial" w:cs="Arial" w:eastAsia="Arial" w:hAnsi="Arial"/>
          <w:sz w:val="16"/>
          <w:szCs w:val="16"/>
          <w:color w:val="auto"/>
        </w:rPr>
        <w:t>Notwithstanding the foregoing, cash dividends on Shares of Restricted Stock that remain subject to potential forfeiture due to failure to meet performance-based conditions (i.e., conditions other than the continued service or employment of the Grantee through a certain date) must be retained by, or repaid by the Grantee to, the Company; provided that, to the extent provided for in the applicable Award Agreement or by the Committee, an amount equal to such cash dividends retained or repaid by the Grantee may be paid to the Grantee upon the lapsing of such performance-based conditions with respect to such shares.</w:t>
      </w:r>
    </w:p>
    <w:p>
      <w:pPr>
        <w:spacing w:after="0" w:line="122" w:lineRule="exact"/>
        <w:rPr>
          <w:sz w:val="20"/>
          <w:szCs w:val="20"/>
          <w:color w:val="auto"/>
        </w:rPr>
      </w:pPr>
    </w:p>
    <w:p>
      <w:pPr>
        <w:ind w:left="820" w:right="4920" w:hanging="4"/>
        <w:spacing w:after="0" w:line="466" w:lineRule="auto"/>
        <w:tabs>
          <w:tab w:leader="none" w:pos="1082" w:val="left"/>
        </w:tabs>
        <w:numPr>
          <w:ilvl w:val="0"/>
          <w:numId w:val="15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PROVISIONS APPLICABLE TO PHANTOM SHARES. </w:t>
      </w:r>
      <w:r>
        <w:rPr>
          <w:rFonts w:ascii="Arial" w:cs="Arial" w:eastAsia="Arial" w:hAnsi="Arial"/>
          <w:sz w:val="16"/>
          <w:szCs w:val="16"/>
          <w:b w:val="1"/>
          <w:bCs w:val="1"/>
          <w:color w:val="auto"/>
        </w:rPr>
        <w:t xml:space="preserve">7.1 </w:t>
      </w:r>
      <w:r>
        <w:rPr>
          <w:rFonts w:ascii="Arial" w:cs="Arial" w:eastAsia="Arial" w:hAnsi="Arial"/>
          <w:sz w:val="16"/>
          <w:szCs w:val="16"/>
          <w:b w:val="1"/>
          <w:bCs w:val="1"/>
          <w:u w:val="single" w:color="auto"/>
          <w:color w:val="auto"/>
        </w:rPr>
        <w:t>Grant of Phantom Shares.</w:t>
      </w:r>
    </w:p>
    <w:p>
      <w:pPr>
        <w:spacing w:after="0" w:line="1" w:lineRule="exact"/>
        <w:rPr>
          <w:sz w:val="20"/>
          <w:szCs w:val="20"/>
          <w:color w:val="auto"/>
        </w:rPr>
      </w:pPr>
    </w:p>
    <w:p>
      <w:pPr>
        <w:ind w:left="820" w:right="160"/>
        <w:spacing w:after="0" w:line="284" w:lineRule="auto"/>
        <w:rPr>
          <w:sz w:val="20"/>
          <w:szCs w:val="20"/>
          <w:color w:val="auto"/>
        </w:rPr>
      </w:pPr>
      <w:r>
        <w:rPr>
          <w:rFonts w:ascii="Arial" w:cs="Arial" w:eastAsia="Arial" w:hAnsi="Arial"/>
          <w:sz w:val="16"/>
          <w:szCs w:val="16"/>
          <w:color w:val="auto"/>
        </w:rPr>
        <w:t>Subject to the other terms of the Plan, the Committee shall, in its discretion as reflected by the terms of the applicable Award Agreement: (i) authorize the granting of Phantom Shares to Eligible Persons and (ii) determine or impose other conditions to the grant of Phantom Shares under the Plan as it may deem appropriate.</w:t>
      </w:r>
    </w:p>
    <w:p>
      <w:pPr>
        <w:spacing w:after="0" w:line="116"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 xml:space="preserve">7.2  </w:t>
      </w:r>
      <w:r>
        <w:rPr>
          <w:rFonts w:ascii="Arial" w:cs="Arial" w:eastAsia="Arial" w:hAnsi="Arial"/>
          <w:sz w:val="16"/>
          <w:szCs w:val="16"/>
          <w:b w:val="1"/>
          <w:bCs w:val="1"/>
          <w:u w:val="single" w:color="auto"/>
          <w:color w:val="auto"/>
        </w:rPr>
        <w:t>Term.</w:t>
      </w:r>
    </w:p>
    <w:p>
      <w:pPr>
        <w:spacing w:after="0" w:line="167" w:lineRule="exact"/>
        <w:rPr>
          <w:sz w:val="20"/>
          <w:szCs w:val="20"/>
          <w:color w:val="auto"/>
        </w:rPr>
      </w:pPr>
    </w:p>
    <w:p>
      <w:pPr>
        <w:ind w:left="820" w:right="400"/>
        <w:spacing w:after="0" w:line="304" w:lineRule="auto"/>
        <w:rPr>
          <w:sz w:val="20"/>
          <w:szCs w:val="20"/>
          <w:color w:val="auto"/>
        </w:rPr>
      </w:pPr>
      <w:r>
        <w:rPr>
          <w:rFonts w:ascii="Arial" w:cs="Arial" w:eastAsia="Arial" w:hAnsi="Arial"/>
          <w:sz w:val="16"/>
          <w:szCs w:val="16"/>
          <w:color w:val="auto"/>
        </w:rPr>
        <w:t>The Committee may provide in an Award Agreement that any particular Phantom Share shall expire at the end of a specified term.</w:t>
      </w:r>
    </w:p>
    <w:p>
      <w:pPr>
        <w:spacing w:after="0" w:line="101"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 xml:space="preserve">7.3  </w:t>
      </w:r>
      <w:r>
        <w:rPr>
          <w:rFonts w:ascii="Arial" w:cs="Arial" w:eastAsia="Arial" w:hAnsi="Arial"/>
          <w:sz w:val="16"/>
          <w:szCs w:val="16"/>
          <w:b w:val="1"/>
          <w:bCs w:val="1"/>
          <w:u w:val="single" w:color="auto"/>
          <w:color w:val="auto"/>
        </w:rPr>
        <w:t>Vesting.</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Phantom Shares shall vest as provided in the applicable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93980</wp:posOffset>
            </wp:positionV>
            <wp:extent cx="6831965" cy="425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bookmarkStart w:id="118" w:name="page119"/>
    <w:bookmarkEnd w:id="1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p>
      <w:pPr>
        <w:ind w:left="820"/>
        <w:spacing w:after="0"/>
        <w:tabs>
          <w:tab w:leader="none" w:pos="9860" w:val="left"/>
        </w:tabs>
        <w:rPr>
          <w:sz w:val="20"/>
          <w:szCs w:val="20"/>
          <w:color w:val="auto"/>
        </w:rPr>
      </w:pPr>
      <w:r>
        <w:rPr>
          <w:rFonts w:ascii="Arial" w:cs="Arial" w:eastAsia="Arial" w:hAnsi="Arial"/>
          <w:sz w:val="22"/>
          <w:szCs w:val="22"/>
          <w:b w:val="1"/>
          <w:bCs w:val="1"/>
          <w:color w:val="1F2668"/>
        </w:rPr>
        <w:t xml:space="preserve">A​-10  ​ ​ </w:t>
      </w:r>
      <w:r>
        <w:rPr>
          <w:rFonts w:ascii="Arial" w:cs="Arial" w:eastAsia="Arial" w:hAnsi="Arial"/>
          <w:sz w:val="14"/>
          <w:szCs w:val="14"/>
          <w:b w:val="1"/>
          <w:bCs w:val="1"/>
          <w:color w:val="1F2668"/>
        </w:rPr>
        <w:t>SL GREEN REALTY CORP. 2025 PROXY STATEMENT</w:t>
      </w:r>
      <w:r>
        <w:rPr>
          <w:sz w:val="20"/>
          <w:szCs w:val="20"/>
          <w:color w:val="auto"/>
        </w:rPr>
        <w:tab/>
      </w:r>
      <w:r>
        <w:rPr>
          <w:rFonts w:ascii="Arial" w:cs="Arial" w:eastAsia="Arial" w:hAnsi="Arial"/>
          <w:sz w:val="22"/>
          <w:szCs w:val="22"/>
          <w:b w:val="1"/>
          <w:bCs w:val="1"/>
          <w:color w:val="1F2668"/>
        </w:rPr>
        <w:t>​</w:t>
      </w:r>
    </w:p>
    <w:p>
      <w:pPr>
        <w:spacing w:after="0" w:line="200" w:lineRule="exact"/>
        <w:rPr>
          <w:sz w:val="20"/>
          <w:szCs w:val="20"/>
          <w:color w:val="auto"/>
        </w:rPr>
      </w:pPr>
    </w:p>
    <w:p>
      <w:pPr>
        <w:spacing w:after="0" w:line="30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 xml:space="preserve">7.4  </w:t>
      </w:r>
      <w:r>
        <w:rPr>
          <w:rFonts w:ascii="Arial" w:cs="Arial" w:eastAsia="Arial" w:hAnsi="Arial"/>
          <w:sz w:val="16"/>
          <w:szCs w:val="16"/>
          <w:b w:val="1"/>
          <w:bCs w:val="1"/>
          <w:u w:val="single" w:color="auto"/>
          <w:color w:val="auto"/>
        </w:rPr>
        <w:t>Settlement of Phantom Shares.</w:t>
      </w:r>
    </w:p>
    <w:p>
      <w:pPr>
        <w:spacing w:after="0" w:line="181" w:lineRule="exact"/>
        <w:rPr>
          <w:sz w:val="20"/>
          <w:szCs w:val="20"/>
          <w:color w:val="auto"/>
        </w:rPr>
      </w:pPr>
    </w:p>
    <w:p>
      <w:pPr>
        <w:ind w:left="820" w:right="180" w:hanging="4"/>
        <w:spacing w:after="0" w:line="295" w:lineRule="auto"/>
        <w:tabs>
          <w:tab w:leader="none" w:pos="1143" w:val="left"/>
        </w:tabs>
        <w:numPr>
          <w:ilvl w:val="0"/>
          <w:numId w:val="159"/>
        </w:numPr>
        <w:rPr>
          <w:rFonts w:ascii="Arial" w:cs="Arial" w:eastAsia="Arial" w:hAnsi="Arial"/>
          <w:sz w:val="16"/>
          <w:szCs w:val="16"/>
          <w:color w:val="auto"/>
        </w:rPr>
      </w:pPr>
      <w:r>
        <w:rPr>
          <w:rFonts w:ascii="Arial" w:cs="Arial" w:eastAsia="Arial" w:hAnsi="Arial"/>
          <w:sz w:val="16"/>
          <w:szCs w:val="16"/>
          <w:color w:val="auto"/>
        </w:rPr>
        <w:t>Each vested and outstanding Phantom Share shall be settled by the transfer to the Grantee of one Share; provided that the Committee at the time of grant may provide that a Phantom Share may be settled (i) in cash at the applicable Phantom Share Value or (ii) in cash or by transfer of Shares as elected by the Grantee in accordance with procedures established by the Committee (taking into account, without limitation, Section 409A of the Code, as the Committee may deem appropriate).</w:t>
      </w:r>
    </w:p>
    <w:p>
      <w:pPr>
        <w:spacing w:after="0" w:line="107" w:lineRule="exact"/>
        <w:rPr>
          <w:rFonts w:ascii="Arial" w:cs="Arial" w:eastAsia="Arial" w:hAnsi="Arial"/>
          <w:sz w:val="16"/>
          <w:szCs w:val="16"/>
          <w:color w:val="auto"/>
        </w:rPr>
      </w:pPr>
    </w:p>
    <w:p>
      <w:pPr>
        <w:ind w:left="820" w:right="60" w:hanging="4"/>
        <w:spacing w:after="0" w:line="295" w:lineRule="auto"/>
        <w:tabs>
          <w:tab w:leader="none" w:pos="1143" w:val="left"/>
        </w:tabs>
        <w:numPr>
          <w:ilvl w:val="0"/>
          <w:numId w:val="159"/>
        </w:numPr>
        <w:rPr>
          <w:rFonts w:ascii="Arial" w:cs="Arial" w:eastAsia="Arial" w:hAnsi="Arial"/>
          <w:sz w:val="16"/>
          <w:szCs w:val="16"/>
          <w:color w:val="auto"/>
        </w:rPr>
      </w:pPr>
      <w:r>
        <w:rPr>
          <w:rFonts w:ascii="Arial" w:cs="Arial" w:eastAsia="Arial" w:hAnsi="Arial"/>
          <w:sz w:val="16"/>
          <w:szCs w:val="16"/>
          <w:color w:val="auto"/>
        </w:rPr>
        <w:t>Phantom Shares shall be settled with a single-sum payment by the Company; provided that, with respect to Phantom Shares of a Grantee which have a common Settlement Date, the Committee may permit the Grantee to elect in accordance with procedures established by the Committee (taking into account, without limitation, Section 409A of the Code, as the Committee may deem appropriate) to receive installment payments over a period not to exceed 10 years.</w:t>
      </w:r>
    </w:p>
    <w:p>
      <w:pPr>
        <w:spacing w:after="0" w:line="94" w:lineRule="exact"/>
        <w:rPr>
          <w:rFonts w:ascii="Arial" w:cs="Arial" w:eastAsia="Arial" w:hAnsi="Arial"/>
          <w:sz w:val="16"/>
          <w:szCs w:val="16"/>
          <w:color w:val="auto"/>
        </w:rPr>
      </w:pPr>
    </w:p>
    <w:p>
      <w:pPr>
        <w:ind w:left="820" w:right="60" w:hanging="4"/>
        <w:spacing w:after="0" w:line="286" w:lineRule="auto"/>
        <w:tabs>
          <w:tab w:leader="none" w:pos="1134" w:val="left"/>
        </w:tabs>
        <w:numPr>
          <w:ilvl w:val="0"/>
          <w:numId w:val="159"/>
        </w:numPr>
        <w:rPr>
          <w:rFonts w:ascii="Arial" w:cs="Arial" w:eastAsia="Arial" w:hAnsi="Arial"/>
          <w:sz w:val="16"/>
          <w:szCs w:val="16"/>
          <w:color w:val="auto"/>
        </w:rPr>
      </w:pPr>
      <w:r>
        <w:rPr>
          <w:rFonts w:ascii="Arial" w:cs="Arial" w:eastAsia="Arial" w:hAnsi="Arial"/>
          <w:sz w:val="16"/>
          <w:szCs w:val="16"/>
          <w:color w:val="auto"/>
        </w:rPr>
        <w:t>(i) Unless otherwise provided in the applicable Award Agreement, the “Settlement Date” with respect to a Phantom Share is as soon as practicable after (but not later than the first day of the month to follow) the date on which the Phantom Share vests; provided that a Grantee may elect, in accordance with procedures to be established by the Committee, that such Settlement Date will be deferred as elected by the Grantee to as soon as practicable after (but not later than the first day of the month to follow) the Grantee’s Termination of Service, or such other time as may be permitted by the Committee. Unless otherwise determined by the Committee, elections under this Section 7.4(c)(i) must, except as may otherwise be permitted under the rules applicable under Section 409A of the Code, (A) be effective at least one year after they are made, or, in the case of payments to commence at a specific time, be made at least one year before the first scheduled payment and (B) defer the commencement of distributions for at least five years.</w:t>
      </w:r>
    </w:p>
    <w:p>
      <w:pPr>
        <w:spacing w:after="0" w:line="119" w:lineRule="exact"/>
        <w:rPr>
          <w:sz w:val="20"/>
          <w:szCs w:val="20"/>
          <w:color w:val="auto"/>
        </w:rPr>
      </w:pPr>
    </w:p>
    <w:p>
      <w:pPr>
        <w:ind w:left="1180" w:right="300" w:hanging="364"/>
        <w:spacing w:after="0" w:line="301" w:lineRule="auto"/>
        <w:tabs>
          <w:tab w:leader="none" w:pos="118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Notwithstanding Section 7.4(c)(i), the Committee may provide that distributions of Phantom Shares can be elected at any time in those cases in which the Phantom Share Value is determined by reference to Fair Market Value to the extent in excess of a base value, rather than by reference to unreduced Fair Market Value.</w:t>
      </w:r>
    </w:p>
    <w:p>
      <w:pPr>
        <w:spacing w:after="0" w:line="104" w:lineRule="exact"/>
        <w:rPr>
          <w:rFonts w:ascii="Arial" w:cs="Arial" w:eastAsia="Arial" w:hAnsi="Arial"/>
          <w:sz w:val="16"/>
          <w:szCs w:val="16"/>
          <w:color w:val="auto"/>
        </w:rPr>
      </w:pPr>
    </w:p>
    <w:p>
      <w:pPr>
        <w:ind w:left="1180" w:right="140" w:hanging="364"/>
        <w:spacing w:after="0" w:line="321" w:lineRule="auto"/>
        <w:tabs>
          <w:tab w:leader="none" w:pos="118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Notwithstanding the foregoing, the Settlement Date, if not earlier pursuant to this Section 7.4(c), is the date of the Grantee’s death.</w:t>
      </w:r>
    </w:p>
    <w:p>
      <w:pPr>
        <w:spacing w:after="0" w:line="88" w:lineRule="exact"/>
        <w:rPr>
          <w:sz w:val="20"/>
          <w:szCs w:val="20"/>
          <w:color w:val="auto"/>
        </w:rPr>
      </w:pPr>
    </w:p>
    <w:p>
      <w:pPr>
        <w:ind w:left="820" w:right="200" w:hanging="4"/>
        <w:spacing w:after="0" w:line="295" w:lineRule="auto"/>
        <w:tabs>
          <w:tab w:leader="none" w:pos="1143" w:val="left"/>
        </w:tabs>
        <w:numPr>
          <w:ilvl w:val="0"/>
          <w:numId w:val="161"/>
        </w:numPr>
        <w:rPr>
          <w:rFonts w:ascii="Arial" w:cs="Arial" w:eastAsia="Arial" w:hAnsi="Arial"/>
          <w:sz w:val="16"/>
          <w:szCs w:val="16"/>
          <w:color w:val="auto"/>
        </w:rPr>
      </w:pPr>
      <w:r>
        <w:rPr>
          <w:rFonts w:ascii="Arial" w:cs="Arial" w:eastAsia="Arial" w:hAnsi="Arial"/>
          <w:sz w:val="16"/>
          <w:szCs w:val="16"/>
          <w:color w:val="auto"/>
        </w:rPr>
        <w:t>Notwithstanding the other provisions of this Section 7, in the event of a Change in Control, the Settlement Date shall be the date of such Change in Control and all amounts due with respect to Phantom Shares to a Grantee hereunder shall be paid as soon as practicable (but in no event more than 30 days) after such Change in Control, unless such Grantee elects otherwise in accordance with procedures established by the Committee.</w:t>
      </w:r>
    </w:p>
    <w:p>
      <w:pPr>
        <w:spacing w:after="0" w:line="94" w:lineRule="exact"/>
        <w:rPr>
          <w:rFonts w:ascii="Arial" w:cs="Arial" w:eastAsia="Arial" w:hAnsi="Arial"/>
          <w:sz w:val="16"/>
          <w:szCs w:val="16"/>
          <w:color w:val="auto"/>
        </w:rPr>
      </w:pPr>
    </w:p>
    <w:p>
      <w:pPr>
        <w:ind w:left="820" w:right="140" w:hanging="4"/>
        <w:spacing w:after="0" w:line="287" w:lineRule="auto"/>
        <w:tabs>
          <w:tab w:leader="none" w:pos="1143" w:val="left"/>
        </w:tabs>
        <w:numPr>
          <w:ilvl w:val="0"/>
          <w:numId w:val="161"/>
        </w:numPr>
        <w:rPr>
          <w:rFonts w:ascii="Arial" w:cs="Arial" w:eastAsia="Arial" w:hAnsi="Arial"/>
          <w:sz w:val="16"/>
          <w:szCs w:val="16"/>
          <w:color w:val="auto"/>
        </w:rPr>
      </w:pPr>
      <w:r>
        <w:rPr>
          <w:rFonts w:ascii="Arial" w:cs="Arial" w:eastAsia="Arial" w:hAnsi="Arial"/>
          <w:sz w:val="16"/>
          <w:szCs w:val="16"/>
          <w:color w:val="auto"/>
        </w:rPr>
        <w:t>Notwithstanding any other provision of the Plan, a Grantee may receive any amounts to be paid in installments as provided in Section 7.4(b) or deferred by the Grantee as provided in Section 7.4(c) in the event of an “Unforeseeable Emergency.” For these purposes, an “Unforeseeable Emergency,” as determined by the Committee in its sole discretion, is a severe financial hardship to the Grantee resulting from a sudden and unexpected illness or accident of the Grantee or “dependent,” as defined in Section 152(a) of the Code, of the Grantee, loss of the Grantee’s property due to casualty, or other similar extraordinary and unforeseeable circumstances arising as a result of events beyond the control of the Grantee. The circumstances that will constitute an Unforeseeable Emergency will depend upon the facts of each case, but, in any case, payment may not be made to the extent that such hardship is or may be relieved:</w:t>
      </w:r>
    </w:p>
    <w:p>
      <w:pPr>
        <w:spacing w:after="0" w:line="116" w:lineRule="exact"/>
        <w:rPr>
          <w:sz w:val="20"/>
          <w:szCs w:val="20"/>
          <w:color w:val="auto"/>
        </w:rPr>
      </w:pPr>
    </w:p>
    <w:p>
      <w:pPr>
        <w:ind w:left="1180" w:hanging="364"/>
        <w:spacing w:after="0"/>
        <w:tabs>
          <w:tab w:leader="none" w:pos="118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through reimbursement or compensation by insurance or otherwise,</w:t>
      </w:r>
    </w:p>
    <w:p>
      <w:pPr>
        <w:spacing w:after="0" w:line="180" w:lineRule="exact"/>
        <w:rPr>
          <w:rFonts w:ascii="Arial" w:cs="Arial" w:eastAsia="Arial" w:hAnsi="Arial"/>
          <w:sz w:val="16"/>
          <w:szCs w:val="16"/>
          <w:color w:val="auto"/>
        </w:rPr>
      </w:pPr>
    </w:p>
    <w:p>
      <w:pPr>
        <w:ind w:left="1180" w:right="440" w:hanging="364"/>
        <w:spacing w:after="0" w:line="321" w:lineRule="auto"/>
        <w:tabs>
          <w:tab w:leader="none" w:pos="118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by liquidation of the Grantee’s assets, to the extent the liquidation of such assets would not itself cause severe financial hardship, or</w:t>
      </w:r>
    </w:p>
    <w:p>
      <w:pPr>
        <w:spacing w:after="0" w:line="88" w:lineRule="exact"/>
        <w:rPr>
          <w:rFonts w:ascii="Arial" w:cs="Arial" w:eastAsia="Arial" w:hAnsi="Arial"/>
          <w:sz w:val="16"/>
          <w:szCs w:val="16"/>
          <w:color w:val="auto"/>
        </w:rPr>
      </w:pPr>
    </w:p>
    <w:p>
      <w:pPr>
        <w:ind w:left="1180" w:hanging="364"/>
        <w:spacing w:after="0"/>
        <w:tabs>
          <w:tab w:leader="none" w:pos="118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by future cessation of the making of additional deferrals under Section 7.4(b) and (c).</w:t>
      </w:r>
    </w:p>
    <w:p>
      <w:pPr>
        <w:spacing w:after="0" w:line="181" w:lineRule="exact"/>
        <w:rPr>
          <w:sz w:val="20"/>
          <w:szCs w:val="20"/>
          <w:color w:val="auto"/>
        </w:rPr>
      </w:pPr>
    </w:p>
    <w:p>
      <w:pPr>
        <w:ind w:left="820" w:right="300"/>
        <w:spacing w:after="0" w:line="301" w:lineRule="auto"/>
        <w:rPr>
          <w:sz w:val="20"/>
          <w:szCs w:val="20"/>
          <w:color w:val="auto"/>
        </w:rPr>
      </w:pPr>
      <w:r>
        <w:rPr>
          <w:rFonts w:ascii="Arial" w:cs="Arial" w:eastAsia="Arial" w:hAnsi="Arial"/>
          <w:sz w:val="16"/>
          <w:szCs w:val="16"/>
          <w:color w:val="auto"/>
        </w:rPr>
        <w:t>Without limitation, the need to send a Grantee’s child to college or the desire to purchase a home shall not constitute an Unforeseeable Emergency. Distributions of amounts because of an Unforeseeable Emergency shall be permitted to the extent reasonably needed to satisfy the emergency need.</w:t>
      </w:r>
    </w:p>
    <w:p>
      <w:pPr>
        <w:spacing w:after="0" w:line="10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 xml:space="preserve">7.5  </w:t>
      </w:r>
      <w:r>
        <w:rPr>
          <w:rFonts w:ascii="Arial" w:cs="Arial" w:eastAsia="Arial" w:hAnsi="Arial"/>
          <w:sz w:val="16"/>
          <w:szCs w:val="16"/>
          <w:b w:val="1"/>
          <w:bCs w:val="1"/>
          <w:u w:val="single" w:color="auto"/>
          <w:color w:val="auto"/>
        </w:rPr>
        <w:t>Other Phantom Share Provisions.</w:t>
      </w:r>
    </w:p>
    <w:p>
      <w:pPr>
        <w:spacing w:after="0" w:line="167" w:lineRule="exact"/>
        <w:rPr>
          <w:sz w:val="20"/>
          <w:szCs w:val="20"/>
          <w:color w:val="auto"/>
        </w:rPr>
      </w:pPr>
    </w:p>
    <w:p>
      <w:pPr>
        <w:ind w:left="820" w:right="80" w:hanging="4"/>
        <w:spacing w:after="0" w:line="295" w:lineRule="auto"/>
        <w:tabs>
          <w:tab w:leader="none" w:pos="1143" w:val="left"/>
        </w:tabs>
        <w:numPr>
          <w:ilvl w:val="0"/>
          <w:numId w:val="163"/>
        </w:numPr>
        <w:rPr>
          <w:rFonts w:ascii="Arial" w:cs="Arial" w:eastAsia="Arial" w:hAnsi="Arial"/>
          <w:sz w:val="16"/>
          <w:szCs w:val="16"/>
          <w:color w:val="auto"/>
        </w:rPr>
      </w:pPr>
      <w:r>
        <w:rPr>
          <w:rFonts w:ascii="Arial" w:cs="Arial" w:eastAsia="Arial" w:hAnsi="Arial"/>
          <w:sz w:val="16"/>
          <w:szCs w:val="16"/>
          <w:color w:val="auto"/>
        </w:rPr>
        <w:t>Rights to payments with respect to Phantom Shares granted under the Plan shall not be subject in any manner to anticipation, alienation, sale, transfer, assignment, pledge, encumbrance, attachment, garnishment, levy, execution, or other legal or equitable process, either voluntary or involuntary; and any attempt to anticipate, alienate, sell, transfer, assign, pledge, encumber, attach or garnish, or levy or execute on any right to payments or other benefits payable hereunder, shall be 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47625</wp:posOffset>
            </wp:positionV>
            <wp:extent cx="6831965" cy="425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119" w:name="page120"/>
    <w:bookmarkEnd w:id="119"/>
    <w:p>
      <w:pPr>
        <w:spacing w:after="0"/>
        <w:rPr>
          <w:sz w:val="20"/>
          <w:szCs w:val="20"/>
          <w:color w:val="auto"/>
        </w:rPr>
      </w:pPr>
      <w:r>
        <w:rPr>
          <w:rFonts w:ascii="Calibri" w:cs="Calibri" w:eastAsia="Calibri" w:hAnsi="Calibri"/>
          <w:sz w:val="14"/>
          <w:szCs w:val="14"/>
          <w:color w:val="003366"/>
        </w:rPr>
        <w:t>TABLE OF CONTENTS</w:t>
      </w:r>
    </w:p>
    <w:p>
      <w:pPr>
        <w:spacing w:after="0" w:line="298" w:lineRule="exact"/>
        <w:rPr>
          <w:sz w:val="20"/>
          <w:szCs w:val="20"/>
          <w:color w:val="auto"/>
        </w:rPr>
      </w:pPr>
    </w:p>
    <w:tbl>
      <w:tblPr>
        <w:tblLayout w:type="fixed"/>
        <w:tblInd w:w="820" w:type="dxa"/>
        <w:tblCellMar>
          <w:top w:w="0" w:type="dxa"/>
          <w:left w:w="0" w:type="dxa"/>
          <w:bottom w:w="0" w:type="dxa"/>
          <w:right w:w="0" w:type="dxa"/>
        </w:tblCellMar>
      </w:tblPr>
      <w:tr>
        <w:trPr>
          <w:trHeight w:val="253"/>
        </w:trPr>
        <w:tc>
          <w:tcPr>
            <w:tcW w:w="4540" w:type="dxa"/>
            <w:vAlign w:val="bottom"/>
          </w:tcPr>
          <w:p>
            <w:pPr>
              <w:spacing w:after="0"/>
              <w:rPr>
                <w:sz w:val="20"/>
                <w:szCs w:val="20"/>
                <w:color w:val="auto"/>
              </w:rPr>
            </w:pPr>
            <w:r>
              <w:rPr>
                <w:rFonts w:ascii="Arial" w:cs="Arial" w:eastAsia="Arial" w:hAnsi="Arial"/>
                <w:sz w:val="14"/>
                <w:szCs w:val="14"/>
                <w:b w:val="1"/>
                <w:bCs w:val="1"/>
                <w:color w:val="auto"/>
              </w:rPr>
              <w:t>APPENDIX A</w:t>
            </w:r>
          </w:p>
        </w:tc>
        <w:tc>
          <w:tcPr>
            <w:tcW w:w="3940" w:type="dxa"/>
            <w:vAlign w:val="bottom"/>
            <w:vMerge w:val="restart"/>
          </w:tcPr>
          <w:p>
            <w:pPr>
              <w:ind w:left="3660"/>
              <w:spacing w:after="0"/>
              <w:rPr>
                <w:sz w:val="20"/>
                <w:szCs w:val="20"/>
                <w:color w:val="auto"/>
              </w:rPr>
            </w:pPr>
            <w:r>
              <w:rPr>
                <w:rFonts w:ascii="Arial" w:cs="Arial" w:eastAsia="Arial" w:hAnsi="Arial"/>
                <w:sz w:val="14"/>
                <w:szCs w:val="14"/>
                <w:b w:val="1"/>
                <w:bCs w:val="1"/>
                <w:color w:val="auto"/>
              </w:rPr>
              <w:t>​ ​</w:t>
            </w:r>
          </w:p>
        </w:tc>
        <w:tc>
          <w:tcPr>
            <w:tcW w:w="580" w:type="dxa"/>
            <w:vAlign w:val="bottom"/>
          </w:tcPr>
          <w:p>
            <w:pPr>
              <w:ind w:left="120"/>
              <w:spacing w:after="0"/>
              <w:rPr>
                <w:sz w:val="20"/>
                <w:szCs w:val="20"/>
                <w:color w:val="auto"/>
              </w:rPr>
            </w:pPr>
            <w:r>
              <w:rPr>
                <w:rFonts w:ascii="Arial" w:cs="Arial" w:eastAsia="Arial" w:hAnsi="Arial"/>
                <w:sz w:val="22"/>
                <w:szCs w:val="22"/>
                <w:b w:val="1"/>
                <w:bCs w:val="1"/>
                <w:color w:val="1F2668"/>
                <w:w w:val="92"/>
              </w:rPr>
              <w:t>A-11</w:t>
            </w:r>
          </w:p>
        </w:tc>
        <w:tc>
          <w:tcPr>
            <w:tcW w:w="4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4540" w:type="dxa"/>
            <w:vAlign w:val="bottom"/>
          </w:tcPr>
          <w:p>
            <w:pPr>
              <w:spacing w:after="0"/>
              <w:rPr>
                <w:sz w:val="20"/>
                <w:szCs w:val="20"/>
                <w:color w:val="auto"/>
              </w:rPr>
            </w:pPr>
            <w:r>
              <w:rPr>
                <w:rFonts w:ascii="Arial" w:cs="Arial" w:eastAsia="Arial" w:hAnsi="Arial"/>
                <w:sz w:val="14"/>
                <w:szCs w:val="14"/>
                <w:b w:val="1"/>
                <w:bCs w:val="1"/>
                <w:color w:val="auto"/>
              </w:rPr>
              <w:t>​</w:t>
            </w:r>
          </w:p>
        </w:tc>
        <w:tc>
          <w:tcPr>
            <w:tcW w:w="394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7" w:lineRule="exact"/>
        <w:rPr>
          <w:sz w:val="20"/>
          <w:szCs w:val="20"/>
          <w:color w:val="auto"/>
        </w:rPr>
      </w:pPr>
    </w:p>
    <w:p>
      <w:pPr>
        <w:ind w:left="820" w:right="80" w:hanging="4"/>
        <w:spacing w:after="0" w:line="312" w:lineRule="auto"/>
        <w:tabs>
          <w:tab w:leader="none" w:pos="1134" w:val="left"/>
        </w:tabs>
        <w:numPr>
          <w:ilvl w:val="0"/>
          <w:numId w:val="164"/>
        </w:numPr>
        <w:rPr>
          <w:rFonts w:ascii="Arial" w:cs="Arial" w:eastAsia="Arial" w:hAnsi="Arial"/>
          <w:sz w:val="15"/>
          <w:szCs w:val="15"/>
          <w:color w:val="auto"/>
        </w:rPr>
      </w:pPr>
      <w:r>
        <w:rPr>
          <w:rFonts w:ascii="Arial" w:cs="Arial" w:eastAsia="Arial" w:hAnsi="Arial"/>
          <w:sz w:val="15"/>
          <w:szCs w:val="15"/>
          <w:color w:val="auto"/>
        </w:rPr>
        <w:t>A Grantee may designate in writing, on forms to be prescribed by the Committee, a beneficiary or beneficiaries to receive any payments payable after his or her death and may amend or revoke such designation at any time. If no beneficiary designation is in effect at the time of a Grantee’s death, payments hereunder shall be made to the Grantee’s estate. If a Grantee with a vested Phantom Share dies, such Phantom Share shall be settled and the Phantom Share Value in respect of such Phantom Shares paid, and any payments deferred pursuant to an election under Section 7.4(c) shall be accelerated and paid, as soon as practicable (but no later than 60 days) after the date of death to such Grantee’s beneficiary or estate, as applicable.</w:t>
      </w:r>
    </w:p>
    <w:p>
      <w:pPr>
        <w:spacing w:after="0" w:line="99" w:lineRule="exact"/>
        <w:rPr>
          <w:rFonts w:ascii="Arial" w:cs="Arial" w:eastAsia="Arial" w:hAnsi="Arial"/>
          <w:sz w:val="15"/>
          <w:szCs w:val="15"/>
          <w:color w:val="auto"/>
        </w:rPr>
      </w:pPr>
    </w:p>
    <w:p>
      <w:pPr>
        <w:ind w:left="820" w:right="80" w:hanging="4"/>
        <w:spacing w:after="0" w:line="291" w:lineRule="auto"/>
        <w:tabs>
          <w:tab w:leader="none" w:pos="1131"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Committee may establish a program under which distributions with respect to Phantom Shares may be deferred for periods in addition to those otherwise contemplated by foregoing provisions of this Section 7. Such program may include, without limitation, provisions for the crediting of earnings and losses on unpaid amounts, and, if permitted by the Committee, provisions under which Participants may select from among hypothetical investment alternatives for such deferred amounts in accordance with procedures established by the Committee.</w:t>
      </w:r>
    </w:p>
    <w:p>
      <w:pPr>
        <w:spacing w:after="0" w:line="113" w:lineRule="exact"/>
        <w:rPr>
          <w:rFonts w:ascii="Arial" w:cs="Arial" w:eastAsia="Arial" w:hAnsi="Arial"/>
          <w:sz w:val="16"/>
          <w:szCs w:val="16"/>
          <w:color w:val="auto"/>
        </w:rPr>
      </w:pPr>
    </w:p>
    <w:p>
      <w:pPr>
        <w:ind w:left="820" w:right="180" w:hanging="4"/>
        <w:spacing w:after="0" w:line="321" w:lineRule="auto"/>
        <w:tabs>
          <w:tab w:leader="none" w:pos="1143" w:val="left"/>
        </w:tabs>
        <w:numPr>
          <w:ilvl w:val="0"/>
          <w:numId w:val="164"/>
        </w:numPr>
        <w:rPr>
          <w:rFonts w:ascii="Arial" w:cs="Arial" w:eastAsia="Arial" w:hAnsi="Arial"/>
          <w:sz w:val="16"/>
          <w:szCs w:val="16"/>
          <w:color w:val="auto"/>
        </w:rPr>
      </w:pPr>
      <w:r>
        <w:rPr>
          <w:rFonts w:ascii="Arial" w:cs="Arial" w:eastAsia="Arial" w:hAnsi="Arial"/>
          <w:sz w:val="16"/>
          <w:szCs w:val="16"/>
          <w:color w:val="auto"/>
        </w:rPr>
        <w:t>Notwithstanding any other provision of this Section 7, any fractional Phantom Share will be paid out in cash at the Phantom Share Value as of the Settlement Date.</w:t>
      </w:r>
    </w:p>
    <w:p>
      <w:pPr>
        <w:spacing w:after="0" w:line="74" w:lineRule="exact"/>
        <w:rPr>
          <w:rFonts w:ascii="Arial" w:cs="Arial" w:eastAsia="Arial" w:hAnsi="Arial"/>
          <w:sz w:val="16"/>
          <w:szCs w:val="16"/>
          <w:color w:val="auto"/>
        </w:rPr>
      </w:pPr>
    </w:p>
    <w:p>
      <w:pPr>
        <w:ind w:left="820" w:right="80" w:hanging="4"/>
        <w:spacing w:after="0" w:line="301" w:lineRule="auto"/>
        <w:tabs>
          <w:tab w:leader="none" w:pos="1143" w:val="left"/>
        </w:tabs>
        <w:numPr>
          <w:ilvl w:val="0"/>
          <w:numId w:val="164"/>
        </w:numPr>
        <w:rPr>
          <w:rFonts w:ascii="Arial" w:cs="Arial" w:eastAsia="Arial" w:hAnsi="Arial"/>
          <w:sz w:val="16"/>
          <w:szCs w:val="16"/>
          <w:color w:val="auto"/>
        </w:rPr>
      </w:pPr>
      <w:r>
        <w:rPr>
          <w:rFonts w:ascii="Arial" w:cs="Arial" w:eastAsia="Arial" w:hAnsi="Arial"/>
          <w:sz w:val="16"/>
          <w:szCs w:val="16"/>
          <w:color w:val="auto"/>
        </w:rPr>
        <w:t>No Phantom Share shall be construed to give any Grantee any rights with respect to Shares or any ownership interest in the Company. Except as may be provided in accordance with Section 8, no provision of the Plan shall be interpreted to confer upon any Grantee any voting, dividend or derivative or other similar rights with respect to any Phantom Share.</w:t>
      </w:r>
    </w:p>
    <w:p>
      <w:pPr>
        <w:spacing w:after="0" w:line="10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 xml:space="preserve">7.6  </w:t>
      </w:r>
      <w:r>
        <w:rPr>
          <w:rFonts w:ascii="Arial" w:cs="Arial" w:eastAsia="Arial" w:hAnsi="Arial"/>
          <w:sz w:val="16"/>
          <w:szCs w:val="16"/>
          <w:b w:val="1"/>
          <w:bCs w:val="1"/>
          <w:u w:val="single" w:color="auto"/>
          <w:color w:val="auto"/>
        </w:rPr>
        <w:t>Claims Procedures.</w:t>
      </w:r>
    </w:p>
    <w:p>
      <w:pPr>
        <w:spacing w:after="0" w:line="181" w:lineRule="exact"/>
        <w:rPr>
          <w:sz w:val="20"/>
          <w:szCs w:val="20"/>
          <w:color w:val="auto"/>
        </w:rPr>
      </w:pPr>
    </w:p>
    <w:p>
      <w:pPr>
        <w:ind w:left="820" w:right="40" w:hanging="4"/>
        <w:spacing w:after="0" w:line="289" w:lineRule="auto"/>
        <w:tabs>
          <w:tab w:leader="none" w:pos="114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To the extent that the Plan is determined by the Committee to be subject to the Employee Retirement Income Security Act of 1974, as amended, the Grantee, or his beneficiary hereunder or authorized representative, may file a claim for payments with respect to Phantom Shares under the Plan by written communication to the Committee or its designee. A claim is not considered filed until such communication is actually received. Within 90 days (or, if special circumstances require an extension of time for processing, 180 days, in which case notice of such special circumstances should be provided within the initial 90-day period) after the filing of the claim, the Committee will either:</w:t>
      </w:r>
    </w:p>
    <w:p>
      <w:pPr>
        <w:spacing w:after="0" w:line="102" w:lineRule="exact"/>
        <w:rPr>
          <w:sz w:val="20"/>
          <w:szCs w:val="20"/>
          <w:color w:val="auto"/>
        </w:rPr>
      </w:pPr>
    </w:p>
    <w:p>
      <w:pPr>
        <w:ind w:left="1180" w:hanging="364"/>
        <w:spacing w:after="0"/>
        <w:tabs>
          <w:tab w:leader="none" w:pos="118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approve the claim and take appropriate steps for satisfaction of the claim; or</w:t>
      </w:r>
    </w:p>
    <w:p>
      <w:pPr>
        <w:spacing w:after="0" w:line="180" w:lineRule="exact"/>
        <w:rPr>
          <w:rFonts w:ascii="Arial" w:cs="Arial" w:eastAsia="Arial" w:hAnsi="Arial"/>
          <w:sz w:val="16"/>
          <w:szCs w:val="16"/>
          <w:color w:val="auto"/>
        </w:rPr>
      </w:pPr>
    </w:p>
    <w:p>
      <w:pPr>
        <w:ind w:left="1180" w:right="40" w:hanging="364"/>
        <w:spacing w:after="0" w:line="288" w:lineRule="auto"/>
        <w:tabs>
          <w:tab w:leader="none" w:pos="118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if the claim is wholly or partially denied, advise the claimant of such denial by furnishing to him a written notice of such denial setting forth (A) the specific reason or reasons for the denial; (B) specific reference to pertinent provisions of the Plan on which the denial is based and, if the denial is based in whole or in part on any rule of construction or interpretation adopted by the Committee, a reference to such rule, a copy of which shall be provided to the claimant; (C) a description of any additional material or information necessary for the claimant to perfect the claim and an explanation of the reasons why such material or information is necessary; and (D) a reference to this Section 7.6 as the provision setting forth the claims procedure under the Plan.</w:t>
      </w:r>
    </w:p>
    <w:p>
      <w:pPr>
        <w:spacing w:after="0" w:line="115" w:lineRule="exact"/>
        <w:rPr>
          <w:sz w:val="20"/>
          <w:szCs w:val="20"/>
          <w:color w:val="auto"/>
        </w:rPr>
      </w:pPr>
    </w:p>
    <w:p>
      <w:pPr>
        <w:ind w:left="820" w:right="40" w:hanging="4"/>
        <w:spacing w:after="0" w:line="289" w:lineRule="auto"/>
        <w:tabs>
          <w:tab w:leader="none" w:pos="114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claimant may request a review of any denial of his claim by written application to the Committee within 60 days after receipt of the notice of denial of such claim. Within 60 days (or, if special circumstances require an extension of time for processing, 120 days, in which case notice of such special circumstances should be provided within the initial 60-day period) after receipt of written application for review, the Committee will provide the claimant with its decision in writing, including, if the claimant’s claim is not approved, specific reasons for the decision and specific references to the Plan provisions on which the decision is based.</w:t>
      </w:r>
    </w:p>
    <w:p>
      <w:pPr>
        <w:spacing w:after="0" w:line="102" w:lineRule="exact"/>
        <w:rPr>
          <w:sz w:val="20"/>
          <w:szCs w:val="20"/>
          <w:color w:val="auto"/>
        </w:rPr>
      </w:pPr>
    </w:p>
    <w:p>
      <w:pPr>
        <w:ind w:left="820" w:right="3980" w:hanging="4"/>
        <w:spacing w:after="0" w:line="475" w:lineRule="auto"/>
        <w:tabs>
          <w:tab w:leader="none" w:pos="1082" w:val="left"/>
        </w:tabs>
        <w:numPr>
          <w:ilvl w:val="0"/>
          <w:numId w:val="16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PROVISIONS APPLICABLE TO DIVIDEND EQUIVALENT RIGHTS. </w:t>
      </w:r>
      <w:r>
        <w:rPr>
          <w:rFonts w:ascii="Arial" w:cs="Arial" w:eastAsia="Arial" w:hAnsi="Arial"/>
          <w:sz w:val="16"/>
          <w:szCs w:val="16"/>
          <w:b w:val="1"/>
          <w:bCs w:val="1"/>
          <w:color w:val="auto"/>
        </w:rPr>
        <w:t xml:space="preserve">8.1 </w:t>
      </w:r>
      <w:r>
        <w:rPr>
          <w:rFonts w:ascii="Arial" w:cs="Arial" w:eastAsia="Arial" w:hAnsi="Arial"/>
          <w:sz w:val="16"/>
          <w:szCs w:val="16"/>
          <w:b w:val="1"/>
          <w:bCs w:val="1"/>
          <w:u w:val="single" w:color="auto"/>
          <w:color w:val="auto"/>
        </w:rPr>
        <w:t>Grant of Dividend Equivalent Rights.</w:t>
      </w:r>
    </w:p>
    <w:p>
      <w:pPr>
        <w:spacing w:after="0" w:line="1" w:lineRule="exact"/>
        <w:rPr>
          <w:sz w:val="20"/>
          <w:szCs w:val="20"/>
          <w:color w:val="auto"/>
        </w:rPr>
      </w:pPr>
    </w:p>
    <w:p>
      <w:pPr>
        <w:ind w:left="820" w:right="100"/>
        <w:spacing w:after="0" w:line="307" w:lineRule="auto"/>
        <w:rPr>
          <w:sz w:val="20"/>
          <w:szCs w:val="20"/>
          <w:color w:val="auto"/>
        </w:rPr>
      </w:pPr>
      <w:r>
        <w:rPr>
          <w:rFonts w:ascii="Arial" w:cs="Arial" w:eastAsia="Arial" w:hAnsi="Arial"/>
          <w:sz w:val="15"/>
          <w:szCs w:val="15"/>
          <w:color w:val="auto"/>
        </w:rPr>
        <w:t>Subject to the other terms of the Plan, the Committee shall, in its discretion as reflected by the terms of the Award Agreements, authorize the granting of Dividend Equivalent Rights to Eligible Persons based on the regular cash dividends declared on Common Stock, to be credited as of the dividend payment dates, during the period between the date an Award is granted, and the date such Award is exercised, vests or expires, as determined by the Committee; provided, however, that in no event may a Dividend Equivalent Right be granted in connection with an Option or a Stock Appreciation Right. Such Dividend Equivalent Rights shall be converted to cash or additional Shares by such formula and at such time and subject to such limitation as may be determined by the Committee. If a Dividend Equivalent Right is granted in respect of an Award hereunder (other than an Option or Stock Appreciation Right), then, unless otherwise stated in the Award Agreement, in no event shall the Dividend Equivalent Right be in effect for a period beyond the time during which the applicable portion of the underlying Award is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46990</wp:posOffset>
            </wp:positionV>
            <wp:extent cx="6831965" cy="425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bookmarkStart w:id="120" w:name="page121"/>
    <w:bookmarkEnd w:id="1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p>
      <w:pPr>
        <w:ind w:left="820"/>
        <w:spacing w:after="0"/>
        <w:tabs>
          <w:tab w:leader="none" w:pos="9860" w:val="left"/>
        </w:tabs>
        <w:rPr>
          <w:sz w:val="20"/>
          <w:szCs w:val="20"/>
          <w:color w:val="auto"/>
        </w:rPr>
      </w:pPr>
      <w:r>
        <w:rPr>
          <w:rFonts w:ascii="Arial" w:cs="Arial" w:eastAsia="Arial" w:hAnsi="Arial"/>
          <w:sz w:val="22"/>
          <w:szCs w:val="22"/>
          <w:b w:val="1"/>
          <w:bCs w:val="1"/>
          <w:color w:val="1F2668"/>
        </w:rPr>
        <w:t xml:space="preserve">A​-12  ​ ​ </w:t>
      </w:r>
      <w:r>
        <w:rPr>
          <w:rFonts w:ascii="Arial" w:cs="Arial" w:eastAsia="Arial" w:hAnsi="Arial"/>
          <w:sz w:val="14"/>
          <w:szCs w:val="14"/>
          <w:b w:val="1"/>
          <w:bCs w:val="1"/>
          <w:color w:val="1F2668"/>
        </w:rPr>
        <w:t>SL GREEN REALTY CORP. 2025 PROXY STATEMENT</w:t>
      </w:r>
      <w:r>
        <w:rPr>
          <w:sz w:val="20"/>
          <w:szCs w:val="20"/>
          <w:color w:val="auto"/>
        </w:rPr>
        <w:tab/>
      </w:r>
      <w:r>
        <w:rPr>
          <w:rFonts w:ascii="Arial" w:cs="Arial" w:eastAsia="Arial" w:hAnsi="Arial"/>
          <w:sz w:val="22"/>
          <w:szCs w:val="22"/>
          <w:b w:val="1"/>
          <w:bCs w:val="1"/>
          <w:color w:val="1F2668"/>
        </w:rPr>
        <w:t>​</w:t>
      </w:r>
    </w:p>
    <w:p>
      <w:pPr>
        <w:spacing w:after="0" w:line="200" w:lineRule="exact"/>
        <w:rPr>
          <w:sz w:val="20"/>
          <w:szCs w:val="20"/>
          <w:color w:val="auto"/>
        </w:rPr>
      </w:pPr>
    </w:p>
    <w:p>
      <w:pPr>
        <w:spacing w:after="0" w:line="30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 xml:space="preserve">8.2  </w:t>
      </w:r>
      <w:r>
        <w:rPr>
          <w:rFonts w:ascii="Arial" w:cs="Arial" w:eastAsia="Arial" w:hAnsi="Arial"/>
          <w:sz w:val="16"/>
          <w:szCs w:val="16"/>
          <w:b w:val="1"/>
          <w:bCs w:val="1"/>
          <w:u w:val="single" w:color="auto"/>
          <w:color w:val="auto"/>
        </w:rPr>
        <w:t>Certain Terms.</w:t>
      </w:r>
    </w:p>
    <w:p>
      <w:pPr>
        <w:spacing w:after="0" w:line="181" w:lineRule="exact"/>
        <w:rPr>
          <w:sz w:val="20"/>
          <w:szCs w:val="20"/>
          <w:color w:val="auto"/>
        </w:rPr>
      </w:pPr>
    </w:p>
    <w:p>
      <w:pPr>
        <w:ind w:left="1140" w:hanging="324"/>
        <w:spacing w:after="0"/>
        <w:tabs>
          <w:tab w:leader="none" w:pos="114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term of a Dividend Equivalent Right shall be set by the Committee in its discretion.</w:t>
      </w:r>
    </w:p>
    <w:p>
      <w:pPr>
        <w:spacing w:after="0" w:line="167" w:lineRule="exact"/>
        <w:rPr>
          <w:rFonts w:ascii="Arial" w:cs="Arial" w:eastAsia="Arial" w:hAnsi="Arial"/>
          <w:sz w:val="16"/>
          <w:szCs w:val="16"/>
          <w:color w:val="auto"/>
        </w:rPr>
      </w:pPr>
    </w:p>
    <w:p>
      <w:pPr>
        <w:ind w:left="820" w:right="460" w:hanging="4"/>
        <w:spacing w:after="0" w:line="304" w:lineRule="auto"/>
        <w:tabs>
          <w:tab w:leader="none" w:pos="1143" w:val="left"/>
        </w:tabs>
        <w:numPr>
          <w:ilvl w:val="0"/>
          <w:numId w:val="169"/>
        </w:numPr>
        <w:rPr>
          <w:rFonts w:ascii="Arial" w:cs="Arial" w:eastAsia="Arial" w:hAnsi="Arial"/>
          <w:sz w:val="16"/>
          <w:szCs w:val="16"/>
          <w:color w:val="auto"/>
        </w:rPr>
      </w:pPr>
      <w:r>
        <w:rPr>
          <w:rFonts w:ascii="Arial" w:cs="Arial" w:eastAsia="Arial" w:hAnsi="Arial"/>
          <w:sz w:val="16"/>
          <w:szCs w:val="16"/>
          <w:color w:val="auto"/>
        </w:rPr>
        <w:t>Unless otherwise determined by the Committee, except as contemplated by Section 8.4, a Dividend Equivalent Right is exercisable or payable only while the Participant is an Eligible Person.</w:t>
      </w:r>
    </w:p>
    <w:p>
      <w:pPr>
        <w:spacing w:after="0" w:line="87" w:lineRule="exact"/>
        <w:rPr>
          <w:rFonts w:ascii="Arial" w:cs="Arial" w:eastAsia="Arial" w:hAnsi="Arial"/>
          <w:sz w:val="16"/>
          <w:szCs w:val="16"/>
          <w:color w:val="auto"/>
        </w:rPr>
      </w:pPr>
    </w:p>
    <w:p>
      <w:pPr>
        <w:ind w:left="820" w:right="280" w:hanging="4"/>
        <w:spacing w:after="0" w:line="304" w:lineRule="auto"/>
        <w:tabs>
          <w:tab w:leader="none" w:pos="1134" w:val="left"/>
        </w:tabs>
        <w:numPr>
          <w:ilvl w:val="0"/>
          <w:numId w:val="169"/>
        </w:numPr>
        <w:rPr>
          <w:rFonts w:ascii="Arial" w:cs="Arial" w:eastAsia="Arial" w:hAnsi="Arial"/>
          <w:sz w:val="16"/>
          <w:szCs w:val="16"/>
          <w:color w:val="auto"/>
        </w:rPr>
      </w:pPr>
      <w:r>
        <w:rPr>
          <w:rFonts w:ascii="Arial" w:cs="Arial" w:eastAsia="Arial" w:hAnsi="Arial"/>
          <w:sz w:val="16"/>
          <w:szCs w:val="16"/>
          <w:color w:val="auto"/>
        </w:rPr>
        <w:t>Payment of the amount determined in accordance with Section 8.1 shall be in cash, in Common Stock or a combination of the both, as determined by the Committee.</w:t>
      </w:r>
    </w:p>
    <w:p>
      <w:pPr>
        <w:spacing w:after="0" w:line="87" w:lineRule="exact"/>
        <w:rPr>
          <w:rFonts w:ascii="Arial" w:cs="Arial" w:eastAsia="Arial" w:hAnsi="Arial"/>
          <w:sz w:val="16"/>
          <w:szCs w:val="16"/>
          <w:color w:val="auto"/>
        </w:rPr>
      </w:pPr>
    </w:p>
    <w:p>
      <w:pPr>
        <w:ind w:left="820" w:right="320" w:hanging="4"/>
        <w:spacing w:after="0" w:line="321" w:lineRule="auto"/>
        <w:tabs>
          <w:tab w:leader="none" w:pos="114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Committee may impose such employment-related conditions on the grant of a Dividend Equivalent Right as it deems appropriate in its discretion.</w:t>
      </w:r>
    </w:p>
    <w:p>
      <w:pPr>
        <w:spacing w:after="0" w:line="74" w:lineRule="exact"/>
        <w:rPr>
          <w:rFonts w:ascii="Arial" w:cs="Arial" w:eastAsia="Arial" w:hAnsi="Arial"/>
          <w:sz w:val="16"/>
          <w:szCs w:val="16"/>
          <w:color w:val="auto"/>
        </w:rPr>
      </w:pPr>
    </w:p>
    <w:p>
      <w:pPr>
        <w:ind w:left="820" w:right="120" w:hanging="4"/>
        <w:spacing w:after="0" w:line="311" w:lineRule="auto"/>
        <w:tabs>
          <w:tab w:leader="none" w:pos="1134" w:val="left"/>
        </w:tabs>
        <w:numPr>
          <w:ilvl w:val="0"/>
          <w:numId w:val="169"/>
        </w:numPr>
        <w:rPr>
          <w:rFonts w:ascii="Arial" w:cs="Arial" w:eastAsia="Arial" w:hAnsi="Arial"/>
          <w:sz w:val="15"/>
          <w:szCs w:val="15"/>
          <w:color w:val="auto"/>
        </w:rPr>
      </w:pPr>
      <w:r>
        <w:rPr>
          <w:rFonts w:ascii="Arial" w:cs="Arial" w:eastAsia="Arial" w:hAnsi="Arial"/>
          <w:sz w:val="15"/>
          <w:szCs w:val="15"/>
          <w:color w:val="auto"/>
        </w:rPr>
        <w:t>A Dividend Equivalent Right granted with respect to an Award subject to performance-based vesting, or forfeiture based on the failure to meet performance-based conditions (i.e., conditions other than the continued service or employment of the Grantee through a certain date), may not be exercisable or payable unless and until the performance-based conditions have been met.</w:t>
      </w:r>
    </w:p>
    <w:p>
      <w:pPr>
        <w:spacing w:after="0" w:line="99"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 xml:space="preserve">8.3  </w:t>
      </w:r>
      <w:r>
        <w:rPr>
          <w:rFonts w:ascii="Arial" w:cs="Arial" w:eastAsia="Arial" w:hAnsi="Arial"/>
          <w:sz w:val="16"/>
          <w:szCs w:val="16"/>
          <w:b w:val="1"/>
          <w:bCs w:val="1"/>
          <w:u w:val="single" w:color="auto"/>
          <w:color w:val="auto"/>
        </w:rPr>
        <w:t>Other Types of Dividend Equivalent Rights.</w:t>
      </w:r>
    </w:p>
    <w:p>
      <w:pPr>
        <w:spacing w:after="0" w:line="167" w:lineRule="exact"/>
        <w:rPr>
          <w:sz w:val="20"/>
          <w:szCs w:val="20"/>
          <w:color w:val="auto"/>
        </w:rPr>
      </w:pPr>
    </w:p>
    <w:p>
      <w:pPr>
        <w:ind w:left="820" w:right="80"/>
        <w:spacing w:after="0" w:line="283" w:lineRule="auto"/>
        <w:rPr>
          <w:sz w:val="20"/>
          <w:szCs w:val="20"/>
          <w:color w:val="auto"/>
        </w:rPr>
      </w:pPr>
      <w:r>
        <w:rPr>
          <w:rFonts w:ascii="Arial" w:cs="Arial" w:eastAsia="Arial" w:hAnsi="Arial"/>
          <w:sz w:val="16"/>
          <w:szCs w:val="16"/>
          <w:color w:val="auto"/>
        </w:rPr>
        <w:t>The Committee may establish a program under which Dividend Equivalent Rights of a type whether or not described in the foregoing provisions of this Section 8 may be granted to Participants. For example, and without limitation, the Committee may grant a dividend equivalent right with respect to a Phantom Share, which right would consist of the right (subject to Section 8.4) to receive a cash payment in an amount equal to the dividend distributions paid on a Share from time to time.</w:t>
      </w:r>
    </w:p>
    <w:p>
      <w:pPr>
        <w:spacing w:after="0" w:line="11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 xml:space="preserve">8.4  </w:t>
      </w:r>
      <w:r>
        <w:rPr>
          <w:rFonts w:ascii="Arial" w:cs="Arial" w:eastAsia="Arial" w:hAnsi="Arial"/>
          <w:sz w:val="16"/>
          <w:szCs w:val="16"/>
          <w:b w:val="1"/>
          <w:bCs w:val="1"/>
          <w:u w:val="single" w:color="auto"/>
          <w:color w:val="auto"/>
        </w:rPr>
        <w:t>Deferral.</w:t>
      </w:r>
    </w:p>
    <w:p>
      <w:pPr>
        <w:spacing w:after="0" w:line="167" w:lineRule="exact"/>
        <w:rPr>
          <w:sz w:val="20"/>
          <w:szCs w:val="20"/>
          <w:color w:val="auto"/>
        </w:rPr>
      </w:pPr>
    </w:p>
    <w:p>
      <w:pPr>
        <w:ind w:left="820" w:right="120"/>
        <w:spacing w:after="0" w:line="288" w:lineRule="auto"/>
        <w:rPr>
          <w:sz w:val="20"/>
          <w:szCs w:val="20"/>
          <w:color w:val="auto"/>
        </w:rPr>
      </w:pPr>
      <w:r>
        <w:rPr>
          <w:rFonts w:ascii="Arial" w:cs="Arial" w:eastAsia="Arial" w:hAnsi="Arial"/>
          <w:sz w:val="16"/>
          <w:szCs w:val="16"/>
          <w:color w:val="auto"/>
        </w:rPr>
        <w:t>The Committee may establish a program (taking into account, without limitation, the possible application of Section 409A of the Code, as the Committee may deem appropriate) under which Participants (i) will have Phantom Shares credited, subject to the terms of Sections 7.4 and 7.5 as though directly applicable with respect thereto, upon the granting of Dividend Equivalent Rights, or (ii) will have payments with respect to Dividend Equivalent Rights deferred. In the case of the foregoing clause (ii), such program may include, without limitation, provisions for the crediting of earnings and losses on unpaid amounts, and, if permitted by the Committee, provisions under which Participants may select from among hypothetical investment alternatives for such deferred amounts in accordance with procedures established by the Committee.</w:t>
      </w:r>
    </w:p>
    <w:p>
      <w:pPr>
        <w:spacing w:after="0" w:line="115" w:lineRule="exact"/>
        <w:rPr>
          <w:sz w:val="20"/>
          <w:szCs w:val="20"/>
          <w:color w:val="auto"/>
        </w:rPr>
      </w:pPr>
    </w:p>
    <w:p>
      <w:pPr>
        <w:ind w:left="820" w:right="60" w:hanging="4"/>
        <w:spacing w:after="0" w:line="284" w:lineRule="auto"/>
        <w:tabs>
          <w:tab w:leader="none" w:pos="1082" w:val="left"/>
        </w:tabs>
        <w:numPr>
          <w:ilvl w:val="0"/>
          <w:numId w:val="17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OTHER EQUITY-BASED AWARDS.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shall have the right (i) to grant other Awards based upon the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having such terms and conditions as the Committee may determine, including, without limitation, the grant of shares based upon certain conditions, the grant of convertible preferred shares, convertible debentures and other exchangeable or redeemable securities or equity interests, and the grant of stock appreciation rights, (ii) to grant limited-partnership or any other membership or ownership interests (which may be expressed as units or otherwise) in a Subsidiary or operating or other partnership (or other affiliate of the Company), with any Shares being issued in connection with the conversion of (or other distribution on account of) an interest granted under the authority of this clause (ii) to be subject, for the avoidance of doubt, to Section 4 and the other provisions of the Plan, and (iii) to grant Awards valued by reference to book value, fair value or performance parameters relative to the Company or any Subsidiary or group of Subsidiaries. Notwithstanding the foregoing, any cash dividends or distributions otherwise payable pursuant to an Award granted pursuant to this Section 9 that remains subject to performance-based vesting, or forfeiture based on the failure to meet performance-based conditions (i.e., conditions other than the continued service or employment of the Grantee through a certain date), must be retained by, or repaid by the Grantee to, the Company or the applicable entity granting the Award; provided that, to the extent provided for in the applicable Award Agreement or by the Committee, an amount equal to such cash dividends or distributions retained or repaid by the Grantee may be paid to the Grantee upon the satisfaction or lapsing of such performance-based conditions with respect to such Award.</w:t>
      </w:r>
    </w:p>
    <w:p>
      <w:pPr>
        <w:spacing w:after="0" w:line="122" w:lineRule="exact"/>
        <w:rPr>
          <w:rFonts w:ascii="Arial" w:cs="Arial" w:eastAsia="Arial" w:hAnsi="Arial"/>
          <w:sz w:val="16"/>
          <w:szCs w:val="16"/>
          <w:b w:val="1"/>
          <w:bCs w:val="1"/>
          <w:color w:val="auto"/>
        </w:rPr>
      </w:pPr>
    </w:p>
    <w:p>
      <w:pPr>
        <w:ind w:left="1160" w:hanging="344"/>
        <w:spacing w:after="0"/>
        <w:tabs>
          <w:tab w:leader="none" w:pos="1160" w:val="left"/>
        </w:tabs>
        <w:numPr>
          <w:ilvl w:val="0"/>
          <w:numId w:val="17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CASH-BASED AWARDS.</w:t>
      </w:r>
    </w:p>
    <w:p>
      <w:pPr>
        <w:spacing w:after="0" w:line="167" w:lineRule="exact"/>
        <w:rPr>
          <w:sz w:val="20"/>
          <w:szCs w:val="20"/>
          <w:color w:val="auto"/>
        </w:rPr>
      </w:pPr>
    </w:p>
    <w:p>
      <w:pPr>
        <w:ind w:left="820" w:right="60"/>
        <w:spacing w:after="0" w:line="295" w:lineRule="auto"/>
        <w:rPr>
          <w:sz w:val="20"/>
          <w:szCs w:val="20"/>
          <w:color w:val="auto"/>
        </w:rPr>
      </w:pPr>
      <w:r>
        <w:rPr>
          <w:rFonts w:ascii="Arial" w:cs="Arial" w:eastAsia="Arial" w:hAnsi="Arial"/>
          <w:sz w:val="16"/>
          <w:szCs w:val="16"/>
          <w:b w:val="1"/>
          <w:bCs w:val="1"/>
          <w:color w:val="auto"/>
        </w:rPr>
        <w:t xml:space="preserve">10.1 </w:t>
      </w:r>
      <w:r>
        <w:rPr>
          <w:rFonts w:ascii="Arial" w:cs="Arial" w:eastAsia="Arial" w:hAnsi="Arial"/>
          <w:sz w:val="16"/>
          <w:szCs w:val="16"/>
          <w:b w:val="1"/>
          <w:bCs w:val="1"/>
          <w:u w:val="single" w:color="auto"/>
          <w:color w:val="auto"/>
        </w:rPr>
        <w:t>Grant of Cash-Based Awards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shall have the right to grant Cash-Based Awards under the Plan. A Cash-Based Award is an Award that entitles the Grantee to a payment in cash. Each Cash-Based Award shall specify a cash-denominated payment amount, formula or payment ranges as determined by the Committee. Payment, if any, with respect to a Cash-Based Award shall be made in accordance with the terms of the Award and shall be made in cash.</w:t>
      </w:r>
    </w:p>
    <w:p>
      <w:pPr>
        <w:spacing w:after="0" w:line="108" w:lineRule="exact"/>
        <w:rPr>
          <w:sz w:val="20"/>
          <w:szCs w:val="20"/>
          <w:color w:val="auto"/>
        </w:rPr>
      </w:pPr>
    </w:p>
    <w:p>
      <w:pPr>
        <w:ind w:left="820" w:right="200" w:hanging="4"/>
        <w:spacing w:after="0" w:line="301" w:lineRule="auto"/>
        <w:tabs>
          <w:tab w:leader="none" w:pos="1161" w:val="left"/>
        </w:tabs>
        <w:numPr>
          <w:ilvl w:val="0"/>
          <w:numId w:val="17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PERFORMANCE GOALS.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in its discretion, (i) may establish one or more performance goals as a</w:t>
      </w:r>
      <w:r>
        <w:rPr>
          <w:rFonts w:ascii="Arial" w:cs="Arial" w:eastAsia="Arial" w:hAnsi="Arial"/>
          <w:sz w:val="16"/>
          <w:szCs w:val="16"/>
          <w:b w:val="1"/>
          <w:bCs w:val="1"/>
          <w:color w:val="auto"/>
        </w:rPr>
        <w:t xml:space="preserve"> </w:t>
      </w:r>
      <w:r>
        <w:rPr>
          <w:rFonts w:ascii="Arial" w:cs="Arial" w:eastAsia="Arial" w:hAnsi="Arial"/>
          <w:sz w:val="16"/>
          <w:szCs w:val="16"/>
          <w:color w:val="auto"/>
        </w:rPr>
        <w:t>precondition to the issuance or vesting of Awards, and (ii) may provide, in connection with the establishment of the performance goals, for predetermined Awards to those Participants (who continue to meet all applicable eligibility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45085</wp:posOffset>
            </wp:positionV>
            <wp:extent cx="6831965" cy="425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121" w:name="page122"/>
    <w:bookmarkEnd w:id="121"/>
    <w:p>
      <w:pPr>
        <w:spacing w:after="0"/>
        <w:rPr>
          <w:sz w:val="20"/>
          <w:szCs w:val="20"/>
          <w:color w:val="auto"/>
        </w:rPr>
      </w:pPr>
      <w:r>
        <w:rPr>
          <w:rFonts w:ascii="Calibri" w:cs="Calibri" w:eastAsia="Calibri" w:hAnsi="Calibri"/>
          <w:sz w:val="14"/>
          <w:szCs w:val="14"/>
          <w:color w:val="003366"/>
        </w:rPr>
        <w:t>TABLE OF CONTENTS</w:t>
      </w:r>
    </w:p>
    <w:p>
      <w:pPr>
        <w:spacing w:after="0" w:line="298" w:lineRule="exact"/>
        <w:rPr>
          <w:sz w:val="20"/>
          <w:szCs w:val="20"/>
          <w:color w:val="auto"/>
        </w:rPr>
      </w:pPr>
    </w:p>
    <w:tbl>
      <w:tblPr>
        <w:tblLayout w:type="fixed"/>
        <w:tblInd w:w="820" w:type="dxa"/>
        <w:tblCellMar>
          <w:top w:w="0" w:type="dxa"/>
          <w:left w:w="0" w:type="dxa"/>
          <w:bottom w:w="0" w:type="dxa"/>
          <w:right w:w="0" w:type="dxa"/>
        </w:tblCellMar>
      </w:tblPr>
      <w:tr>
        <w:trPr>
          <w:trHeight w:val="253"/>
        </w:trPr>
        <w:tc>
          <w:tcPr>
            <w:tcW w:w="4540" w:type="dxa"/>
            <w:vAlign w:val="bottom"/>
          </w:tcPr>
          <w:p>
            <w:pPr>
              <w:spacing w:after="0"/>
              <w:rPr>
                <w:sz w:val="20"/>
                <w:szCs w:val="20"/>
                <w:color w:val="auto"/>
              </w:rPr>
            </w:pPr>
            <w:r>
              <w:rPr>
                <w:rFonts w:ascii="Arial" w:cs="Arial" w:eastAsia="Arial" w:hAnsi="Arial"/>
                <w:sz w:val="14"/>
                <w:szCs w:val="14"/>
                <w:b w:val="1"/>
                <w:bCs w:val="1"/>
                <w:color w:val="auto"/>
              </w:rPr>
              <w:t>APPENDIX A</w:t>
            </w:r>
          </w:p>
        </w:tc>
        <w:tc>
          <w:tcPr>
            <w:tcW w:w="3940" w:type="dxa"/>
            <w:vAlign w:val="bottom"/>
            <w:vMerge w:val="restart"/>
          </w:tcPr>
          <w:p>
            <w:pPr>
              <w:ind w:left="3660"/>
              <w:spacing w:after="0"/>
              <w:rPr>
                <w:sz w:val="20"/>
                <w:szCs w:val="20"/>
                <w:color w:val="auto"/>
              </w:rPr>
            </w:pPr>
            <w:r>
              <w:rPr>
                <w:rFonts w:ascii="Arial" w:cs="Arial" w:eastAsia="Arial" w:hAnsi="Arial"/>
                <w:sz w:val="14"/>
                <w:szCs w:val="14"/>
                <w:b w:val="1"/>
                <w:bCs w:val="1"/>
                <w:color w:val="auto"/>
              </w:rPr>
              <w:t>​ ​</w:t>
            </w:r>
          </w:p>
        </w:tc>
        <w:tc>
          <w:tcPr>
            <w:tcW w:w="580" w:type="dxa"/>
            <w:vAlign w:val="bottom"/>
          </w:tcPr>
          <w:p>
            <w:pPr>
              <w:ind w:left="120"/>
              <w:spacing w:after="0"/>
              <w:rPr>
                <w:sz w:val="20"/>
                <w:szCs w:val="20"/>
                <w:color w:val="auto"/>
              </w:rPr>
            </w:pPr>
            <w:r>
              <w:rPr>
                <w:rFonts w:ascii="Arial" w:cs="Arial" w:eastAsia="Arial" w:hAnsi="Arial"/>
                <w:sz w:val="22"/>
                <w:szCs w:val="22"/>
                <w:b w:val="1"/>
                <w:bCs w:val="1"/>
                <w:color w:val="1F2668"/>
                <w:w w:val="92"/>
              </w:rPr>
              <w:t>A-13</w:t>
            </w:r>
          </w:p>
        </w:tc>
        <w:tc>
          <w:tcPr>
            <w:tcW w:w="4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4540" w:type="dxa"/>
            <w:vAlign w:val="bottom"/>
          </w:tcPr>
          <w:p>
            <w:pPr>
              <w:spacing w:after="0"/>
              <w:rPr>
                <w:sz w:val="20"/>
                <w:szCs w:val="20"/>
                <w:color w:val="auto"/>
              </w:rPr>
            </w:pPr>
            <w:r>
              <w:rPr>
                <w:rFonts w:ascii="Arial" w:cs="Arial" w:eastAsia="Arial" w:hAnsi="Arial"/>
                <w:sz w:val="14"/>
                <w:szCs w:val="14"/>
                <w:b w:val="1"/>
                <w:bCs w:val="1"/>
                <w:color w:val="auto"/>
              </w:rPr>
              <w:t>​</w:t>
            </w:r>
          </w:p>
        </w:tc>
        <w:tc>
          <w:tcPr>
            <w:tcW w:w="394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ind w:left="820" w:right="40"/>
        <w:spacing w:after="0" w:line="272" w:lineRule="auto"/>
        <w:rPr>
          <w:sz w:val="20"/>
          <w:szCs w:val="20"/>
          <w:color w:val="auto"/>
        </w:rPr>
      </w:pPr>
      <w:r>
        <w:rPr>
          <w:rFonts w:ascii="Arial" w:cs="Arial" w:eastAsia="Arial" w:hAnsi="Arial"/>
          <w:sz w:val="16"/>
          <w:szCs w:val="16"/>
          <w:color w:val="auto"/>
        </w:rPr>
        <w:t>requirements) with respect to whom the applicable performance goals are satisfied. In the case of any grant intended to qualify as performance based compensation under Section 162(m) of the Code (including, for these purposes, grants constituting performance based compensation, as determined without regard to certain shareholder approval and disclosure requirements by virtue of an applicable transition rule), the Committee (i) may use one or a combination of the performance goals set forth in this Section 11; and (ii) may establish other goals (with shareholder approval of other types of goals) intended to be performance goals as contemplated by Section 162(m) of the Code and the regulations thereunder. Performance-Based Awards intended to qualify as “performance based” compensation under Section 162(m) of the Code, may be payable upon the attainment of objective performance goals that are established by the Committee and relate to one or more Performance Criteria, in each case on specified date or over any period, up to 10 years, as determined by the Committee. Performance Criteria may (but need not) be based on the achievement of the specified levels of performance under one or more of the measures set out below relative to the performance of one or more other corporations or indices. Performance goals may be absolute amounts or percentages of amounts or may be relative to the performance of other companies or of indexes. Except as otherwise expressly provided, all financial terms are used as defined under Generally Accepted Accounting Principles (“GAAP”) and all determinations shall be made in accordance with GAAP, as applied by the Company in the preparation of its periodic reports to shareholders. To the extent permitted by Section 162(m) of the Code, unless the Committee provides otherwise at the time of establishing the performance goals, for each fiscal year of the Company, the Committee may provide for objectively determinable adjustments, as determined in accordance with GAAP, to any of the Performance Criteria described above for one or more of the items of gain, loss, profit or expense: (A) determined to be extraordinary or unusual in nature or infrequent in occurrence, (B) related to the disposal of a segment of a business, (C) related to a change in accounting principle under GAAP, (D) related to discontinued operations that do not qualify as a segment of a business under GAAP, and (E) attributable to the business operations of any entity acquired by the Company during the fiscal year.</w:t>
      </w:r>
    </w:p>
    <w:p>
      <w:pPr>
        <w:spacing w:after="0" w:line="130" w:lineRule="exact"/>
        <w:rPr>
          <w:sz w:val="20"/>
          <w:szCs w:val="20"/>
          <w:color w:val="auto"/>
        </w:rPr>
      </w:pPr>
    </w:p>
    <w:p>
      <w:pPr>
        <w:ind w:left="820" w:right="7220" w:hanging="4"/>
        <w:spacing w:after="0" w:line="488" w:lineRule="auto"/>
        <w:tabs>
          <w:tab w:leader="none" w:pos="1170" w:val="left"/>
        </w:tabs>
        <w:numPr>
          <w:ilvl w:val="0"/>
          <w:numId w:val="17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 xml:space="preserve">TAX WITHHOLDING. </w:t>
      </w:r>
      <w:r>
        <w:rPr>
          <w:rFonts w:ascii="Arial" w:cs="Arial" w:eastAsia="Arial" w:hAnsi="Arial"/>
          <w:sz w:val="15"/>
          <w:szCs w:val="15"/>
          <w:b w:val="1"/>
          <w:bCs w:val="1"/>
          <w:color w:val="auto"/>
        </w:rPr>
        <w:t xml:space="preserve">12.1 </w:t>
      </w:r>
      <w:r>
        <w:rPr>
          <w:rFonts w:ascii="Arial" w:cs="Arial" w:eastAsia="Arial" w:hAnsi="Arial"/>
          <w:sz w:val="15"/>
          <w:szCs w:val="15"/>
          <w:b w:val="1"/>
          <w:bCs w:val="1"/>
          <w:u w:val="single" w:color="auto"/>
          <w:color w:val="auto"/>
        </w:rPr>
        <w:t>In General.</w:t>
      </w:r>
    </w:p>
    <w:p>
      <w:pPr>
        <w:spacing w:after="0" w:line="1" w:lineRule="exact"/>
        <w:rPr>
          <w:sz w:val="20"/>
          <w:szCs w:val="20"/>
          <w:color w:val="auto"/>
        </w:rPr>
      </w:pPr>
    </w:p>
    <w:p>
      <w:pPr>
        <w:ind w:left="820" w:right="40"/>
        <w:spacing w:after="0" w:line="276" w:lineRule="auto"/>
        <w:rPr>
          <w:sz w:val="20"/>
          <w:szCs w:val="20"/>
          <w:color w:val="auto"/>
        </w:rPr>
      </w:pPr>
      <w:r>
        <w:rPr>
          <w:rFonts w:ascii="Arial" w:cs="Arial" w:eastAsia="Arial" w:hAnsi="Arial"/>
          <w:sz w:val="16"/>
          <w:szCs w:val="16"/>
          <w:color w:val="auto"/>
        </w:rPr>
        <w:t>The Company shall be entitled to withhold from any payments or deemed payments any amount of tax withholding determined by the Committee to be required by law. Without limiting the generality of the foregoing, the Committee may, in its discretion, require the Participant to pay to the Company at such time as the Committee determines the amount that the Committee deems necessary to satisfy the Company’s obligation to withhold federal, state or local income or other taxes incurred by reason of (i) the exercise of any Option, (ii) the lapsing of any restrictions applicable to any Restricted Stock, (iii) the receipt of a distribution in respect of Phantom Shares or Dividend Equivalent Rights or receipt of cash or (iv) any other applicable income-recognition event (for example, an election under Section 83(b) of the Code).</w:t>
      </w:r>
    </w:p>
    <w:p>
      <w:pPr>
        <w:spacing w:after="0" w:line="125"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 xml:space="preserve">12.2  </w:t>
      </w:r>
      <w:r>
        <w:rPr>
          <w:rFonts w:ascii="Arial" w:cs="Arial" w:eastAsia="Arial" w:hAnsi="Arial"/>
          <w:sz w:val="16"/>
          <w:szCs w:val="16"/>
          <w:b w:val="1"/>
          <w:bCs w:val="1"/>
          <w:u w:val="single" w:color="auto"/>
          <w:color w:val="auto"/>
        </w:rPr>
        <w:t>Share Withholding.</w:t>
      </w:r>
    </w:p>
    <w:p>
      <w:pPr>
        <w:spacing w:after="0" w:line="167" w:lineRule="exact"/>
        <w:rPr>
          <w:sz w:val="20"/>
          <w:szCs w:val="20"/>
          <w:color w:val="auto"/>
        </w:rPr>
      </w:pPr>
    </w:p>
    <w:p>
      <w:pPr>
        <w:ind w:left="820" w:right="80" w:hanging="4"/>
        <w:spacing w:after="0" w:line="294" w:lineRule="auto"/>
        <w:tabs>
          <w:tab w:leader="none" w:pos="1143" w:val="left"/>
        </w:tabs>
        <w:numPr>
          <w:ilvl w:val="0"/>
          <w:numId w:val="173"/>
        </w:numPr>
        <w:rPr>
          <w:rFonts w:ascii="Arial" w:cs="Arial" w:eastAsia="Arial" w:hAnsi="Arial"/>
          <w:sz w:val="15"/>
          <w:szCs w:val="15"/>
          <w:color w:val="auto"/>
        </w:rPr>
      </w:pPr>
      <w:r>
        <w:rPr>
          <w:rFonts w:ascii="Arial" w:cs="Arial" w:eastAsia="Arial" w:hAnsi="Arial"/>
          <w:sz w:val="15"/>
          <w:szCs w:val="15"/>
          <w:color w:val="auto"/>
        </w:rPr>
        <w:t>Upon exercise of an Option, the Optionee may, if approved by the Committee in its discretion, make a written election to have Shares then issued withheld by the Company from the Shares otherwise to be received, or to deliver previously owned Shares, in order to satisfy the liability for the minimum withholding taxes due. Alternatively, if so provided in an Award Agreement, the Committee may require the Optionee to satisfy such liability by having Shares then issued withheld by the Company from the Shares otherwise to be received, or require the Optionee to do so, subject to the Optionee’s ability to elect to satisfy such liability in cash. In the event that the Optionee is to satisfy such liability in Shares, the number of Shares so withheld or delivered shall have an aggregate Fair Market Value on the date of exercise sufficient to satisfy the applicable minimum withholding taxes. Where the exercise of an Option does not give rise to an obligation by the Company to withhold federal, state or local income or other taxes on the date of exercise, but may give rise to such an obligation in the future, the Committee may, in its discretion, make such arrangements and impose such requirements as it deems necessary or appropriate.</w:t>
      </w:r>
    </w:p>
    <w:p>
      <w:pPr>
        <w:spacing w:after="0" w:line="101" w:lineRule="exact"/>
        <w:rPr>
          <w:rFonts w:ascii="Arial" w:cs="Arial" w:eastAsia="Arial" w:hAnsi="Arial"/>
          <w:sz w:val="15"/>
          <w:szCs w:val="15"/>
          <w:color w:val="auto"/>
        </w:rPr>
      </w:pPr>
    </w:p>
    <w:p>
      <w:pPr>
        <w:ind w:left="820" w:right="80" w:hanging="4"/>
        <w:spacing w:after="0" w:line="273" w:lineRule="auto"/>
        <w:tabs>
          <w:tab w:leader="none" w:pos="1143" w:val="left"/>
        </w:tabs>
        <w:numPr>
          <w:ilvl w:val="0"/>
          <w:numId w:val="173"/>
        </w:numPr>
        <w:rPr>
          <w:rFonts w:ascii="Arial" w:cs="Arial" w:eastAsia="Arial" w:hAnsi="Arial"/>
          <w:sz w:val="16"/>
          <w:szCs w:val="16"/>
          <w:color w:val="auto"/>
        </w:rPr>
      </w:pPr>
      <w:r>
        <w:rPr>
          <w:rFonts w:ascii="Arial" w:cs="Arial" w:eastAsia="Arial" w:hAnsi="Arial"/>
          <w:sz w:val="16"/>
          <w:szCs w:val="16"/>
          <w:color w:val="auto"/>
        </w:rPr>
        <w:t>Upon lapsing of restrictions on Restricted Stock (or other income-recognition event), the Grantee may, if approved by the Committee in its discretion, make a written election to have Shares withheld by the Company from the Shares otherwise to be released from restriction, or to deliver previously owned Shares (not subject to restrictions hereunder), in order to satisfy the liability for the minimum withholding taxes due. Alternatively, if so provided in an Award Agreement, the Committee may require the Grantee to satisfy such liability by having Shares withheld by the Company from the Shares otherwise to be released from restriction, or require the Grantee to do so, subject to the Grantee’s ability to elect to satisfy such liability in cash. In the event that the Grantee is to satisfy such liability in Shares, the number of Shares so withheld or delivered shall have an aggregate Fair Market Value on the date of the lapsing of restrictions (or other income-recognition event) sufficient to satisfy the applicable minimum withholding taxes.</w:t>
      </w:r>
    </w:p>
    <w:p>
      <w:pPr>
        <w:spacing w:after="0" w:line="114" w:lineRule="exact"/>
        <w:rPr>
          <w:rFonts w:ascii="Arial" w:cs="Arial" w:eastAsia="Arial" w:hAnsi="Arial"/>
          <w:sz w:val="16"/>
          <w:szCs w:val="16"/>
          <w:color w:val="auto"/>
        </w:rPr>
      </w:pPr>
    </w:p>
    <w:p>
      <w:pPr>
        <w:ind w:left="820" w:right="100" w:hanging="4"/>
        <w:spacing w:after="0" w:line="321" w:lineRule="auto"/>
        <w:tabs>
          <w:tab w:leader="none" w:pos="1134" w:val="left"/>
        </w:tabs>
        <w:numPr>
          <w:ilvl w:val="0"/>
          <w:numId w:val="173"/>
        </w:numPr>
        <w:rPr>
          <w:rFonts w:ascii="Arial" w:cs="Arial" w:eastAsia="Arial" w:hAnsi="Arial"/>
          <w:sz w:val="16"/>
          <w:szCs w:val="16"/>
          <w:color w:val="auto"/>
        </w:rPr>
      </w:pPr>
      <w:r>
        <w:rPr>
          <w:rFonts w:ascii="Arial" w:cs="Arial" w:eastAsia="Arial" w:hAnsi="Arial"/>
          <w:sz w:val="16"/>
          <w:szCs w:val="16"/>
          <w:color w:val="auto"/>
        </w:rPr>
        <w:t>Upon the making of a distribution in respect of Phantom Shares or Dividend Equivalent Rights, the Grantee may, if approved by the Committee in its discretion, make a written election to have amounts (which may include Shares) 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34925</wp:posOffset>
            </wp:positionV>
            <wp:extent cx="6831965" cy="425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bookmarkStart w:id="122" w:name="page123"/>
    <w:bookmarkEnd w:id="1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p>
      <w:pPr>
        <w:ind w:left="820"/>
        <w:spacing w:after="0"/>
        <w:tabs>
          <w:tab w:leader="none" w:pos="9860" w:val="left"/>
        </w:tabs>
        <w:rPr>
          <w:sz w:val="20"/>
          <w:szCs w:val="20"/>
          <w:color w:val="auto"/>
        </w:rPr>
      </w:pPr>
      <w:r>
        <w:rPr>
          <w:rFonts w:ascii="Arial" w:cs="Arial" w:eastAsia="Arial" w:hAnsi="Arial"/>
          <w:sz w:val="22"/>
          <w:szCs w:val="22"/>
          <w:b w:val="1"/>
          <w:bCs w:val="1"/>
          <w:color w:val="1F2668"/>
        </w:rPr>
        <w:t xml:space="preserve">A​-14  ​ ​ </w:t>
      </w:r>
      <w:r>
        <w:rPr>
          <w:rFonts w:ascii="Arial" w:cs="Arial" w:eastAsia="Arial" w:hAnsi="Arial"/>
          <w:sz w:val="14"/>
          <w:szCs w:val="14"/>
          <w:b w:val="1"/>
          <w:bCs w:val="1"/>
          <w:color w:val="1F2668"/>
        </w:rPr>
        <w:t>SL GREEN REALTY CORP. 2025 PROXY STATEMENT</w:t>
      </w:r>
      <w:r>
        <w:rPr>
          <w:sz w:val="20"/>
          <w:szCs w:val="20"/>
          <w:color w:val="auto"/>
        </w:rPr>
        <w:tab/>
      </w:r>
      <w:r>
        <w:rPr>
          <w:rFonts w:ascii="Arial" w:cs="Arial" w:eastAsia="Arial" w:hAnsi="Arial"/>
          <w:sz w:val="22"/>
          <w:szCs w:val="22"/>
          <w:b w:val="1"/>
          <w:bCs w:val="1"/>
          <w:color w:val="1F2668"/>
        </w:rPr>
        <w:t>​</w:t>
      </w:r>
    </w:p>
    <w:p>
      <w:pPr>
        <w:spacing w:after="0" w:line="200" w:lineRule="exact"/>
        <w:rPr>
          <w:sz w:val="20"/>
          <w:szCs w:val="20"/>
          <w:color w:val="auto"/>
        </w:rPr>
      </w:pPr>
    </w:p>
    <w:p>
      <w:pPr>
        <w:spacing w:after="0" w:line="304" w:lineRule="exact"/>
        <w:rPr>
          <w:sz w:val="20"/>
          <w:szCs w:val="20"/>
          <w:color w:val="auto"/>
        </w:rPr>
      </w:pPr>
    </w:p>
    <w:p>
      <w:pPr>
        <w:ind w:left="820" w:right="60"/>
        <w:spacing w:after="0" w:line="289" w:lineRule="auto"/>
        <w:rPr>
          <w:sz w:val="20"/>
          <w:szCs w:val="20"/>
          <w:color w:val="auto"/>
        </w:rPr>
      </w:pPr>
      <w:r>
        <w:rPr>
          <w:rFonts w:ascii="Arial" w:cs="Arial" w:eastAsia="Arial" w:hAnsi="Arial"/>
          <w:sz w:val="16"/>
          <w:szCs w:val="16"/>
          <w:color w:val="auto"/>
        </w:rPr>
        <w:t>by the Company from the distribution otherwise to be made, or to deliver previously owned Shares (not subject to restrictions hereunder), in order to satisfy the liability for the minimum withholding taxes due. Alternatively, if so provided in an Award Agreement, the Committee may require the Grantee to satisfy such liability by having Shares withheld by the Company from the distribution otherwise to be made, or require the Grantee to do so, subject to the Grantee’s ability to elect to satisfy such liability in cash. In the event that the Grantee is to satisfy such liability in Shares, any Shares so withheld or delivered shall have an aggregate Fair Market Value on the date of distribution sufficient to satisfy the applicable minimum withholding taxes.</w:t>
      </w:r>
    </w:p>
    <w:p>
      <w:pPr>
        <w:spacing w:after="0" w:line="115" w:lineRule="exact"/>
        <w:rPr>
          <w:sz w:val="20"/>
          <w:szCs w:val="20"/>
          <w:color w:val="auto"/>
        </w:rPr>
      </w:pPr>
    </w:p>
    <w:p>
      <w:pPr>
        <w:ind w:left="820" w:right="60" w:hanging="4"/>
        <w:spacing w:after="0" w:line="286" w:lineRule="auto"/>
        <w:tabs>
          <w:tab w:leader="none" w:pos="1143" w:val="left"/>
        </w:tabs>
        <w:numPr>
          <w:ilvl w:val="0"/>
          <w:numId w:val="174"/>
        </w:numPr>
        <w:rPr>
          <w:rFonts w:ascii="Arial" w:cs="Arial" w:eastAsia="Arial" w:hAnsi="Arial"/>
          <w:sz w:val="16"/>
          <w:szCs w:val="16"/>
          <w:color w:val="auto"/>
        </w:rPr>
      </w:pPr>
      <w:r>
        <w:rPr>
          <w:rFonts w:ascii="Arial" w:cs="Arial" w:eastAsia="Arial" w:hAnsi="Arial"/>
          <w:sz w:val="16"/>
          <w:szCs w:val="16"/>
          <w:color w:val="auto"/>
        </w:rPr>
        <w:t>Upon the occurrence of any other income-recognition event with respect to an Award granted under the Plan that occurs upon or concurrently with the issuance or vesting of, or lapsing of restrictions on, Common Stock, the Grantee may, if approved by the Committee in its discretion, make a written election to have Shares withheld by the Company from the Shares otherwise to be issued, vested or released from restriction, or to deliver previously owned Shares (not subject to restrictions hereunder), in order to satisfy the liability for the minimum withholding taxes due. Alternatively, if so provided in an Award Agreement, the Committee may require the Grantee to satisfy such liability by having Shares withheld by the Company from the Shares otherwise to be issued, vested or released from restriction, or require the Grantee to do so, subject to the Grantee’s ability to elect to satisfy such liability in cash. In the event that the Grantee is to satisfy such liability in Shares, the number of Shares so withheld or delivered shall have an aggregate Fair Market Value on the date of such income-recognition event sufficient to satisfy the applicable minimum withholding taxes.</w:t>
      </w:r>
    </w:p>
    <w:p>
      <w:pPr>
        <w:spacing w:after="0" w:line="116" w:lineRule="exact"/>
        <w:rPr>
          <w:rFonts w:ascii="Arial" w:cs="Arial" w:eastAsia="Arial" w:hAnsi="Arial"/>
          <w:sz w:val="16"/>
          <w:szCs w:val="16"/>
          <w:color w:val="auto"/>
        </w:rPr>
      </w:pPr>
    </w:p>
    <w:p>
      <w:pPr>
        <w:ind w:left="820" w:right="140" w:hanging="4"/>
        <w:spacing w:after="0" w:line="301" w:lineRule="auto"/>
        <w:tabs>
          <w:tab w:leader="none" w:pos="1143" w:val="left"/>
        </w:tabs>
        <w:numPr>
          <w:ilvl w:val="0"/>
          <w:numId w:val="174"/>
        </w:numPr>
        <w:rPr>
          <w:rFonts w:ascii="Arial" w:cs="Arial" w:eastAsia="Arial" w:hAnsi="Arial"/>
          <w:sz w:val="16"/>
          <w:szCs w:val="16"/>
          <w:color w:val="auto"/>
        </w:rPr>
      </w:pPr>
      <w:r>
        <w:rPr>
          <w:rFonts w:ascii="Arial" w:cs="Arial" w:eastAsia="Arial" w:hAnsi="Arial"/>
          <w:sz w:val="16"/>
          <w:szCs w:val="16"/>
          <w:color w:val="auto"/>
        </w:rPr>
        <w:t>For purposes of determining the number of Shares to be withheld or delivered to satisfy the applicable minimum withholding taxes pursuant to Section 12.2 of the Plan, the Fair Market Value of the Shares shall be calculated in the same manner as the Shares are valued for purposes of determining the amount of withholding taxes due.</w:t>
      </w:r>
    </w:p>
    <w:p>
      <w:pPr>
        <w:spacing w:after="0" w:line="90" w:lineRule="exact"/>
        <w:rPr>
          <w:rFonts w:ascii="Arial" w:cs="Arial" w:eastAsia="Arial" w:hAnsi="Arial"/>
          <w:sz w:val="16"/>
          <w:szCs w:val="16"/>
          <w:color w:val="auto"/>
        </w:rPr>
      </w:pPr>
    </w:p>
    <w:p>
      <w:pPr>
        <w:ind w:left="820" w:right="80" w:hanging="4"/>
        <w:spacing w:after="0" w:line="301" w:lineRule="auto"/>
        <w:tabs>
          <w:tab w:leader="none" w:pos="1098" w:val="left"/>
        </w:tabs>
        <w:numPr>
          <w:ilvl w:val="0"/>
          <w:numId w:val="174"/>
        </w:numPr>
        <w:rPr>
          <w:rFonts w:ascii="Arial" w:cs="Arial" w:eastAsia="Arial" w:hAnsi="Arial"/>
          <w:sz w:val="16"/>
          <w:szCs w:val="16"/>
          <w:color w:val="auto"/>
        </w:rPr>
      </w:pPr>
      <w:r>
        <w:rPr>
          <w:rFonts w:ascii="Arial" w:cs="Arial" w:eastAsia="Arial" w:hAnsi="Arial"/>
          <w:sz w:val="16"/>
          <w:szCs w:val="16"/>
          <w:color w:val="auto"/>
        </w:rPr>
        <w:t>Notwithstanding anything to the contrary in the foregoing, the Company may withhold shares in excess of the applicable minimum withholding taxes if doing so would not cause the Plan to be subject to liability accounting under FASB ASC 718 (or any successor rule).</w:t>
      </w:r>
    </w:p>
    <w:p>
      <w:pPr>
        <w:spacing w:after="0" w:line="10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 xml:space="preserve">12.3  </w:t>
      </w:r>
      <w:r>
        <w:rPr>
          <w:rFonts w:ascii="Arial" w:cs="Arial" w:eastAsia="Arial" w:hAnsi="Arial"/>
          <w:sz w:val="16"/>
          <w:szCs w:val="16"/>
          <w:b w:val="1"/>
          <w:bCs w:val="1"/>
          <w:u w:val="single" w:color="auto"/>
          <w:color w:val="auto"/>
        </w:rPr>
        <w:t>Withholding Required.</w:t>
      </w:r>
    </w:p>
    <w:p>
      <w:pPr>
        <w:spacing w:after="0" w:line="181" w:lineRule="exact"/>
        <w:rPr>
          <w:sz w:val="20"/>
          <w:szCs w:val="20"/>
          <w:color w:val="auto"/>
        </w:rPr>
      </w:pPr>
    </w:p>
    <w:p>
      <w:pPr>
        <w:ind w:left="820" w:right="120"/>
        <w:spacing w:after="0" w:line="287" w:lineRule="auto"/>
        <w:rPr>
          <w:sz w:val="20"/>
          <w:szCs w:val="20"/>
          <w:color w:val="auto"/>
        </w:rPr>
      </w:pPr>
      <w:r>
        <w:rPr>
          <w:rFonts w:ascii="Arial" w:cs="Arial" w:eastAsia="Arial" w:hAnsi="Arial"/>
          <w:sz w:val="16"/>
          <w:szCs w:val="16"/>
          <w:color w:val="auto"/>
        </w:rPr>
        <w:t>Notwithstanding anything contained in the Plan or the Award Agreement to the contrary, the Participant’s satisfaction of any tax-withholding requirements imposed by the Committee shall be a condition precedent to the Company’s obligation as may otherwise be provided hereunder to provide Shares to the Participant and to the release of any restrictions as may otherwise be provided hereunder, as applicable; and the applicable Option, Restricted Stock, Phantom Shares, Dividend Equivalent Rights or other Award shall be forfeited upon the failure of the Participant to satisfy such requirements with respect to, as applicable, (i) the exercise of the Option, (ii) the lapsing of restrictions on the Restricted Stock (or other income-recognition event), (iii) distributions in respect of any Phantom Share or Dividend Equivalent Right or receipt of cash or (iv) any other income-recognition event with respect an Award granted under the Plan.</w:t>
      </w:r>
    </w:p>
    <w:p>
      <w:pPr>
        <w:spacing w:after="0" w:line="103" w:lineRule="exact"/>
        <w:rPr>
          <w:sz w:val="20"/>
          <w:szCs w:val="20"/>
          <w:color w:val="auto"/>
        </w:rPr>
      </w:pPr>
    </w:p>
    <w:p>
      <w:pPr>
        <w:ind w:left="820" w:right="200" w:hanging="4"/>
        <w:spacing w:after="0" w:line="295" w:lineRule="auto"/>
        <w:tabs>
          <w:tab w:leader="none" w:pos="1170" w:val="left"/>
        </w:tabs>
        <w:numPr>
          <w:ilvl w:val="0"/>
          <w:numId w:val="17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REGULATIONS AND APPROVALS.</w:t>
      </w:r>
      <w:r>
        <w:rPr>
          <w:rFonts w:ascii="Arial" w:cs="Arial" w:eastAsia="Arial" w:hAnsi="Arial"/>
          <w:sz w:val="16"/>
          <w:szCs w:val="16"/>
          <w:b w:val="1"/>
          <w:bCs w:val="1"/>
          <w:color w:val="auto"/>
        </w:rPr>
        <w:t xml:space="preserve"> </w:t>
      </w:r>
      <w:r>
        <w:rPr>
          <w:rFonts w:ascii="Arial" w:cs="Arial" w:eastAsia="Arial" w:hAnsi="Arial"/>
          <w:sz w:val="16"/>
          <w:szCs w:val="16"/>
          <w:color w:val="auto"/>
        </w:rPr>
        <w:t>(a) The obligation of the Company to sell Shares with respect to an Award granted</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Plan shall be subject to all applicable laws, rules and regulations, including all applicable federal and state securities laws, and the obtaining of all such approvals by governmental agencies as may be deemed necessary or appropriate by the Committee.</w:t>
      </w:r>
    </w:p>
    <w:p>
      <w:pPr>
        <w:spacing w:after="0" w:line="108" w:lineRule="exact"/>
        <w:rPr>
          <w:sz w:val="20"/>
          <w:szCs w:val="20"/>
          <w:color w:val="auto"/>
        </w:rPr>
      </w:pPr>
    </w:p>
    <w:p>
      <w:pPr>
        <w:ind w:left="820" w:right="540" w:hanging="4"/>
        <w:spacing w:after="0" w:line="321" w:lineRule="auto"/>
        <w:tabs>
          <w:tab w:leader="none" w:pos="114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Committee may make such changes to the Plan as may be necessary or appropriate to comply with the rules and regulations of any government authority or to obtain tax benefits applicable to an Award.</w:t>
      </w:r>
    </w:p>
    <w:p>
      <w:pPr>
        <w:spacing w:after="0" w:line="88" w:lineRule="exact"/>
        <w:rPr>
          <w:rFonts w:ascii="Arial" w:cs="Arial" w:eastAsia="Arial" w:hAnsi="Arial"/>
          <w:sz w:val="16"/>
          <w:szCs w:val="16"/>
          <w:color w:val="auto"/>
        </w:rPr>
      </w:pPr>
    </w:p>
    <w:p>
      <w:pPr>
        <w:ind w:left="820" w:right="60" w:hanging="4"/>
        <w:spacing w:after="0" w:line="286" w:lineRule="auto"/>
        <w:tabs>
          <w:tab w:leader="none" w:pos="1134" w:val="left"/>
        </w:tabs>
        <w:numPr>
          <w:ilvl w:val="0"/>
          <w:numId w:val="176"/>
        </w:numPr>
        <w:rPr>
          <w:rFonts w:ascii="Arial" w:cs="Arial" w:eastAsia="Arial" w:hAnsi="Arial"/>
          <w:sz w:val="16"/>
          <w:szCs w:val="16"/>
          <w:color w:val="auto"/>
        </w:rPr>
      </w:pPr>
      <w:r>
        <w:rPr>
          <w:rFonts w:ascii="Arial" w:cs="Arial" w:eastAsia="Arial" w:hAnsi="Arial"/>
          <w:sz w:val="16"/>
          <w:szCs w:val="16"/>
          <w:color w:val="auto"/>
        </w:rPr>
        <w:t>Each grant of Options, Restricted Stock, Phantom Shares (or issuance of Shares in respect thereof) or Dividend Equivalent Rights (or issuance of Shares in respect thereof), or other Award under Section 9 (or issuance of Shares in respect thereof), is subject to the requirement that, if at any time the Committee determines, in its discretion, that the listing, registration or qualification of Shares issuable pursuant to the Plan is required by any securities exchange or under any state or federal law, or the consent or approval of any governmental regulatory body is necessary or desirable as a condition of, or in connection with, the issuance of Options, Shares of Restricted Stock, Phantom Shares, Dividend Equivalent Rights, other Awards or other Shares, no payment shall be made, or Phantom Shares or Shares issued or grant of Restricted Stock or other Award made, in whole or in part, unless listing, registration, qualification, consent or approval has been effected or obtained free of any conditions in a manner acceptable to the Committee.</w:t>
      </w:r>
    </w:p>
    <w:p>
      <w:pPr>
        <w:spacing w:after="0" w:line="105" w:lineRule="exact"/>
        <w:rPr>
          <w:rFonts w:ascii="Arial" w:cs="Arial" w:eastAsia="Arial" w:hAnsi="Arial"/>
          <w:sz w:val="16"/>
          <w:szCs w:val="16"/>
          <w:color w:val="auto"/>
        </w:rPr>
      </w:pPr>
    </w:p>
    <w:p>
      <w:pPr>
        <w:ind w:left="820" w:right="80" w:hanging="4"/>
        <w:spacing w:after="0" w:line="295" w:lineRule="auto"/>
        <w:tabs>
          <w:tab w:leader="none" w:pos="1143" w:val="left"/>
        </w:tabs>
        <w:numPr>
          <w:ilvl w:val="0"/>
          <w:numId w:val="176"/>
        </w:numPr>
        <w:rPr>
          <w:rFonts w:ascii="Arial" w:cs="Arial" w:eastAsia="Arial" w:hAnsi="Arial"/>
          <w:sz w:val="16"/>
          <w:szCs w:val="16"/>
          <w:color w:val="auto"/>
        </w:rPr>
      </w:pPr>
      <w:r>
        <w:rPr>
          <w:rFonts w:ascii="Arial" w:cs="Arial" w:eastAsia="Arial" w:hAnsi="Arial"/>
          <w:sz w:val="16"/>
          <w:szCs w:val="16"/>
          <w:color w:val="auto"/>
        </w:rPr>
        <w:t>In the event that the disposition of stock acquired pursuant to the Plan is not covered by a then current registration statement under the Securities Act, and is not otherwise exempt from such registration, such Shares shall be restricted against transfer to the extent required under the Securities Act, and the Committee may require any individual receiving Shares pursuant to the Plan, as a condition precedent to receipt of such Shares, to represent to the Company in writing that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47625</wp:posOffset>
            </wp:positionV>
            <wp:extent cx="6831965" cy="425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123" w:name="page124"/>
    <w:bookmarkEnd w:id="123"/>
    <w:p>
      <w:pPr>
        <w:spacing w:after="0"/>
        <w:rPr>
          <w:sz w:val="20"/>
          <w:szCs w:val="20"/>
          <w:color w:val="auto"/>
        </w:rPr>
      </w:pPr>
      <w:r>
        <w:rPr>
          <w:rFonts w:ascii="Calibri" w:cs="Calibri" w:eastAsia="Calibri" w:hAnsi="Calibri"/>
          <w:sz w:val="14"/>
          <w:szCs w:val="14"/>
          <w:color w:val="003366"/>
        </w:rPr>
        <w:t>TABLE OF CONTENTS</w:t>
      </w:r>
    </w:p>
    <w:p>
      <w:pPr>
        <w:spacing w:after="0" w:line="298" w:lineRule="exact"/>
        <w:rPr>
          <w:sz w:val="20"/>
          <w:szCs w:val="20"/>
          <w:color w:val="auto"/>
        </w:rPr>
      </w:pPr>
    </w:p>
    <w:tbl>
      <w:tblPr>
        <w:tblLayout w:type="fixed"/>
        <w:tblInd w:w="820" w:type="dxa"/>
        <w:tblCellMar>
          <w:top w:w="0" w:type="dxa"/>
          <w:left w:w="0" w:type="dxa"/>
          <w:bottom w:w="0" w:type="dxa"/>
          <w:right w:w="0" w:type="dxa"/>
        </w:tblCellMar>
      </w:tblPr>
      <w:tr>
        <w:trPr>
          <w:trHeight w:val="253"/>
        </w:trPr>
        <w:tc>
          <w:tcPr>
            <w:tcW w:w="4540" w:type="dxa"/>
            <w:vAlign w:val="bottom"/>
          </w:tcPr>
          <w:p>
            <w:pPr>
              <w:spacing w:after="0"/>
              <w:rPr>
                <w:sz w:val="20"/>
                <w:szCs w:val="20"/>
                <w:color w:val="auto"/>
              </w:rPr>
            </w:pPr>
            <w:r>
              <w:rPr>
                <w:rFonts w:ascii="Arial" w:cs="Arial" w:eastAsia="Arial" w:hAnsi="Arial"/>
                <w:sz w:val="14"/>
                <w:szCs w:val="14"/>
                <w:b w:val="1"/>
                <w:bCs w:val="1"/>
                <w:color w:val="auto"/>
              </w:rPr>
              <w:t>APPENDIX A</w:t>
            </w:r>
          </w:p>
        </w:tc>
        <w:tc>
          <w:tcPr>
            <w:tcW w:w="3940" w:type="dxa"/>
            <w:vAlign w:val="bottom"/>
            <w:vMerge w:val="restart"/>
          </w:tcPr>
          <w:p>
            <w:pPr>
              <w:ind w:left="3660"/>
              <w:spacing w:after="0"/>
              <w:rPr>
                <w:sz w:val="20"/>
                <w:szCs w:val="20"/>
                <w:color w:val="auto"/>
              </w:rPr>
            </w:pPr>
            <w:r>
              <w:rPr>
                <w:rFonts w:ascii="Arial" w:cs="Arial" w:eastAsia="Arial" w:hAnsi="Arial"/>
                <w:sz w:val="14"/>
                <w:szCs w:val="14"/>
                <w:b w:val="1"/>
                <w:bCs w:val="1"/>
                <w:color w:val="auto"/>
              </w:rPr>
              <w:t>​ ​</w:t>
            </w:r>
          </w:p>
        </w:tc>
        <w:tc>
          <w:tcPr>
            <w:tcW w:w="580" w:type="dxa"/>
            <w:vAlign w:val="bottom"/>
          </w:tcPr>
          <w:p>
            <w:pPr>
              <w:ind w:left="120"/>
              <w:spacing w:after="0"/>
              <w:rPr>
                <w:sz w:val="20"/>
                <w:szCs w:val="20"/>
                <w:color w:val="auto"/>
              </w:rPr>
            </w:pPr>
            <w:r>
              <w:rPr>
                <w:rFonts w:ascii="Arial" w:cs="Arial" w:eastAsia="Arial" w:hAnsi="Arial"/>
                <w:sz w:val="22"/>
                <w:szCs w:val="22"/>
                <w:b w:val="1"/>
                <w:bCs w:val="1"/>
                <w:color w:val="1F2668"/>
                <w:w w:val="92"/>
              </w:rPr>
              <w:t>A-15</w:t>
            </w:r>
          </w:p>
        </w:tc>
        <w:tc>
          <w:tcPr>
            <w:tcW w:w="4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4540" w:type="dxa"/>
            <w:vAlign w:val="bottom"/>
          </w:tcPr>
          <w:p>
            <w:pPr>
              <w:spacing w:after="0"/>
              <w:rPr>
                <w:sz w:val="20"/>
                <w:szCs w:val="20"/>
                <w:color w:val="auto"/>
              </w:rPr>
            </w:pPr>
            <w:r>
              <w:rPr>
                <w:rFonts w:ascii="Arial" w:cs="Arial" w:eastAsia="Arial" w:hAnsi="Arial"/>
                <w:sz w:val="14"/>
                <w:szCs w:val="14"/>
                <w:b w:val="1"/>
                <w:bCs w:val="1"/>
                <w:color w:val="auto"/>
              </w:rPr>
              <w:t>​</w:t>
            </w:r>
          </w:p>
        </w:tc>
        <w:tc>
          <w:tcPr>
            <w:tcW w:w="394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ind w:left="820" w:right="600"/>
        <w:spacing w:after="0" w:line="321" w:lineRule="auto"/>
        <w:rPr>
          <w:sz w:val="20"/>
          <w:szCs w:val="20"/>
          <w:color w:val="auto"/>
        </w:rPr>
      </w:pPr>
      <w:r>
        <w:rPr>
          <w:rFonts w:ascii="Arial" w:cs="Arial" w:eastAsia="Arial" w:hAnsi="Arial"/>
          <w:sz w:val="16"/>
          <w:szCs w:val="16"/>
          <w:color w:val="auto"/>
        </w:rPr>
        <w:t>Shares are acquired for investment only and not with a view to distribution and that such Shares will be disposed of only if registered for sale under the Securities Act or if there is an available exemption for such disposition.</w:t>
      </w:r>
    </w:p>
    <w:p>
      <w:pPr>
        <w:spacing w:after="0" w:line="75" w:lineRule="exact"/>
        <w:rPr>
          <w:sz w:val="20"/>
          <w:szCs w:val="20"/>
          <w:color w:val="auto"/>
        </w:rPr>
      </w:pPr>
    </w:p>
    <w:p>
      <w:pPr>
        <w:ind w:left="820" w:right="100" w:hanging="4"/>
        <w:spacing w:after="0" w:line="284" w:lineRule="auto"/>
        <w:tabs>
          <w:tab w:leader="none" w:pos="1143" w:val="left"/>
        </w:tabs>
        <w:numPr>
          <w:ilvl w:val="0"/>
          <w:numId w:val="177"/>
        </w:numPr>
        <w:rPr>
          <w:rFonts w:ascii="Arial" w:cs="Arial" w:eastAsia="Arial" w:hAnsi="Arial"/>
          <w:sz w:val="16"/>
          <w:szCs w:val="16"/>
          <w:color w:val="auto"/>
        </w:rPr>
      </w:pPr>
      <w:r>
        <w:rPr>
          <w:rFonts w:ascii="Arial" w:cs="Arial" w:eastAsia="Arial" w:hAnsi="Arial"/>
          <w:sz w:val="16"/>
          <w:szCs w:val="16"/>
          <w:color w:val="auto"/>
        </w:rPr>
        <w:t>Notwithstanding any other provision of the Plan, the Company shall not be required to take or permit any action under the Plan or any Award Agreement which, in the good-faith determination of the Company, would result in a material risk of a violation by the Company of Section 13(k) of the Exchange Act.</w:t>
      </w:r>
    </w:p>
    <w:p>
      <w:pPr>
        <w:spacing w:after="0" w:line="103" w:lineRule="exact"/>
        <w:rPr>
          <w:sz w:val="20"/>
          <w:szCs w:val="20"/>
          <w:color w:val="auto"/>
        </w:rPr>
      </w:pPr>
    </w:p>
    <w:p>
      <w:pPr>
        <w:ind w:left="820" w:right="40" w:hanging="4"/>
        <w:spacing w:after="0" w:line="290" w:lineRule="auto"/>
        <w:tabs>
          <w:tab w:leader="none" w:pos="1170" w:val="left"/>
        </w:tabs>
        <w:numPr>
          <w:ilvl w:val="0"/>
          <w:numId w:val="17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INTERPRETATION AND AMENDMENTS; OTHER RULES.</w:t>
      </w:r>
      <w:r>
        <w:rPr>
          <w:rFonts w:ascii="Arial" w:cs="Arial" w:eastAsia="Arial" w:hAnsi="Arial"/>
          <w:sz w:val="15"/>
          <w:szCs w:val="15"/>
          <w:b w:val="1"/>
          <w:bCs w:val="1"/>
          <w:color w:val="auto"/>
        </w:rPr>
        <w:t xml:space="preserve"> </w:t>
      </w:r>
      <w:r>
        <w:rPr>
          <w:rFonts w:ascii="Arial" w:cs="Arial" w:eastAsia="Arial" w:hAnsi="Arial"/>
          <w:sz w:val="15"/>
          <w:szCs w:val="15"/>
          <w:color w:val="auto"/>
        </w:rPr>
        <w:t>The Committee may make such rules and regulations and</w:t>
      </w:r>
      <w:r>
        <w:rPr>
          <w:rFonts w:ascii="Arial" w:cs="Arial" w:eastAsia="Arial" w:hAnsi="Arial"/>
          <w:sz w:val="15"/>
          <w:szCs w:val="15"/>
          <w:b w:val="1"/>
          <w:bCs w:val="1"/>
          <w:color w:val="auto"/>
        </w:rPr>
        <w:t xml:space="preserve"> </w:t>
      </w:r>
      <w:r>
        <w:rPr>
          <w:rFonts w:ascii="Arial" w:cs="Arial" w:eastAsia="Arial" w:hAnsi="Arial"/>
          <w:sz w:val="15"/>
          <w:szCs w:val="15"/>
          <w:color w:val="auto"/>
        </w:rPr>
        <w:t>establish such procedures for the administration of the Plan as it deems appropriate. Without limiting the generality of the foregoing, the Committee may (i) determine the extent, if any, to which Options, Phantom Shares or Shares (whether or not Shares of Restricted Stock) or Dividend Equivalent Rights shall be forfeited (whether or not such forfeiture is expressly contemplated hereunder); (ii) interpret the Plan and the Award Agreements hereunder, with such interpretations to be conclusive and binding on all persons and otherwise accorded the maximum deference permitted by law, provided that the Committee’s interpretation shall not be entitled to deference on and after a Change in Control except to the extent that such interpretations are made exclusively by members of the Committee who are individuals who served as Committee members before the Change in Control; and (iii) take any other actions and make any other determinations or decisions that it deems necessary or appropriate in connection with the Plan or the administration or interpretation thereof. In the event of any dispute or disagreement as to the interpretation of the Plan or of any rule, regulation or procedure, or as to any question, right or obligation arising from or related to the Plan, the decision of the Committee, except as provided in clause (ii) of the foregoing sentence, shall be final and binding upon all persons. The Committee may, in its discretion, delegate the authority and responsibility to act pursuant to the Plan with respect to ministerial administrative matters, which actions shall at all times be subject to the supervision of the Committee, and the actions of such a delegee in accordance with the foregoing shall be considered the actions of the Committee hereunder. Unless otherwise expressly provided hereunder, the Committee, with respect to any grant, may exercise its discretion hereunder at the time of the Award or thereafter. The Board may amend the Plan as it shall deem advisable, except that no amendment may adversely affect a Participant with respect to an Award previously granted unless such amendments are required in order to comply with applicable laws. The Board, in its discretion, may determine to make any Plan amendments subject to approval by the Company’s stockholders for purposes of complying with applicable stock exchange requirements, ensuring that compensation earned under Awards qualifies as performance-based compensation under Section 162(m) of the Code or ensuring that Incentive Stock Options granted under the Plan are qualified under Section 422 of the Code. Except as provided in Section 15(a) or (f), without prior stockholder approval, in no event may the Board exercise its discretion to reduce the Option Price of outstanding Options or Stock Appreciation Rights or cancel, exchange, substitute, buyout or surrender outstanding Options or Stock Appreciation Rights in exchange for cash, other awards or Options or Stock Appreciation Rights with an Option Price that is less than the Option Price of the original Options or Stock Appreciation Rights.</w:t>
      </w:r>
    </w:p>
    <w:p>
      <w:pPr>
        <w:spacing w:after="0" w:line="311" w:lineRule="exact"/>
        <w:rPr>
          <w:rFonts w:ascii="Arial" w:cs="Arial" w:eastAsia="Arial" w:hAnsi="Arial"/>
          <w:sz w:val="15"/>
          <w:szCs w:val="15"/>
          <w:b w:val="1"/>
          <w:bCs w:val="1"/>
          <w:color w:val="auto"/>
        </w:rPr>
      </w:pPr>
    </w:p>
    <w:p>
      <w:pPr>
        <w:ind w:left="820" w:right="40" w:hanging="4"/>
        <w:spacing w:after="0" w:line="279" w:lineRule="auto"/>
        <w:tabs>
          <w:tab w:leader="none" w:pos="1170" w:val="left"/>
        </w:tabs>
        <w:numPr>
          <w:ilvl w:val="0"/>
          <w:numId w:val="17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CHANGES IN CAPITAL STRUCTURE.</w:t>
      </w:r>
      <w:r>
        <w:rPr>
          <w:rFonts w:ascii="Arial" w:cs="Arial" w:eastAsia="Arial" w:hAnsi="Arial"/>
          <w:sz w:val="16"/>
          <w:szCs w:val="16"/>
          <w:b w:val="1"/>
          <w:bCs w:val="1"/>
          <w:color w:val="auto"/>
        </w:rPr>
        <w:t xml:space="preserve"> </w:t>
      </w:r>
      <w:r>
        <w:rPr>
          <w:rFonts w:ascii="Arial" w:cs="Arial" w:eastAsia="Arial" w:hAnsi="Arial"/>
          <w:sz w:val="16"/>
          <w:szCs w:val="16"/>
          <w:color w:val="auto"/>
        </w:rPr>
        <w:t>(a) If (i) the Company or its Subsidiaries shall at any time be involved in a merger,</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consolidation, dissolution, liquidation, reorganization, exchange of shares, sale of all or substantially all of the assets or stock of the Company or its Subsidiaries or a transaction similar thereto, (ii) any stock dividend, stock split, reverse stock split, stock combination, reclassification, recapitalization or other similar change in the capital structure of the Company or its Subsidiaries, or any distribution to holders of Common Stock other than cash dividends, shall occur or (iii) any other event shall occur which in the judgment of the Committee necessitates action by way of adjusting the terms of the outstanding Awards, then:</w:t>
      </w:r>
    </w:p>
    <w:p>
      <w:pPr>
        <w:spacing w:after="0" w:line="121" w:lineRule="exact"/>
        <w:rPr>
          <w:sz w:val="20"/>
          <w:szCs w:val="20"/>
          <w:color w:val="auto"/>
        </w:rPr>
      </w:pPr>
    </w:p>
    <w:p>
      <w:pPr>
        <w:ind w:left="1180" w:right="200" w:hanging="364"/>
        <w:spacing w:after="0" w:line="295" w:lineRule="auto"/>
        <w:tabs>
          <w:tab w:leader="none" w:pos="118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maximum aggregate number of Shares which may be made subject to Options and Dividend Equivalent Rights under the Plan, the maximum aggregate number and kind of Shares of Restricted Stock that may be granted under the Plan, the maximum aggregate number of Phantom Shares and other Awards which may be granted under the Plan, shall be appropriately adjusted by the Committee; and</w:t>
      </w:r>
    </w:p>
    <w:p>
      <w:pPr>
        <w:spacing w:after="0" w:line="94" w:lineRule="exact"/>
        <w:rPr>
          <w:rFonts w:ascii="Arial" w:cs="Arial" w:eastAsia="Arial" w:hAnsi="Arial"/>
          <w:sz w:val="16"/>
          <w:szCs w:val="16"/>
          <w:color w:val="auto"/>
        </w:rPr>
      </w:pPr>
    </w:p>
    <w:p>
      <w:pPr>
        <w:ind w:left="1180" w:right="100" w:hanging="364"/>
        <w:spacing w:after="0" w:line="300" w:lineRule="auto"/>
        <w:tabs>
          <w:tab w:leader="none" w:pos="1180" w:val="left"/>
        </w:tabs>
        <w:numPr>
          <w:ilvl w:val="0"/>
          <w:numId w:val="179"/>
        </w:numPr>
        <w:rPr>
          <w:rFonts w:ascii="Arial" w:cs="Arial" w:eastAsia="Arial" w:hAnsi="Arial"/>
          <w:sz w:val="15"/>
          <w:szCs w:val="15"/>
          <w:color w:val="auto"/>
        </w:rPr>
      </w:pPr>
      <w:r>
        <w:rPr>
          <w:rFonts w:ascii="Arial" w:cs="Arial" w:eastAsia="Arial" w:hAnsi="Arial"/>
          <w:sz w:val="15"/>
          <w:szCs w:val="15"/>
          <w:color w:val="auto"/>
        </w:rPr>
        <w:t>with respect to Awards issued under the Plan, the Committee shall take any such action as shall be necessary to maintain each Participants’ rights hereunder (including under their Award Agreements) with respect to Options, Phantom Shares and Dividend Equivalent Rights (and, as appropriate, other Awards under Section 9), so that they are substantially proportionate to the rights existing in such Options, Phantom Shares and Dividend Equivalent Rights (and other Awards under Section 9) prior to such event, including, without limitation, adjustments in (A) the number of Options, Phantom Shares and Dividend Equivalent Rights (and other Awards under Section 9) granted, (B) the number and kind of shares or other property to be distributed in respect of Options, Phantom Shares and Dividend Equivalent Rights (and other Awards under Section 9 as applicable), (C) the Option Price and Phantom Share Value, and (D) performance-based criteria established in connection with Awards; provided that, the foregoing clause (D) shall also be applied in the case of any event relating to a Subsidiary if the event would have been covered under this Section 15(a) had the event related to the Company. For purposes of clause</w:t>
      </w:r>
    </w:p>
    <w:p>
      <w:pPr>
        <w:spacing w:after="0" w:line="3" w:lineRule="exact"/>
        <w:rPr>
          <w:rFonts w:ascii="Arial" w:cs="Arial" w:eastAsia="Arial" w:hAnsi="Arial"/>
          <w:sz w:val="15"/>
          <w:szCs w:val="15"/>
          <w:color w:val="auto"/>
        </w:rPr>
      </w:pPr>
    </w:p>
    <w:p>
      <w:pPr>
        <w:ind w:left="1180" w:right="160"/>
        <w:spacing w:after="0" w:line="321" w:lineRule="auto"/>
        <w:rPr>
          <w:rFonts w:ascii="Arial" w:cs="Arial" w:eastAsia="Arial" w:hAnsi="Arial"/>
          <w:sz w:val="15"/>
          <w:szCs w:val="15"/>
          <w:color w:val="auto"/>
        </w:rPr>
      </w:pPr>
      <w:r>
        <w:rPr>
          <w:rFonts w:ascii="Arial" w:cs="Arial" w:eastAsia="Arial" w:hAnsi="Arial"/>
          <w:sz w:val="16"/>
          <w:szCs w:val="16"/>
          <w:color w:val="auto"/>
        </w:rPr>
        <w:t>(x) and this clause (y), the manner in which any of the above described adjustments are made shall in all events be subject to approval of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34925</wp:posOffset>
            </wp:positionV>
            <wp:extent cx="6831965" cy="425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bookmarkStart w:id="124" w:name="page125"/>
    <w:bookmarkEnd w:id="1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p>
      <w:pPr>
        <w:ind w:left="820"/>
        <w:spacing w:after="0"/>
        <w:tabs>
          <w:tab w:leader="none" w:pos="9860" w:val="left"/>
        </w:tabs>
        <w:rPr>
          <w:sz w:val="20"/>
          <w:szCs w:val="20"/>
          <w:color w:val="auto"/>
        </w:rPr>
      </w:pPr>
      <w:r>
        <w:rPr>
          <w:rFonts w:ascii="Arial" w:cs="Arial" w:eastAsia="Arial" w:hAnsi="Arial"/>
          <w:sz w:val="22"/>
          <w:szCs w:val="22"/>
          <w:b w:val="1"/>
          <w:bCs w:val="1"/>
          <w:color w:val="1F2668"/>
        </w:rPr>
        <w:t xml:space="preserve">A​-16  ​ ​ </w:t>
      </w:r>
      <w:r>
        <w:rPr>
          <w:rFonts w:ascii="Arial" w:cs="Arial" w:eastAsia="Arial" w:hAnsi="Arial"/>
          <w:sz w:val="14"/>
          <w:szCs w:val="14"/>
          <w:b w:val="1"/>
          <w:bCs w:val="1"/>
          <w:color w:val="1F2668"/>
        </w:rPr>
        <w:t>SL GREEN REALTY CORP. 2025 PROXY STATEMENT</w:t>
      </w:r>
      <w:r>
        <w:rPr>
          <w:sz w:val="20"/>
          <w:szCs w:val="20"/>
          <w:color w:val="auto"/>
        </w:rPr>
        <w:tab/>
      </w:r>
      <w:r>
        <w:rPr>
          <w:rFonts w:ascii="Arial" w:cs="Arial" w:eastAsia="Arial" w:hAnsi="Arial"/>
          <w:sz w:val="22"/>
          <w:szCs w:val="22"/>
          <w:b w:val="1"/>
          <w:bCs w:val="1"/>
          <w:color w:val="1F2668"/>
        </w:rPr>
        <w:t>​</w:t>
      </w:r>
    </w:p>
    <w:p>
      <w:pPr>
        <w:spacing w:after="0" w:line="200" w:lineRule="exact"/>
        <w:rPr>
          <w:sz w:val="20"/>
          <w:szCs w:val="20"/>
          <w:color w:val="auto"/>
        </w:rPr>
      </w:pPr>
    </w:p>
    <w:p>
      <w:pPr>
        <w:spacing w:after="0" w:line="290" w:lineRule="exact"/>
        <w:rPr>
          <w:sz w:val="20"/>
          <w:szCs w:val="20"/>
          <w:color w:val="auto"/>
        </w:rPr>
      </w:pPr>
    </w:p>
    <w:p>
      <w:pPr>
        <w:jc w:val="both"/>
        <w:ind w:left="820" w:right="480"/>
        <w:spacing w:after="0" w:line="292" w:lineRule="auto"/>
        <w:rPr>
          <w:sz w:val="20"/>
          <w:szCs w:val="20"/>
          <w:color w:val="auto"/>
        </w:rPr>
      </w:pPr>
      <w:r>
        <w:rPr>
          <w:rFonts w:ascii="Arial" w:cs="Arial" w:eastAsia="Arial" w:hAnsi="Arial"/>
          <w:sz w:val="16"/>
          <w:szCs w:val="16"/>
          <w:color w:val="auto"/>
        </w:rPr>
        <w:t>To the extent that such action shall include an increase or decrease in the number of Shares (or units of other property then available) subject to all outstanding Awards, the number of Shares (or units) available under Section 4 shall be increased or decreased, as the case may be, proportionately, as may be determined by the Committee.</w:t>
      </w:r>
    </w:p>
    <w:p>
      <w:pPr>
        <w:spacing w:after="0" w:line="98" w:lineRule="exact"/>
        <w:rPr>
          <w:sz w:val="20"/>
          <w:szCs w:val="20"/>
          <w:color w:val="auto"/>
        </w:rPr>
      </w:pPr>
    </w:p>
    <w:p>
      <w:pPr>
        <w:ind w:left="820" w:right="140" w:hanging="4"/>
        <w:spacing w:after="0" w:line="292" w:lineRule="auto"/>
        <w:tabs>
          <w:tab w:leader="none" w:pos="1134" w:val="left"/>
        </w:tabs>
        <w:numPr>
          <w:ilvl w:val="0"/>
          <w:numId w:val="180"/>
        </w:numPr>
        <w:rPr>
          <w:rFonts w:ascii="Arial" w:cs="Arial" w:eastAsia="Arial" w:hAnsi="Arial"/>
          <w:sz w:val="16"/>
          <w:szCs w:val="16"/>
          <w:color w:val="auto"/>
        </w:rPr>
      </w:pPr>
      <w:r>
        <w:rPr>
          <w:rFonts w:ascii="Arial" w:cs="Arial" w:eastAsia="Arial" w:hAnsi="Arial"/>
          <w:sz w:val="16"/>
          <w:szCs w:val="16"/>
          <w:color w:val="auto"/>
        </w:rPr>
        <w:t>Any Shares or other securities distributed to a Grantee with respect to Restricted Stock or otherwise issued in substitution of Restricted Stock shall be subject to the restrictions and requirements imposed by Section 6, including depositing the certificates therefor with the Company together with a stock power and bearing a legend as provided in Section 6.2(a).</w:t>
      </w:r>
    </w:p>
    <w:p>
      <w:pPr>
        <w:spacing w:after="0" w:line="97" w:lineRule="exact"/>
        <w:rPr>
          <w:rFonts w:ascii="Arial" w:cs="Arial" w:eastAsia="Arial" w:hAnsi="Arial"/>
          <w:sz w:val="16"/>
          <w:szCs w:val="16"/>
          <w:color w:val="auto"/>
        </w:rPr>
      </w:pPr>
    </w:p>
    <w:p>
      <w:pPr>
        <w:ind w:left="820" w:right="120" w:hanging="4"/>
        <w:spacing w:after="0" w:line="275" w:lineRule="auto"/>
        <w:tabs>
          <w:tab w:leader="none" w:pos="1134" w:val="left"/>
        </w:tabs>
        <w:numPr>
          <w:ilvl w:val="0"/>
          <w:numId w:val="180"/>
        </w:numPr>
        <w:rPr>
          <w:rFonts w:ascii="Arial" w:cs="Arial" w:eastAsia="Arial" w:hAnsi="Arial"/>
          <w:sz w:val="16"/>
          <w:szCs w:val="16"/>
          <w:color w:val="auto"/>
        </w:rPr>
      </w:pPr>
      <w:r>
        <w:rPr>
          <w:rFonts w:ascii="Arial" w:cs="Arial" w:eastAsia="Arial" w:hAnsi="Arial"/>
          <w:sz w:val="16"/>
          <w:szCs w:val="16"/>
          <w:color w:val="auto"/>
        </w:rPr>
        <w:t>If the Company shall be consolidated or merged with another corporation or other entity, each Grantee who has received Restricted Stock that is then subject to restrictions imposed by Section 6.3(a) may be required to deposit with the successor corporation the certificates, if any, for the stock or securities or the other property that the Grantee is entitled to receive by reason of ownership of Restricted Stock in a manner consistent with Section 6.2(b), and such stock, securities or other property shall become subject to the restrictions and requirements imposed by Section 6.3(a), and the certificates therefor or other evidence thereof shall bear a legend similar in form and substance to the legend set forth in Section 6.2(a).</w:t>
      </w:r>
    </w:p>
    <w:p>
      <w:pPr>
        <w:spacing w:after="0" w:line="112" w:lineRule="exact"/>
        <w:rPr>
          <w:rFonts w:ascii="Arial" w:cs="Arial" w:eastAsia="Arial" w:hAnsi="Arial"/>
          <w:sz w:val="16"/>
          <w:szCs w:val="16"/>
          <w:color w:val="auto"/>
        </w:rPr>
      </w:pPr>
    </w:p>
    <w:p>
      <w:pPr>
        <w:ind w:left="820" w:right="140" w:hanging="4"/>
        <w:spacing w:after="0" w:line="283" w:lineRule="auto"/>
        <w:tabs>
          <w:tab w:leader="none" w:pos="1143" w:val="left"/>
        </w:tabs>
        <w:numPr>
          <w:ilvl w:val="0"/>
          <w:numId w:val="180"/>
        </w:numPr>
        <w:rPr>
          <w:rFonts w:ascii="Arial" w:cs="Arial" w:eastAsia="Arial" w:hAnsi="Arial"/>
          <w:sz w:val="16"/>
          <w:szCs w:val="16"/>
          <w:color w:val="auto"/>
        </w:rPr>
      </w:pPr>
      <w:r>
        <w:rPr>
          <w:rFonts w:ascii="Arial" w:cs="Arial" w:eastAsia="Arial" w:hAnsi="Arial"/>
          <w:sz w:val="16"/>
          <w:szCs w:val="16"/>
          <w:color w:val="auto"/>
        </w:rPr>
        <w:t>If a Change in Control shall occur, then the Committee, as constituted immediately before the Change in Control, may make such adjustments as it, in its discretion, determines are necessary or appropriate in light of the Change in Control, provided that the Committee determines that such adjustments do not have an adverse economic impact on the Participant as determined at the time of the adjustments.</w:t>
      </w:r>
    </w:p>
    <w:p>
      <w:pPr>
        <w:spacing w:after="0" w:line="104" w:lineRule="exact"/>
        <w:rPr>
          <w:rFonts w:ascii="Arial" w:cs="Arial" w:eastAsia="Arial" w:hAnsi="Arial"/>
          <w:sz w:val="16"/>
          <w:szCs w:val="16"/>
          <w:color w:val="auto"/>
        </w:rPr>
      </w:pPr>
    </w:p>
    <w:p>
      <w:pPr>
        <w:ind w:left="820" w:right="60" w:hanging="4"/>
        <w:spacing w:after="0" w:line="321" w:lineRule="auto"/>
        <w:tabs>
          <w:tab w:leader="none" w:pos="114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 judgment of the Committee with respect to any matter referred to in this Section 15 shall be conclusive and binding upon each Participant without the need for any amendment to the Plan.</w:t>
      </w:r>
    </w:p>
    <w:p>
      <w:pPr>
        <w:spacing w:after="0" w:line="74" w:lineRule="exact"/>
        <w:rPr>
          <w:rFonts w:ascii="Arial" w:cs="Arial" w:eastAsia="Arial" w:hAnsi="Arial"/>
          <w:sz w:val="16"/>
          <w:szCs w:val="16"/>
          <w:color w:val="auto"/>
        </w:rPr>
      </w:pPr>
    </w:p>
    <w:p>
      <w:pPr>
        <w:ind w:left="820" w:right="140" w:hanging="4"/>
        <w:spacing w:after="0" w:line="287" w:lineRule="auto"/>
        <w:tabs>
          <w:tab w:leader="none" w:pos="1098" w:val="left"/>
        </w:tabs>
        <w:numPr>
          <w:ilvl w:val="0"/>
          <w:numId w:val="180"/>
        </w:numPr>
        <w:rPr>
          <w:rFonts w:ascii="Arial" w:cs="Arial" w:eastAsia="Arial" w:hAnsi="Arial"/>
          <w:sz w:val="15"/>
          <w:szCs w:val="15"/>
          <w:color w:val="auto"/>
        </w:rPr>
      </w:pPr>
      <w:r>
        <w:rPr>
          <w:rFonts w:ascii="Arial" w:cs="Arial" w:eastAsia="Arial" w:hAnsi="Arial"/>
          <w:sz w:val="15"/>
          <w:szCs w:val="15"/>
          <w:color w:val="auto"/>
        </w:rPr>
        <w:t>Upon the effective time of a Sale Event, with respect to Awards granted on or after December 9, 2009, at the election of the Committee, either (i) (A) such Options and Stock Appreciation Rights that are not exercisable immediately prior to the effective time of the Sale Event shall become fully exercisable as of the effective time of the Sale Event, (B) all such other Awards with time-based vesting, conditions or restrictions shall become fully vested and nonforfeitable as of the effective time of the Sale Event, (C) all such Awards with conditions and restrictions relating to the attainment of performance goals may become vested and nonforfeitable in connection with a Sale Event in the Committee’s discretion (to the extent not provided for in the Award) and</w:t>
      </w:r>
    </w:p>
    <w:p>
      <w:pPr>
        <w:spacing w:after="0" w:line="3" w:lineRule="exact"/>
        <w:rPr>
          <w:rFonts w:ascii="Arial" w:cs="Arial" w:eastAsia="Arial" w:hAnsi="Arial"/>
          <w:sz w:val="15"/>
          <w:szCs w:val="15"/>
          <w:color w:val="auto"/>
        </w:rPr>
      </w:pPr>
    </w:p>
    <w:p>
      <w:pPr>
        <w:ind w:left="820" w:right="160"/>
        <w:spacing w:after="0" w:line="287" w:lineRule="auto"/>
        <w:rPr>
          <w:rFonts w:ascii="Arial" w:cs="Arial" w:eastAsia="Arial" w:hAnsi="Arial"/>
          <w:sz w:val="15"/>
          <w:szCs w:val="15"/>
          <w:color w:val="auto"/>
        </w:rPr>
      </w:pPr>
      <w:r>
        <w:rPr>
          <w:rFonts w:ascii="Arial" w:cs="Arial" w:eastAsia="Arial" w:hAnsi="Arial"/>
          <w:sz w:val="15"/>
          <w:szCs w:val="15"/>
          <w:color w:val="auto"/>
        </w:rPr>
        <w:t>(D) all such outstanding Awards shall terminate or (ii) such Awards shall be assumed by the successor entity and continue with appropriate adjustment pursuant to Section 15(a) above. In the event of the termination of Awards pursuant to clause (i) of the prior sentence, (i) the Company shall have the option (in its sole discretion) to make or provide for a cash payment to the grantees holding Options and Stock Appreciation Rights, in exchange for the cancellation thereof, in an amount equal to the difference between (A) the Sale Price multiplied by the number of shares of Common Stock subject to outstanding Options and Stock Appreciation Rights (to the extent then exercisable (after taking into account any acceleration hereunder) at prices not in excess of the Sale Price) and (B) the aggregate exercise price of all such outstanding Options and Stock Appreciation Rights; or</w:t>
      </w:r>
    </w:p>
    <w:p>
      <w:pPr>
        <w:spacing w:after="0" w:line="2" w:lineRule="exact"/>
        <w:rPr>
          <w:rFonts w:ascii="Arial" w:cs="Arial" w:eastAsia="Arial" w:hAnsi="Arial"/>
          <w:sz w:val="15"/>
          <w:szCs w:val="15"/>
          <w:color w:val="auto"/>
        </w:rPr>
      </w:pPr>
    </w:p>
    <w:p>
      <w:pPr>
        <w:ind w:left="820" w:right="80" w:hanging="4"/>
        <w:spacing w:after="0" w:line="272" w:lineRule="auto"/>
        <w:tabs>
          <w:tab w:leader="none" w:pos="1037" w:val="left"/>
        </w:tabs>
        <w:numPr>
          <w:ilvl w:val="0"/>
          <w:numId w:val="181"/>
        </w:numPr>
        <w:rPr>
          <w:rFonts w:ascii="Arial" w:cs="Arial" w:eastAsia="Arial" w:hAnsi="Arial"/>
          <w:sz w:val="16"/>
          <w:szCs w:val="16"/>
          <w:color w:val="auto"/>
        </w:rPr>
      </w:pPr>
      <w:r>
        <w:rPr>
          <w:rFonts w:ascii="Arial" w:cs="Arial" w:eastAsia="Arial" w:hAnsi="Arial"/>
          <w:sz w:val="16"/>
          <w:szCs w:val="16"/>
          <w:color w:val="auto"/>
        </w:rPr>
        <w:t>each grantee shall be permitted, within a specified period of time prior to the consummation of the Sale Event as determined by the Committee, to exercise all outstanding Options and Stock Appreciation Rights held by such grantee effective as of the effective time of such Sale Event. For purposes of the Plan, (i) “Sale Event” shall mean (A) the sale of all or substantially all of the assets of the Company on a consolidated basis to an unrelated person or entity, (B) a merger, reorganization or consolidation in which the outstanding shares of Common Stock are converted into or exchanged for securities of the successor entity and the voting securities of the Company outstanding immediately prior to such merger, reorganization or consolidation would represent (either by remaining outstanding or by being converted into voting securities of the surviving entity) less than 50% of the total voting power of the voting securities of the surviving entity outstanding immediately after such merger, reorganization or consolidation or cease to have the power to elect at least a majority of the board of directors or other governing body of such surviving entity, or (C) the sale of all of the Common Stock of the Company to an unrelated person or entity and (ii) “Sale Price” shall mean the value as determined by the Committee of the consideration payable, or otherwise to be received by stockholders, per share of Common Stock pursuant to a Sale Event.</w:t>
      </w:r>
    </w:p>
    <w:p>
      <w:pPr>
        <w:spacing w:after="0" w:line="130" w:lineRule="exact"/>
        <w:rPr>
          <w:sz w:val="20"/>
          <w:szCs w:val="20"/>
          <w:color w:val="auto"/>
        </w:rPr>
      </w:pPr>
    </w:p>
    <w:p>
      <w:pPr>
        <w:ind w:left="1160" w:hanging="344"/>
        <w:spacing w:after="0"/>
        <w:tabs>
          <w:tab w:leader="none" w:pos="1160" w:val="left"/>
        </w:tabs>
        <w:numPr>
          <w:ilvl w:val="0"/>
          <w:numId w:val="18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MISCELLANEOUS.</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 xml:space="preserve">16.1 </w:t>
      </w:r>
      <w:r>
        <w:rPr>
          <w:rFonts w:ascii="Arial" w:cs="Arial" w:eastAsia="Arial" w:hAnsi="Arial"/>
          <w:sz w:val="16"/>
          <w:szCs w:val="16"/>
          <w:b w:val="1"/>
          <w:bCs w:val="1"/>
          <w:u w:val="single" w:color="auto"/>
          <w:color w:val="auto"/>
        </w:rPr>
        <w:t>No Rights to Employment or Other Service.</w:t>
      </w:r>
    </w:p>
    <w:p>
      <w:pPr>
        <w:spacing w:after="0" w:line="167" w:lineRule="exact"/>
        <w:rPr>
          <w:sz w:val="20"/>
          <w:szCs w:val="20"/>
          <w:color w:val="auto"/>
        </w:rPr>
      </w:pPr>
    </w:p>
    <w:p>
      <w:pPr>
        <w:ind w:left="820" w:right="120"/>
        <w:spacing w:after="0" w:line="284" w:lineRule="auto"/>
        <w:rPr>
          <w:sz w:val="20"/>
          <w:szCs w:val="20"/>
          <w:color w:val="auto"/>
        </w:rPr>
      </w:pPr>
      <w:r>
        <w:rPr>
          <w:rFonts w:ascii="Arial" w:cs="Arial" w:eastAsia="Arial" w:hAnsi="Arial"/>
          <w:sz w:val="16"/>
          <w:szCs w:val="16"/>
          <w:color w:val="auto"/>
        </w:rPr>
        <w:t>Nothing in the Plan or in any grant made pursuant to the Plan shall confer on any individual any right to continue in the employ or other service of the Company or its Subsidiaries or interfere in any way with the right of the Company or its Subsidiaries and its shareholders to terminate the individual’s employment or other service at any time.</w:t>
      </w:r>
    </w:p>
    <w:p>
      <w:pPr>
        <w:spacing w:after="0" w:line="116"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 xml:space="preserve">16.2  </w:t>
      </w:r>
      <w:r>
        <w:rPr>
          <w:rFonts w:ascii="Arial" w:cs="Arial" w:eastAsia="Arial" w:hAnsi="Arial"/>
          <w:sz w:val="16"/>
          <w:szCs w:val="16"/>
          <w:b w:val="1"/>
          <w:bCs w:val="1"/>
          <w:u w:val="single" w:color="auto"/>
          <w:color w:val="auto"/>
        </w:rPr>
        <w:t>Right of First Refusal; Right of Repurchase.</w:t>
      </w:r>
    </w:p>
    <w:p>
      <w:pPr>
        <w:spacing w:after="0" w:line="167" w:lineRule="exact"/>
        <w:rPr>
          <w:sz w:val="20"/>
          <w:szCs w:val="20"/>
          <w:color w:val="auto"/>
        </w:rPr>
      </w:pPr>
    </w:p>
    <w:p>
      <w:pPr>
        <w:ind w:left="820" w:right="400"/>
        <w:spacing w:after="0" w:line="340" w:lineRule="auto"/>
        <w:rPr>
          <w:sz w:val="20"/>
          <w:szCs w:val="20"/>
          <w:color w:val="auto"/>
        </w:rPr>
      </w:pPr>
      <w:r>
        <w:rPr>
          <w:rFonts w:ascii="Arial" w:cs="Arial" w:eastAsia="Arial" w:hAnsi="Arial"/>
          <w:sz w:val="15"/>
          <w:szCs w:val="15"/>
          <w:color w:val="auto"/>
        </w:rPr>
        <w:t>At the time of grant, the Committee may provide in connection with any grant made under the Plan that Shares received hereunder shall be subject to a right of first refusal pursuant to which the Company shall be entitled to purchase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37465</wp:posOffset>
            </wp:positionV>
            <wp:extent cx="6831965" cy="425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125" w:name="page126"/>
    <w:bookmarkEnd w:id="125"/>
    <w:p>
      <w:pPr>
        <w:spacing w:after="0"/>
        <w:rPr>
          <w:sz w:val="20"/>
          <w:szCs w:val="20"/>
          <w:color w:val="auto"/>
        </w:rPr>
      </w:pPr>
      <w:r>
        <w:rPr>
          <w:rFonts w:ascii="Calibri" w:cs="Calibri" w:eastAsia="Calibri" w:hAnsi="Calibri"/>
          <w:sz w:val="14"/>
          <w:szCs w:val="14"/>
          <w:color w:val="003366"/>
        </w:rPr>
        <w:t>TABLE OF CONTENTS</w:t>
      </w:r>
    </w:p>
    <w:p>
      <w:pPr>
        <w:spacing w:after="0" w:line="298" w:lineRule="exact"/>
        <w:rPr>
          <w:sz w:val="20"/>
          <w:szCs w:val="20"/>
          <w:color w:val="auto"/>
        </w:rPr>
      </w:pPr>
    </w:p>
    <w:tbl>
      <w:tblPr>
        <w:tblLayout w:type="fixed"/>
        <w:tblInd w:w="820" w:type="dxa"/>
        <w:tblCellMar>
          <w:top w:w="0" w:type="dxa"/>
          <w:left w:w="0" w:type="dxa"/>
          <w:bottom w:w="0" w:type="dxa"/>
          <w:right w:w="0" w:type="dxa"/>
        </w:tblCellMar>
      </w:tblPr>
      <w:tr>
        <w:trPr>
          <w:trHeight w:val="253"/>
        </w:trPr>
        <w:tc>
          <w:tcPr>
            <w:tcW w:w="4540" w:type="dxa"/>
            <w:vAlign w:val="bottom"/>
          </w:tcPr>
          <w:p>
            <w:pPr>
              <w:spacing w:after="0"/>
              <w:rPr>
                <w:sz w:val="20"/>
                <w:szCs w:val="20"/>
                <w:color w:val="auto"/>
              </w:rPr>
            </w:pPr>
            <w:r>
              <w:rPr>
                <w:rFonts w:ascii="Arial" w:cs="Arial" w:eastAsia="Arial" w:hAnsi="Arial"/>
                <w:sz w:val="14"/>
                <w:szCs w:val="14"/>
                <w:b w:val="1"/>
                <w:bCs w:val="1"/>
                <w:color w:val="auto"/>
              </w:rPr>
              <w:t>APPENDIX A</w:t>
            </w:r>
          </w:p>
        </w:tc>
        <w:tc>
          <w:tcPr>
            <w:tcW w:w="3940" w:type="dxa"/>
            <w:vAlign w:val="bottom"/>
            <w:vMerge w:val="restart"/>
          </w:tcPr>
          <w:p>
            <w:pPr>
              <w:ind w:left="3660"/>
              <w:spacing w:after="0"/>
              <w:rPr>
                <w:sz w:val="20"/>
                <w:szCs w:val="20"/>
                <w:color w:val="auto"/>
              </w:rPr>
            </w:pPr>
            <w:r>
              <w:rPr>
                <w:rFonts w:ascii="Arial" w:cs="Arial" w:eastAsia="Arial" w:hAnsi="Arial"/>
                <w:sz w:val="14"/>
                <w:szCs w:val="14"/>
                <w:b w:val="1"/>
                <w:bCs w:val="1"/>
                <w:color w:val="auto"/>
              </w:rPr>
              <w:t>​ ​</w:t>
            </w:r>
          </w:p>
        </w:tc>
        <w:tc>
          <w:tcPr>
            <w:tcW w:w="580" w:type="dxa"/>
            <w:vAlign w:val="bottom"/>
          </w:tcPr>
          <w:p>
            <w:pPr>
              <w:ind w:left="120"/>
              <w:spacing w:after="0"/>
              <w:rPr>
                <w:sz w:val="20"/>
                <w:szCs w:val="20"/>
                <w:color w:val="auto"/>
              </w:rPr>
            </w:pPr>
            <w:r>
              <w:rPr>
                <w:rFonts w:ascii="Arial" w:cs="Arial" w:eastAsia="Arial" w:hAnsi="Arial"/>
                <w:sz w:val="22"/>
                <w:szCs w:val="22"/>
                <w:b w:val="1"/>
                <w:bCs w:val="1"/>
                <w:color w:val="1F2668"/>
                <w:w w:val="92"/>
              </w:rPr>
              <w:t>A-17</w:t>
            </w:r>
          </w:p>
        </w:tc>
        <w:tc>
          <w:tcPr>
            <w:tcW w:w="4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4540" w:type="dxa"/>
            <w:vAlign w:val="bottom"/>
          </w:tcPr>
          <w:p>
            <w:pPr>
              <w:spacing w:after="0"/>
              <w:rPr>
                <w:sz w:val="20"/>
                <w:szCs w:val="20"/>
                <w:color w:val="auto"/>
              </w:rPr>
            </w:pPr>
            <w:r>
              <w:rPr>
                <w:rFonts w:ascii="Arial" w:cs="Arial" w:eastAsia="Arial" w:hAnsi="Arial"/>
                <w:sz w:val="14"/>
                <w:szCs w:val="14"/>
                <w:b w:val="1"/>
                <w:bCs w:val="1"/>
                <w:color w:val="auto"/>
              </w:rPr>
              <w:t>​</w:t>
            </w:r>
          </w:p>
        </w:tc>
        <w:tc>
          <w:tcPr>
            <w:tcW w:w="394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7" w:lineRule="exact"/>
        <w:rPr>
          <w:sz w:val="20"/>
          <w:szCs w:val="20"/>
          <w:color w:val="auto"/>
        </w:rPr>
      </w:pPr>
    </w:p>
    <w:p>
      <w:pPr>
        <w:jc w:val="both"/>
        <w:ind w:left="820" w:right="180"/>
        <w:spacing w:after="0" w:line="295" w:lineRule="auto"/>
        <w:rPr>
          <w:sz w:val="20"/>
          <w:szCs w:val="20"/>
          <w:color w:val="auto"/>
        </w:rPr>
      </w:pPr>
      <w:r>
        <w:rPr>
          <w:rFonts w:ascii="Arial" w:cs="Arial" w:eastAsia="Arial" w:hAnsi="Arial"/>
          <w:sz w:val="16"/>
          <w:szCs w:val="16"/>
          <w:color w:val="auto"/>
        </w:rPr>
        <w:t>in the event of a prospective sale of the Shares, subject to such terms and conditions as the Committee may specify at the time of grant or (if permitted by the Award Agreement) thereafter, and to a right of repurchase, pursuant to which the Company shall be entitled to purchase such Shares at a price determined by, or under a formula set by, the Committee at the time of grant or (if permitted by the Award Agreement) thereafter.</w:t>
      </w:r>
    </w:p>
    <w:p>
      <w:pPr>
        <w:spacing w:after="0" w:line="10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 xml:space="preserve">16.3  </w:t>
      </w:r>
      <w:r>
        <w:rPr>
          <w:rFonts w:ascii="Arial" w:cs="Arial" w:eastAsia="Arial" w:hAnsi="Arial"/>
          <w:sz w:val="16"/>
          <w:szCs w:val="16"/>
          <w:b w:val="1"/>
          <w:bCs w:val="1"/>
          <w:u w:val="single" w:color="auto"/>
          <w:color w:val="auto"/>
        </w:rPr>
        <w:t>No Fiduciary Relationship.</w:t>
      </w:r>
    </w:p>
    <w:p>
      <w:pPr>
        <w:spacing w:after="0" w:line="181" w:lineRule="exact"/>
        <w:rPr>
          <w:sz w:val="20"/>
          <w:szCs w:val="20"/>
          <w:color w:val="auto"/>
        </w:rPr>
      </w:pPr>
    </w:p>
    <w:p>
      <w:pPr>
        <w:ind w:left="820" w:right="40"/>
        <w:spacing w:after="0" w:line="295" w:lineRule="auto"/>
        <w:rPr>
          <w:sz w:val="20"/>
          <w:szCs w:val="20"/>
          <w:color w:val="auto"/>
        </w:rPr>
      </w:pPr>
      <w:r>
        <w:rPr>
          <w:rFonts w:ascii="Arial" w:cs="Arial" w:eastAsia="Arial" w:hAnsi="Arial"/>
          <w:sz w:val="16"/>
          <w:szCs w:val="16"/>
          <w:color w:val="auto"/>
        </w:rPr>
        <w:t>Nothing contained in the Plan (including without limitation Sections 7.5(c) and 8.4), and no action taken pursuant to the provisions of the Plan, shall create or shall be construed to create a trust of any kind, or a fiduciary relationship between the Company or its Subsidiaries, or their officers or the Committee, on the one hand, and the Participant, the Company, its Subsidiaries or any other person or entity, on the other.</w:t>
      </w:r>
    </w:p>
    <w:p>
      <w:pPr>
        <w:spacing w:after="0" w:line="9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 xml:space="preserve">16.4  </w:t>
      </w:r>
      <w:r>
        <w:rPr>
          <w:rFonts w:ascii="Arial" w:cs="Arial" w:eastAsia="Arial" w:hAnsi="Arial"/>
          <w:sz w:val="16"/>
          <w:szCs w:val="16"/>
          <w:b w:val="1"/>
          <w:bCs w:val="1"/>
          <w:u w:val="single" w:color="auto"/>
          <w:color w:val="auto"/>
        </w:rPr>
        <w:t>No Fund Created.</w:t>
      </w:r>
    </w:p>
    <w:p>
      <w:pPr>
        <w:spacing w:after="0" w:line="181" w:lineRule="exact"/>
        <w:rPr>
          <w:sz w:val="20"/>
          <w:szCs w:val="20"/>
          <w:color w:val="auto"/>
        </w:rPr>
      </w:pPr>
    </w:p>
    <w:p>
      <w:pPr>
        <w:ind w:left="820" w:right="40"/>
        <w:spacing w:after="0" w:line="284" w:lineRule="auto"/>
        <w:rPr>
          <w:sz w:val="20"/>
          <w:szCs w:val="20"/>
          <w:color w:val="auto"/>
        </w:rPr>
      </w:pPr>
      <w:r>
        <w:rPr>
          <w:rFonts w:ascii="Arial" w:cs="Arial" w:eastAsia="Arial" w:hAnsi="Arial"/>
          <w:sz w:val="16"/>
          <w:szCs w:val="16"/>
          <w:color w:val="auto"/>
        </w:rPr>
        <w:t>Any and all payments hereunder to any Participant under the Plan shall be made from the general funds of the Company (or, if applicable, a Participating Company), no special or separate fund shall be established or other segregation of assets made to assure such payments, and the Phantom Shares (including for purposes of this Section 16.4 any accounts established to facilitate the implementation of Section 7.4(c)) and any other similar devices issued hereunder to account for Plan obligations do not constitute Common Stock and shall not be treated as (or as giving rise to) property or as a trust fund of any kind; provided, however, that the Company may establish a mere bookkeeping reserve to meet its obligations hereunder or a trust or other funding vehicle that would not cause the Plan to be deemed to be funded for tax purposes or for purposes of Title I of the Employee Retirement Income Security Act of 1974, as amended. The obligations of the Company under the Plan are unsecured and constitute a mere promise by the Company to make benefit payments in the future and, to the extent that any person acquires a right to receive payments under the Plan from the Company, such right shall be no greater than the right of a general unsecured creditor of the Company. (If any affiliate of the Company is or is made responsible with respect to any Awards, the foregoing sentence shall apply with respect to such affiliate.) Without limiting the foregoing, Phantom Shares and any other similar devices issued hereunder to account for Plan obligations are solely a device for the measurement and determination of the amounts to be paid to a Grantee under the Plan, and each Grantee’s right in the Phantom Shares and any such other devices is limited to the right to receive payment, if any, as may herein be provided.</w:t>
      </w:r>
    </w:p>
    <w:p>
      <w:pPr>
        <w:spacing w:after="0" w:line="123"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 xml:space="preserve">16.5  </w:t>
      </w:r>
      <w:r>
        <w:rPr>
          <w:rFonts w:ascii="Arial" w:cs="Arial" w:eastAsia="Arial" w:hAnsi="Arial"/>
          <w:sz w:val="16"/>
          <w:szCs w:val="16"/>
          <w:b w:val="1"/>
          <w:bCs w:val="1"/>
          <w:u w:val="single" w:color="auto"/>
          <w:color w:val="auto"/>
        </w:rPr>
        <w:t>Notices.</w:t>
      </w:r>
    </w:p>
    <w:p>
      <w:pPr>
        <w:spacing w:after="0" w:line="167" w:lineRule="exact"/>
        <w:rPr>
          <w:sz w:val="20"/>
          <w:szCs w:val="20"/>
          <w:color w:val="auto"/>
        </w:rPr>
      </w:pPr>
    </w:p>
    <w:p>
      <w:pPr>
        <w:ind w:left="820" w:right="40"/>
        <w:spacing w:after="0" w:line="295" w:lineRule="auto"/>
        <w:rPr>
          <w:sz w:val="20"/>
          <w:szCs w:val="20"/>
          <w:color w:val="auto"/>
        </w:rPr>
      </w:pPr>
      <w:r>
        <w:rPr>
          <w:rFonts w:ascii="Arial" w:cs="Arial" w:eastAsia="Arial" w:hAnsi="Arial"/>
          <w:sz w:val="16"/>
          <w:szCs w:val="16"/>
          <w:color w:val="auto"/>
        </w:rPr>
        <w:t>All notices under the Plan shall be in writing, and if to the Company, shall be delivered to the Board or mailed to its principal office, addressed to the attention of the Board; and if to the Participant, shall be delivered personally, sent by facsimile transmission or mailed to the Participant at the address appearing in the records of the Company. Such addresses may be changed at any time by written notice to the other party given in accordance with this Section 16.5.</w:t>
      </w:r>
    </w:p>
    <w:p>
      <w:pPr>
        <w:spacing w:after="0" w:line="10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 xml:space="preserve">16.6  </w:t>
      </w:r>
      <w:r>
        <w:rPr>
          <w:rFonts w:ascii="Arial" w:cs="Arial" w:eastAsia="Arial" w:hAnsi="Arial"/>
          <w:sz w:val="16"/>
          <w:szCs w:val="16"/>
          <w:b w:val="1"/>
          <w:bCs w:val="1"/>
          <w:u w:val="single" w:color="auto"/>
          <w:color w:val="auto"/>
        </w:rPr>
        <w:t>Exculpation and Indemnification.</w:t>
      </w:r>
    </w:p>
    <w:p>
      <w:pPr>
        <w:spacing w:after="0" w:line="181" w:lineRule="exact"/>
        <w:rPr>
          <w:sz w:val="20"/>
          <w:szCs w:val="20"/>
          <w:color w:val="auto"/>
        </w:rPr>
      </w:pPr>
    </w:p>
    <w:p>
      <w:pPr>
        <w:jc w:val="both"/>
        <w:ind w:left="820" w:right="40"/>
        <w:spacing w:after="0" w:line="329" w:lineRule="auto"/>
        <w:rPr>
          <w:sz w:val="20"/>
          <w:szCs w:val="20"/>
          <w:color w:val="auto"/>
        </w:rPr>
      </w:pPr>
      <w:r>
        <w:rPr>
          <w:rFonts w:ascii="Arial" w:cs="Arial" w:eastAsia="Arial" w:hAnsi="Arial"/>
          <w:sz w:val="15"/>
          <w:szCs w:val="15"/>
          <w:color w:val="auto"/>
        </w:rPr>
        <w:t>The Company shall indemnify and hold harmless the members of the Board and the members of the Committee from and against any and all liabilities, costs and expenses incurred by such persons as a result of any act or omission to act in connection with the performance of such person’s duties, responsibilities and obligations under the Plan, to the maximum extent permitted by law.</w:t>
      </w:r>
    </w:p>
    <w:p>
      <w:pPr>
        <w:spacing w:after="0" w:line="7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 xml:space="preserve">16.7  </w:t>
      </w:r>
      <w:r>
        <w:rPr>
          <w:rFonts w:ascii="Arial" w:cs="Arial" w:eastAsia="Arial" w:hAnsi="Arial"/>
          <w:sz w:val="16"/>
          <w:szCs w:val="16"/>
          <w:b w:val="1"/>
          <w:bCs w:val="1"/>
          <w:u w:val="single" w:color="auto"/>
          <w:color w:val="auto"/>
        </w:rPr>
        <w:t>Captions.</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use of captions in this Plan is for convenience. The captions are not intended to provide substantive rights.</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 xml:space="preserve">16.8  </w:t>
      </w:r>
      <w:r>
        <w:rPr>
          <w:rFonts w:ascii="Arial" w:cs="Arial" w:eastAsia="Arial" w:hAnsi="Arial"/>
          <w:sz w:val="16"/>
          <w:szCs w:val="16"/>
          <w:b w:val="1"/>
          <w:bCs w:val="1"/>
          <w:u w:val="single" w:color="auto"/>
          <w:color w:val="auto"/>
        </w:rPr>
        <w:t>Governing Law.</w:t>
      </w:r>
    </w:p>
    <w:p>
      <w:pPr>
        <w:spacing w:after="0" w:line="167" w:lineRule="exact"/>
        <w:rPr>
          <w:sz w:val="20"/>
          <w:szCs w:val="20"/>
          <w:color w:val="auto"/>
        </w:rPr>
      </w:pPr>
    </w:p>
    <w:p>
      <w:pPr>
        <w:ind w:left="820" w:right="80"/>
        <w:spacing w:after="0" w:line="321" w:lineRule="auto"/>
        <w:rPr>
          <w:sz w:val="20"/>
          <w:szCs w:val="20"/>
          <w:color w:val="auto"/>
        </w:rPr>
      </w:pPr>
      <w:r>
        <w:rPr>
          <w:rFonts w:ascii="Arial" w:cs="Arial" w:eastAsia="Arial" w:hAnsi="Arial"/>
          <w:sz w:val="16"/>
          <w:szCs w:val="16"/>
          <w:color w:val="auto"/>
        </w:rPr>
        <w:t>THE PLAN SHALL BE GOVERNED BY THE LAWS OF MARYLAND WITHOUT REFERENCE TO PRINCIPLES OF CONFLICT OF LAWS.</w:t>
      </w:r>
    </w:p>
    <w:p>
      <w:pPr>
        <w:spacing w:after="0" w:line="8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 xml:space="preserve">16.9  </w:t>
      </w:r>
      <w:r>
        <w:rPr>
          <w:rFonts w:ascii="Arial" w:cs="Arial" w:eastAsia="Arial" w:hAnsi="Arial"/>
          <w:sz w:val="16"/>
          <w:szCs w:val="16"/>
          <w:b w:val="1"/>
          <w:bCs w:val="1"/>
          <w:u w:val="single" w:color="auto"/>
          <w:color w:val="auto"/>
        </w:rPr>
        <w:t>Clawback Policy.</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Awards under this Plan shall be subject to the Company’s clawback policy, as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1010920</wp:posOffset>
            </wp:positionV>
            <wp:extent cx="6831965" cy="425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bookmarkStart w:id="126" w:name="page127"/>
    <w:bookmarkEnd w:id="1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91" w:lineRule="exact"/>
        <w:rPr>
          <w:sz w:val="20"/>
          <w:szCs w:val="20"/>
          <w:color w:val="auto"/>
        </w:rPr>
      </w:pPr>
    </w:p>
    <w:p>
      <w:pPr>
        <w:ind w:left="9540"/>
        <w:spacing w:after="0"/>
        <w:rPr>
          <w:sz w:val="20"/>
          <w:szCs w:val="20"/>
          <w:color w:val="auto"/>
        </w:rPr>
      </w:pPr>
      <w:r>
        <w:rPr>
          <w:rFonts w:ascii="Arial" w:cs="Arial" w:eastAsia="Arial" w:hAnsi="Arial"/>
          <w:sz w:val="22"/>
          <w:szCs w:val="22"/>
          <w:b w:val="1"/>
          <w:bCs w:val="1"/>
          <w:color w:val="1F2668"/>
        </w:rPr>
        <w:t>B-1</w:t>
      </w:r>
    </w:p>
    <w:p>
      <w:pPr>
        <w:spacing w:after="0" w:line="12" w:lineRule="exact"/>
        <w:rPr>
          <w:sz w:val="20"/>
          <w:szCs w:val="20"/>
          <w:color w:val="auto"/>
        </w:rPr>
      </w:pPr>
    </w:p>
    <w:p>
      <w:pPr>
        <w:ind w:left="820"/>
        <w:spacing w:after="0"/>
        <w:tabs>
          <w:tab w:leader="none" w:pos="9000" w:val="left"/>
          <w:tab w:leader="none" w:pos="9860" w:val="left"/>
        </w:tabs>
        <w:rPr>
          <w:sz w:val="20"/>
          <w:szCs w:val="20"/>
          <w:color w:val="auto"/>
        </w:rPr>
      </w:pPr>
      <w:r>
        <w:rPr>
          <w:rFonts w:ascii="Arial" w:cs="Arial" w:eastAsia="Arial" w:hAnsi="Arial"/>
          <w:sz w:val="22"/>
          <w:szCs w:val="22"/>
          <w:b w:val="1"/>
          <w:bCs w:val="1"/>
          <w:color w:val="1F2668"/>
        </w:rPr>
        <w:t>​</w:t>
      </w:r>
      <w:r>
        <w:rPr>
          <w:sz w:val="20"/>
          <w:szCs w:val="20"/>
          <w:color w:val="auto"/>
        </w:rPr>
        <w:tab/>
      </w:r>
      <w:r>
        <w:rPr>
          <w:rFonts w:ascii="Arial" w:cs="Arial" w:eastAsia="Arial" w:hAnsi="Arial"/>
          <w:sz w:val="22"/>
          <w:szCs w:val="22"/>
          <w:b w:val="1"/>
          <w:bCs w:val="1"/>
          <w:color w:val="1F2668"/>
        </w:rPr>
        <w:t>​ ​</w:t>
      </w:r>
      <w:r>
        <w:rPr>
          <w:sz w:val="20"/>
          <w:szCs w:val="20"/>
          <w:color w:val="auto"/>
        </w:rPr>
        <w:tab/>
      </w:r>
      <w:r>
        <w:rPr>
          <w:rFonts w:ascii="Arial" w:cs="Arial" w:eastAsia="Arial" w:hAnsi="Arial"/>
          <w:sz w:val="22"/>
          <w:szCs w:val="22"/>
          <w:b w:val="1"/>
          <w:bCs w:val="1"/>
          <w:color w:val="1F2668"/>
        </w:rPr>
        <w:t>​</w:t>
      </w:r>
    </w:p>
    <w:p>
      <w:pPr>
        <w:spacing w:after="0" w:line="200" w:lineRule="exact"/>
        <w:rPr>
          <w:sz w:val="20"/>
          <w:szCs w:val="20"/>
          <w:color w:val="auto"/>
        </w:rPr>
      </w:pPr>
    </w:p>
    <w:p>
      <w:pPr>
        <w:spacing w:after="0" w:line="240" w:lineRule="exact"/>
        <w:rPr>
          <w:sz w:val="20"/>
          <w:szCs w:val="20"/>
          <w:color w:val="auto"/>
        </w:rPr>
      </w:pPr>
    </w:p>
    <w:p>
      <w:pPr>
        <w:ind w:left="820"/>
        <w:spacing w:after="0"/>
        <w:rPr>
          <w:sz w:val="20"/>
          <w:szCs w:val="20"/>
          <w:color w:val="auto"/>
        </w:rPr>
      </w:pPr>
      <w:r>
        <w:rPr>
          <w:rFonts w:ascii="Arial" w:cs="Arial" w:eastAsia="Arial" w:hAnsi="Arial"/>
          <w:sz w:val="38"/>
          <w:szCs w:val="38"/>
          <w:b w:val="1"/>
          <w:bCs w:val="1"/>
          <w:color w:val="1F2668"/>
        </w:rPr>
        <w:t>APPENDIX B:</w:t>
      </w:r>
    </w:p>
    <w:p>
      <w:pPr>
        <w:spacing w:after="0" w:line="328" w:lineRule="exact"/>
        <w:rPr>
          <w:sz w:val="20"/>
          <w:szCs w:val="20"/>
          <w:color w:val="auto"/>
        </w:rPr>
      </w:pPr>
    </w:p>
    <w:p>
      <w:pPr>
        <w:ind w:left="820"/>
        <w:spacing w:after="0"/>
        <w:rPr>
          <w:sz w:val="20"/>
          <w:szCs w:val="20"/>
          <w:color w:val="auto"/>
        </w:rPr>
      </w:pPr>
      <w:r>
        <w:rPr>
          <w:rFonts w:ascii="Arial" w:cs="Arial" w:eastAsia="Arial" w:hAnsi="Arial"/>
          <w:sz w:val="29"/>
          <w:szCs w:val="29"/>
          <w:b w:val="1"/>
          <w:bCs w:val="1"/>
          <w:color w:val="83AD40"/>
        </w:rPr>
        <w:t>INFORMATION REGARDING CERTAIN FINANCIAL MEASURES</w:t>
      </w:r>
    </w:p>
    <w:p>
      <w:pPr>
        <w:spacing w:after="0" w:line="159" w:lineRule="exact"/>
        <w:rPr>
          <w:sz w:val="20"/>
          <w:szCs w:val="20"/>
          <w:color w:val="auto"/>
        </w:rPr>
      </w:pPr>
    </w:p>
    <w:p>
      <w:pPr>
        <w:ind w:left="820" w:right="200"/>
        <w:spacing w:after="0" w:line="321" w:lineRule="auto"/>
        <w:rPr>
          <w:sz w:val="20"/>
          <w:szCs w:val="20"/>
          <w:color w:val="auto"/>
        </w:rPr>
      </w:pPr>
      <w:r>
        <w:rPr>
          <w:rFonts w:ascii="Arial" w:cs="Arial" w:eastAsia="Arial" w:hAnsi="Arial"/>
          <w:sz w:val="16"/>
          <w:szCs w:val="16"/>
          <w:color w:val="auto"/>
        </w:rPr>
        <w:t>Below is a reconciliation of net income attributable to our stockholders to Normalized Funds from Operations, or FFO, per share for the twelve months ended December 31, 2024 (amounts in thousands, except per share data).</w:t>
      </w:r>
    </w:p>
    <w:p>
      <w:pPr>
        <w:sectPr>
          <w:pgSz w:w="11900" w:h="16838" w:orient="portrait"/>
          <w:cols w:equalWidth="0" w:num="1">
            <w:col w:w="9940"/>
          </w:cols>
          <w:pgMar w:left="580" w:top="9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1F2668"/>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40640</wp:posOffset>
            </wp:positionV>
            <wp:extent cx="5014595"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5014595" cy="8255"/>
                    </a:xfrm>
                    <a:prstGeom prst="rect">
                      <a:avLst/>
                    </a:prstGeom>
                    <a:noFill/>
                  </pic:spPr>
                </pic:pic>
              </a:graphicData>
            </a:graphic>
          </wp:anchor>
        </w:drawing>
      </w:r>
    </w:p>
    <w:p>
      <w:pPr>
        <w:spacing w:after="0" w:line="9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1F2668"/>
        </w:rPr>
        <w:t>Normalized FFO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20955</wp:posOffset>
            </wp:positionV>
            <wp:extent cx="5014595"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5014595" cy="8890"/>
                    </a:xfrm>
                    <a:prstGeom prst="rect">
                      <a:avLst/>
                    </a:prstGeom>
                    <a:noFill/>
                  </pic:spPr>
                </pic:pic>
              </a:graphicData>
            </a:graphic>
          </wp:anchor>
        </w:drawing>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Net income attributable to SL Green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20955</wp:posOffset>
            </wp:positionV>
            <wp:extent cx="5014595"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5014595" cy="8255"/>
                    </a:xfrm>
                    <a:prstGeom prst="rect">
                      <a:avLst/>
                    </a:prstGeom>
                    <a:noFill/>
                  </pic:spPr>
                </pic:pic>
              </a:graphicData>
            </a:graphic>
          </wp:anchor>
        </w:drawing>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20955</wp:posOffset>
            </wp:positionV>
            <wp:extent cx="5014595"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5014595" cy="8255"/>
                    </a:xfrm>
                    <a:prstGeom prst="rect">
                      <a:avLst/>
                    </a:prstGeom>
                    <a:noFill/>
                  </pic:spPr>
                </pic:pic>
              </a:graphicData>
            </a:graphic>
          </wp:anchor>
        </w:drawing>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20955</wp:posOffset>
            </wp:positionV>
            <wp:extent cx="5014595"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5014595" cy="8255"/>
                    </a:xfrm>
                    <a:prstGeom prst="rect">
                      <a:avLst/>
                    </a:prstGeom>
                    <a:noFill/>
                  </pic:spPr>
                </pic:pic>
              </a:graphicData>
            </a:graphic>
          </wp:anchor>
        </w:drawing>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Joint venture depreciation and noncontrolling interest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20955</wp:posOffset>
            </wp:positionV>
            <wp:extent cx="5014595"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5014595" cy="8255"/>
                    </a:xfrm>
                    <a:prstGeom prst="rect">
                      <a:avLst/>
                    </a:prstGeom>
                    <a:noFill/>
                  </pic:spPr>
                </pic:pic>
              </a:graphicData>
            </a:graphic>
          </wp:anchor>
        </w:drawing>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Net loss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20955</wp:posOffset>
            </wp:positionV>
            <wp:extent cx="5014595"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5014595" cy="8890"/>
                    </a:xfrm>
                    <a:prstGeom prst="rect">
                      <a:avLst/>
                    </a:prstGeom>
                    <a:noFill/>
                  </pic:spPr>
                </pic:pic>
              </a:graphicData>
            </a:graphic>
          </wp:anchor>
        </w:drawing>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20955</wp:posOffset>
            </wp:positionV>
            <wp:extent cx="501459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5014595" cy="8255"/>
                    </a:xfrm>
                    <a:prstGeom prst="rect">
                      <a:avLst/>
                    </a:prstGeom>
                    <a:noFill/>
                  </pic:spPr>
                </pic:pic>
              </a:graphicData>
            </a:graphic>
          </wp:anchor>
        </w:drawing>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Equity in net gain (loss) on sale of interest in unconsolidated joint venture/real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20955</wp:posOffset>
            </wp:positionV>
            <wp:extent cx="5014595"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5014595" cy="8255"/>
                    </a:xfrm>
                    <a:prstGeom prst="rect">
                      <a:avLst/>
                    </a:prstGeom>
                    <a:noFill/>
                  </pic:spPr>
                </pic:pic>
              </a:graphicData>
            </a:graphic>
          </wp:anchor>
        </w:drawing>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Purchase price and other fair value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20955</wp:posOffset>
            </wp:positionV>
            <wp:extent cx="5014595"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5014595" cy="8255"/>
                    </a:xfrm>
                    <a:prstGeom prst="rect">
                      <a:avLst/>
                    </a:prstGeom>
                    <a:noFill/>
                  </pic:spPr>
                </pic:pic>
              </a:graphicData>
            </a:graphic>
          </wp:anchor>
        </w:drawing>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Gain (loss) on sale of real estate,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20955</wp:posOffset>
            </wp:positionV>
            <wp:extent cx="5014595"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5014595" cy="8890"/>
                    </a:xfrm>
                    <a:prstGeom prst="rect">
                      <a:avLst/>
                    </a:prstGeom>
                    <a:noFill/>
                  </pic:spPr>
                </pic:pic>
              </a:graphicData>
            </a:graphic>
          </wp:anchor>
        </w:drawing>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Depreciable real estate reserves and impairments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20955</wp:posOffset>
            </wp:positionV>
            <wp:extent cx="5014595"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5014595" cy="8255"/>
                    </a:xfrm>
                    <a:prstGeom prst="rect">
                      <a:avLst/>
                    </a:prstGeom>
                    <a:noFill/>
                  </pic:spPr>
                </pic:pic>
              </a:graphicData>
            </a:graphic>
          </wp:anchor>
        </w:drawing>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Depreciable real estate reserves in unconsolidated joint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20955</wp:posOffset>
            </wp:positionV>
            <wp:extent cx="5014595"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5014595" cy="8255"/>
                    </a:xfrm>
                    <a:prstGeom prst="rect">
                      <a:avLst/>
                    </a:prstGeom>
                    <a:noFill/>
                  </pic:spPr>
                </pic:pic>
              </a:graphicData>
            </a:graphic>
          </wp:anchor>
        </w:drawing>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Depreciation on non-rental real estate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20955</wp:posOffset>
            </wp:positionV>
            <wp:extent cx="5014595"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5014595" cy="8255"/>
                    </a:xfrm>
                    <a:prstGeom prst="rect">
                      <a:avLst/>
                    </a:prstGeom>
                    <a:noFill/>
                  </pic:spPr>
                </pic:pic>
              </a:graphicData>
            </a:graphic>
          </wp:anchor>
        </w:drawing>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1F2668"/>
        </w:rPr>
        <w:t>FFO attributable to SL Green common stockholders and unit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20955</wp:posOffset>
            </wp:positionV>
            <wp:extent cx="5014595"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5014595" cy="8255"/>
                    </a:xfrm>
                    <a:prstGeom prst="rect">
                      <a:avLst/>
                    </a:prstGeom>
                    <a:noFill/>
                  </pic:spPr>
                </pic:pic>
              </a:graphicData>
            </a:graphic>
          </wp:anchor>
        </w:drawing>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20955</wp:posOffset>
            </wp:positionV>
            <wp:extent cx="5014595"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5014595" cy="8890"/>
                    </a:xfrm>
                    <a:prstGeom prst="rect">
                      <a:avLst/>
                    </a:prstGeom>
                    <a:noFill/>
                  </pic:spPr>
                </pic:pic>
              </a:graphicData>
            </a:graphic>
          </wp:anchor>
        </w:drawing>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Non-cash fair value adjustments on mark-to-market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20955</wp:posOffset>
            </wp:positionV>
            <wp:extent cx="5014595"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5014595" cy="8890"/>
                    </a:xfrm>
                    <a:prstGeom prst="rect">
                      <a:avLst/>
                    </a:prstGeom>
                    <a:noFill/>
                  </pic:spPr>
                </pic:pic>
              </a:graphicData>
            </a:graphic>
          </wp:anchor>
        </w:drawing>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Loan loss and other investment reserves, net of recoveries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20955</wp:posOffset>
            </wp:positionV>
            <wp:extent cx="5014595"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5014595" cy="8890"/>
                    </a:xfrm>
                    <a:prstGeom prst="rect">
                      <a:avLst/>
                    </a:prstGeom>
                    <a:noFill/>
                  </pic:spPr>
                </pic:pic>
              </a:graphicData>
            </a:graphic>
          </wp:anchor>
        </w:drawing>
      </w:r>
    </w:p>
    <w:p>
      <w:pPr>
        <w:spacing w:after="0" w:line="37" w:lineRule="exact"/>
        <w:rPr>
          <w:sz w:val="20"/>
          <w:szCs w:val="20"/>
          <w:color w:val="auto"/>
        </w:rPr>
      </w:pPr>
    </w:p>
    <w:p>
      <w:pPr>
        <w:ind w:left="820"/>
        <w:spacing w:after="0"/>
        <w:rPr>
          <w:sz w:val="20"/>
          <w:szCs w:val="20"/>
          <w:color w:val="auto"/>
        </w:rPr>
      </w:pPr>
      <w:r>
        <w:rPr>
          <w:rFonts w:ascii="Arial" w:cs="Arial" w:eastAsia="Arial" w:hAnsi="Arial"/>
          <w:sz w:val="16"/>
          <w:szCs w:val="16"/>
          <w:color w:val="auto"/>
        </w:rPr>
        <w:t>Gain on early extinguishment of debt in excess of $20.0 million</w:t>
      </w:r>
      <w:r>
        <w:rPr>
          <w:rFonts w:ascii="Arial" w:cs="Arial" w:eastAsia="Arial" w:hAnsi="Arial"/>
          <w:sz w:val="19"/>
          <w:szCs w:val="1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635</wp:posOffset>
            </wp:positionV>
            <wp:extent cx="501459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5014595" cy="8255"/>
                    </a:xfrm>
                    <a:prstGeom prst="rect">
                      <a:avLst/>
                    </a:prstGeom>
                    <a:noFill/>
                  </pic:spPr>
                </pic:pic>
              </a:graphicData>
            </a:graphic>
          </wp:anchor>
        </w:drawing>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5"/>
          <w:szCs w:val="15"/>
          <w:b w:val="1"/>
          <w:bCs w:val="1"/>
          <w:color w:val="1F2668"/>
        </w:rPr>
        <w:t>Normalized FFO attributable to SL Green common stockholders and unit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17780</wp:posOffset>
            </wp:positionV>
            <wp:extent cx="5014595"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5014595" cy="8255"/>
                    </a:xfrm>
                    <a:prstGeom prst="rect">
                      <a:avLst/>
                    </a:prstGeom>
                    <a:noFill/>
                  </pic:spPr>
                </pic:pic>
              </a:graphicData>
            </a:graphic>
          </wp:anchor>
        </w:drawing>
      </w:r>
    </w:p>
    <w:p>
      <w:pPr>
        <w:spacing w:after="0" w:line="197"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1F2668"/>
        </w:rPr>
        <w:t>Basic ownership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20955</wp:posOffset>
            </wp:positionV>
            <wp:extent cx="501459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5014595" cy="8255"/>
                    </a:xfrm>
                    <a:prstGeom prst="rect">
                      <a:avLst/>
                    </a:prstGeom>
                    <a:noFill/>
                  </pic:spPr>
                </pic:pic>
              </a:graphicData>
            </a:graphic>
          </wp:anchor>
        </w:drawing>
      </w:r>
    </w:p>
    <w:p>
      <w:pPr>
        <w:spacing w:after="0" w:line="39" w:lineRule="exact"/>
        <w:rPr>
          <w:sz w:val="20"/>
          <w:szCs w:val="20"/>
          <w:color w:val="auto"/>
        </w:rPr>
      </w:pPr>
    </w:p>
    <w:p>
      <w:pPr>
        <w:ind w:left="820" w:right="2134"/>
        <w:spacing w:after="0" w:line="338" w:lineRule="auto"/>
        <w:rPr>
          <w:sz w:val="20"/>
          <w:szCs w:val="20"/>
          <w:color w:val="auto"/>
        </w:rPr>
      </w:pPr>
      <w:r>
        <w:rPr>
          <w:rFonts w:ascii="Arial" w:cs="Arial" w:eastAsia="Arial" w:hAnsi="Arial"/>
          <w:sz w:val="15"/>
          <w:szCs w:val="15"/>
          <w:color w:val="auto"/>
        </w:rPr>
        <w:t>Weighted average REIT common share and common share equivalents Weighted average partnership units held by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-15875</wp:posOffset>
            </wp:positionV>
            <wp:extent cx="5014595"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5014595" cy="825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-170180</wp:posOffset>
            </wp:positionV>
            <wp:extent cx="501459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5014595" cy="825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6"/>
          <w:szCs w:val="16"/>
          <w:b w:val="1"/>
          <w:bCs w:val="1"/>
          <w:color w:val="1F2668"/>
        </w:rPr>
        <w:t>Basic weighted average shares and units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20955</wp:posOffset>
            </wp:positionV>
            <wp:extent cx="5014595"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5014595" cy="8890"/>
                    </a:xfrm>
                    <a:prstGeom prst="rect">
                      <a:avLst/>
                    </a:prstGeom>
                    <a:noFill/>
                  </pic:spPr>
                </pic:pic>
              </a:graphicData>
            </a:graphic>
          </wp:anchor>
        </w:drawing>
      </w:r>
    </w:p>
    <w:p>
      <w:pPr>
        <w:spacing w:after="0" w:line="201"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1F2668"/>
        </w:rPr>
        <w:t>Diluted ownership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20955</wp:posOffset>
            </wp:positionV>
            <wp:extent cx="5014595"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5014595" cy="8890"/>
                    </a:xfrm>
                    <a:prstGeom prst="rect">
                      <a:avLst/>
                    </a:prstGeom>
                    <a:noFill/>
                  </pic:spPr>
                </pic:pic>
              </a:graphicData>
            </a:graphic>
          </wp:anchor>
        </w:drawing>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Weighted average REIT common share and common share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20955</wp:posOffset>
            </wp:positionV>
            <wp:extent cx="5014595"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5014595" cy="8890"/>
                    </a:xfrm>
                    <a:prstGeom prst="rect">
                      <a:avLst/>
                    </a:prstGeom>
                    <a:noFill/>
                  </pic:spPr>
                </pic:pic>
              </a:graphicData>
            </a:graphic>
          </wp:anchor>
        </w:drawing>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Weighted average partnership units held by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20955</wp:posOffset>
            </wp:positionV>
            <wp:extent cx="5014595"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5014595" cy="8890"/>
                    </a:xfrm>
                    <a:prstGeom prst="rect">
                      <a:avLst/>
                    </a:prstGeom>
                    <a:noFill/>
                  </pic:spPr>
                </pic:pic>
              </a:graphicData>
            </a:graphic>
          </wp:anchor>
        </w:drawing>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20955</wp:posOffset>
            </wp:positionV>
            <wp:extent cx="5014595"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5014595" cy="8255"/>
                    </a:xfrm>
                    <a:prstGeom prst="rect">
                      <a:avLst/>
                    </a:prstGeom>
                    <a:noFill/>
                  </pic:spPr>
                </pic:pic>
              </a:graphicData>
            </a:graphic>
          </wp:anchor>
        </w:drawing>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Contingently issuable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20955</wp:posOffset>
            </wp:positionV>
            <wp:extent cx="5014595"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5014595" cy="8255"/>
                    </a:xfrm>
                    <a:prstGeom prst="rect">
                      <a:avLst/>
                    </a:prstGeom>
                    <a:noFill/>
                  </pic:spPr>
                </pic:pic>
              </a:graphicData>
            </a:graphic>
          </wp:anchor>
        </w:drawing>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1F2668"/>
        </w:rPr>
        <w:t>Diluted weighted average shares and units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20955</wp:posOffset>
            </wp:positionV>
            <wp:extent cx="5014595"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5014595" cy="8890"/>
                    </a:xfrm>
                    <a:prstGeom prst="rect">
                      <a:avLst/>
                    </a:prstGeom>
                    <a:noFill/>
                  </pic:spPr>
                </pic:pic>
              </a:graphicData>
            </a:graphic>
          </wp:anchor>
        </w:drawing>
      </w:r>
    </w:p>
    <w:p>
      <w:pPr>
        <w:spacing w:after="0" w:line="201"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1F2668"/>
        </w:rPr>
        <w:t>FFO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20955</wp:posOffset>
            </wp:positionV>
            <wp:extent cx="5014595"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5014595" cy="8255"/>
                    </a:xfrm>
                    <a:prstGeom prst="rect">
                      <a:avLst/>
                    </a:prstGeom>
                    <a:noFill/>
                  </pic:spPr>
                </pic:pic>
              </a:graphicData>
            </a:graphic>
          </wp:anchor>
        </w:drawing>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20955</wp:posOffset>
            </wp:positionV>
            <wp:extent cx="5014595"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5014595" cy="8890"/>
                    </a:xfrm>
                    <a:prstGeom prst="rect">
                      <a:avLst/>
                    </a:prstGeom>
                    <a:noFill/>
                  </pic:spPr>
                </pic:pic>
              </a:graphicData>
            </a:graphic>
          </wp:anchor>
        </w:drawing>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20955</wp:posOffset>
            </wp:positionV>
            <wp:extent cx="5014595"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5014595" cy="8890"/>
                    </a:xfrm>
                    <a:prstGeom prst="rect">
                      <a:avLst/>
                    </a:prstGeom>
                    <a:noFill/>
                  </pic:spPr>
                </pic:pic>
              </a:graphicData>
            </a:graphic>
          </wp:anchor>
        </w:drawing>
      </w:r>
    </w:p>
    <w:p>
      <w:pPr>
        <w:spacing w:after="0" w:line="201"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1F2668"/>
        </w:rPr>
        <w:t>Normalized FFO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20955</wp:posOffset>
            </wp:positionV>
            <wp:extent cx="5014595"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5014595" cy="8890"/>
                    </a:xfrm>
                    <a:prstGeom prst="rect">
                      <a:avLst/>
                    </a:prstGeom>
                    <a:noFill/>
                  </pic:spPr>
                </pic:pic>
              </a:graphicData>
            </a:graphic>
          </wp:anchor>
        </w:drawing>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20955</wp:posOffset>
            </wp:positionV>
            <wp:extent cx="5014595"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5014595" cy="8890"/>
                    </a:xfrm>
                    <a:prstGeom prst="rect">
                      <a:avLst/>
                    </a:prstGeom>
                    <a:noFill/>
                  </pic:spPr>
                </pic:pic>
              </a:graphicData>
            </a:graphic>
          </wp:anchor>
        </w:drawing>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20955</wp:posOffset>
            </wp:positionV>
            <wp:extent cx="5014595"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50145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jc w:val="right"/>
        <w:ind w:right="100"/>
        <w:spacing w:after="0"/>
        <w:rPr>
          <w:sz w:val="20"/>
          <w:szCs w:val="20"/>
          <w:color w:val="auto"/>
        </w:rPr>
      </w:pPr>
      <w:r>
        <w:rPr>
          <w:rFonts w:ascii="Arial" w:cs="Arial" w:eastAsia="Arial" w:hAnsi="Arial"/>
          <w:sz w:val="14"/>
          <w:szCs w:val="14"/>
          <w:b w:val="1"/>
          <w:bCs w:val="1"/>
          <w:color w:val="1F2668"/>
        </w:rPr>
        <w:t>Twelve months</w:t>
      </w:r>
    </w:p>
    <w:p>
      <w:pPr>
        <w:spacing w:after="0" w:line="15" w:lineRule="exact"/>
        <w:rPr>
          <w:sz w:val="20"/>
          <w:szCs w:val="20"/>
          <w:color w:val="auto"/>
        </w:rPr>
      </w:pPr>
    </w:p>
    <w:p>
      <w:pPr>
        <w:jc w:val="right"/>
        <w:ind w:right="100"/>
        <w:spacing w:after="0"/>
        <w:rPr>
          <w:sz w:val="20"/>
          <w:szCs w:val="20"/>
          <w:color w:val="auto"/>
        </w:rPr>
      </w:pPr>
      <w:r>
        <w:rPr>
          <w:rFonts w:ascii="Arial" w:cs="Arial" w:eastAsia="Arial" w:hAnsi="Arial"/>
          <w:sz w:val="14"/>
          <w:szCs w:val="14"/>
          <w:b w:val="1"/>
          <w:bCs w:val="1"/>
          <w:color w:val="1F2668"/>
        </w:rPr>
        <w:t>ended</w:t>
      </w:r>
    </w:p>
    <w:p>
      <w:pPr>
        <w:spacing w:after="0" w:line="1" w:lineRule="exact"/>
        <w:rPr>
          <w:sz w:val="20"/>
          <w:szCs w:val="20"/>
          <w:color w:val="auto"/>
        </w:rPr>
      </w:pPr>
    </w:p>
    <w:p>
      <w:pPr>
        <w:jc w:val="right"/>
        <w:ind w:right="100"/>
        <w:spacing w:after="0"/>
        <w:rPr>
          <w:sz w:val="20"/>
          <w:szCs w:val="20"/>
          <w:color w:val="auto"/>
        </w:rPr>
      </w:pPr>
      <w:r>
        <w:rPr>
          <w:rFonts w:ascii="Arial" w:cs="Arial" w:eastAsia="Arial" w:hAnsi="Arial"/>
          <w:sz w:val="14"/>
          <w:szCs w:val="14"/>
          <w:b w:val="1"/>
          <w:bCs w:val="1"/>
          <w:color w:val="1F2668"/>
        </w:rPr>
        <w:t>December 31,</w:t>
      </w:r>
    </w:p>
    <w:p>
      <w:pPr>
        <w:ind w:left="846" w:hanging="846"/>
        <w:spacing w:after="0" w:line="183" w:lineRule="auto"/>
        <w:tabs>
          <w:tab w:leader="none" w:pos="846" w:val="left"/>
        </w:tabs>
        <w:numPr>
          <w:ilvl w:val="0"/>
          <w:numId w:val="183"/>
        </w:numPr>
        <w:rPr>
          <w:rFonts w:ascii="Arial" w:cs="Arial" w:eastAsia="Arial" w:hAnsi="Arial"/>
          <w:sz w:val="27"/>
          <w:szCs w:val="27"/>
          <w:b w:val="1"/>
          <w:bCs w:val="1"/>
          <w:color w:val="1F2668"/>
          <w:vertAlign w:val="subscript"/>
        </w:rPr>
      </w:pPr>
      <w:r>
        <w:rPr>
          <w:rFonts w:ascii="Arial" w:cs="Arial" w:eastAsia="Arial" w:hAnsi="Arial"/>
          <w:sz w:val="14"/>
          <w:szCs w:val="14"/>
          <w:b w:val="1"/>
          <w:bCs w:val="1"/>
          <w:color w:val="1F2668"/>
        </w:rPr>
        <w:t>2024</w:t>
      </w:r>
      <w:r>
        <w:rPr>
          <w:rFonts w:ascii="Arial" w:cs="Arial" w:eastAsia="Arial" w:hAnsi="Arial"/>
          <w:sz w:val="26"/>
          <w:szCs w:val="26"/>
          <w:b w:val="1"/>
          <w:bCs w:val="1"/>
          <w:color w:val="1F2668"/>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-14605</wp:posOffset>
            </wp:positionV>
            <wp:extent cx="677545"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line="9" w:lineRule="exact"/>
        <w:rPr>
          <w:sz w:val="20"/>
          <w:szCs w:val="20"/>
          <w:color w:val="auto"/>
        </w:rPr>
      </w:pPr>
    </w:p>
    <w:tbl>
      <w:tblPr>
        <w:tblLayout w:type="fixed"/>
        <w:tblInd w:w="26" w:type="dxa"/>
        <w:tblCellMar>
          <w:top w:w="0" w:type="dxa"/>
          <w:left w:w="0" w:type="dxa"/>
          <w:bottom w:w="0" w:type="dxa"/>
          <w:right w:w="0" w:type="dxa"/>
        </w:tblCellMar>
      </w:tblPr>
      <w:tr>
        <w:trPr>
          <w:trHeight w:val="217"/>
        </w:trPr>
        <w:tc>
          <w:tcPr>
            <w:tcW w:w="100" w:type="dxa"/>
            <w:vAlign w:val="bottom"/>
          </w:tcPr>
          <w:p>
            <w:pPr>
              <w:spacing w:after="0"/>
              <w:rPr>
                <w:sz w:val="20"/>
                <w:szCs w:val="20"/>
                <w:color w:val="auto"/>
              </w:rPr>
            </w:pPr>
            <w:r>
              <w:rPr>
                <w:rFonts w:ascii="Arial" w:cs="Arial" w:eastAsia="Arial" w:hAnsi="Arial"/>
                <w:sz w:val="16"/>
                <w:szCs w:val="16"/>
                <w:b w:val="1"/>
                <w:bCs w:val="1"/>
                <w:color w:val="1F2668"/>
              </w:rPr>
              <w:t>​​</w:t>
            </w:r>
          </w:p>
        </w:tc>
        <w:tc>
          <w:tcPr>
            <w:tcW w:w="340" w:type="dxa"/>
            <w:vAlign w:val="bottom"/>
            <w:tcBorders>
              <w:bottom w:val="single" w:sz="8" w:color="4B5088"/>
            </w:tcBorders>
          </w:tcPr>
          <w:p>
            <w:pPr>
              <w:ind w:left="220"/>
              <w:spacing w:after="0"/>
              <w:rPr>
                <w:sz w:val="20"/>
                <w:szCs w:val="20"/>
                <w:color w:val="auto"/>
              </w:rPr>
            </w:pPr>
            <w:r>
              <w:rPr>
                <w:rFonts w:ascii="Arial" w:cs="Arial" w:eastAsia="Arial" w:hAnsi="Arial"/>
                <w:sz w:val="16"/>
                <w:szCs w:val="16"/>
                <w:b w:val="1"/>
                <w:bCs w:val="1"/>
                <w:color w:val="1F2668"/>
              </w:rPr>
              <w:t>​</w:t>
            </w:r>
          </w:p>
        </w:tc>
        <w:tc>
          <w:tcPr>
            <w:tcW w:w="180" w:type="dxa"/>
            <w:vAlign w:val="bottom"/>
            <w:tcBorders>
              <w:bottom w:val="single" w:sz="8" w:color="4B5088"/>
            </w:tcBorders>
          </w:tcPr>
          <w:p>
            <w:pPr>
              <w:spacing w:after="0"/>
              <w:rPr>
                <w:sz w:val="20"/>
                <w:szCs w:val="20"/>
                <w:color w:val="auto"/>
              </w:rPr>
            </w:pPr>
            <w:r>
              <w:rPr>
                <w:rFonts w:ascii="Arial" w:cs="Arial" w:eastAsia="Arial" w:hAnsi="Arial"/>
                <w:sz w:val="16"/>
                <w:szCs w:val="16"/>
                <w:b w:val="1"/>
                <w:bCs w:val="1"/>
                <w:color w:val="1F2668"/>
              </w:rPr>
              <w:t>​</w:t>
            </w:r>
          </w:p>
        </w:tc>
        <w:tc>
          <w:tcPr>
            <w:tcW w:w="520" w:type="dxa"/>
            <w:vAlign w:val="bottom"/>
            <w:tcBorders>
              <w:bottom w:val="single" w:sz="8" w:color="4B5088"/>
            </w:tcBorders>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b w:val="1"/>
                <w:bCs w:val="1"/>
                <w:color w:val="1F2668"/>
              </w:rPr>
              <w:t>​</w:t>
            </w:r>
          </w:p>
        </w:tc>
      </w:tr>
      <w:tr>
        <w:trPr>
          <w:trHeight w:val="223"/>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340" w:type="dxa"/>
            <w:vAlign w:val="bottom"/>
          </w:tcPr>
          <w:p>
            <w:pPr>
              <w:ind w:lef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7,060​</w:t>
            </w:r>
          </w:p>
        </w:tc>
      </w:tr>
      <w:tr>
        <w:trPr>
          <w:trHeight w:val="223"/>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4B5088"/>
              <w:bottom w:val="single" w:sz="8" w:color="4B5088"/>
            </w:tcBorders>
          </w:tcPr>
          <w:p>
            <w:pPr>
              <w:ind w:left="220"/>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4B5088"/>
              <w:bottom w:val="single" w:sz="8" w:color="4B5088"/>
            </w:tcBorders>
          </w:tcPr>
          <w:p>
            <w:pPr>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4B5088"/>
              <w:bottom w:val="single" w:sz="8" w:color="4B5088"/>
            </w:tcBorders>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13" w:lineRule="exact"/>
        <w:rPr>
          <w:sz w:val="20"/>
          <w:szCs w:val="20"/>
          <w:color w:val="auto"/>
        </w:rPr>
      </w:pPr>
    </w:p>
    <w:p>
      <w:pPr>
        <w:ind w:left="346" w:hanging="319"/>
        <w:spacing w:after="0"/>
        <w:tabs>
          <w:tab w:leader="none" w:pos="346" w:val="left"/>
        </w:tabs>
        <w:numPr>
          <w:ilvl w:val="0"/>
          <w:numId w:val="184"/>
        </w:numPr>
        <w:rPr>
          <w:rFonts w:ascii="Arial" w:cs="Arial" w:eastAsia="Arial" w:hAnsi="Arial"/>
          <w:sz w:val="16"/>
          <w:szCs w:val="16"/>
          <w:color w:val="auto"/>
        </w:rPr>
      </w:pPr>
      <w:r>
        <w:rPr>
          <w:rFonts w:ascii="Arial" w:cs="Arial" w:eastAsia="Arial" w:hAnsi="Arial"/>
          <w:sz w:val="16"/>
          <w:szCs w:val="16"/>
          <w:color w:val="auto"/>
        </w:rPr>
        <w:t>​ ​ 207,443​</w:t>
      </w:r>
    </w:p>
    <w:p>
      <w:pPr>
        <w:spacing w:after="0" w:line="59" w:lineRule="exact"/>
        <w:rPr>
          <w:rFonts w:ascii="Arial" w:cs="Arial" w:eastAsia="Arial" w:hAnsi="Arial"/>
          <w:sz w:val="16"/>
          <w:szCs w:val="16"/>
          <w:color w:val="auto"/>
        </w:rPr>
      </w:pPr>
    </w:p>
    <w:p>
      <w:pPr>
        <w:ind w:left="346" w:hanging="319"/>
        <w:spacing w:after="0"/>
        <w:tabs>
          <w:tab w:leader="none" w:pos="346" w:val="left"/>
        </w:tabs>
        <w:numPr>
          <w:ilvl w:val="0"/>
          <w:numId w:val="184"/>
        </w:numPr>
        <w:rPr>
          <w:rFonts w:ascii="Arial" w:cs="Arial" w:eastAsia="Arial" w:hAnsi="Arial"/>
          <w:sz w:val="16"/>
          <w:szCs w:val="16"/>
          <w:color w:val="auto"/>
        </w:rPr>
      </w:pPr>
      <w:r>
        <w:rPr>
          <w:rFonts w:ascii="Arial" w:cs="Arial" w:eastAsia="Arial" w:hAnsi="Arial"/>
          <w:sz w:val="16"/>
          <w:szCs w:val="16"/>
          <w:color w:val="auto"/>
        </w:rPr>
        <w:t>​ ​ 287,671​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20955</wp:posOffset>
            </wp:positionV>
            <wp:extent cx="67754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677545" cy="8255"/>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-132715</wp:posOffset>
            </wp:positionV>
            <wp:extent cx="677545"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line="18" w:lineRule="exact"/>
        <w:rPr>
          <w:sz w:val="20"/>
          <w:szCs w:val="20"/>
          <w:color w:val="auto"/>
        </w:rPr>
      </w:pPr>
    </w:p>
    <w:tbl>
      <w:tblPr>
        <w:tblLayout w:type="fixed"/>
        <w:tblInd w:w="26" w:type="dxa"/>
        <w:tblCellMar>
          <w:top w:w="0" w:type="dxa"/>
          <w:left w:w="0" w:type="dxa"/>
          <w:bottom w:w="0" w:type="dxa"/>
          <w:right w:w="0" w:type="dxa"/>
        </w:tblCellMar>
      </w:tblPr>
      <w:tr>
        <w:trPr>
          <w:trHeight w:val="184"/>
        </w:trPr>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300" w:type="dxa"/>
            <w:vAlign w:val="bottom"/>
            <w:vMerge w:val="restart"/>
          </w:tcPr>
          <w:p>
            <w:pPr>
              <w:ind w:left="220"/>
              <w:spacing w:after="0"/>
              <w:rPr>
                <w:sz w:val="20"/>
                <w:szCs w:val="20"/>
                <w:color w:val="auto"/>
              </w:rPr>
            </w:pPr>
            <w:r>
              <w:rPr>
                <w:rFonts w:ascii="Arial" w:cs="Arial" w:eastAsia="Arial" w:hAnsi="Arial"/>
                <w:sz w:val="16"/>
                <w:szCs w:val="16"/>
                <w:color w:val="auto"/>
              </w:rPr>
              <w:t>​</w:t>
            </w: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(431)</w:t>
            </w:r>
          </w:p>
        </w:tc>
        <w:tc>
          <w:tcPr>
            <w:tcW w:w="0" w:type="dxa"/>
            <w:vAlign w:val="bottom"/>
          </w:tcPr>
          <w:p>
            <w:pPr>
              <w:spacing w:after="0"/>
              <w:rPr>
                <w:sz w:val="1"/>
                <w:szCs w:val="1"/>
                <w:color w:val="auto"/>
              </w:rPr>
            </w:pPr>
          </w:p>
        </w:tc>
      </w:tr>
      <w:tr>
        <w:trPr>
          <w:trHeight w:val="54"/>
        </w:trPr>
        <w:tc>
          <w:tcPr>
            <w:tcW w:w="100" w:type="dxa"/>
            <w:vAlign w:val="bottom"/>
            <w:vMerge w:val="continue"/>
          </w:tcPr>
          <w:p>
            <w:pPr>
              <w:spacing w:after="0"/>
              <w:rPr>
                <w:sz w:val="4"/>
                <w:szCs w:val="4"/>
                <w:color w:val="auto"/>
              </w:rPr>
            </w:pPr>
          </w:p>
        </w:tc>
        <w:tc>
          <w:tcPr>
            <w:tcW w:w="300" w:type="dxa"/>
            <w:vAlign w:val="bottom"/>
            <w:tcBorders>
              <w:bottom w:val="single" w:sz="8" w:color="4B5088"/>
            </w:tcBorders>
            <w:vMerge w:val="continue"/>
          </w:tcPr>
          <w:p>
            <w:pPr>
              <w:spacing w:after="0"/>
              <w:rPr>
                <w:sz w:val="4"/>
                <w:szCs w:val="4"/>
                <w:color w:val="auto"/>
              </w:rPr>
            </w:pPr>
          </w:p>
        </w:tc>
        <w:tc>
          <w:tcPr>
            <w:tcW w:w="260" w:type="dxa"/>
            <w:vAlign w:val="bottom"/>
            <w:tcBorders>
              <w:bottom w:val="single" w:sz="8" w:color="4B5088"/>
            </w:tcBorders>
          </w:tcPr>
          <w:p>
            <w:pPr>
              <w:spacing w:after="0"/>
              <w:rPr>
                <w:sz w:val="4"/>
                <w:szCs w:val="4"/>
                <w:color w:val="auto"/>
              </w:rPr>
            </w:pPr>
          </w:p>
        </w:tc>
        <w:tc>
          <w:tcPr>
            <w:tcW w:w="480" w:type="dxa"/>
            <w:vAlign w:val="bottom"/>
            <w:tcBorders>
              <w:bottom w:val="single" w:sz="8" w:color="4B5088"/>
            </w:tcBorders>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Arial" w:cs="Arial" w:eastAsia="Arial" w:hAnsi="Arial"/>
                <w:sz w:val="6"/>
                <w:szCs w:val="6"/>
                <w:color w:val="auto"/>
              </w:rPr>
              <w:t>​</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4B5088"/>
            </w:tcBorders>
          </w:tcPr>
          <w:p>
            <w:pPr>
              <w:ind w:lef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4B5088"/>
            </w:tcBorders>
          </w:tcPr>
          <w:p>
            <w:pPr>
              <w:ind w:left="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4B5088"/>
            </w:tcBorders>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346" w:hanging="319"/>
        <w:spacing w:after="0"/>
        <w:tabs>
          <w:tab w:leader="none" w:pos="346" w:val="left"/>
        </w:tabs>
        <w:numPr>
          <w:ilvl w:val="0"/>
          <w:numId w:val="185"/>
        </w:numPr>
        <w:rPr>
          <w:rFonts w:ascii="Arial" w:cs="Arial" w:eastAsia="Arial" w:hAnsi="Arial"/>
          <w:sz w:val="16"/>
          <w:szCs w:val="16"/>
          <w:color w:val="auto"/>
        </w:rPr>
      </w:pPr>
      <w:r>
        <w:rPr>
          <w:rFonts w:ascii="Arial" w:cs="Arial" w:eastAsia="Arial" w:hAnsi="Arial"/>
          <w:sz w:val="16"/>
          <w:szCs w:val="16"/>
          <w:color w:val="auto"/>
        </w:rPr>
        <w:t>​ ​ 208,144​</w:t>
      </w:r>
    </w:p>
    <w:p>
      <w:pPr>
        <w:spacing w:after="0" w:line="59" w:lineRule="exact"/>
        <w:rPr>
          <w:rFonts w:ascii="Arial" w:cs="Arial" w:eastAsia="Arial" w:hAnsi="Arial"/>
          <w:sz w:val="16"/>
          <w:szCs w:val="16"/>
          <w:color w:val="auto"/>
        </w:rPr>
      </w:pPr>
    </w:p>
    <w:p>
      <w:pPr>
        <w:ind w:left="346" w:hanging="319"/>
        <w:spacing w:after="0"/>
        <w:tabs>
          <w:tab w:leader="none" w:pos="346" w:val="left"/>
        </w:tabs>
        <w:numPr>
          <w:ilvl w:val="0"/>
          <w:numId w:val="185"/>
        </w:numPr>
        <w:rPr>
          <w:rFonts w:ascii="Arial" w:cs="Arial" w:eastAsia="Arial" w:hAnsi="Arial"/>
          <w:sz w:val="16"/>
          <w:szCs w:val="16"/>
          <w:color w:val="auto"/>
        </w:rPr>
      </w:pPr>
      <w:r>
        <w:rPr>
          <w:rFonts w:ascii="Arial" w:cs="Arial" w:eastAsia="Arial" w:hAnsi="Arial"/>
          <w:sz w:val="16"/>
          <w:szCs w:val="16"/>
          <w:color w:val="auto"/>
        </w:rPr>
        <w:t>​ ​  83,430​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20955</wp:posOffset>
            </wp:positionV>
            <wp:extent cx="677545"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677545" cy="8255"/>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-132715</wp:posOffset>
            </wp:positionV>
            <wp:extent cx="677545"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line="39" w:lineRule="exact"/>
        <w:rPr>
          <w:sz w:val="20"/>
          <w:szCs w:val="20"/>
          <w:color w:val="auto"/>
        </w:rPr>
      </w:pPr>
    </w:p>
    <w:tbl>
      <w:tblPr>
        <w:tblLayout w:type="fixed"/>
        <w:tblInd w:w="26" w:type="dxa"/>
        <w:tblCellMar>
          <w:top w:w="0" w:type="dxa"/>
          <w:left w:w="0" w:type="dxa"/>
          <w:bottom w:w="0" w:type="dxa"/>
          <w:right w:w="0" w:type="dxa"/>
        </w:tblCellMar>
      </w:tblPr>
      <w:tr>
        <w:trPr>
          <w:trHeight w:val="217"/>
        </w:trPr>
        <w:tc>
          <w:tcPr>
            <w:tcW w:w="620" w:type="dxa"/>
            <w:vAlign w:val="bottom"/>
            <w:gridSpan w:val="2"/>
          </w:tcPr>
          <w:p>
            <w:pPr>
              <w:spacing w:after="0"/>
              <w:rPr>
                <w:sz w:val="20"/>
                <w:szCs w:val="20"/>
                <w:color w:val="auto"/>
              </w:rPr>
            </w:pPr>
            <w:r>
              <w:rPr>
                <w:rFonts w:ascii="Arial" w:cs="Arial" w:eastAsia="Arial" w:hAnsi="Arial"/>
                <w:sz w:val="16"/>
                <w:szCs w:val="16"/>
                <w:color w:val="auto"/>
              </w:rPr>
              <w:t>​​   ​ ​</w:t>
            </w:r>
          </w:p>
        </w:tc>
        <w:tc>
          <w:tcPr>
            <w:tcW w:w="580" w:type="dxa"/>
            <w:vAlign w:val="bottom"/>
            <w:gridSpan w:val="2"/>
          </w:tcPr>
          <w:p>
            <w:pPr>
              <w:ind w:left="120"/>
              <w:spacing w:after="0"/>
              <w:rPr>
                <w:sz w:val="20"/>
                <w:szCs w:val="20"/>
                <w:color w:val="auto"/>
              </w:rPr>
            </w:pPr>
            <w:r>
              <w:rPr>
                <w:rFonts w:ascii="Arial" w:cs="Arial" w:eastAsia="Arial" w:hAnsi="Arial"/>
                <w:sz w:val="16"/>
                <w:szCs w:val="16"/>
                <w:color w:val="auto"/>
              </w:rPr>
              <w:t>3,025​</w:t>
            </w:r>
          </w:p>
        </w:tc>
      </w:tr>
      <w:tr>
        <w:trPr>
          <w:trHeight w:val="20"/>
        </w:trPr>
        <w:tc>
          <w:tcPr>
            <w:tcW w:w="100" w:type="dxa"/>
            <w:vAlign w:val="bottom"/>
          </w:tcPr>
          <w:p>
            <w:pPr>
              <w:spacing w:after="0" w:line="20" w:lineRule="exact"/>
              <w:rPr>
                <w:sz w:val="1"/>
                <w:szCs w:val="1"/>
                <w:color w:val="auto"/>
              </w:rPr>
            </w:pPr>
          </w:p>
        </w:tc>
        <w:tc>
          <w:tcPr>
            <w:tcW w:w="520" w:type="dxa"/>
            <w:vAlign w:val="bottom"/>
            <w:shd w:val="clear" w:color="auto" w:fill="4B5088"/>
          </w:tcPr>
          <w:p>
            <w:pPr>
              <w:spacing w:after="0" w:line="20" w:lineRule="exact"/>
              <w:rPr>
                <w:sz w:val="1"/>
                <w:szCs w:val="1"/>
                <w:color w:val="auto"/>
              </w:rPr>
            </w:pPr>
          </w:p>
        </w:tc>
        <w:tc>
          <w:tcPr>
            <w:tcW w:w="520" w:type="dxa"/>
            <w:vAlign w:val="bottom"/>
            <w:shd w:val="clear" w:color="auto" w:fill="4B50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 w:lineRule="exact"/>
        <w:rPr>
          <w:sz w:val="20"/>
          <w:szCs w:val="20"/>
          <w:color w:val="auto"/>
        </w:rPr>
      </w:pPr>
    </w:p>
    <w:p>
      <w:pPr>
        <w:ind w:left="346" w:hanging="319"/>
        <w:spacing w:after="0"/>
        <w:tabs>
          <w:tab w:leader="none" w:pos="346" w:val="left"/>
        </w:tabs>
        <w:numPr>
          <w:ilvl w:val="0"/>
          <w:numId w:val="186"/>
        </w:numPr>
        <w:rPr>
          <w:rFonts w:ascii="Arial" w:cs="Arial" w:eastAsia="Arial" w:hAnsi="Arial"/>
          <w:sz w:val="16"/>
          <w:szCs w:val="16"/>
          <w:color w:val="auto"/>
        </w:rPr>
      </w:pPr>
      <w:r>
        <w:rPr>
          <w:rFonts w:ascii="Arial" w:cs="Arial" w:eastAsia="Arial" w:hAnsi="Arial"/>
          <w:sz w:val="16"/>
          <w:szCs w:val="16"/>
          <w:color w:val="auto"/>
        </w:rPr>
        <w:t>​ ​ (104,071​)</w:t>
      </w:r>
    </w:p>
    <w:p>
      <w:pPr>
        <w:spacing w:after="0" w:line="59" w:lineRule="exact"/>
        <w:rPr>
          <w:rFonts w:ascii="Arial" w:cs="Arial" w:eastAsia="Arial" w:hAnsi="Arial"/>
          <w:sz w:val="16"/>
          <w:szCs w:val="16"/>
          <w:color w:val="auto"/>
        </w:rPr>
      </w:pPr>
    </w:p>
    <w:p>
      <w:pPr>
        <w:ind w:left="346" w:hanging="319"/>
        <w:spacing w:after="0"/>
        <w:tabs>
          <w:tab w:leader="none" w:pos="346" w:val="left"/>
        </w:tabs>
        <w:numPr>
          <w:ilvl w:val="0"/>
          <w:numId w:val="186"/>
        </w:numPr>
        <w:rPr>
          <w:rFonts w:ascii="Arial" w:cs="Arial" w:eastAsia="Arial" w:hAnsi="Arial"/>
          <w:sz w:val="16"/>
          <w:szCs w:val="16"/>
          <w:color w:val="auto"/>
        </w:rPr>
      </w:pPr>
      <w:r>
        <w:rPr>
          <w:rFonts w:ascii="Arial" w:cs="Arial" w:eastAsia="Arial" w:hAnsi="Arial"/>
          <w:sz w:val="16"/>
          <w:szCs w:val="16"/>
          <w:color w:val="auto"/>
        </w:rPr>
        <w:t>​ ​ (263,190​)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20955</wp:posOffset>
            </wp:positionV>
            <wp:extent cx="677545"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677545" cy="8255"/>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-132715</wp:posOffset>
            </wp:positionV>
            <wp:extent cx="67754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line="39" w:lineRule="exact"/>
        <w:rPr>
          <w:sz w:val="20"/>
          <w:szCs w:val="20"/>
          <w:color w:val="auto"/>
        </w:rPr>
      </w:pPr>
    </w:p>
    <w:tbl>
      <w:tblPr>
        <w:tblLayout w:type="fixed"/>
        <w:tblInd w:w="26" w:type="dxa"/>
        <w:tblCellMar>
          <w:top w:w="0" w:type="dxa"/>
          <w:left w:w="0" w:type="dxa"/>
          <w:bottom w:w="0" w:type="dxa"/>
          <w:right w:w="0" w:type="dxa"/>
        </w:tblCellMar>
      </w:tblPr>
      <w:tr>
        <w:trPr>
          <w:trHeight w:val="217"/>
        </w:trPr>
        <w:tc>
          <w:tcPr>
            <w:tcW w:w="620" w:type="dxa"/>
            <w:vAlign w:val="bottom"/>
            <w:gridSpan w:val="2"/>
          </w:tcPr>
          <w:p>
            <w:pPr>
              <w:spacing w:after="0"/>
              <w:rPr>
                <w:sz w:val="20"/>
                <w:szCs w:val="20"/>
                <w:color w:val="auto"/>
              </w:rPr>
            </w:pPr>
            <w:r>
              <w:rPr>
                <w:rFonts w:ascii="Arial" w:cs="Arial" w:eastAsia="Arial" w:hAnsi="Arial"/>
                <w:sz w:val="16"/>
                <w:szCs w:val="16"/>
                <w:color w:val="auto"/>
              </w:rPr>
              <w:t>​​   ​ ​</w:t>
            </w:r>
          </w:p>
        </w:tc>
        <w:tc>
          <w:tcPr>
            <w:tcW w:w="580" w:type="dxa"/>
            <w:vAlign w:val="bottom"/>
            <w:gridSpan w:val="2"/>
          </w:tcPr>
          <w:p>
            <w:pPr>
              <w:ind w:left="120"/>
              <w:spacing w:after="0"/>
              <w:rPr>
                <w:sz w:val="20"/>
                <w:szCs w:val="20"/>
                <w:color w:val="auto"/>
              </w:rPr>
            </w:pPr>
            <w:r>
              <w:rPr>
                <w:rFonts w:ascii="Arial" w:cs="Arial" w:eastAsia="Arial" w:hAnsi="Arial"/>
                <w:sz w:val="16"/>
                <w:szCs w:val="16"/>
                <w:color w:val="auto"/>
              </w:rPr>
              <w:t>4,583​</w:t>
            </w:r>
          </w:p>
        </w:tc>
      </w:tr>
      <w:tr>
        <w:trPr>
          <w:trHeight w:val="20"/>
        </w:trPr>
        <w:tc>
          <w:tcPr>
            <w:tcW w:w="100" w:type="dxa"/>
            <w:vAlign w:val="bottom"/>
          </w:tcPr>
          <w:p>
            <w:pPr>
              <w:spacing w:after="0" w:line="20" w:lineRule="exact"/>
              <w:rPr>
                <w:sz w:val="1"/>
                <w:szCs w:val="1"/>
                <w:color w:val="auto"/>
              </w:rPr>
            </w:pPr>
          </w:p>
        </w:tc>
        <w:tc>
          <w:tcPr>
            <w:tcW w:w="520" w:type="dxa"/>
            <w:vAlign w:val="bottom"/>
            <w:shd w:val="clear" w:color="auto" w:fill="4B5088"/>
          </w:tcPr>
          <w:p>
            <w:pPr>
              <w:spacing w:after="0" w:line="20" w:lineRule="exact"/>
              <w:rPr>
                <w:sz w:val="1"/>
                <w:szCs w:val="1"/>
                <w:color w:val="auto"/>
              </w:rPr>
            </w:pPr>
          </w:p>
        </w:tc>
        <w:tc>
          <w:tcPr>
            <w:tcW w:w="520" w:type="dxa"/>
            <w:vAlign w:val="bottom"/>
            <w:shd w:val="clear" w:color="auto" w:fill="4B50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 w:lineRule="exact"/>
        <w:rPr>
          <w:sz w:val="20"/>
          <w:szCs w:val="20"/>
          <w:color w:val="auto"/>
        </w:rPr>
      </w:pPr>
    </w:p>
    <w:p>
      <w:pPr>
        <w:ind w:left="346" w:hanging="319"/>
        <w:spacing w:after="0"/>
        <w:tabs>
          <w:tab w:leader="none" w:pos="346" w:val="left"/>
        </w:tabs>
        <w:numPr>
          <w:ilvl w:val="0"/>
          <w:numId w:val="187"/>
        </w:numPr>
        <w:rPr>
          <w:rFonts w:ascii="Arial" w:cs="Arial" w:eastAsia="Arial" w:hAnsi="Arial"/>
          <w:sz w:val="16"/>
          <w:szCs w:val="16"/>
          <w:b w:val="1"/>
          <w:bCs w:val="1"/>
          <w:color w:val="1F2668"/>
        </w:rPr>
      </w:pPr>
      <w:r>
        <w:rPr>
          <w:rFonts w:ascii="Arial" w:cs="Arial" w:eastAsia="Arial" w:hAnsi="Arial"/>
          <w:sz w:val="16"/>
          <w:szCs w:val="16"/>
          <w:b w:val="1"/>
          <w:bCs w:val="1"/>
          <w:color w:val="1F2668"/>
        </w:rPr>
        <w:t>​$  569,822​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20955</wp:posOffset>
            </wp:positionV>
            <wp:extent cx="677545"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line="46" w:lineRule="exact"/>
        <w:rPr>
          <w:sz w:val="20"/>
          <w:szCs w:val="20"/>
          <w:color w:val="auto"/>
        </w:rPr>
      </w:pPr>
    </w:p>
    <w:tbl>
      <w:tblPr>
        <w:tblLayout w:type="fixed"/>
        <w:tblInd w:w="26" w:type="dxa"/>
        <w:tblCellMar>
          <w:top w:w="0" w:type="dxa"/>
          <w:left w:w="0" w:type="dxa"/>
          <w:bottom w:w="0" w:type="dxa"/>
          <w:right w:w="0" w:type="dxa"/>
        </w:tblCellMar>
      </w:tblPr>
      <w:tr>
        <w:trPr>
          <w:trHeight w:val="210"/>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4B5088"/>
            </w:tcBorders>
          </w:tcPr>
          <w:p>
            <w:pPr>
              <w:ind w:left="220"/>
              <w:spacing w:after="0"/>
              <w:rPr>
                <w:sz w:val="20"/>
                <w:szCs w:val="20"/>
                <w:color w:val="auto"/>
              </w:rPr>
            </w:pPr>
            <w:r>
              <w:rPr>
                <w:rFonts w:ascii="Arial" w:cs="Arial" w:eastAsia="Arial" w:hAnsi="Arial"/>
                <w:sz w:val="16"/>
                <w:szCs w:val="16"/>
                <w:color w:val="auto"/>
              </w:rPr>
              <w:t>​ ​</w:t>
            </w:r>
          </w:p>
        </w:tc>
        <w:tc>
          <w:tcPr>
            <w:tcW w:w="540" w:type="dxa"/>
            <w:vAlign w:val="bottom"/>
            <w:tcBorders>
              <w:bottom w:val="single" w:sz="8" w:color="4B5088"/>
            </w:tcBorders>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520" w:type="dxa"/>
            <w:vAlign w:val="bottom"/>
          </w:tcPr>
          <w:p>
            <w:pPr>
              <w:ind w:left="220"/>
              <w:spacing w:after="0"/>
              <w:rPr>
                <w:sz w:val="20"/>
                <w:szCs w:val="20"/>
                <w:color w:val="auto"/>
              </w:rPr>
            </w:pPr>
            <w:r>
              <w:rPr>
                <w:rFonts w:ascii="Arial" w:cs="Arial" w:eastAsia="Arial" w:hAnsi="Arial"/>
                <w:sz w:val="16"/>
                <w:szCs w:val="16"/>
                <w:color w:val="auto"/>
              </w:rPr>
              <w:t>​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5,536​</w:t>
            </w:r>
          </w:p>
        </w:tc>
      </w:tr>
      <w:tr>
        <w:trPr>
          <w:trHeight w:val="20"/>
        </w:trPr>
        <w:tc>
          <w:tcPr>
            <w:tcW w:w="100" w:type="dxa"/>
            <w:vAlign w:val="bottom"/>
          </w:tcPr>
          <w:p>
            <w:pPr>
              <w:spacing w:after="0" w:line="20" w:lineRule="exact"/>
              <w:rPr>
                <w:sz w:val="1"/>
                <w:szCs w:val="1"/>
                <w:color w:val="auto"/>
              </w:rPr>
            </w:pPr>
          </w:p>
        </w:tc>
        <w:tc>
          <w:tcPr>
            <w:tcW w:w="520" w:type="dxa"/>
            <w:vAlign w:val="bottom"/>
            <w:shd w:val="clear" w:color="auto" w:fill="4B5088"/>
          </w:tcPr>
          <w:p>
            <w:pPr>
              <w:spacing w:after="0" w:line="20" w:lineRule="exact"/>
              <w:rPr>
                <w:sz w:val="1"/>
                <w:szCs w:val="1"/>
                <w:color w:val="auto"/>
              </w:rPr>
            </w:pPr>
          </w:p>
        </w:tc>
        <w:tc>
          <w:tcPr>
            <w:tcW w:w="540" w:type="dxa"/>
            <w:vAlign w:val="bottom"/>
            <w:tcBorders>
              <w:right w:val="single" w:sz="8" w:color="4B5088"/>
            </w:tcBorders>
            <w:shd w:val="clear" w:color="auto" w:fill="4B508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520" w:type="dxa"/>
            <w:vAlign w:val="bottom"/>
          </w:tcPr>
          <w:p>
            <w:pPr>
              <w:ind w:left="220"/>
              <w:spacing w:after="0"/>
              <w:rPr>
                <w:sz w:val="20"/>
                <w:szCs w:val="20"/>
                <w:color w:val="auto"/>
              </w:rPr>
            </w:pPr>
            <w:r>
              <w:rPr>
                <w:rFonts w:ascii="Arial" w:cs="Arial" w:eastAsia="Arial" w:hAnsi="Arial"/>
                <w:sz w:val="16"/>
                <w:szCs w:val="16"/>
                <w:color w:val="auto"/>
              </w:rPr>
              <w:t>​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0"/>
        </w:trPr>
        <w:tc>
          <w:tcPr>
            <w:tcW w:w="100" w:type="dxa"/>
            <w:vAlign w:val="bottom"/>
          </w:tcPr>
          <w:p>
            <w:pPr>
              <w:spacing w:after="0" w:line="20" w:lineRule="exact"/>
              <w:rPr>
                <w:sz w:val="1"/>
                <w:szCs w:val="1"/>
                <w:color w:val="auto"/>
              </w:rPr>
            </w:pPr>
          </w:p>
        </w:tc>
        <w:tc>
          <w:tcPr>
            <w:tcW w:w="520" w:type="dxa"/>
            <w:vAlign w:val="bottom"/>
            <w:shd w:val="clear" w:color="auto" w:fill="4B5088"/>
          </w:tcPr>
          <w:p>
            <w:pPr>
              <w:spacing w:after="0" w:line="20" w:lineRule="exact"/>
              <w:rPr>
                <w:sz w:val="1"/>
                <w:szCs w:val="1"/>
                <w:color w:val="auto"/>
              </w:rPr>
            </w:pPr>
          </w:p>
        </w:tc>
        <w:tc>
          <w:tcPr>
            <w:tcW w:w="540" w:type="dxa"/>
            <w:vAlign w:val="bottom"/>
            <w:tcBorders>
              <w:right w:val="single" w:sz="8" w:color="4B5088"/>
            </w:tcBorders>
            <w:shd w:val="clear" w:color="auto" w:fill="4B508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3" w:lineRule="exact"/>
        <w:rPr>
          <w:sz w:val="20"/>
          <w:szCs w:val="20"/>
          <w:color w:val="auto"/>
        </w:rPr>
      </w:pPr>
    </w:p>
    <w:p>
      <w:pPr>
        <w:ind w:left="346" w:hanging="319"/>
        <w:spacing w:after="0"/>
        <w:tabs>
          <w:tab w:leader="none" w:pos="346"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 196,131​</w:t>
      </w:r>
    </w:p>
    <w:p>
      <w:pPr>
        <w:spacing w:after="0" w:line="59" w:lineRule="exact"/>
        <w:rPr>
          <w:rFonts w:ascii="Arial" w:cs="Arial" w:eastAsia="Arial" w:hAnsi="Arial"/>
          <w:sz w:val="16"/>
          <w:szCs w:val="16"/>
          <w:color w:val="auto"/>
        </w:rPr>
      </w:pPr>
    </w:p>
    <w:p>
      <w:pPr>
        <w:ind w:left="346" w:hanging="319"/>
        <w:spacing w:after="0"/>
        <w:tabs>
          <w:tab w:leader="none" w:pos="346" w:val="left"/>
        </w:tabs>
        <w:numPr>
          <w:ilvl w:val="0"/>
          <w:numId w:val="188"/>
        </w:numPr>
        <w:rPr>
          <w:rFonts w:ascii="Arial" w:cs="Arial" w:eastAsia="Arial" w:hAnsi="Arial"/>
          <w:sz w:val="16"/>
          <w:szCs w:val="16"/>
          <w:b w:val="1"/>
          <w:bCs w:val="1"/>
          <w:color w:val="1F2668"/>
        </w:rPr>
      </w:pPr>
      <w:r>
        <w:rPr>
          <w:rFonts w:ascii="Arial" w:cs="Arial" w:eastAsia="Arial" w:hAnsi="Arial"/>
          <w:sz w:val="16"/>
          <w:szCs w:val="16"/>
          <w:b w:val="1"/>
          <w:bCs w:val="1"/>
          <w:color w:val="1F2668"/>
        </w:rPr>
        <w:t>​$  368,155​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20955</wp:posOffset>
            </wp:positionV>
            <wp:extent cx="677545"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677545" cy="8255"/>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-132715</wp:posOffset>
            </wp:positionV>
            <wp:extent cx="677545"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line="201" w:lineRule="exact"/>
        <w:rPr>
          <w:sz w:val="20"/>
          <w:szCs w:val="20"/>
          <w:color w:val="auto"/>
        </w:rPr>
      </w:pPr>
    </w:p>
    <w:p>
      <w:pPr>
        <w:ind w:left="26"/>
        <w:spacing w:after="0"/>
        <w:tabs>
          <w:tab w:leader="none" w:pos="326" w:val="left"/>
          <w:tab w:leader="none" w:pos="1146" w:val="left"/>
        </w:tabs>
        <w:rPr>
          <w:sz w:val="20"/>
          <w:szCs w:val="20"/>
          <w:color w:val="auto"/>
        </w:rPr>
      </w:pPr>
      <w:r>
        <w:rPr>
          <w:rFonts w:ascii="Arial" w:cs="Arial" w:eastAsia="Arial" w:hAnsi="Arial"/>
          <w:sz w:val="16"/>
          <w:szCs w:val="16"/>
          <w:b w:val="1"/>
          <w:bCs w:val="1"/>
          <w:color w:val="1F2668"/>
        </w:rPr>
        <w:t>​​</w:t>
        <w:tab/>
        <w:t>​ ​</w:t>
      </w:r>
      <w:r>
        <w:rPr>
          <w:sz w:val="20"/>
          <w:szCs w:val="20"/>
          <w:color w:val="auto"/>
        </w:rPr>
        <w:tab/>
      </w:r>
      <w:r>
        <w:rPr>
          <w:rFonts w:ascii="Arial" w:cs="Arial" w:eastAsia="Arial" w:hAnsi="Arial"/>
          <w:sz w:val="16"/>
          <w:szCs w:val="16"/>
          <w:b w:val="1"/>
          <w:bCs w:val="1"/>
          <w:color w:val="1F2668"/>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20955</wp:posOffset>
            </wp:positionV>
            <wp:extent cx="677545"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line="46" w:lineRule="exact"/>
        <w:rPr>
          <w:sz w:val="20"/>
          <w:szCs w:val="20"/>
          <w:color w:val="auto"/>
        </w:rPr>
      </w:pPr>
    </w:p>
    <w:p>
      <w:pPr>
        <w:ind w:left="346" w:hanging="319"/>
        <w:spacing w:after="0"/>
        <w:tabs>
          <w:tab w:leader="none" w:pos="346" w:val="left"/>
        </w:tabs>
        <w:numPr>
          <w:ilvl w:val="0"/>
          <w:numId w:val="189"/>
        </w:numPr>
        <w:rPr>
          <w:rFonts w:ascii="Arial" w:cs="Arial" w:eastAsia="Arial" w:hAnsi="Arial"/>
          <w:sz w:val="16"/>
          <w:szCs w:val="16"/>
          <w:color w:val="auto"/>
        </w:rPr>
      </w:pPr>
      <w:r>
        <w:rPr>
          <w:rFonts w:ascii="Arial" w:cs="Arial" w:eastAsia="Arial" w:hAnsi="Arial"/>
          <w:sz w:val="16"/>
          <w:szCs w:val="16"/>
          <w:color w:val="auto"/>
        </w:rPr>
        <w:t>​ ​  65,062​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16510</wp:posOffset>
            </wp:positionV>
            <wp:extent cx="677545"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line="32" w:lineRule="exact"/>
        <w:rPr>
          <w:sz w:val="20"/>
          <w:szCs w:val="20"/>
          <w:color w:val="auto"/>
        </w:rPr>
      </w:pPr>
    </w:p>
    <w:tbl>
      <w:tblPr>
        <w:tblLayout w:type="fixed"/>
        <w:tblInd w:w="26" w:type="dxa"/>
        <w:tblCellMar>
          <w:top w:w="0" w:type="dxa"/>
          <w:left w:w="0" w:type="dxa"/>
          <w:bottom w:w="0" w:type="dxa"/>
          <w:right w:w="0" w:type="dxa"/>
        </w:tblCellMar>
      </w:tblPr>
      <w:tr>
        <w:trPr>
          <w:trHeight w:val="217"/>
        </w:trPr>
        <w:tc>
          <w:tcPr>
            <w:tcW w:w="620" w:type="dxa"/>
            <w:vAlign w:val="bottom"/>
            <w:gridSpan w:val="2"/>
          </w:tcPr>
          <w:p>
            <w:pPr>
              <w:spacing w:after="0"/>
              <w:rPr>
                <w:sz w:val="20"/>
                <w:szCs w:val="20"/>
                <w:color w:val="auto"/>
              </w:rPr>
            </w:pPr>
            <w:r>
              <w:rPr>
                <w:rFonts w:ascii="Arial" w:cs="Arial" w:eastAsia="Arial" w:hAnsi="Arial"/>
                <w:sz w:val="16"/>
                <w:szCs w:val="16"/>
                <w:color w:val="auto"/>
              </w:rPr>
              <w:t>​​   ​ ​</w:t>
            </w:r>
          </w:p>
        </w:tc>
        <w:tc>
          <w:tcPr>
            <w:tcW w:w="580" w:type="dxa"/>
            <w:vAlign w:val="bottom"/>
            <w:gridSpan w:val="2"/>
          </w:tcPr>
          <w:p>
            <w:pPr>
              <w:ind w:left="120"/>
              <w:spacing w:after="0"/>
              <w:rPr>
                <w:sz w:val="20"/>
                <w:szCs w:val="20"/>
                <w:color w:val="auto"/>
              </w:rPr>
            </w:pPr>
            <w:r>
              <w:rPr>
                <w:rFonts w:ascii="Arial" w:cs="Arial" w:eastAsia="Arial" w:hAnsi="Arial"/>
                <w:sz w:val="16"/>
                <w:szCs w:val="16"/>
                <w:color w:val="auto"/>
              </w:rPr>
              <w:t>3,674​</w:t>
            </w:r>
          </w:p>
        </w:tc>
      </w:tr>
      <w:tr>
        <w:trPr>
          <w:trHeight w:val="20"/>
        </w:trPr>
        <w:tc>
          <w:tcPr>
            <w:tcW w:w="100" w:type="dxa"/>
            <w:vAlign w:val="bottom"/>
          </w:tcPr>
          <w:p>
            <w:pPr>
              <w:spacing w:after="0" w:line="20" w:lineRule="exact"/>
              <w:rPr>
                <w:sz w:val="1"/>
                <w:szCs w:val="1"/>
                <w:color w:val="auto"/>
              </w:rPr>
            </w:pPr>
          </w:p>
        </w:tc>
        <w:tc>
          <w:tcPr>
            <w:tcW w:w="520" w:type="dxa"/>
            <w:vAlign w:val="bottom"/>
            <w:shd w:val="clear" w:color="auto" w:fill="4B5088"/>
          </w:tcPr>
          <w:p>
            <w:pPr>
              <w:spacing w:after="0" w:line="20" w:lineRule="exact"/>
              <w:rPr>
                <w:sz w:val="1"/>
                <w:szCs w:val="1"/>
                <w:color w:val="auto"/>
              </w:rPr>
            </w:pPr>
          </w:p>
        </w:tc>
        <w:tc>
          <w:tcPr>
            <w:tcW w:w="520" w:type="dxa"/>
            <w:vAlign w:val="bottom"/>
            <w:shd w:val="clear" w:color="auto" w:fill="4B50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 w:lineRule="exact"/>
        <w:rPr>
          <w:sz w:val="20"/>
          <w:szCs w:val="20"/>
          <w:color w:val="auto"/>
        </w:rPr>
      </w:pPr>
    </w:p>
    <w:p>
      <w:pPr>
        <w:ind w:left="346" w:hanging="319"/>
        <w:spacing w:after="0"/>
        <w:tabs>
          <w:tab w:leader="none" w:pos="346" w:val="left"/>
        </w:tabs>
        <w:numPr>
          <w:ilvl w:val="0"/>
          <w:numId w:val="190"/>
        </w:numPr>
        <w:rPr>
          <w:rFonts w:ascii="Arial" w:cs="Arial" w:eastAsia="Arial" w:hAnsi="Arial"/>
          <w:sz w:val="16"/>
          <w:szCs w:val="16"/>
          <w:b w:val="1"/>
          <w:bCs w:val="1"/>
          <w:color w:val="1F2668"/>
        </w:rPr>
      </w:pPr>
      <w:r>
        <w:rPr>
          <w:rFonts w:ascii="Arial" w:cs="Arial" w:eastAsia="Arial" w:hAnsi="Arial"/>
          <w:sz w:val="16"/>
          <w:szCs w:val="16"/>
          <w:b w:val="1"/>
          <w:bCs w:val="1"/>
          <w:color w:val="1F2668"/>
        </w:rPr>
        <w:t>​ ​  68,736​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20955</wp:posOffset>
            </wp:positionV>
            <wp:extent cx="677545"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01" w:lineRule="exact"/>
        <w:rPr>
          <w:sz w:val="20"/>
          <w:szCs w:val="20"/>
          <w:color w:val="auto"/>
        </w:rPr>
      </w:pPr>
    </w:p>
    <w:p>
      <w:pPr>
        <w:ind w:left="26"/>
        <w:spacing w:after="0"/>
        <w:tabs>
          <w:tab w:leader="none" w:pos="326" w:val="left"/>
          <w:tab w:leader="none" w:pos="1146" w:val="left"/>
        </w:tabs>
        <w:rPr>
          <w:sz w:val="20"/>
          <w:szCs w:val="20"/>
          <w:color w:val="auto"/>
        </w:rPr>
      </w:pPr>
      <w:r>
        <w:rPr>
          <w:rFonts w:ascii="Arial" w:cs="Arial" w:eastAsia="Arial" w:hAnsi="Arial"/>
          <w:sz w:val="16"/>
          <w:szCs w:val="16"/>
          <w:b w:val="1"/>
          <w:bCs w:val="1"/>
          <w:color w:val="1F2668"/>
        </w:rPr>
        <w:t>​​</w:t>
        <w:tab/>
        <w:t>​ ​</w:t>
      </w:r>
      <w:r>
        <w:rPr>
          <w:sz w:val="20"/>
          <w:szCs w:val="20"/>
          <w:color w:val="auto"/>
        </w:rPr>
        <w:tab/>
      </w:r>
      <w:r>
        <w:rPr>
          <w:rFonts w:ascii="Arial" w:cs="Arial" w:eastAsia="Arial" w:hAnsi="Arial"/>
          <w:sz w:val="16"/>
          <w:szCs w:val="16"/>
          <w:b w:val="1"/>
          <w:bCs w:val="1"/>
          <w:color w:val="1F2668"/>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20955</wp:posOffset>
            </wp:positionV>
            <wp:extent cx="677545"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46" w:lineRule="exact"/>
        <w:rPr>
          <w:sz w:val="20"/>
          <w:szCs w:val="20"/>
          <w:color w:val="auto"/>
        </w:rPr>
      </w:pPr>
    </w:p>
    <w:p>
      <w:pPr>
        <w:ind w:left="346" w:hanging="319"/>
        <w:spacing w:after="0"/>
        <w:tabs>
          <w:tab w:leader="none" w:pos="346" w:val="left"/>
        </w:tabs>
        <w:numPr>
          <w:ilvl w:val="0"/>
          <w:numId w:val="191"/>
        </w:numPr>
        <w:rPr>
          <w:rFonts w:ascii="Arial" w:cs="Arial" w:eastAsia="Arial" w:hAnsi="Arial"/>
          <w:sz w:val="16"/>
          <w:szCs w:val="16"/>
          <w:color w:val="auto"/>
        </w:rPr>
      </w:pPr>
      <w:r>
        <w:rPr>
          <w:rFonts w:ascii="Arial" w:cs="Arial" w:eastAsia="Arial" w:hAnsi="Arial"/>
          <w:sz w:val="16"/>
          <w:szCs w:val="16"/>
          <w:color w:val="auto"/>
        </w:rPr>
        <w:t>​$   65,062​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16510</wp:posOffset>
            </wp:positionV>
            <wp:extent cx="677545"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32" w:lineRule="exact"/>
        <w:rPr>
          <w:sz w:val="20"/>
          <w:szCs w:val="20"/>
          <w:color w:val="auto"/>
        </w:rPr>
      </w:pPr>
    </w:p>
    <w:tbl>
      <w:tblPr>
        <w:tblLayout w:type="fixed"/>
        <w:tblInd w:w="26" w:type="dxa"/>
        <w:tblCellMar>
          <w:top w:w="0" w:type="dxa"/>
          <w:left w:w="0" w:type="dxa"/>
          <w:bottom w:w="0" w:type="dxa"/>
          <w:right w:w="0" w:type="dxa"/>
        </w:tblCellMar>
      </w:tblPr>
      <w:tr>
        <w:trPr>
          <w:trHeight w:val="217"/>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520" w:type="dxa"/>
            <w:vAlign w:val="bottom"/>
          </w:tcPr>
          <w:p>
            <w:pPr>
              <w:ind w:left="220"/>
              <w:spacing w:after="0"/>
              <w:rPr>
                <w:sz w:val="20"/>
                <w:szCs w:val="20"/>
                <w:color w:val="auto"/>
              </w:rPr>
            </w:pPr>
            <w:r>
              <w:rPr>
                <w:rFonts w:ascii="Arial" w:cs="Arial" w:eastAsia="Arial" w:hAnsi="Arial"/>
                <w:sz w:val="16"/>
                <w:szCs w:val="16"/>
                <w:color w:val="auto"/>
              </w:rPr>
              <w:t>​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3,674​</w:t>
            </w:r>
          </w:p>
        </w:tc>
      </w:tr>
      <w:tr>
        <w:trPr>
          <w:trHeight w:val="20"/>
        </w:trPr>
        <w:tc>
          <w:tcPr>
            <w:tcW w:w="100" w:type="dxa"/>
            <w:vAlign w:val="bottom"/>
          </w:tcPr>
          <w:p>
            <w:pPr>
              <w:spacing w:after="0" w:line="20" w:lineRule="exact"/>
              <w:rPr>
                <w:sz w:val="1"/>
                <w:szCs w:val="1"/>
                <w:color w:val="auto"/>
              </w:rPr>
            </w:pPr>
          </w:p>
        </w:tc>
        <w:tc>
          <w:tcPr>
            <w:tcW w:w="520" w:type="dxa"/>
            <w:vAlign w:val="bottom"/>
            <w:shd w:val="clear" w:color="auto" w:fill="4B5088"/>
          </w:tcPr>
          <w:p>
            <w:pPr>
              <w:spacing w:after="0" w:line="20" w:lineRule="exact"/>
              <w:rPr>
                <w:sz w:val="1"/>
                <w:szCs w:val="1"/>
                <w:color w:val="auto"/>
              </w:rPr>
            </w:pPr>
          </w:p>
        </w:tc>
        <w:tc>
          <w:tcPr>
            <w:tcW w:w="520" w:type="dxa"/>
            <w:vAlign w:val="bottom"/>
            <w:shd w:val="clear" w:color="auto" w:fill="4B50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520" w:type="dxa"/>
            <w:vAlign w:val="bottom"/>
          </w:tcPr>
          <w:p>
            <w:pPr>
              <w:ind w:left="220"/>
              <w:spacing w:after="0"/>
              <w:rPr>
                <w:sz w:val="20"/>
                <w:szCs w:val="20"/>
                <w:color w:val="auto"/>
              </w:rPr>
            </w:pPr>
            <w:r>
              <w:rPr>
                <w:rFonts w:ascii="Arial" w:cs="Arial" w:eastAsia="Arial" w:hAnsi="Arial"/>
                <w:sz w:val="16"/>
                <w:szCs w:val="16"/>
                <w:color w:val="auto"/>
              </w:rPr>
              <w:t>​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1,420​</w:t>
            </w:r>
          </w:p>
        </w:tc>
      </w:tr>
      <w:tr>
        <w:trPr>
          <w:trHeight w:val="20"/>
        </w:trPr>
        <w:tc>
          <w:tcPr>
            <w:tcW w:w="100" w:type="dxa"/>
            <w:vAlign w:val="bottom"/>
          </w:tcPr>
          <w:p>
            <w:pPr>
              <w:spacing w:after="0" w:line="20" w:lineRule="exact"/>
              <w:rPr>
                <w:sz w:val="1"/>
                <w:szCs w:val="1"/>
                <w:color w:val="auto"/>
              </w:rPr>
            </w:pPr>
          </w:p>
        </w:tc>
        <w:tc>
          <w:tcPr>
            <w:tcW w:w="520" w:type="dxa"/>
            <w:vAlign w:val="bottom"/>
            <w:shd w:val="clear" w:color="auto" w:fill="4B5088"/>
          </w:tcPr>
          <w:p>
            <w:pPr>
              <w:spacing w:after="0" w:line="20" w:lineRule="exact"/>
              <w:rPr>
                <w:sz w:val="1"/>
                <w:szCs w:val="1"/>
                <w:color w:val="auto"/>
              </w:rPr>
            </w:pPr>
          </w:p>
        </w:tc>
        <w:tc>
          <w:tcPr>
            <w:tcW w:w="520" w:type="dxa"/>
            <w:vAlign w:val="bottom"/>
            <w:shd w:val="clear" w:color="auto" w:fill="4B50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520" w:type="dxa"/>
            <w:vAlign w:val="bottom"/>
          </w:tcPr>
          <w:p>
            <w:pPr>
              <w:ind w:left="220"/>
              <w:spacing w:after="0"/>
              <w:rPr>
                <w:sz w:val="20"/>
                <w:szCs w:val="20"/>
                <w:color w:val="auto"/>
              </w:rPr>
            </w:pPr>
            <w:r>
              <w:rPr>
                <w:rFonts w:ascii="Arial" w:cs="Arial" w:eastAsia="Arial" w:hAnsi="Arial"/>
                <w:sz w:val="16"/>
                <w:szCs w:val="16"/>
                <w:color w:val="auto"/>
              </w:rPr>
              <w:t>​ ​</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112​</w:t>
            </w:r>
          </w:p>
        </w:tc>
      </w:tr>
      <w:tr>
        <w:trPr>
          <w:trHeight w:val="20"/>
        </w:trPr>
        <w:tc>
          <w:tcPr>
            <w:tcW w:w="100" w:type="dxa"/>
            <w:vAlign w:val="bottom"/>
          </w:tcPr>
          <w:p>
            <w:pPr>
              <w:spacing w:after="0" w:line="20" w:lineRule="exact"/>
              <w:rPr>
                <w:sz w:val="1"/>
                <w:szCs w:val="1"/>
                <w:color w:val="auto"/>
              </w:rPr>
            </w:pPr>
          </w:p>
        </w:tc>
        <w:tc>
          <w:tcPr>
            <w:tcW w:w="520" w:type="dxa"/>
            <w:vAlign w:val="bottom"/>
            <w:shd w:val="clear" w:color="auto" w:fill="4B5088"/>
          </w:tcPr>
          <w:p>
            <w:pPr>
              <w:spacing w:after="0" w:line="20" w:lineRule="exact"/>
              <w:rPr>
                <w:sz w:val="1"/>
                <w:szCs w:val="1"/>
                <w:color w:val="auto"/>
              </w:rPr>
            </w:pPr>
          </w:p>
        </w:tc>
        <w:tc>
          <w:tcPr>
            <w:tcW w:w="520" w:type="dxa"/>
            <w:vAlign w:val="bottom"/>
            <w:shd w:val="clear" w:color="auto" w:fill="4B50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 w:lineRule="exact"/>
        <w:rPr>
          <w:sz w:val="20"/>
          <w:szCs w:val="20"/>
          <w:color w:val="auto"/>
        </w:rPr>
      </w:pPr>
    </w:p>
    <w:p>
      <w:pPr>
        <w:ind w:left="346" w:hanging="319"/>
        <w:spacing w:after="0"/>
        <w:tabs>
          <w:tab w:leader="none" w:pos="346" w:val="left"/>
        </w:tabs>
        <w:numPr>
          <w:ilvl w:val="0"/>
          <w:numId w:val="192"/>
        </w:numPr>
        <w:rPr>
          <w:rFonts w:ascii="Arial" w:cs="Arial" w:eastAsia="Arial" w:hAnsi="Arial"/>
          <w:sz w:val="16"/>
          <w:szCs w:val="16"/>
          <w:b w:val="1"/>
          <w:bCs w:val="1"/>
          <w:color w:val="1F2668"/>
        </w:rPr>
      </w:pPr>
      <w:r>
        <w:rPr>
          <w:rFonts w:ascii="Arial" w:cs="Arial" w:eastAsia="Arial" w:hAnsi="Arial"/>
          <w:sz w:val="16"/>
          <w:szCs w:val="16"/>
          <w:b w:val="1"/>
          <w:bCs w:val="1"/>
          <w:color w:val="1F2668"/>
        </w:rPr>
        <w:t>​ ​  70,268​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20955</wp:posOffset>
            </wp:positionV>
            <wp:extent cx="677545"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01" w:lineRule="exact"/>
        <w:rPr>
          <w:sz w:val="20"/>
          <w:szCs w:val="20"/>
          <w:color w:val="auto"/>
        </w:rPr>
      </w:pPr>
    </w:p>
    <w:tbl>
      <w:tblPr>
        <w:tblLayout w:type="fixed"/>
        <w:tblInd w:w="26" w:type="dxa"/>
        <w:tblCellMar>
          <w:top w:w="0" w:type="dxa"/>
          <w:left w:w="0" w:type="dxa"/>
          <w:bottom w:w="0" w:type="dxa"/>
          <w:right w:w="0" w:type="dxa"/>
        </w:tblCellMar>
      </w:tblPr>
      <w:tr>
        <w:trPr>
          <w:trHeight w:val="217"/>
        </w:trPr>
        <w:tc>
          <w:tcPr>
            <w:tcW w:w="100" w:type="dxa"/>
            <w:vAlign w:val="bottom"/>
          </w:tcPr>
          <w:p>
            <w:pPr>
              <w:spacing w:after="0"/>
              <w:rPr>
                <w:sz w:val="20"/>
                <w:szCs w:val="20"/>
                <w:color w:val="auto"/>
              </w:rPr>
            </w:pPr>
            <w:r>
              <w:rPr>
                <w:rFonts w:ascii="Arial" w:cs="Arial" w:eastAsia="Arial" w:hAnsi="Arial"/>
                <w:sz w:val="16"/>
                <w:szCs w:val="16"/>
                <w:b w:val="1"/>
                <w:bCs w:val="1"/>
                <w:color w:val="1F2668"/>
              </w:rPr>
              <w:t>​​</w:t>
            </w:r>
          </w:p>
        </w:tc>
        <w:tc>
          <w:tcPr>
            <w:tcW w:w="560" w:type="dxa"/>
            <w:vAlign w:val="bottom"/>
            <w:tcBorders>
              <w:bottom w:val="single" w:sz="8" w:color="4B5088"/>
            </w:tcBorders>
          </w:tcPr>
          <w:p>
            <w:pPr>
              <w:ind w:left="220"/>
              <w:spacing w:after="0"/>
              <w:rPr>
                <w:sz w:val="20"/>
                <w:szCs w:val="20"/>
                <w:color w:val="auto"/>
              </w:rPr>
            </w:pPr>
            <w:r>
              <w:rPr>
                <w:rFonts w:ascii="Arial" w:cs="Arial" w:eastAsia="Arial" w:hAnsi="Arial"/>
                <w:sz w:val="16"/>
                <w:szCs w:val="16"/>
                <w:b w:val="1"/>
                <w:bCs w:val="1"/>
                <w:color w:val="1F2668"/>
              </w:rPr>
              <w:t>​ ​</w:t>
            </w:r>
          </w:p>
        </w:tc>
        <w:tc>
          <w:tcPr>
            <w:tcW w:w="500" w:type="dxa"/>
            <w:vAlign w:val="bottom"/>
            <w:tcBorders>
              <w:bottom w:val="single" w:sz="8" w:color="4B5088"/>
            </w:tcBorders>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6"/>
                <w:szCs w:val="16"/>
                <w:b w:val="1"/>
                <w:bCs w:val="1"/>
                <w:color w:val="1F2668"/>
              </w:rPr>
              <w:t>​</w:t>
            </w:r>
          </w:p>
        </w:tc>
      </w:tr>
      <w:tr>
        <w:trPr>
          <w:trHeight w:val="223"/>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560" w:type="dxa"/>
            <w:vAlign w:val="bottom"/>
          </w:tcPr>
          <w:p>
            <w:pPr>
              <w:ind w:left="22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8.29​</w:t>
            </w:r>
          </w:p>
        </w:tc>
      </w:tr>
      <w:tr>
        <w:trPr>
          <w:trHeight w:val="20"/>
        </w:trPr>
        <w:tc>
          <w:tcPr>
            <w:tcW w:w="100" w:type="dxa"/>
            <w:vAlign w:val="bottom"/>
          </w:tcPr>
          <w:p>
            <w:pPr>
              <w:spacing w:after="0" w:line="20" w:lineRule="exact"/>
              <w:rPr>
                <w:sz w:val="1"/>
                <w:szCs w:val="1"/>
                <w:color w:val="auto"/>
              </w:rPr>
            </w:pPr>
          </w:p>
        </w:tc>
        <w:tc>
          <w:tcPr>
            <w:tcW w:w="560" w:type="dxa"/>
            <w:vAlign w:val="bottom"/>
            <w:shd w:val="clear" w:color="auto" w:fill="4B5088"/>
          </w:tcPr>
          <w:p>
            <w:pPr>
              <w:spacing w:after="0" w:line="20" w:lineRule="exact"/>
              <w:rPr>
                <w:sz w:val="1"/>
                <w:szCs w:val="1"/>
                <w:color w:val="auto"/>
              </w:rPr>
            </w:pPr>
          </w:p>
        </w:tc>
        <w:tc>
          <w:tcPr>
            <w:tcW w:w="500" w:type="dxa"/>
            <w:vAlign w:val="bottom"/>
            <w:tcBorders>
              <w:right w:val="single" w:sz="8" w:color="4B5088"/>
            </w:tcBorders>
            <w:shd w:val="clear" w:color="auto" w:fill="4B508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560" w:type="dxa"/>
            <w:vAlign w:val="bottom"/>
          </w:tcPr>
          <w:p>
            <w:pPr>
              <w:ind w:left="220"/>
              <w:spacing w:after="0"/>
              <w:rPr>
                <w:sz w:val="20"/>
                <w:szCs w:val="20"/>
                <w:color w:val="auto"/>
              </w:rPr>
            </w:pPr>
            <w:r>
              <w:rPr>
                <w:rFonts w:ascii="Arial" w:cs="Arial" w:eastAsia="Arial" w:hAnsi="Arial"/>
                <w:sz w:val="16"/>
                <w:szCs w:val="16"/>
                <w:color w:val="auto"/>
              </w:rPr>
              <w:t>​ ​</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8.11​</w:t>
            </w:r>
          </w:p>
        </w:tc>
      </w:tr>
      <w:tr>
        <w:trPr>
          <w:trHeight w:val="385"/>
        </w:trPr>
        <w:tc>
          <w:tcPr>
            <w:tcW w:w="100" w:type="dxa"/>
            <w:vAlign w:val="bottom"/>
          </w:tcPr>
          <w:p>
            <w:pPr>
              <w:spacing w:after="0"/>
              <w:rPr>
                <w:sz w:val="20"/>
                <w:szCs w:val="20"/>
                <w:color w:val="auto"/>
              </w:rPr>
            </w:pPr>
            <w:r>
              <w:rPr>
                <w:rFonts w:ascii="Arial" w:cs="Arial" w:eastAsia="Arial" w:hAnsi="Arial"/>
                <w:sz w:val="16"/>
                <w:szCs w:val="16"/>
                <w:b w:val="1"/>
                <w:bCs w:val="1"/>
                <w:color w:val="1F2668"/>
              </w:rPr>
              <w:t>​​</w:t>
            </w:r>
          </w:p>
        </w:tc>
        <w:tc>
          <w:tcPr>
            <w:tcW w:w="560" w:type="dxa"/>
            <w:vAlign w:val="bottom"/>
            <w:tcBorders>
              <w:top w:val="single" w:sz="8" w:color="4B5088"/>
              <w:bottom w:val="single" w:sz="8" w:color="4B5088"/>
            </w:tcBorders>
          </w:tcPr>
          <w:p>
            <w:pPr>
              <w:ind w:left="220"/>
              <w:spacing w:after="0"/>
              <w:rPr>
                <w:sz w:val="20"/>
                <w:szCs w:val="20"/>
                <w:color w:val="auto"/>
              </w:rPr>
            </w:pPr>
            <w:r>
              <w:rPr>
                <w:rFonts w:ascii="Arial" w:cs="Arial" w:eastAsia="Arial" w:hAnsi="Arial"/>
                <w:sz w:val="16"/>
                <w:szCs w:val="16"/>
                <w:b w:val="1"/>
                <w:bCs w:val="1"/>
                <w:color w:val="1F2668"/>
              </w:rPr>
              <w:t>​ ​</w:t>
            </w:r>
          </w:p>
        </w:tc>
        <w:tc>
          <w:tcPr>
            <w:tcW w:w="500" w:type="dxa"/>
            <w:vAlign w:val="bottom"/>
            <w:tcBorders>
              <w:top w:val="single" w:sz="8" w:color="4B5088"/>
              <w:bottom w:val="single" w:sz="8" w:color="4B5088"/>
            </w:tcBorders>
          </w:tcPr>
          <w:p>
            <w:pPr>
              <w:spacing w:after="0"/>
              <w:rPr>
                <w:sz w:val="24"/>
                <w:szCs w:val="24"/>
                <w:color w:val="auto"/>
              </w:rPr>
            </w:pPr>
          </w:p>
        </w:tc>
        <w:tc>
          <w:tcPr>
            <w:tcW w:w="40" w:type="dxa"/>
            <w:vAlign w:val="bottom"/>
          </w:tcPr>
          <w:p>
            <w:pPr>
              <w:jc w:val="right"/>
              <w:spacing w:after="0"/>
              <w:rPr>
                <w:sz w:val="20"/>
                <w:szCs w:val="20"/>
                <w:color w:val="auto"/>
              </w:rPr>
            </w:pPr>
            <w:r>
              <w:rPr>
                <w:rFonts w:ascii="Arial" w:cs="Arial" w:eastAsia="Arial" w:hAnsi="Arial"/>
                <w:sz w:val="16"/>
                <w:szCs w:val="16"/>
                <w:b w:val="1"/>
                <w:bCs w:val="1"/>
                <w:color w:val="1F2668"/>
              </w:rPr>
              <w:t>​</w:t>
            </w:r>
          </w:p>
        </w:tc>
      </w:tr>
      <w:tr>
        <w:trPr>
          <w:trHeight w:val="223"/>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560" w:type="dxa"/>
            <w:vAlign w:val="bottom"/>
          </w:tcPr>
          <w:p>
            <w:pPr>
              <w:ind w:left="220"/>
              <w:spacing w:after="0"/>
              <w:rPr>
                <w:sz w:val="20"/>
                <w:szCs w:val="20"/>
                <w:color w:val="auto"/>
              </w:rPr>
            </w:pPr>
            <w:r>
              <w:rPr>
                <w:rFonts w:ascii="Arial" w:cs="Arial" w:eastAsia="Arial" w:hAnsi="Arial"/>
                <w:sz w:val="16"/>
                <w:szCs w:val="16"/>
                <w:color w:val="auto"/>
              </w:rPr>
              <w:t>​ ​</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5.36​</w:t>
            </w:r>
          </w:p>
        </w:tc>
      </w:tr>
      <w:tr>
        <w:trPr>
          <w:trHeight w:val="20"/>
        </w:trPr>
        <w:tc>
          <w:tcPr>
            <w:tcW w:w="100" w:type="dxa"/>
            <w:vAlign w:val="bottom"/>
          </w:tcPr>
          <w:p>
            <w:pPr>
              <w:spacing w:after="0" w:line="20" w:lineRule="exact"/>
              <w:rPr>
                <w:sz w:val="1"/>
                <w:szCs w:val="1"/>
                <w:color w:val="auto"/>
              </w:rPr>
            </w:pPr>
          </w:p>
        </w:tc>
        <w:tc>
          <w:tcPr>
            <w:tcW w:w="560" w:type="dxa"/>
            <w:vAlign w:val="bottom"/>
            <w:shd w:val="clear" w:color="auto" w:fill="4B5088"/>
          </w:tcPr>
          <w:p>
            <w:pPr>
              <w:spacing w:after="0" w:line="20" w:lineRule="exact"/>
              <w:rPr>
                <w:sz w:val="1"/>
                <w:szCs w:val="1"/>
                <w:color w:val="auto"/>
              </w:rPr>
            </w:pPr>
          </w:p>
        </w:tc>
        <w:tc>
          <w:tcPr>
            <w:tcW w:w="500" w:type="dxa"/>
            <w:vAlign w:val="bottom"/>
            <w:tcBorders>
              <w:right w:val="single" w:sz="8" w:color="4B5088"/>
            </w:tcBorders>
            <w:shd w:val="clear" w:color="auto" w:fill="4B508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560" w:type="dxa"/>
            <w:vAlign w:val="bottom"/>
          </w:tcPr>
          <w:p>
            <w:pPr>
              <w:ind w:left="220"/>
              <w:spacing w:after="0"/>
              <w:rPr>
                <w:sz w:val="20"/>
                <w:szCs w:val="20"/>
                <w:color w:val="auto"/>
              </w:rPr>
            </w:pPr>
            <w:r>
              <w:rPr>
                <w:rFonts w:ascii="Arial" w:cs="Arial" w:eastAsia="Arial" w:hAnsi="Arial"/>
                <w:sz w:val="16"/>
                <w:szCs w:val="16"/>
                <w:color w:val="auto"/>
              </w:rPr>
              <w:t>​ ​</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5.24​</w:t>
            </w:r>
          </w:p>
        </w:tc>
      </w:tr>
      <w:tr>
        <w:trPr>
          <w:trHeight w:val="20"/>
        </w:trPr>
        <w:tc>
          <w:tcPr>
            <w:tcW w:w="100" w:type="dxa"/>
            <w:vAlign w:val="bottom"/>
          </w:tcPr>
          <w:p>
            <w:pPr>
              <w:spacing w:after="0" w:line="20" w:lineRule="exact"/>
              <w:rPr>
                <w:sz w:val="1"/>
                <w:szCs w:val="1"/>
                <w:color w:val="auto"/>
              </w:rPr>
            </w:pPr>
          </w:p>
        </w:tc>
        <w:tc>
          <w:tcPr>
            <w:tcW w:w="560" w:type="dxa"/>
            <w:vAlign w:val="bottom"/>
            <w:shd w:val="clear" w:color="auto" w:fill="1F2668"/>
          </w:tcPr>
          <w:p>
            <w:pPr>
              <w:spacing w:after="0" w:line="20" w:lineRule="exact"/>
              <w:rPr>
                <w:sz w:val="1"/>
                <w:szCs w:val="1"/>
                <w:color w:val="auto"/>
              </w:rPr>
            </w:pPr>
          </w:p>
        </w:tc>
        <w:tc>
          <w:tcPr>
            <w:tcW w:w="500" w:type="dxa"/>
            <w:vAlign w:val="bottom"/>
            <w:tcBorders>
              <w:right w:val="single" w:sz="8" w:color="1F2668"/>
            </w:tcBorders>
            <w:shd w:val="clear" w:color="auto" w:fill="1F266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94" w:space="720"/>
            <w:col w:w="1226"/>
          </w:cols>
          <w:pgMar w:left="580" w:top="97" w:right="1379" w:bottom="1440" w:gutter="0" w:footer="0" w:header="0"/>
          <w:type w:val="continuous"/>
        </w:sectPr>
      </w:pPr>
    </w:p>
    <w:p>
      <w:pPr>
        <w:spacing w:after="0" w:line="47" w:lineRule="exact"/>
        <w:rPr>
          <w:sz w:val="20"/>
          <w:szCs w:val="20"/>
          <w:color w:val="auto"/>
        </w:rPr>
      </w:pPr>
    </w:p>
    <w:p>
      <w:pPr>
        <w:ind w:left="1180" w:hanging="364"/>
        <w:spacing w:after="0"/>
        <w:tabs>
          <w:tab w:leader="none" w:pos="1180" w:val="left"/>
        </w:tabs>
        <w:numPr>
          <w:ilvl w:val="0"/>
          <w:numId w:val="193"/>
        </w:numPr>
        <w:rPr>
          <w:rFonts w:ascii="Arial" w:cs="Arial" w:eastAsia="Arial" w:hAnsi="Arial"/>
          <w:sz w:val="14"/>
          <w:szCs w:val="14"/>
          <w:color w:val="auto"/>
        </w:rPr>
      </w:pPr>
      <w:r>
        <w:rPr>
          <w:rFonts w:ascii="Arial" w:cs="Arial" w:eastAsia="Arial" w:hAnsi="Arial"/>
          <w:sz w:val="14"/>
          <w:szCs w:val="14"/>
          <w:color w:val="auto"/>
        </w:rPr>
        <w:t>Includes $172.4 million of SLG share of unconsolidated JV gain on early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88265</wp:posOffset>
            </wp:positionV>
            <wp:extent cx="6831965" cy="425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127" w:name="page128"/>
    <w:bookmarkEnd w:id="1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p>
      <w:pPr>
        <w:ind w:left="820"/>
        <w:spacing w:after="0"/>
        <w:tabs>
          <w:tab w:leader="none" w:pos="1440" w:val="left"/>
          <w:tab w:leader="none" w:pos="9860" w:val="left"/>
        </w:tabs>
        <w:rPr>
          <w:sz w:val="20"/>
          <w:szCs w:val="20"/>
          <w:color w:val="auto"/>
        </w:rPr>
      </w:pPr>
      <w:r>
        <w:rPr>
          <w:rFonts w:ascii="Arial" w:cs="Arial" w:eastAsia="Arial" w:hAnsi="Arial"/>
          <w:sz w:val="22"/>
          <w:szCs w:val="22"/>
          <w:b w:val="1"/>
          <w:bCs w:val="1"/>
          <w:color w:val="1F2668"/>
        </w:rPr>
        <w:t>​B-2</w:t>
        <w:tab/>
        <w:t xml:space="preserve">​ ​ </w:t>
      </w:r>
      <w:r>
        <w:rPr>
          <w:rFonts w:ascii="Arial" w:cs="Arial" w:eastAsia="Arial" w:hAnsi="Arial"/>
          <w:sz w:val="14"/>
          <w:szCs w:val="14"/>
          <w:b w:val="1"/>
          <w:bCs w:val="1"/>
          <w:color w:val="1F2668"/>
        </w:rPr>
        <w:t>SL GREEN REALTY CORP. 2025 PROXY STATEMENT</w:t>
      </w:r>
      <w:r>
        <w:rPr>
          <w:sz w:val="20"/>
          <w:szCs w:val="20"/>
          <w:color w:val="auto"/>
        </w:rPr>
        <w:tab/>
      </w:r>
      <w:r>
        <w:rPr>
          <w:rFonts w:ascii="Arial" w:cs="Arial" w:eastAsia="Arial" w:hAnsi="Arial"/>
          <w:sz w:val="22"/>
          <w:szCs w:val="22"/>
          <w:b w:val="1"/>
          <w:bCs w:val="1"/>
          <w:color w:val="1F2668"/>
        </w:rPr>
        <w:t>​</w:t>
      </w:r>
    </w:p>
    <w:p>
      <w:pPr>
        <w:spacing w:after="0" w:line="200" w:lineRule="exact"/>
        <w:rPr>
          <w:sz w:val="20"/>
          <w:szCs w:val="20"/>
          <w:color w:val="auto"/>
        </w:rPr>
      </w:pPr>
    </w:p>
    <w:p>
      <w:pPr>
        <w:spacing w:after="0" w:line="304" w:lineRule="exact"/>
        <w:rPr>
          <w:sz w:val="20"/>
          <w:szCs w:val="20"/>
          <w:color w:val="auto"/>
        </w:rPr>
      </w:pPr>
    </w:p>
    <w:p>
      <w:pPr>
        <w:ind w:left="820" w:right="120"/>
        <w:spacing w:after="0" w:line="321" w:lineRule="auto"/>
        <w:rPr>
          <w:sz w:val="20"/>
          <w:szCs w:val="20"/>
          <w:color w:val="auto"/>
        </w:rPr>
      </w:pPr>
      <w:r>
        <w:rPr>
          <w:rFonts w:ascii="Arial" w:cs="Arial" w:eastAsia="Arial" w:hAnsi="Arial"/>
          <w:sz w:val="16"/>
          <w:szCs w:val="16"/>
          <w:color w:val="auto"/>
        </w:rPr>
        <w:t>Below is a reconciliation of net income attributable to our stockholders to Normalized Funds Available for Distribution, or FAD, for the twelve months ended December 31, 2024 (amounts in thousands, except per share data).</w:t>
      </w:r>
    </w:p>
    <w:p>
      <w:pPr>
        <w:spacing w:after="0" w:line="134"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7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1F2668"/>
                <w:w w:val="99"/>
              </w:rPr>
              <w:t>Twelve months</w:t>
            </w:r>
          </w:p>
        </w:tc>
      </w:tr>
      <w:tr>
        <w:trPr>
          <w:trHeight w:val="162"/>
        </w:trPr>
        <w:tc>
          <w:tcPr>
            <w:tcW w:w="7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1F2668"/>
              </w:rPr>
              <w:t>ended</w:t>
            </w:r>
          </w:p>
        </w:tc>
      </w:tr>
      <w:tr>
        <w:trPr>
          <w:trHeight w:val="162"/>
        </w:trPr>
        <w:tc>
          <w:tcPr>
            <w:tcW w:w="7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1F2668"/>
              </w:rPr>
              <w:t>December 31,</w:t>
            </w:r>
          </w:p>
        </w:tc>
      </w:tr>
      <w:tr>
        <w:trPr>
          <w:trHeight w:val="225"/>
        </w:trPr>
        <w:tc>
          <w:tcPr>
            <w:tcW w:w="7960" w:type="dxa"/>
            <w:vAlign w:val="bottom"/>
          </w:tcPr>
          <w:p>
            <w:pPr>
              <w:spacing w:after="0"/>
              <w:rPr>
                <w:sz w:val="20"/>
                <w:szCs w:val="20"/>
                <w:color w:val="auto"/>
              </w:rPr>
            </w:pPr>
            <w:r>
              <w:rPr>
                <w:rFonts w:ascii="Arial" w:cs="Arial" w:eastAsia="Arial" w:hAnsi="Arial"/>
                <w:sz w:val="14"/>
                <w:szCs w:val="14"/>
                <w:color w:val="1F2668"/>
              </w:rPr>
              <w:t>​</w:t>
            </w:r>
          </w:p>
        </w:tc>
        <w:tc>
          <w:tcPr>
            <w:tcW w:w="100" w:type="dxa"/>
            <w:vAlign w:val="bottom"/>
          </w:tcPr>
          <w:p>
            <w:pPr>
              <w:spacing w:after="0"/>
              <w:rPr>
                <w:sz w:val="20"/>
                <w:szCs w:val="20"/>
                <w:color w:val="auto"/>
              </w:rPr>
            </w:pPr>
            <w:r>
              <w:rPr>
                <w:rFonts w:ascii="Arial" w:cs="Arial" w:eastAsia="Arial" w:hAnsi="Arial"/>
                <w:sz w:val="14"/>
                <w:szCs w:val="14"/>
                <w:color w:val="1F2668"/>
              </w:rPr>
              <w:t>​​</w:t>
            </w:r>
          </w:p>
        </w:tc>
        <w:tc>
          <w:tcPr>
            <w:tcW w:w="1040" w:type="dxa"/>
            <w:vAlign w:val="bottom"/>
            <w:gridSpan w:val="2"/>
          </w:tcPr>
          <w:p>
            <w:pPr>
              <w:ind w:left="680"/>
              <w:spacing w:after="0" w:line="225" w:lineRule="exact"/>
              <w:rPr>
                <w:sz w:val="20"/>
                <w:szCs w:val="20"/>
                <w:color w:val="auto"/>
              </w:rPr>
            </w:pPr>
            <w:r>
              <w:rPr>
                <w:rFonts w:ascii="Arial" w:cs="Arial" w:eastAsia="Arial" w:hAnsi="Arial"/>
                <w:sz w:val="14"/>
                <w:szCs w:val="14"/>
                <w:color w:val="1F2668"/>
              </w:rPr>
              <w:t>2024</w:t>
            </w:r>
            <w:r>
              <w:rPr>
                <w:rFonts w:ascii="Arial" w:cs="Arial" w:eastAsia="Arial" w:hAnsi="Arial"/>
                <w:sz w:val="26"/>
                <w:szCs w:val="26"/>
                <w:color w:val="1F2668"/>
                <w:vertAlign w:val="subscript"/>
              </w:rPr>
              <w:t>​</w:t>
            </w:r>
          </w:p>
        </w:tc>
      </w:tr>
      <w:tr>
        <w:trPr>
          <w:trHeight w:val="20"/>
        </w:trPr>
        <w:tc>
          <w:tcPr>
            <w:tcW w:w="7960" w:type="dxa"/>
            <w:vAlign w:val="bottom"/>
            <w:shd w:val="clear" w:color="auto" w:fill="1F266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1F266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40" w:lineRule="exact"/>
        <w:rPr>
          <w:sz w:val="20"/>
          <w:szCs w:val="20"/>
          <w:color w:val="auto"/>
        </w:rPr>
      </w:pPr>
    </w:p>
    <w:p>
      <w:pPr>
        <w:sectPr>
          <w:pgSz w:w="11900" w:h="16838" w:orient="portrait"/>
          <w:cols w:equalWidth="0" w:num="1">
            <w:col w:w="9940"/>
          </w:cols>
          <w:pgMar w:left="580" w:top="97" w:right="1379" w:bottom="1440" w:gutter="0" w:footer="0" w:header="0"/>
        </w:sectPr>
      </w:pPr>
    </w:p>
    <w:p>
      <w:pPr>
        <w:ind w:left="820"/>
        <w:spacing w:after="0"/>
        <w:rPr>
          <w:sz w:val="20"/>
          <w:szCs w:val="20"/>
          <w:color w:val="auto"/>
        </w:rPr>
      </w:pPr>
      <w:r>
        <w:rPr>
          <w:rFonts w:ascii="Arial" w:cs="Arial" w:eastAsia="Arial" w:hAnsi="Arial"/>
          <w:sz w:val="16"/>
          <w:szCs w:val="16"/>
          <w:b w:val="1"/>
          <w:bCs w:val="1"/>
          <w:color w:val="1F2668"/>
        </w:rPr>
        <w:t>Normalized Funds Available for Distribution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20955</wp:posOffset>
            </wp:positionV>
            <wp:extent cx="5057775"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5057775" cy="8255"/>
                    </a:xfrm>
                    <a:prstGeom prst="rect">
                      <a:avLst/>
                    </a:prstGeom>
                    <a:noFill/>
                  </pic:spPr>
                </pic:pic>
              </a:graphicData>
            </a:graphic>
          </wp:anchor>
        </w:drawing>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Net income attributable to SL Green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20955</wp:posOffset>
            </wp:positionV>
            <wp:extent cx="5057775"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5057775" cy="8890"/>
                    </a:xfrm>
                    <a:prstGeom prst="rect">
                      <a:avLst/>
                    </a:prstGeom>
                    <a:noFill/>
                  </pic:spPr>
                </pic:pic>
              </a:graphicData>
            </a:graphic>
          </wp:anchor>
        </w:drawing>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20955</wp:posOffset>
            </wp:positionV>
            <wp:extent cx="5057775"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5057775" cy="8255"/>
                    </a:xfrm>
                    <a:prstGeom prst="rect">
                      <a:avLst/>
                    </a:prstGeom>
                    <a:noFill/>
                  </pic:spPr>
                </pic:pic>
              </a:graphicData>
            </a:graphic>
          </wp:anchor>
        </w:drawing>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20955</wp:posOffset>
            </wp:positionV>
            <wp:extent cx="505777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5057775" cy="8255"/>
                    </a:xfrm>
                    <a:prstGeom prst="rect">
                      <a:avLst/>
                    </a:prstGeom>
                    <a:noFill/>
                  </pic:spPr>
                </pic:pic>
              </a:graphicData>
            </a:graphic>
          </wp:anchor>
        </w:drawing>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Joint venture depreciation and noncontrolling interest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20955</wp:posOffset>
            </wp:positionV>
            <wp:extent cx="5057775"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5057775" cy="8255"/>
                    </a:xfrm>
                    <a:prstGeom prst="rect">
                      <a:avLst/>
                    </a:prstGeom>
                    <a:noFill/>
                  </pic:spPr>
                </pic:pic>
              </a:graphicData>
            </a:graphic>
          </wp:anchor>
        </w:drawing>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Net loss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20955</wp:posOffset>
            </wp:positionV>
            <wp:extent cx="5057775"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5057775" cy="8255"/>
                    </a:xfrm>
                    <a:prstGeom prst="rect">
                      <a:avLst/>
                    </a:prstGeom>
                    <a:noFill/>
                  </pic:spPr>
                </pic:pic>
              </a:graphicData>
            </a:graphic>
          </wp:anchor>
        </w:drawing>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20955</wp:posOffset>
            </wp:positionV>
            <wp:extent cx="5057775"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5057775" cy="8890"/>
                    </a:xfrm>
                    <a:prstGeom prst="rect">
                      <a:avLst/>
                    </a:prstGeom>
                    <a:noFill/>
                  </pic:spPr>
                </pic:pic>
              </a:graphicData>
            </a:graphic>
          </wp:anchor>
        </w:drawing>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5"/>
          <w:szCs w:val="15"/>
          <w:color w:val="auto"/>
        </w:rPr>
        <w:t>Equity in net gain (loss) on sale of interest in unconsolidated joint venture/real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27940</wp:posOffset>
            </wp:positionV>
            <wp:extent cx="5057775"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5057775" cy="8255"/>
                    </a:xfrm>
                    <a:prstGeom prst="rect">
                      <a:avLst/>
                    </a:prstGeom>
                    <a:noFill/>
                  </pic:spPr>
                </pic:pic>
              </a:graphicData>
            </a:graphic>
          </wp:anchor>
        </w:drawing>
      </w:r>
    </w:p>
    <w:p>
      <w:pPr>
        <w:spacing w:after="0" w:line="5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Purchase price and other fair value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20955</wp:posOffset>
            </wp:positionV>
            <wp:extent cx="5057775"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5057775" cy="8890"/>
                    </a:xfrm>
                    <a:prstGeom prst="rect">
                      <a:avLst/>
                    </a:prstGeom>
                    <a:noFill/>
                  </pic:spPr>
                </pic:pic>
              </a:graphicData>
            </a:graphic>
          </wp:anchor>
        </w:drawing>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Gain (loss) on sale of real estate,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20955</wp:posOffset>
            </wp:positionV>
            <wp:extent cx="5057775"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5057775" cy="8255"/>
                    </a:xfrm>
                    <a:prstGeom prst="rect">
                      <a:avLst/>
                    </a:prstGeom>
                    <a:noFill/>
                  </pic:spPr>
                </pic:pic>
              </a:graphicData>
            </a:graphic>
          </wp:anchor>
        </w:drawing>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Depreciable real estate reserves and impairments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20955</wp:posOffset>
            </wp:positionV>
            <wp:extent cx="5057775"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5057775" cy="8255"/>
                    </a:xfrm>
                    <a:prstGeom prst="rect">
                      <a:avLst/>
                    </a:prstGeom>
                    <a:noFill/>
                  </pic:spPr>
                </pic:pic>
              </a:graphicData>
            </a:graphic>
          </wp:anchor>
        </w:drawing>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Depreciable real estate reserves in unconsolidated joint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20955</wp:posOffset>
            </wp:positionV>
            <wp:extent cx="5057775"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5057775" cy="8255"/>
                    </a:xfrm>
                    <a:prstGeom prst="rect">
                      <a:avLst/>
                    </a:prstGeom>
                    <a:noFill/>
                  </pic:spPr>
                </pic:pic>
              </a:graphicData>
            </a:graphic>
          </wp:anchor>
        </w:drawing>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Depreciation on non-rental real estate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20955</wp:posOffset>
            </wp:positionV>
            <wp:extent cx="5057775"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5057775" cy="8255"/>
                    </a:xfrm>
                    <a:prstGeom prst="rect">
                      <a:avLst/>
                    </a:prstGeom>
                    <a:noFill/>
                  </pic:spPr>
                </pic:pic>
              </a:graphicData>
            </a:graphic>
          </wp:anchor>
        </w:drawing>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1F2668"/>
        </w:rPr>
        <w:t>FFO attributable to SL Green common stockholders and unit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20955</wp:posOffset>
            </wp:positionV>
            <wp:extent cx="5057775"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5057775" cy="8890"/>
                    </a:xfrm>
                    <a:prstGeom prst="rect">
                      <a:avLst/>
                    </a:prstGeom>
                    <a:noFill/>
                  </pic:spPr>
                </pic:pic>
              </a:graphicData>
            </a:graphic>
          </wp:anchor>
        </w:drawing>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20955</wp:posOffset>
            </wp:positionV>
            <wp:extent cx="5057775"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5057775" cy="8255"/>
                    </a:xfrm>
                    <a:prstGeom prst="rect">
                      <a:avLst/>
                    </a:prstGeom>
                    <a:noFill/>
                  </pic:spPr>
                </pic:pic>
              </a:graphicData>
            </a:graphic>
          </wp:anchor>
        </w:drawing>
      </w:r>
    </w:p>
    <w:p>
      <w:pPr>
        <w:spacing w:after="0" w:line="39" w:lineRule="exact"/>
        <w:rPr>
          <w:sz w:val="20"/>
          <w:szCs w:val="20"/>
          <w:color w:val="auto"/>
        </w:rPr>
      </w:pPr>
    </w:p>
    <w:p>
      <w:pPr>
        <w:ind w:left="820" w:right="2860"/>
        <w:spacing w:after="0" w:line="323" w:lineRule="auto"/>
        <w:rPr>
          <w:sz w:val="20"/>
          <w:szCs w:val="20"/>
          <w:color w:val="auto"/>
        </w:rPr>
      </w:pPr>
      <w:r>
        <w:rPr>
          <w:rFonts w:ascii="Arial" w:cs="Arial" w:eastAsia="Arial" w:hAnsi="Arial"/>
          <w:sz w:val="16"/>
          <w:szCs w:val="16"/>
          <w:color w:val="auto"/>
        </w:rPr>
        <w:t>Non real estate depreciation and amortization Amortization of deferred financing costs Non-cash deferred compensation FAD adjustment for joint ventures Straight-line rental income and other non-cash adjustments Non-cash fair value adjustments on mark-to-market derivatives Second cycle tenant improvements Second cycle leasing commissions Revenue enhancing recurring CAPEX Non-revenue enhancing recurring CAPEX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268605</wp:posOffset>
            </wp:positionV>
            <wp:extent cx="5057775"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5057775" cy="889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114300</wp:posOffset>
            </wp:positionV>
            <wp:extent cx="5057775"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5057775" cy="889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-39370</wp:posOffset>
            </wp:positionV>
            <wp:extent cx="5057775"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5057775" cy="889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-193675</wp:posOffset>
            </wp:positionV>
            <wp:extent cx="5057775"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5057775" cy="825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-347980</wp:posOffset>
            </wp:positionV>
            <wp:extent cx="5057775"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5057775" cy="825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-502285</wp:posOffset>
            </wp:positionV>
            <wp:extent cx="5057775"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5057775" cy="825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-656590</wp:posOffset>
            </wp:positionV>
            <wp:extent cx="5057775"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5057775" cy="825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-810895</wp:posOffset>
            </wp:positionV>
            <wp:extent cx="5057775"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5057775" cy="889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-965200</wp:posOffset>
            </wp:positionV>
            <wp:extent cx="5057775"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5057775" cy="889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-1119505</wp:posOffset>
            </wp:positionV>
            <wp:extent cx="5057775"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505777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1F2668"/>
        </w:rPr>
        <w:t>Funds Available for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20955</wp:posOffset>
            </wp:positionV>
            <wp:extent cx="5057775"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5057775" cy="8255"/>
                    </a:xfrm>
                    <a:prstGeom prst="rect">
                      <a:avLst/>
                    </a:prstGeom>
                    <a:noFill/>
                  </pic:spPr>
                </pic:pic>
              </a:graphicData>
            </a:graphic>
          </wp:anchor>
        </w:drawing>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20955</wp:posOffset>
            </wp:positionV>
            <wp:extent cx="5057775"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5057775" cy="8255"/>
                    </a:xfrm>
                    <a:prstGeom prst="rect">
                      <a:avLst/>
                    </a:prstGeom>
                    <a:noFill/>
                  </pic:spPr>
                </pic:pic>
              </a:graphicData>
            </a:graphic>
          </wp:anchor>
        </w:drawing>
      </w:r>
    </w:p>
    <w:p>
      <w:pPr>
        <w:spacing w:after="0" w:line="37" w:lineRule="exact"/>
        <w:rPr>
          <w:sz w:val="20"/>
          <w:szCs w:val="20"/>
          <w:color w:val="auto"/>
        </w:rPr>
      </w:pPr>
    </w:p>
    <w:p>
      <w:pPr>
        <w:ind w:left="820"/>
        <w:spacing w:after="0"/>
        <w:rPr>
          <w:sz w:val="20"/>
          <w:szCs w:val="20"/>
          <w:color w:val="auto"/>
        </w:rPr>
      </w:pPr>
      <w:r>
        <w:rPr>
          <w:rFonts w:ascii="Arial" w:cs="Arial" w:eastAsia="Arial" w:hAnsi="Arial"/>
          <w:sz w:val="16"/>
          <w:szCs w:val="16"/>
          <w:color w:val="auto"/>
        </w:rPr>
        <w:t>Gain on early extinguishment of debt in excess of $20.0 million</w:t>
      </w:r>
      <w:r>
        <w:rPr>
          <w:rFonts w:ascii="Arial" w:cs="Arial" w:eastAsia="Arial" w:hAnsi="Arial"/>
          <w:sz w:val="19"/>
          <w:szCs w:val="1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635</wp:posOffset>
            </wp:positionV>
            <wp:extent cx="5057775"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5057775" cy="8255"/>
                    </a:xfrm>
                    <a:prstGeom prst="rect">
                      <a:avLst/>
                    </a:prstGeom>
                    <a:noFill/>
                  </pic:spPr>
                </pic:pic>
              </a:graphicData>
            </a:graphic>
          </wp:anchor>
        </w:drawing>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1F2668"/>
        </w:rPr>
        <w:t>Normalized Funds Available for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10795</wp:posOffset>
            </wp:positionV>
            <wp:extent cx="5057775"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50577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00" w:val="left"/>
          <w:tab w:leader="none" w:pos="1060" w:val="left"/>
        </w:tabs>
        <w:rPr>
          <w:sz w:val="20"/>
          <w:szCs w:val="20"/>
          <w:color w:val="auto"/>
        </w:rPr>
      </w:pPr>
      <w:r>
        <w:rPr>
          <w:rFonts w:ascii="Arial" w:cs="Arial" w:eastAsia="Arial" w:hAnsi="Arial"/>
          <w:sz w:val="16"/>
          <w:szCs w:val="16"/>
          <w:b w:val="1"/>
          <w:bCs w:val="1"/>
          <w:color w:val="1F2668"/>
        </w:rPr>
        <w:t>​​</w:t>
        <w:tab/>
        <w:t>​ ​</w:t>
      </w:r>
      <w:r>
        <w:rPr>
          <w:sz w:val="20"/>
          <w:szCs w:val="20"/>
          <w:color w:val="auto"/>
        </w:rPr>
        <w:tab/>
      </w:r>
      <w:r>
        <w:rPr>
          <w:rFonts w:ascii="Arial" w:cs="Arial" w:eastAsia="Arial" w:hAnsi="Arial"/>
          <w:sz w:val="16"/>
          <w:szCs w:val="16"/>
          <w:b w:val="1"/>
          <w:bCs w:val="1"/>
          <w:color w:val="1F2668"/>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20955</wp:posOffset>
            </wp:positionV>
            <wp:extent cx="634365"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46" w:lineRule="exact"/>
        <w:rPr>
          <w:sz w:val="20"/>
          <w:szCs w:val="20"/>
          <w:color w:val="auto"/>
        </w:rPr>
      </w:pPr>
    </w:p>
    <w:p>
      <w:pPr>
        <w:ind w:left="320" w:hanging="312"/>
        <w:spacing w:after="0"/>
        <w:tabs>
          <w:tab w:leader="none" w:pos="32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   7,060​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16510</wp:posOffset>
            </wp:positionV>
            <wp:extent cx="634365"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32" w:lineRule="exact"/>
        <w:rPr>
          <w:sz w:val="20"/>
          <w:szCs w:val="20"/>
          <w:color w:val="auto"/>
        </w:rPr>
      </w:pPr>
    </w:p>
    <w:p>
      <w:pPr>
        <w:spacing w:after="0"/>
        <w:tabs>
          <w:tab w:leader="none" w:pos="300" w:val="left"/>
          <w:tab w:leader="none" w:pos="1060" w:val="left"/>
        </w:tabs>
        <w:rPr>
          <w:sz w:val="20"/>
          <w:szCs w:val="20"/>
          <w:color w:val="auto"/>
        </w:rPr>
      </w:pPr>
      <w:r>
        <w:rPr>
          <w:rFonts w:ascii="Arial" w:cs="Arial" w:eastAsia="Arial" w:hAnsi="Arial"/>
          <w:sz w:val="16"/>
          <w:szCs w:val="16"/>
          <w:color w:val="auto"/>
        </w:rPr>
        <w:t>​​</w:t>
        <w:tab/>
        <w:t>​ ​</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20955</wp:posOffset>
            </wp:positionV>
            <wp:extent cx="634365"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39" w:lineRule="exact"/>
        <w:rPr>
          <w:sz w:val="20"/>
          <w:szCs w:val="20"/>
          <w:color w:val="auto"/>
        </w:rPr>
      </w:pPr>
    </w:p>
    <w:p>
      <w:pPr>
        <w:ind w:left="320" w:hanging="312"/>
        <w:spacing w:after="0"/>
        <w:tabs>
          <w:tab w:leader="none" w:pos="32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 ​ 207,443​</w:t>
      </w:r>
    </w:p>
    <w:p>
      <w:pPr>
        <w:spacing w:after="0" w:line="59" w:lineRule="exact"/>
        <w:rPr>
          <w:rFonts w:ascii="Arial" w:cs="Arial" w:eastAsia="Arial" w:hAnsi="Arial"/>
          <w:sz w:val="16"/>
          <w:szCs w:val="16"/>
          <w:color w:val="auto"/>
        </w:rPr>
      </w:pPr>
    </w:p>
    <w:p>
      <w:pPr>
        <w:ind w:left="320" w:hanging="312"/>
        <w:spacing w:after="0"/>
        <w:tabs>
          <w:tab w:leader="none" w:pos="32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 ​ 287,671​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20955</wp:posOffset>
            </wp:positionV>
            <wp:extent cx="634365"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634365" cy="8255"/>
                    </a:xfrm>
                    <a:prstGeom prst="rect">
                      <a:avLst/>
                    </a:prstGeom>
                    <a:noFill/>
                  </pic:spPr>
                </pic:pic>
              </a:graphicData>
            </a:graphic>
          </wp:anchor>
        </w:drawing>
        <w:drawing>
          <wp:anchor simplePos="0" relativeHeight="251657728" behindDoc="1" locked="0" layoutInCell="0" allowOverlap="1">
            <wp:simplePos x="0" y="0"/>
            <wp:positionH relativeFrom="column">
              <wp:posOffset>55245</wp:posOffset>
            </wp:positionH>
            <wp:positionV relativeFrom="paragraph">
              <wp:posOffset>-132715</wp:posOffset>
            </wp:positionV>
            <wp:extent cx="634365"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300" w:type="dxa"/>
            <w:vAlign w:val="bottom"/>
            <w:vMerge w:val="restart"/>
          </w:tcPr>
          <w:p>
            <w:pPr>
              <w:ind w:left="220"/>
              <w:spacing w:after="0"/>
              <w:rPr>
                <w:sz w:val="20"/>
                <w:szCs w:val="20"/>
                <w:color w:val="auto"/>
              </w:rPr>
            </w:pPr>
            <w:r>
              <w:rPr>
                <w:rFonts w:ascii="Arial" w:cs="Arial" w:eastAsia="Arial" w:hAnsi="Arial"/>
                <w:sz w:val="16"/>
                <w:szCs w:val="16"/>
                <w:color w:val="auto"/>
              </w:rPr>
              <w:t>​</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(431)</w:t>
            </w:r>
          </w:p>
        </w:tc>
        <w:tc>
          <w:tcPr>
            <w:tcW w:w="0" w:type="dxa"/>
            <w:vAlign w:val="bottom"/>
          </w:tcPr>
          <w:p>
            <w:pPr>
              <w:spacing w:after="0"/>
              <w:rPr>
                <w:sz w:val="1"/>
                <w:szCs w:val="1"/>
                <w:color w:val="auto"/>
              </w:rPr>
            </w:pPr>
          </w:p>
        </w:tc>
      </w:tr>
      <w:tr>
        <w:trPr>
          <w:trHeight w:val="54"/>
        </w:trPr>
        <w:tc>
          <w:tcPr>
            <w:tcW w:w="100" w:type="dxa"/>
            <w:vAlign w:val="bottom"/>
            <w:vMerge w:val="continue"/>
          </w:tcPr>
          <w:p>
            <w:pPr>
              <w:spacing w:after="0"/>
              <w:rPr>
                <w:sz w:val="4"/>
                <w:szCs w:val="4"/>
                <w:color w:val="auto"/>
              </w:rPr>
            </w:pPr>
          </w:p>
        </w:tc>
        <w:tc>
          <w:tcPr>
            <w:tcW w:w="300" w:type="dxa"/>
            <w:vAlign w:val="bottom"/>
            <w:tcBorders>
              <w:bottom w:val="single" w:sz="8" w:color="4B5088"/>
            </w:tcBorders>
            <w:vMerge w:val="continue"/>
          </w:tcPr>
          <w:p>
            <w:pPr>
              <w:spacing w:after="0"/>
              <w:rPr>
                <w:sz w:val="4"/>
                <w:szCs w:val="4"/>
                <w:color w:val="auto"/>
              </w:rPr>
            </w:pPr>
          </w:p>
        </w:tc>
        <w:tc>
          <w:tcPr>
            <w:tcW w:w="220" w:type="dxa"/>
            <w:vAlign w:val="bottom"/>
            <w:tcBorders>
              <w:bottom w:val="single" w:sz="8" w:color="4B5088"/>
            </w:tcBorders>
          </w:tcPr>
          <w:p>
            <w:pPr>
              <w:spacing w:after="0"/>
              <w:rPr>
                <w:sz w:val="4"/>
                <w:szCs w:val="4"/>
                <w:color w:val="auto"/>
              </w:rPr>
            </w:pPr>
          </w:p>
        </w:tc>
        <w:tc>
          <w:tcPr>
            <w:tcW w:w="460" w:type="dxa"/>
            <w:vAlign w:val="bottom"/>
            <w:tcBorders>
              <w:bottom w:val="single" w:sz="8" w:color="4B5088"/>
            </w:tcBorders>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Arial" w:cs="Arial" w:eastAsia="Arial" w:hAnsi="Arial"/>
                <w:sz w:val="6"/>
                <w:szCs w:val="6"/>
                <w:color w:val="auto"/>
              </w:rPr>
              <w:t>​</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4B5088"/>
            </w:tcBorders>
          </w:tcPr>
          <w:p>
            <w:pPr>
              <w:ind w:lef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4B5088"/>
            </w:tcBorders>
          </w:tcPr>
          <w:p>
            <w:pPr>
              <w:ind w:left="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4B5088"/>
            </w:tcBorders>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320" w:hanging="312"/>
        <w:spacing w:after="0"/>
        <w:tabs>
          <w:tab w:leader="none" w:pos="32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 ​ 208,144​</w:t>
      </w:r>
    </w:p>
    <w:p>
      <w:pPr>
        <w:spacing w:after="0" w:line="59" w:lineRule="exact"/>
        <w:rPr>
          <w:rFonts w:ascii="Arial" w:cs="Arial" w:eastAsia="Arial" w:hAnsi="Arial"/>
          <w:sz w:val="16"/>
          <w:szCs w:val="16"/>
          <w:color w:val="auto"/>
        </w:rPr>
      </w:pPr>
    </w:p>
    <w:p>
      <w:pPr>
        <w:ind w:left="320" w:hanging="312"/>
        <w:spacing w:after="0"/>
        <w:tabs>
          <w:tab w:leader="none" w:pos="32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 ​  83,430​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20955</wp:posOffset>
            </wp:positionV>
            <wp:extent cx="634365"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634365" cy="8890"/>
                    </a:xfrm>
                    <a:prstGeom prst="rect">
                      <a:avLst/>
                    </a:prstGeom>
                    <a:noFill/>
                  </pic:spPr>
                </pic:pic>
              </a:graphicData>
            </a:graphic>
          </wp:anchor>
        </w:drawing>
        <w:drawing>
          <wp:anchor simplePos="0" relativeHeight="251657728" behindDoc="1" locked="0" layoutInCell="0" allowOverlap="1">
            <wp:simplePos x="0" y="0"/>
            <wp:positionH relativeFrom="column">
              <wp:posOffset>55245</wp:posOffset>
            </wp:positionH>
            <wp:positionV relativeFrom="paragraph">
              <wp:posOffset>-132715</wp:posOffset>
            </wp:positionV>
            <wp:extent cx="634365"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39" w:lineRule="exact"/>
        <w:rPr>
          <w:sz w:val="20"/>
          <w:szCs w:val="20"/>
          <w:color w:val="auto"/>
        </w:rPr>
      </w:pPr>
    </w:p>
    <w:p>
      <w:pPr>
        <w:spacing w:after="0"/>
        <w:tabs>
          <w:tab w:leader="none" w:pos="300" w:val="left"/>
          <w:tab w:leader="none" w:pos="660" w:val="left"/>
        </w:tabs>
        <w:rPr>
          <w:sz w:val="20"/>
          <w:szCs w:val="20"/>
          <w:color w:val="auto"/>
        </w:rPr>
      </w:pPr>
      <w:r>
        <w:rPr>
          <w:rFonts w:ascii="Arial" w:cs="Arial" w:eastAsia="Arial" w:hAnsi="Arial"/>
          <w:sz w:val="16"/>
          <w:szCs w:val="16"/>
          <w:color w:val="auto"/>
        </w:rPr>
        <w:t>​​</w:t>
        <w:tab/>
        <w:t>​ ​</w:t>
        <w:tab/>
        <w:t>3,025​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20955</wp:posOffset>
            </wp:positionV>
            <wp:extent cx="634365"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39" w:lineRule="exact"/>
        <w:rPr>
          <w:sz w:val="20"/>
          <w:szCs w:val="20"/>
          <w:color w:val="auto"/>
        </w:rPr>
      </w:pPr>
    </w:p>
    <w:p>
      <w:pPr>
        <w:ind w:left="320" w:hanging="312"/>
        <w:spacing w:after="0"/>
        <w:tabs>
          <w:tab w:leader="none" w:pos="32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 ​(104,071​)</w:t>
      </w:r>
    </w:p>
    <w:p>
      <w:pPr>
        <w:spacing w:after="0" w:line="59" w:lineRule="exact"/>
        <w:rPr>
          <w:rFonts w:ascii="Arial" w:cs="Arial" w:eastAsia="Arial" w:hAnsi="Arial"/>
          <w:sz w:val="16"/>
          <w:szCs w:val="16"/>
          <w:color w:val="auto"/>
        </w:rPr>
      </w:pPr>
    </w:p>
    <w:p>
      <w:pPr>
        <w:ind w:left="320" w:hanging="312"/>
        <w:spacing w:after="0"/>
        <w:tabs>
          <w:tab w:leader="none" w:pos="32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 ​(263,190​)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20955</wp:posOffset>
            </wp:positionV>
            <wp:extent cx="634365"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634365" cy="8255"/>
                    </a:xfrm>
                    <a:prstGeom prst="rect">
                      <a:avLst/>
                    </a:prstGeom>
                    <a:noFill/>
                  </pic:spPr>
                </pic:pic>
              </a:graphicData>
            </a:graphic>
          </wp:anchor>
        </w:drawing>
        <w:drawing>
          <wp:anchor simplePos="0" relativeHeight="251657728" behindDoc="1" locked="0" layoutInCell="0" allowOverlap="1">
            <wp:simplePos x="0" y="0"/>
            <wp:positionH relativeFrom="column">
              <wp:posOffset>55245</wp:posOffset>
            </wp:positionH>
            <wp:positionV relativeFrom="paragraph">
              <wp:posOffset>-132715</wp:posOffset>
            </wp:positionV>
            <wp:extent cx="634365"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39" w:lineRule="exact"/>
        <w:rPr>
          <w:sz w:val="20"/>
          <w:szCs w:val="20"/>
          <w:color w:val="auto"/>
        </w:rPr>
      </w:pPr>
    </w:p>
    <w:p>
      <w:pPr>
        <w:spacing w:after="0"/>
        <w:tabs>
          <w:tab w:leader="none" w:pos="300" w:val="left"/>
          <w:tab w:leader="none" w:pos="660" w:val="left"/>
        </w:tabs>
        <w:rPr>
          <w:sz w:val="20"/>
          <w:szCs w:val="20"/>
          <w:color w:val="auto"/>
        </w:rPr>
      </w:pPr>
      <w:r>
        <w:rPr>
          <w:rFonts w:ascii="Arial" w:cs="Arial" w:eastAsia="Arial" w:hAnsi="Arial"/>
          <w:sz w:val="16"/>
          <w:szCs w:val="16"/>
          <w:color w:val="auto"/>
        </w:rPr>
        <w:t>​​</w:t>
        <w:tab/>
        <w:t>​ ​</w:t>
        <w:tab/>
        <w:t>4,583​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20955</wp:posOffset>
            </wp:positionV>
            <wp:extent cx="634365"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39" w:lineRule="exact"/>
        <w:rPr>
          <w:sz w:val="20"/>
          <w:szCs w:val="20"/>
          <w:color w:val="auto"/>
        </w:rPr>
      </w:pPr>
    </w:p>
    <w:p>
      <w:pPr>
        <w:ind w:left="320" w:hanging="312"/>
        <w:spacing w:after="0"/>
        <w:tabs>
          <w:tab w:leader="none" w:pos="320" w:val="left"/>
        </w:tabs>
        <w:numPr>
          <w:ilvl w:val="0"/>
          <w:numId w:val="198"/>
        </w:numPr>
        <w:rPr>
          <w:rFonts w:ascii="Arial" w:cs="Arial" w:eastAsia="Arial" w:hAnsi="Arial"/>
          <w:sz w:val="16"/>
          <w:szCs w:val="16"/>
          <w:b w:val="1"/>
          <w:bCs w:val="1"/>
          <w:color w:val="1F2668"/>
        </w:rPr>
      </w:pPr>
      <w:r>
        <w:rPr>
          <w:rFonts w:ascii="Arial" w:cs="Arial" w:eastAsia="Arial" w:hAnsi="Arial"/>
          <w:sz w:val="16"/>
          <w:szCs w:val="16"/>
          <w:b w:val="1"/>
          <w:bCs w:val="1"/>
          <w:color w:val="1F2668"/>
        </w:rPr>
        <w:t>​$ 569,822​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20955</wp:posOffset>
            </wp:positionV>
            <wp:extent cx="634365"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4B5088"/>
            </w:tcBorders>
          </w:tcPr>
          <w:p>
            <w:pPr>
              <w:ind w:left="220"/>
              <w:spacing w:after="0"/>
              <w:rPr>
                <w:sz w:val="20"/>
                <w:szCs w:val="20"/>
                <w:color w:val="auto"/>
              </w:rPr>
            </w:pPr>
            <w:r>
              <w:rPr>
                <w:rFonts w:ascii="Arial" w:cs="Arial" w:eastAsia="Arial" w:hAnsi="Arial"/>
                <w:sz w:val="16"/>
                <w:szCs w:val="16"/>
                <w:color w:val="auto"/>
              </w:rPr>
              <w:t>​ ​</w:t>
            </w:r>
          </w:p>
        </w:tc>
        <w:tc>
          <w:tcPr>
            <w:tcW w:w="520" w:type="dxa"/>
            <w:vAlign w:val="bottom"/>
            <w:tcBorders>
              <w:bottom w:val="single" w:sz="8" w:color="4B5088"/>
            </w:tcBorders>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480" w:type="dxa"/>
            <w:vAlign w:val="bottom"/>
          </w:tcPr>
          <w:p>
            <w:pPr>
              <w:ind w:left="220"/>
              <w:spacing w:after="0"/>
              <w:rPr>
                <w:sz w:val="20"/>
                <w:szCs w:val="20"/>
                <w:color w:val="auto"/>
              </w:rPr>
            </w:pPr>
            <w:r>
              <w:rPr>
                <w:rFonts w:ascii="Arial" w:cs="Arial" w:eastAsia="Arial" w:hAnsi="Arial"/>
                <w:sz w:val="16"/>
                <w:szCs w:val="16"/>
                <w:color w:val="auto"/>
              </w:rPr>
              <w:t>​ ​</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4,583​</w:t>
            </w:r>
          </w:p>
        </w:tc>
      </w:tr>
      <w:tr>
        <w:trPr>
          <w:trHeight w:val="20"/>
        </w:trPr>
        <w:tc>
          <w:tcPr>
            <w:tcW w:w="100" w:type="dxa"/>
            <w:vAlign w:val="bottom"/>
          </w:tcPr>
          <w:p>
            <w:pPr>
              <w:spacing w:after="0" w:line="20" w:lineRule="exact"/>
              <w:rPr>
                <w:sz w:val="1"/>
                <w:szCs w:val="1"/>
                <w:color w:val="auto"/>
              </w:rPr>
            </w:pPr>
          </w:p>
        </w:tc>
        <w:tc>
          <w:tcPr>
            <w:tcW w:w="480" w:type="dxa"/>
            <w:vAlign w:val="bottom"/>
            <w:shd w:val="clear" w:color="auto" w:fill="4B5088"/>
          </w:tcPr>
          <w:p>
            <w:pPr>
              <w:spacing w:after="0" w:line="20" w:lineRule="exact"/>
              <w:rPr>
                <w:sz w:val="1"/>
                <w:szCs w:val="1"/>
                <w:color w:val="auto"/>
              </w:rPr>
            </w:pPr>
          </w:p>
        </w:tc>
        <w:tc>
          <w:tcPr>
            <w:tcW w:w="520" w:type="dxa"/>
            <w:vAlign w:val="bottom"/>
            <w:tcBorders>
              <w:right w:val="single" w:sz="8" w:color="4B5088"/>
            </w:tcBorders>
            <w:shd w:val="clear" w:color="auto" w:fill="4B508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00" w:type="dxa"/>
            <w:vAlign w:val="bottom"/>
          </w:tcPr>
          <w:p>
            <w:pPr>
              <w:spacing w:after="0"/>
              <w:rPr>
                <w:sz w:val="20"/>
                <w:szCs w:val="20"/>
                <w:color w:val="auto"/>
              </w:rPr>
            </w:pPr>
            <w:r>
              <w:rPr>
                <w:rFonts w:ascii="Arial" w:cs="Arial" w:eastAsia="Arial" w:hAnsi="Arial"/>
                <w:sz w:val="16"/>
                <w:szCs w:val="16"/>
                <w:color w:val="auto"/>
              </w:rPr>
              <w:t>​​</w:t>
            </w:r>
          </w:p>
        </w:tc>
        <w:tc>
          <w:tcPr>
            <w:tcW w:w="480" w:type="dxa"/>
            <w:vAlign w:val="bottom"/>
          </w:tcPr>
          <w:p>
            <w:pPr>
              <w:ind w:left="220"/>
              <w:spacing w:after="0"/>
              <w:rPr>
                <w:sz w:val="20"/>
                <w:szCs w:val="20"/>
                <w:color w:val="auto"/>
              </w:rPr>
            </w:pPr>
            <w:r>
              <w:rPr>
                <w:rFonts w:ascii="Arial" w:cs="Arial" w:eastAsia="Arial" w:hAnsi="Arial"/>
                <w:sz w:val="16"/>
                <w:szCs w:val="16"/>
                <w:color w:val="auto"/>
              </w:rPr>
              <w:t>​ ​</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6,619​</w:t>
            </w:r>
          </w:p>
        </w:tc>
      </w:tr>
      <w:tr>
        <w:trPr>
          <w:trHeight w:val="20"/>
        </w:trPr>
        <w:tc>
          <w:tcPr>
            <w:tcW w:w="100" w:type="dxa"/>
            <w:vAlign w:val="bottom"/>
          </w:tcPr>
          <w:p>
            <w:pPr>
              <w:spacing w:after="0" w:line="20" w:lineRule="exact"/>
              <w:rPr>
                <w:sz w:val="1"/>
                <w:szCs w:val="1"/>
                <w:color w:val="auto"/>
              </w:rPr>
            </w:pPr>
          </w:p>
        </w:tc>
        <w:tc>
          <w:tcPr>
            <w:tcW w:w="480" w:type="dxa"/>
            <w:vAlign w:val="bottom"/>
            <w:shd w:val="clear" w:color="auto" w:fill="4B5088"/>
          </w:tcPr>
          <w:p>
            <w:pPr>
              <w:spacing w:after="0" w:line="20" w:lineRule="exact"/>
              <w:rPr>
                <w:sz w:val="1"/>
                <w:szCs w:val="1"/>
                <w:color w:val="auto"/>
              </w:rPr>
            </w:pPr>
          </w:p>
        </w:tc>
        <w:tc>
          <w:tcPr>
            <w:tcW w:w="520" w:type="dxa"/>
            <w:vAlign w:val="bottom"/>
            <w:tcBorders>
              <w:right w:val="single" w:sz="8" w:color="4B5088"/>
            </w:tcBorders>
            <w:shd w:val="clear" w:color="auto" w:fill="4B508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3" w:lineRule="exact"/>
        <w:rPr>
          <w:sz w:val="20"/>
          <w:szCs w:val="20"/>
          <w:color w:val="auto"/>
        </w:rPr>
      </w:pPr>
    </w:p>
    <w:p>
      <w:pPr>
        <w:ind w:left="320" w:hanging="312"/>
        <w:spacing w:after="0"/>
        <w:tabs>
          <w:tab w:leader="none" w:pos="32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 ​  45,562​</w:t>
      </w:r>
    </w:p>
    <w:p>
      <w:pPr>
        <w:spacing w:after="0" w:line="59" w:lineRule="exact"/>
        <w:rPr>
          <w:rFonts w:ascii="Arial" w:cs="Arial" w:eastAsia="Arial" w:hAnsi="Arial"/>
          <w:sz w:val="16"/>
          <w:szCs w:val="16"/>
          <w:color w:val="auto"/>
        </w:rPr>
      </w:pPr>
    </w:p>
    <w:p>
      <w:pPr>
        <w:ind w:left="320" w:hanging="312"/>
        <w:spacing w:after="0"/>
        <w:tabs>
          <w:tab w:leader="none" w:pos="32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 ​(101,240​)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20955</wp:posOffset>
            </wp:positionV>
            <wp:extent cx="634365"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634365" cy="8255"/>
                    </a:xfrm>
                    <a:prstGeom prst="rect">
                      <a:avLst/>
                    </a:prstGeom>
                    <a:noFill/>
                  </pic:spPr>
                </pic:pic>
              </a:graphicData>
            </a:graphic>
          </wp:anchor>
        </w:drawing>
        <w:drawing>
          <wp:anchor simplePos="0" relativeHeight="251657728" behindDoc="1" locked="0" layoutInCell="0" allowOverlap="1">
            <wp:simplePos x="0" y="0"/>
            <wp:positionH relativeFrom="column">
              <wp:posOffset>55245</wp:posOffset>
            </wp:positionH>
            <wp:positionV relativeFrom="paragraph">
              <wp:posOffset>-132715</wp:posOffset>
            </wp:positionV>
            <wp:extent cx="634365"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0" w:type="dxa"/>
            <w:vAlign w:val="bottom"/>
            <w:gridSpan w:val="2"/>
          </w:tcPr>
          <w:p>
            <w:pPr>
              <w:spacing w:after="0"/>
              <w:rPr>
                <w:sz w:val="20"/>
                <w:szCs w:val="20"/>
                <w:color w:val="auto"/>
              </w:rPr>
            </w:pPr>
            <w:r>
              <w:rPr>
                <w:rFonts w:ascii="Arial" w:cs="Arial" w:eastAsia="Arial" w:hAnsi="Arial"/>
                <w:sz w:val="16"/>
                <w:szCs w:val="16"/>
                <w:color w:val="auto"/>
              </w:rPr>
              <w:t>​​   ​ ​</w:t>
            </w:r>
          </w:p>
        </w:tc>
        <w:tc>
          <w:tcPr>
            <w:tcW w:w="500" w:type="dxa"/>
            <w:vAlign w:val="bottom"/>
            <w:gridSpan w:val="2"/>
          </w:tcPr>
          <w:p>
            <w:pPr>
              <w:ind w:left="180"/>
              <w:spacing w:after="0"/>
              <w:rPr>
                <w:sz w:val="20"/>
                <w:szCs w:val="20"/>
                <w:color w:val="auto"/>
              </w:rPr>
            </w:pPr>
            <w:r>
              <w:rPr>
                <w:rFonts w:ascii="Arial" w:cs="Arial" w:eastAsia="Arial" w:hAnsi="Arial"/>
                <w:sz w:val="16"/>
                <w:szCs w:val="16"/>
                <w:color w:val="auto"/>
              </w:rPr>
              <w:t>659​</w:t>
            </w:r>
          </w:p>
        </w:tc>
      </w:tr>
      <w:tr>
        <w:trPr>
          <w:trHeight w:val="20"/>
        </w:trPr>
        <w:tc>
          <w:tcPr>
            <w:tcW w:w="100" w:type="dxa"/>
            <w:vAlign w:val="bottom"/>
          </w:tcPr>
          <w:p>
            <w:pPr>
              <w:spacing w:after="0" w:line="20" w:lineRule="exact"/>
              <w:rPr>
                <w:sz w:val="1"/>
                <w:szCs w:val="1"/>
                <w:color w:val="auto"/>
              </w:rPr>
            </w:pPr>
          </w:p>
        </w:tc>
        <w:tc>
          <w:tcPr>
            <w:tcW w:w="540" w:type="dxa"/>
            <w:vAlign w:val="bottom"/>
            <w:shd w:val="clear" w:color="auto" w:fill="4B5088"/>
          </w:tcPr>
          <w:p>
            <w:pPr>
              <w:spacing w:after="0" w:line="20" w:lineRule="exact"/>
              <w:rPr>
                <w:sz w:val="1"/>
                <w:szCs w:val="1"/>
                <w:color w:val="auto"/>
              </w:rPr>
            </w:pPr>
          </w:p>
        </w:tc>
        <w:tc>
          <w:tcPr>
            <w:tcW w:w="440" w:type="dxa"/>
            <w:vAlign w:val="bottom"/>
            <w:shd w:val="clear" w:color="auto" w:fill="4B50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 w:lineRule="exact"/>
        <w:rPr>
          <w:sz w:val="20"/>
          <w:szCs w:val="20"/>
          <w:color w:val="auto"/>
        </w:rPr>
      </w:pPr>
    </w:p>
    <w:p>
      <w:pPr>
        <w:ind w:left="320" w:hanging="312"/>
        <w:spacing w:after="0"/>
        <w:tabs>
          <w:tab w:leader="none" w:pos="32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 ​  (5,537​)</w:t>
      </w:r>
    </w:p>
    <w:p>
      <w:pPr>
        <w:spacing w:after="0" w:line="59" w:lineRule="exact"/>
        <w:rPr>
          <w:rFonts w:ascii="Arial" w:cs="Arial" w:eastAsia="Arial" w:hAnsi="Arial"/>
          <w:sz w:val="16"/>
          <w:szCs w:val="16"/>
          <w:color w:val="auto"/>
        </w:rPr>
      </w:pPr>
    </w:p>
    <w:p>
      <w:pPr>
        <w:ind w:left="320" w:hanging="312"/>
        <w:spacing w:after="0"/>
        <w:tabs>
          <w:tab w:leader="none" w:pos="32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 ​ (72,011​)</w:t>
      </w:r>
    </w:p>
    <w:p>
      <w:pPr>
        <w:spacing w:after="0" w:line="59" w:lineRule="exact"/>
        <w:rPr>
          <w:rFonts w:ascii="Arial" w:cs="Arial" w:eastAsia="Arial" w:hAnsi="Arial"/>
          <w:sz w:val="16"/>
          <w:szCs w:val="16"/>
          <w:color w:val="auto"/>
        </w:rPr>
      </w:pPr>
    </w:p>
    <w:p>
      <w:pPr>
        <w:ind w:left="320" w:hanging="312"/>
        <w:spacing w:after="0"/>
        <w:tabs>
          <w:tab w:leader="none" w:pos="32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 ​ (20,115​)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20955</wp:posOffset>
            </wp:positionV>
            <wp:extent cx="634365"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634365" cy="8890"/>
                    </a:xfrm>
                    <a:prstGeom prst="rect">
                      <a:avLst/>
                    </a:prstGeom>
                    <a:noFill/>
                  </pic:spPr>
                </pic:pic>
              </a:graphicData>
            </a:graphic>
          </wp:anchor>
        </w:drawing>
        <w:drawing>
          <wp:anchor simplePos="0" relativeHeight="251657728" behindDoc="1" locked="0" layoutInCell="0" allowOverlap="1">
            <wp:simplePos x="0" y="0"/>
            <wp:positionH relativeFrom="column">
              <wp:posOffset>55245</wp:posOffset>
            </wp:positionH>
            <wp:positionV relativeFrom="paragraph">
              <wp:posOffset>-132715</wp:posOffset>
            </wp:positionV>
            <wp:extent cx="634365"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634365" cy="8255"/>
                    </a:xfrm>
                    <a:prstGeom prst="rect">
                      <a:avLst/>
                    </a:prstGeom>
                    <a:noFill/>
                  </pic:spPr>
                </pic:pic>
              </a:graphicData>
            </a:graphic>
          </wp:anchor>
        </w:drawing>
        <w:drawing>
          <wp:anchor simplePos="0" relativeHeight="251657728" behindDoc="1" locked="0" layoutInCell="0" allowOverlap="1">
            <wp:simplePos x="0" y="0"/>
            <wp:positionH relativeFrom="column">
              <wp:posOffset>55245</wp:posOffset>
            </wp:positionH>
            <wp:positionV relativeFrom="paragraph">
              <wp:posOffset>-287020</wp:posOffset>
            </wp:positionV>
            <wp:extent cx="634365"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 w:type="dxa"/>
            <w:vAlign w:val="bottom"/>
            <w:gridSpan w:val="2"/>
            <w:vMerge w:val="restart"/>
          </w:tcPr>
          <w:p>
            <w:pPr>
              <w:spacing w:after="0"/>
              <w:rPr>
                <w:sz w:val="20"/>
                <w:szCs w:val="20"/>
                <w:color w:val="auto"/>
              </w:rPr>
            </w:pPr>
            <w:r>
              <w:rPr>
                <w:rFonts w:ascii="Arial" w:cs="Arial" w:eastAsia="Arial" w:hAnsi="Arial"/>
                <w:sz w:val="16"/>
                <w:szCs w:val="16"/>
                <w:color w:val="auto"/>
              </w:rPr>
              <w:t>​​   ​</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54"/>
        </w:trPr>
        <w:tc>
          <w:tcPr>
            <w:tcW w:w="40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Arial" w:cs="Arial" w:eastAsia="Arial" w:hAnsi="Arial"/>
                <w:sz w:val="6"/>
                <w:szCs w:val="6"/>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00" w:type="dxa"/>
            <w:vAlign w:val="bottom"/>
            <w:shd w:val="clear" w:color="auto" w:fill="4B5088"/>
          </w:tcPr>
          <w:p>
            <w:pPr>
              <w:spacing w:after="0" w:line="20" w:lineRule="exact"/>
              <w:rPr>
                <w:sz w:val="1"/>
                <w:szCs w:val="1"/>
                <w:color w:val="auto"/>
              </w:rPr>
            </w:pPr>
          </w:p>
        </w:tc>
        <w:tc>
          <w:tcPr>
            <w:tcW w:w="220" w:type="dxa"/>
            <w:vAlign w:val="bottom"/>
            <w:shd w:val="clear" w:color="auto" w:fill="4B5088"/>
          </w:tcPr>
          <w:p>
            <w:pPr>
              <w:spacing w:after="0" w:line="20" w:lineRule="exact"/>
              <w:rPr>
                <w:sz w:val="1"/>
                <w:szCs w:val="1"/>
                <w:color w:val="auto"/>
              </w:rPr>
            </w:pPr>
          </w:p>
        </w:tc>
        <w:tc>
          <w:tcPr>
            <w:tcW w:w="460" w:type="dxa"/>
            <w:vAlign w:val="bottom"/>
            <w:shd w:val="clear" w:color="auto" w:fill="4B50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320" w:hanging="312"/>
        <w:spacing w:after="0"/>
        <w:tabs>
          <w:tab w:leader="none" w:pos="32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 (23,234​)</w:t>
      </w:r>
    </w:p>
    <w:p>
      <w:pPr>
        <w:spacing w:after="0" w:line="59" w:lineRule="exact"/>
        <w:rPr>
          <w:rFonts w:ascii="Arial" w:cs="Arial" w:eastAsia="Arial" w:hAnsi="Arial"/>
          <w:sz w:val="16"/>
          <w:szCs w:val="16"/>
          <w:color w:val="auto"/>
        </w:rPr>
      </w:pPr>
    </w:p>
    <w:p>
      <w:pPr>
        <w:ind w:left="320" w:hanging="312"/>
        <w:spacing w:after="0"/>
        <w:tabs>
          <w:tab w:leader="none" w:pos="320" w:val="left"/>
        </w:tabs>
        <w:numPr>
          <w:ilvl w:val="0"/>
          <w:numId w:val="201"/>
        </w:numPr>
        <w:rPr>
          <w:rFonts w:ascii="Arial" w:cs="Arial" w:eastAsia="Arial" w:hAnsi="Arial"/>
          <w:sz w:val="16"/>
          <w:szCs w:val="16"/>
          <w:b w:val="1"/>
          <w:bCs w:val="1"/>
          <w:color w:val="1F2668"/>
        </w:rPr>
      </w:pPr>
      <w:r>
        <w:rPr>
          <w:rFonts w:ascii="Arial" w:cs="Arial" w:eastAsia="Arial" w:hAnsi="Arial"/>
          <w:sz w:val="16"/>
          <w:szCs w:val="16"/>
          <w:b w:val="1"/>
          <w:bCs w:val="1"/>
          <w:color w:val="1F2668"/>
        </w:rPr>
        <w:t>​$ 404,833​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20955</wp:posOffset>
            </wp:positionV>
            <wp:extent cx="634365"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634365" cy="8255"/>
                    </a:xfrm>
                    <a:prstGeom prst="rect">
                      <a:avLst/>
                    </a:prstGeom>
                    <a:noFill/>
                  </pic:spPr>
                </pic:pic>
              </a:graphicData>
            </a:graphic>
          </wp:anchor>
        </w:drawing>
        <w:drawing>
          <wp:anchor simplePos="0" relativeHeight="251657728" behindDoc="1" locked="0" layoutInCell="0" allowOverlap="1">
            <wp:simplePos x="0" y="0"/>
            <wp:positionH relativeFrom="column">
              <wp:posOffset>55245</wp:posOffset>
            </wp:positionH>
            <wp:positionV relativeFrom="paragraph">
              <wp:posOffset>-132715</wp:posOffset>
            </wp:positionV>
            <wp:extent cx="634365"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46" w:lineRule="exact"/>
        <w:rPr>
          <w:sz w:val="20"/>
          <w:szCs w:val="20"/>
          <w:color w:val="auto"/>
        </w:rPr>
      </w:pPr>
    </w:p>
    <w:p>
      <w:pPr>
        <w:spacing w:after="0"/>
        <w:tabs>
          <w:tab w:leader="none" w:pos="300" w:val="left"/>
          <w:tab w:leader="none" w:pos="1060" w:val="left"/>
        </w:tabs>
        <w:rPr>
          <w:sz w:val="20"/>
          <w:szCs w:val="20"/>
          <w:color w:val="auto"/>
        </w:rPr>
      </w:pPr>
      <w:r>
        <w:rPr>
          <w:rFonts w:ascii="Arial" w:cs="Arial" w:eastAsia="Arial" w:hAnsi="Arial"/>
          <w:sz w:val="16"/>
          <w:szCs w:val="16"/>
          <w:color w:val="auto"/>
        </w:rPr>
        <w:t>​​</w:t>
        <w:tab/>
        <w:t>​ ​</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16510</wp:posOffset>
            </wp:positionV>
            <wp:extent cx="634365"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32" w:lineRule="exact"/>
        <w:rPr>
          <w:sz w:val="20"/>
          <w:szCs w:val="20"/>
          <w:color w:val="auto"/>
        </w:rPr>
      </w:pPr>
    </w:p>
    <w:p>
      <w:pPr>
        <w:ind w:left="320" w:hanging="312"/>
        <w:spacing w:after="0"/>
        <w:tabs>
          <w:tab w:leader="none" w:pos="32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 ​ 196,131​</w:t>
      </w:r>
    </w:p>
    <w:p>
      <w:pPr>
        <w:spacing w:after="0" w:line="59" w:lineRule="exact"/>
        <w:rPr>
          <w:rFonts w:ascii="Arial" w:cs="Arial" w:eastAsia="Arial" w:hAnsi="Arial"/>
          <w:sz w:val="16"/>
          <w:szCs w:val="16"/>
          <w:color w:val="auto"/>
        </w:rPr>
      </w:pPr>
    </w:p>
    <w:p>
      <w:pPr>
        <w:ind w:left="320" w:hanging="312"/>
        <w:spacing w:after="0"/>
        <w:tabs>
          <w:tab w:leader="none" w:pos="320" w:val="left"/>
        </w:tabs>
        <w:numPr>
          <w:ilvl w:val="0"/>
          <w:numId w:val="202"/>
        </w:numPr>
        <w:rPr>
          <w:rFonts w:ascii="Arial" w:cs="Arial" w:eastAsia="Arial" w:hAnsi="Arial"/>
          <w:sz w:val="16"/>
          <w:szCs w:val="16"/>
          <w:b w:val="1"/>
          <w:bCs w:val="1"/>
          <w:color w:val="1F2668"/>
        </w:rPr>
      </w:pPr>
      <w:r>
        <w:rPr>
          <w:rFonts w:ascii="Arial" w:cs="Arial" w:eastAsia="Arial" w:hAnsi="Arial"/>
          <w:sz w:val="16"/>
          <w:szCs w:val="16"/>
          <w:b w:val="1"/>
          <w:bCs w:val="1"/>
          <w:color w:val="1F2668"/>
        </w:rPr>
        <w:t>​$ 208,702​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20955</wp:posOffset>
            </wp:positionV>
            <wp:extent cx="634365"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634365" cy="8255"/>
                    </a:xfrm>
                    <a:prstGeom prst="rect">
                      <a:avLst/>
                    </a:prstGeom>
                    <a:noFill/>
                  </pic:spPr>
                </pic:pic>
              </a:graphicData>
            </a:graphic>
          </wp:anchor>
        </w:drawing>
        <w:drawing>
          <wp:anchor simplePos="0" relativeHeight="251657728" behindDoc="1" locked="0" layoutInCell="0" allowOverlap="1">
            <wp:simplePos x="0" y="0"/>
            <wp:positionH relativeFrom="column">
              <wp:posOffset>55245</wp:posOffset>
            </wp:positionH>
            <wp:positionV relativeFrom="paragraph">
              <wp:posOffset>-132715</wp:posOffset>
            </wp:positionV>
            <wp:extent cx="634365"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8080" w:space="720"/>
            <w:col w:w="1140"/>
          </w:cols>
          <w:pgMar w:left="580" w:top="97" w:right="1379" w:bottom="1440" w:gutter="0" w:footer="0" w:header="0"/>
          <w:type w:val="continuous"/>
        </w:sectPr>
      </w:pPr>
    </w:p>
    <w:p>
      <w:pPr>
        <w:spacing w:after="0" w:line="77" w:lineRule="exact"/>
        <w:rPr>
          <w:sz w:val="20"/>
          <w:szCs w:val="20"/>
          <w:color w:val="auto"/>
        </w:rPr>
      </w:pPr>
    </w:p>
    <w:p>
      <w:pPr>
        <w:ind w:left="1180" w:hanging="364"/>
        <w:spacing w:after="0"/>
        <w:tabs>
          <w:tab w:leader="none" w:pos="1180" w:val="left"/>
        </w:tabs>
        <w:numPr>
          <w:ilvl w:val="0"/>
          <w:numId w:val="203"/>
        </w:numPr>
        <w:rPr>
          <w:rFonts w:ascii="Arial" w:cs="Arial" w:eastAsia="Arial" w:hAnsi="Arial"/>
          <w:sz w:val="14"/>
          <w:szCs w:val="14"/>
          <w:color w:val="auto"/>
        </w:rPr>
      </w:pPr>
      <w:r>
        <w:rPr>
          <w:rFonts w:ascii="Arial" w:cs="Arial" w:eastAsia="Arial" w:hAnsi="Arial"/>
          <w:sz w:val="14"/>
          <w:szCs w:val="14"/>
          <w:color w:val="auto"/>
        </w:rPr>
        <w:t>Includes $172.4 million of SLG share of unconsolidated JV gain on early extinguishment of debt.</w:t>
      </w:r>
    </w:p>
    <w:p>
      <w:pPr>
        <w:spacing w:after="0" w:line="172" w:lineRule="exact"/>
        <w:rPr>
          <w:sz w:val="20"/>
          <w:szCs w:val="20"/>
          <w:color w:val="auto"/>
        </w:rPr>
      </w:pPr>
    </w:p>
    <w:p>
      <w:pPr>
        <w:ind w:left="820" w:right="640"/>
        <w:spacing w:after="0" w:line="301" w:lineRule="auto"/>
        <w:rPr>
          <w:sz w:val="20"/>
          <w:szCs w:val="20"/>
          <w:color w:val="auto"/>
        </w:rPr>
      </w:pPr>
      <w:r>
        <w:rPr>
          <w:rFonts w:ascii="Arial" w:cs="Arial" w:eastAsia="Arial" w:hAnsi="Arial"/>
          <w:sz w:val="16"/>
          <w:szCs w:val="16"/>
          <w:color w:val="auto"/>
        </w:rPr>
        <w:t>Below are reconciliations of net income to operating income, same-store cash net operating income and same-store cash net operating income excluding lease termination income for the twelve months ended December 31, 2024 and 2023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1742440</wp:posOffset>
            </wp:positionV>
            <wp:extent cx="6831965" cy="4254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128" w:name="page129"/>
    <w:bookmarkEnd w:id="128"/>
    <w:tbl>
      <w:tblPr>
        <w:tblLayout w:type="fixed"/>
        <w:tblInd w:w="0" w:type="dxa"/>
        <w:tblCellMar>
          <w:top w:w="0" w:type="dxa"/>
          <w:left w:w="0" w:type="dxa"/>
          <w:bottom w:w="0" w:type="dxa"/>
          <w:right w:w="0" w:type="dxa"/>
        </w:tblCellMar>
      </w:tblPr>
      <w:tr>
        <w:trPr>
          <w:trHeight w:val="171"/>
        </w:trPr>
        <w:tc>
          <w:tcPr>
            <w:tcW w:w="8220" w:type="dxa"/>
            <w:vAlign w:val="bottom"/>
            <w:gridSpan w:val="2"/>
          </w:tcPr>
          <w:p>
            <w:pPr>
              <w:spacing w:after="0"/>
              <w:rPr>
                <w:sz w:val="20"/>
                <w:szCs w:val="20"/>
                <w:color w:val="auto"/>
              </w:rPr>
            </w:pPr>
            <w:r>
              <w:rPr>
                <w:rFonts w:ascii="Calibri" w:cs="Calibri" w:eastAsia="Calibri" w:hAnsi="Calibri"/>
                <w:sz w:val="14"/>
                <w:szCs w:val="14"/>
                <w:color w:val="003366"/>
              </w:rPr>
              <w:t>TABLE OF CONTENTS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1"/>
        </w:trPr>
        <w:tc>
          <w:tcPr>
            <w:tcW w:w="820" w:type="dxa"/>
            <w:vAlign w:val="bottom"/>
          </w:tcPr>
          <w:p>
            <w:pPr>
              <w:spacing w:after="0"/>
              <w:rPr>
                <w:sz w:val="24"/>
                <w:szCs w:val="24"/>
                <w:color w:val="auto"/>
              </w:rPr>
            </w:pPr>
          </w:p>
        </w:tc>
        <w:tc>
          <w:tcPr>
            <w:tcW w:w="7400" w:type="dxa"/>
            <w:vAlign w:val="bottom"/>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rPr>
              <w:t>​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vMerge w:val="restart"/>
          </w:tcPr>
          <w:p>
            <w:pPr>
              <w:jc w:val="right"/>
              <w:spacing w:after="0"/>
              <w:rPr>
                <w:sz w:val="20"/>
                <w:szCs w:val="20"/>
                <w:color w:val="auto"/>
              </w:rPr>
            </w:pPr>
            <w:r>
              <w:rPr>
                <w:rFonts w:ascii="Arial" w:cs="Arial" w:eastAsia="Arial" w:hAnsi="Arial"/>
                <w:sz w:val="22"/>
                <w:szCs w:val="22"/>
                <w:b w:val="1"/>
                <w:bCs w:val="1"/>
                <w:color w:val="1F2668"/>
              </w:rPr>
              <w:t>B-3</w:t>
            </w:r>
          </w:p>
        </w:tc>
        <w:tc>
          <w:tcPr>
            <w:tcW w:w="840" w:type="dxa"/>
            <w:vAlign w:val="bottom"/>
          </w:tcPr>
          <w:p>
            <w:pPr>
              <w:jc w:val="right"/>
              <w:ind w:right="73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7400" w:type="dxa"/>
            <w:vAlign w:val="bottom"/>
          </w:tcPr>
          <w:p>
            <w:pPr>
              <w:spacing w:after="0"/>
              <w:rPr>
                <w:sz w:val="20"/>
                <w:szCs w:val="20"/>
                <w:color w:val="auto"/>
              </w:rPr>
            </w:pPr>
            <w:r>
              <w:rPr>
                <w:rFonts w:ascii="Arial" w:cs="Arial" w:eastAsia="Arial" w:hAnsi="Arial"/>
                <w:sz w:val="14"/>
                <w:szCs w:val="14"/>
                <w:b w:val="1"/>
                <w:bCs w:val="1"/>
                <w:color w:val="auto"/>
              </w:rPr>
              <w:t>APPENDIX B</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0"/>
        </w:trPr>
        <w:tc>
          <w:tcPr>
            <w:tcW w:w="8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6"/>
          </w:tcPr>
          <w:p>
            <w:pPr>
              <w:jc w:val="right"/>
              <w:spacing w:after="0"/>
              <w:rPr>
                <w:sz w:val="20"/>
                <w:szCs w:val="20"/>
                <w:color w:val="auto"/>
              </w:rPr>
            </w:pPr>
            <w:r>
              <w:rPr>
                <w:rFonts w:ascii="Arial" w:cs="Arial" w:eastAsia="Arial" w:hAnsi="Arial"/>
                <w:sz w:val="14"/>
                <w:szCs w:val="14"/>
                <w:b w:val="1"/>
                <w:bCs w:val="1"/>
                <w:color w:val="1F2668"/>
              </w:rPr>
              <w:t>Twelve months</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1F2668"/>
              </w:rPr>
              <w:t>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8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4"/>
                <w:szCs w:val="14"/>
                <w:b w:val="1"/>
                <w:bCs w:val="1"/>
                <w:color w:val="1F2668"/>
              </w:rPr>
              <w:t>​</w:t>
            </w:r>
          </w:p>
        </w:tc>
        <w:tc>
          <w:tcPr>
            <w:tcW w:w="120" w:type="dxa"/>
            <w:vAlign w:val="bottom"/>
          </w:tcPr>
          <w:p>
            <w:pPr>
              <w:spacing w:after="0"/>
              <w:rPr>
                <w:sz w:val="20"/>
                <w:szCs w:val="20"/>
                <w:color w:val="auto"/>
              </w:rPr>
            </w:pPr>
            <w:r>
              <w:rPr>
                <w:rFonts w:ascii="Arial" w:cs="Arial" w:eastAsia="Arial" w:hAnsi="Arial"/>
                <w:sz w:val="14"/>
                <w:szCs w:val="14"/>
                <w:b w:val="1"/>
                <w:bCs w:val="1"/>
                <w:color w:val="1F2668"/>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gridSpan w:val="7"/>
          </w:tcPr>
          <w:p>
            <w:pPr>
              <w:jc w:val="right"/>
              <w:ind w:right="734"/>
              <w:spacing w:after="0" w:line="225" w:lineRule="exact"/>
              <w:rPr>
                <w:sz w:val="20"/>
                <w:szCs w:val="20"/>
                <w:color w:val="auto"/>
              </w:rPr>
            </w:pPr>
            <w:r>
              <w:rPr>
                <w:rFonts w:ascii="Arial" w:cs="Arial" w:eastAsia="Arial" w:hAnsi="Arial"/>
                <w:sz w:val="14"/>
                <w:szCs w:val="14"/>
                <w:b w:val="1"/>
                <w:bCs w:val="1"/>
                <w:color w:val="1F2668"/>
              </w:rPr>
              <w:t>December 31,</w:t>
            </w:r>
            <w:r>
              <w:rPr>
                <w:rFonts w:ascii="Arial" w:cs="Arial" w:eastAsia="Arial" w:hAnsi="Arial"/>
                <w:sz w:val="26"/>
                <w:szCs w:val="26"/>
                <w:b w:val="1"/>
                <w:bCs w:val="1"/>
                <w:color w:val="1F2668"/>
                <w:vertAlign w:val="subscript"/>
              </w:rPr>
              <w:t>​</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1F2668"/>
          </w:tcPr>
          <w:p>
            <w:pPr>
              <w:spacing w:after="0" w:line="20" w:lineRule="exact"/>
              <w:rPr>
                <w:sz w:val="1"/>
                <w:szCs w:val="1"/>
                <w:color w:val="auto"/>
              </w:rPr>
            </w:pPr>
          </w:p>
        </w:tc>
        <w:tc>
          <w:tcPr>
            <w:tcW w:w="100" w:type="dxa"/>
            <w:vAlign w:val="bottom"/>
            <w:shd w:val="clear" w:color="auto" w:fill="1F2668"/>
          </w:tcPr>
          <w:p>
            <w:pPr>
              <w:spacing w:after="0" w:line="20" w:lineRule="exact"/>
              <w:rPr>
                <w:sz w:val="1"/>
                <w:szCs w:val="1"/>
                <w:color w:val="auto"/>
              </w:rPr>
            </w:pPr>
          </w:p>
        </w:tc>
        <w:tc>
          <w:tcPr>
            <w:tcW w:w="740" w:type="dxa"/>
            <w:vAlign w:val="bottom"/>
            <w:gridSpan w:val="5"/>
            <w:shd w:val="clear" w:color="auto" w:fill="1F2668"/>
          </w:tcPr>
          <w:p>
            <w:pPr>
              <w:spacing w:after="0" w:line="20" w:lineRule="exact"/>
              <w:rPr>
                <w:sz w:val="1"/>
                <w:szCs w:val="1"/>
                <w:color w:val="auto"/>
              </w:rPr>
            </w:pPr>
          </w:p>
        </w:tc>
        <w:tc>
          <w:tcPr>
            <w:tcW w:w="600" w:type="dxa"/>
            <w:vAlign w:val="bottom"/>
            <w:shd w:val="clear" w:color="auto" w:fill="1F266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20" w:type="dxa"/>
            <w:vAlign w:val="bottom"/>
          </w:tcPr>
          <w:p>
            <w:pPr>
              <w:spacing w:after="0"/>
              <w:rPr>
                <w:sz w:val="22"/>
                <w:szCs w:val="22"/>
                <w:color w:val="auto"/>
              </w:rPr>
            </w:pPr>
          </w:p>
        </w:tc>
        <w:tc>
          <w:tcPr>
            <w:tcW w:w="7400" w:type="dxa"/>
            <w:vAlign w:val="bottom"/>
          </w:tcPr>
          <w:p>
            <w:pPr>
              <w:spacing w:after="0"/>
              <w:rPr>
                <w:sz w:val="20"/>
                <w:szCs w:val="20"/>
                <w:color w:val="auto"/>
              </w:rPr>
            </w:pPr>
            <w:r>
              <w:rPr>
                <w:rFonts w:ascii="Arial" w:cs="Arial" w:eastAsia="Arial" w:hAnsi="Arial"/>
                <w:sz w:val="14"/>
                <w:szCs w:val="14"/>
                <w:b w:val="1"/>
                <w:bCs w:val="1"/>
                <w:color w:val="1F2668"/>
              </w:rPr>
              <w:t>​</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1F2668"/>
              </w:rPr>
              <w:t>​​</w:t>
            </w:r>
          </w:p>
        </w:tc>
        <w:tc>
          <w:tcPr>
            <w:tcW w:w="100" w:type="dxa"/>
            <w:vAlign w:val="bottom"/>
          </w:tcPr>
          <w:p>
            <w:pPr>
              <w:spacing w:after="0"/>
              <w:rPr>
                <w:sz w:val="22"/>
                <w:szCs w:val="22"/>
                <w:color w:val="auto"/>
              </w:rPr>
            </w:pPr>
          </w:p>
        </w:tc>
        <w:tc>
          <w:tcPr>
            <w:tcW w:w="740" w:type="dxa"/>
            <w:vAlign w:val="bottom"/>
            <w:gridSpan w:val="5"/>
          </w:tcPr>
          <w:p>
            <w:pPr>
              <w:ind w:left="220"/>
              <w:spacing w:after="0" w:line="263" w:lineRule="exact"/>
              <w:rPr>
                <w:sz w:val="20"/>
                <w:szCs w:val="20"/>
                <w:color w:val="auto"/>
              </w:rPr>
            </w:pPr>
            <w:r>
              <w:rPr>
                <w:rFonts w:ascii="Arial" w:cs="Arial" w:eastAsia="Arial" w:hAnsi="Arial"/>
                <w:sz w:val="14"/>
                <w:szCs w:val="14"/>
                <w:b w:val="1"/>
                <w:bCs w:val="1"/>
                <w:color w:val="1F2668"/>
              </w:rPr>
              <w:t xml:space="preserve">2024 </w:t>
            </w:r>
            <w:r>
              <w:rPr>
                <w:rFonts w:ascii="Arial" w:cs="Arial" w:eastAsia="Arial" w:hAnsi="Arial"/>
                <w:sz w:val="28"/>
                <w:szCs w:val="28"/>
                <w:b w:val="1"/>
                <w:bCs w:val="1"/>
                <w:color w:val="1F2668"/>
                <w:vertAlign w:val="subscript"/>
              </w:rPr>
              <w:t>​​</w:t>
            </w:r>
          </w:p>
        </w:tc>
        <w:tc>
          <w:tcPr>
            <w:tcW w:w="1440" w:type="dxa"/>
            <w:vAlign w:val="bottom"/>
            <w:gridSpan w:val="2"/>
          </w:tcPr>
          <w:p>
            <w:pPr>
              <w:jc w:val="right"/>
              <w:ind w:right="734"/>
              <w:spacing w:after="0" w:line="263" w:lineRule="exact"/>
              <w:rPr>
                <w:sz w:val="20"/>
                <w:szCs w:val="20"/>
                <w:color w:val="auto"/>
              </w:rPr>
            </w:pPr>
            <w:r>
              <w:rPr>
                <w:rFonts w:ascii="Arial" w:cs="Arial" w:eastAsia="Arial" w:hAnsi="Arial"/>
                <w:sz w:val="14"/>
                <w:szCs w:val="14"/>
                <w:b w:val="1"/>
                <w:bCs w:val="1"/>
                <w:color w:val="1F2668"/>
              </w:rPr>
              <w:t>2023</w:t>
            </w:r>
            <w:r>
              <w:rPr>
                <w:rFonts w:ascii="Arial" w:cs="Arial" w:eastAsia="Arial" w:hAnsi="Arial"/>
                <w:sz w:val="28"/>
                <w:szCs w:val="28"/>
                <w:b w:val="1"/>
                <w:bCs w:val="1"/>
                <w:color w:val="1F2668"/>
                <w:vertAlign w:val="subscript"/>
              </w:rPr>
              <w:t>​</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400" w:type="dxa"/>
            <w:vAlign w:val="bottom"/>
            <w:shd w:val="clear" w:color="auto" w:fill="1F266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1F2668"/>
          </w:tcPr>
          <w:p>
            <w:pPr>
              <w:spacing w:after="0" w:line="20" w:lineRule="exact"/>
              <w:rPr>
                <w:sz w:val="1"/>
                <w:szCs w:val="1"/>
                <w:color w:val="auto"/>
              </w:rPr>
            </w:pPr>
          </w:p>
        </w:tc>
        <w:tc>
          <w:tcPr>
            <w:tcW w:w="100" w:type="dxa"/>
            <w:vAlign w:val="bottom"/>
            <w:shd w:val="clear" w:color="auto" w:fill="1F2668"/>
          </w:tcPr>
          <w:p>
            <w:pPr>
              <w:spacing w:after="0" w:line="20" w:lineRule="exact"/>
              <w:rPr>
                <w:sz w:val="1"/>
                <w:szCs w:val="1"/>
                <w:color w:val="auto"/>
              </w:rPr>
            </w:pPr>
          </w:p>
        </w:tc>
        <w:tc>
          <w:tcPr>
            <w:tcW w:w="540" w:type="dxa"/>
            <w:vAlign w:val="bottom"/>
            <w:shd w:val="clear" w:color="auto" w:fill="1F266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1F2668"/>
          </w:tcPr>
          <w:p>
            <w:pPr>
              <w:spacing w:after="0" w:line="20" w:lineRule="exact"/>
              <w:rPr>
                <w:sz w:val="1"/>
                <w:szCs w:val="1"/>
                <w:color w:val="auto"/>
              </w:rPr>
            </w:pPr>
          </w:p>
        </w:tc>
        <w:tc>
          <w:tcPr>
            <w:tcW w:w="600" w:type="dxa"/>
            <w:vAlign w:val="bottom"/>
            <w:shd w:val="clear" w:color="auto" w:fill="1F266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7400" w:type="dxa"/>
            <w:vAlign w:val="bottom"/>
          </w:tcPr>
          <w:p>
            <w:pPr>
              <w:spacing w:after="0"/>
              <w:rPr>
                <w:sz w:val="20"/>
                <w:szCs w:val="20"/>
                <w:color w:val="auto"/>
              </w:rPr>
            </w:pPr>
            <w:r>
              <w:rPr>
                <w:rFonts w:ascii="Arial" w:cs="Arial" w:eastAsia="Arial" w:hAnsi="Arial"/>
                <w:sz w:val="16"/>
                <w:szCs w:val="16"/>
                <w:b w:val="1"/>
                <w:bCs w:val="1"/>
                <w:color w:val="1F2668"/>
              </w:rPr>
              <w:t>Operating Income and Same-store cash NOI Reconciliation</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1F2668"/>
              </w:rPr>
              <w:t>​​​</w:t>
            </w:r>
          </w:p>
        </w:tc>
        <w:tc>
          <w:tcPr>
            <w:tcW w:w="100" w:type="dxa"/>
            <w:vAlign w:val="bottom"/>
          </w:tcPr>
          <w:p>
            <w:pPr>
              <w:spacing w:after="0"/>
              <w:rPr>
                <w:sz w:val="20"/>
                <w:szCs w:val="20"/>
                <w:color w:val="auto"/>
              </w:rPr>
            </w:pPr>
            <w:r>
              <w:rPr>
                <w:rFonts w:ascii="Arial" w:cs="Arial" w:eastAsia="Arial" w:hAnsi="Arial"/>
                <w:sz w:val="16"/>
                <w:szCs w:val="16"/>
                <w:b w:val="1"/>
                <w:bCs w:val="1"/>
                <w:color w:val="1F2668"/>
              </w:rPr>
              <w:t>​</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gridSpan w:val="2"/>
          </w:tcPr>
          <w:p>
            <w:pPr>
              <w:spacing w:after="0"/>
              <w:rPr>
                <w:sz w:val="20"/>
                <w:szCs w:val="20"/>
                <w:color w:val="auto"/>
              </w:rPr>
            </w:pPr>
            <w:r>
              <w:rPr>
                <w:rFonts w:ascii="Arial" w:cs="Arial" w:eastAsia="Arial" w:hAnsi="Arial"/>
                <w:sz w:val="16"/>
                <w:szCs w:val="16"/>
                <w:b w:val="1"/>
                <w:bCs w:val="1"/>
                <w:color w:val="1F2668"/>
              </w:rPr>
              <w:t>​</w:t>
            </w:r>
          </w:p>
        </w:tc>
        <w:tc>
          <w:tcPr>
            <w:tcW w:w="600" w:type="dxa"/>
            <w:vAlign w:val="bottom"/>
          </w:tcPr>
          <w:p>
            <w:pPr>
              <w:spacing w:after="0"/>
              <w:rPr>
                <w:sz w:val="17"/>
                <w:szCs w:val="17"/>
                <w:color w:val="auto"/>
              </w:rPr>
            </w:pPr>
          </w:p>
        </w:tc>
        <w:tc>
          <w:tcPr>
            <w:tcW w:w="840" w:type="dxa"/>
            <w:vAlign w:val="bottom"/>
            <w:vMerge w:val="restart"/>
          </w:tcPr>
          <w:p>
            <w:pPr>
              <w:jc w:val="right"/>
              <w:ind w:right="714"/>
              <w:spacing w:after="0"/>
              <w:rPr>
                <w:sz w:val="20"/>
                <w:szCs w:val="20"/>
                <w:color w:val="auto"/>
              </w:rPr>
            </w:pPr>
            <w:r>
              <w:rPr>
                <w:rFonts w:ascii="Arial" w:cs="Arial" w:eastAsia="Arial" w:hAnsi="Arial"/>
                <w:sz w:val="16"/>
                <w:szCs w:val="16"/>
                <w:b w:val="1"/>
                <w:bCs w:val="1"/>
                <w:color w:val="1F2668"/>
              </w:rPr>
              <w:t>​</w:t>
            </w: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740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gridSpan w:val="3"/>
          </w:tcPr>
          <w:p>
            <w:pPr>
              <w:spacing w:after="0" w:line="54" w:lineRule="exact"/>
              <w:rPr>
                <w:sz w:val="20"/>
                <w:szCs w:val="20"/>
                <w:color w:val="auto"/>
              </w:rPr>
            </w:pPr>
            <w:r>
              <w:rPr>
                <w:rFonts w:ascii="Arial" w:cs="Arial" w:eastAsia="Arial" w:hAnsi="Arial"/>
                <w:sz w:val="6"/>
                <w:szCs w:val="6"/>
                <w:b w:val="1"/>
                <w:bCs w:val="1"/>
                <w:color w:val="1F2668"/>
              </w:rPr>
              <w:t>​​​</w:t>
            </w:r>
          </w:p>
        </w:tc>
        <w:tc>
          <w:tcPr>
            <w:tcW w:w="6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4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540" w:type="dxa"/>
            <w:vAlign w:val="bottom"/>
            <w:shd w:val="clear" w:color="auto" w:fill="4B50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shd w:val="clear" w:color="auto" w:fill="4B508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7400" w:type="dxa"/>
            <w:vAlign w:val="bottom"/>
          </w:tcPr>
          <w:p>
            <w:pPr>
              <w:spacing w:after="0" w:line="169" w:lineRule="exact"/>
              <w:rPr>
                <w:sz w:val="20"/>
                <w:szCs w:val="20"/>
                <w:color w:val="auto"/>
              </w:rPr>
            </w:pPr>
            <w:r>
              <w:rPr>
                <w:rFonts w:ascii="Arial" w:cs="Arial" w:eastAsia="Arial" w:hAnsi="Arial"/>
                <w:sz w:val="16"/>
                <w:szCs w:val="16"/>
                <w:b w:val="1"/>
                <w:bCs w:val="1"/>
                <w:color w:val="1F2668"/>
              </w:rPr>
              <w:t>Net income (loss)</w:t>
            </w:r>
          </w:p>
        </w:tc>
        <w:tc>
          <w:tcPr>
            <w:tcW w:w="12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6"/>
                <w:szCs w:val="16"/>
                <w:b w:val="1"/>
                <w:bCs w:val="1"/>
                <w:color w:val="1F2668"/>
                <w:w w:val="89"/>
              </w:rPr>
              <w:t>$</w:t>
            </w:r>
          </w:p>
        </w:tc>
        <w:tc>
          <w:tcPr>
            <w:tcW w:w="100" w:type="dxa"/>
            <w:vAlign w:val="bottom"/>
          </w:tcPr>
          <w:p>
            <w:pPr>
              <w:spacing w:after="0"/>
              <w:rPr>
                <w:sz w:val="14"/>
                <w:szCs w:val="14"/>
                <w:color w:val="auto"/>
              </w:rPr>
            </w:pPr>
          </w:p>
        </w:tc>
        <w:tc>
          <w:tcPr>
            <w:tcW w:w="560" w:type="dxa"/>
            <w:vAlign w:val="bottom"/>
            <w:gridSpan w:val="2"/>
          </w:tcPr>
          <w:p>
            <w:pPr>
              <w:jc w:val="right"/>
              <w:spacing w:after="0" w:line="169" w:lineRule="exact"/>
              <w:rPr>
                <w:sz w:val="20"/>
                <w:szCs w:val="20"/>
                <w:color w:val="auto"/>
              </w:rPr>
            </w:pPr>
            <w:r>
              <w:rPr>
                <w:rFonts w:ascii="Arial" w:cs="Arial" w:eastAsia="Arial" w:hAnsi="Arial"/>
                <w:sz w:val="16"/>
                <w:szCs w:val="16"/>
                <w:b w:val="1"/>
                <w:bCs w:val="1"/>
                <w:color w:val="1F2668"/>
              </w:rPr>
              <w:t>30,222</w:t>
            </w:r>
          </w:p>
        </w:tc>
        <w:tc>
          <w:tcPr>
            <w:tcW w:w="100" w:type="dxa"/>
            <w:vAlign w:val="bottom"/>
          </w:tcPr>
          <w:p>
            <w:pPr>
              <w:spacing w:after="0"/>
              <w:rPr>
                <w:sz w:val="14"/>
                <w:szCs w:val="14"/>
                <w:color w:val="auto"/>
              </w:rPr>
            </w:pPr>
          </w:p>
        </w:tc>
        <w:tc>
          <w:tcPr>
            <w:tcW w:w="1520" w:type="dxa"/>
            <w:vAlign w:val="bottom"/>
            <w:gridSpan w:val="4"/>
          </w:tcPr>
          <w:p>
            <w:pPr>
              <w:spacing w:after="0" w:line="169" w:lineRule="exact"/>
              <w:rPr>
                <w:sz w:val="20"/>
                <w:szCs w:val="20"/>
                <w:color w:val="auto"/>
              </w:rPr>
            </w:pPr>
            <w:r>
              <w:rPr>
                <w:rFonts w:ascii="Arial" w:cs="Arial" w:eastAsia="Arial" w:hAnsi="Arial"/>
                <w:sz w:val="16"/>
                <w:szCs w:val="16"/>
                <w:b w:val="1"/>
                <w:bCs w:val="1"/>
                <w:color w:val="1F2668"/>
              </w:rPr>
              <w:t>​(599,337)</w:t>
            </w: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740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Arial" w:cs="Arial" w:eastAsia="Arial" w:hAnsi="Arial"/>
                <w:sz w:val="6"/>
                <w:szCs w:val="6"/>
                <w:b w:val="1"/>
                <w:bCs w:val="1"/>
                <w:color w:val="1F2668"/>
              </w:rPr>
              <w:t>​​​</w:t>
            </w: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gridSpan w:val="3"/>
          </w:tcPr>
          <w:p>
            <w:pPr>
              <w:spacing w:after="0" w:line="54" w:lineRule="exact"/>
              <w:rPr>
                <w:sz w:val="20"/>
                <w:szCs w:val="20"/>
                <w:color w:val="auto"/>
              </w:rPr>
            </w:pPr>
            <w:r>
              <w:rPr>
                <w:rFonts w:ascii="Arial" w:cs="Arial" w:eastAsia="Arial" w:hAnsi="Arial"/>
                <w:sz w:val="6"/>
                <w:szCs w:val="6"/>
                <w:b w:val="1"/>
                <w:bCs w:val="1"/>
                <w:color w:val="1F2668"/>
              </w:rPr>
              <w:t>​​​</w:t>
            </w:r>
          </w:p>
        </w:tc>
        <w:tc>
          <w:tcPr>
            <w:tcW w:w="600" w:type="dxa"/>
            <w:vAlign w:val="bottom"/>
          </w:tcPr>
          <w:p>
            <w:pPr>
              <w:spacing w:after="0"/>
              <w:rPr>
                <w:sz w:val="4"/>
                <w:szCs w:val="4"/>
                <w:color w:val="auto"/>
              </w:rPr>
            </w:pPr>
          </w:p>
        </w:tc>
        <w:tc>
          <w:tcPr>
            <w:tcW w:w="840" w:type="dxa"/>
            <w:vAlign w:val="bottom"/>
          </w:tcPr>
          <w:p>
            <w:pPr>
              <w:jc w:val="right"/>
              <w:ind w:right="714"/>
              <w:spacing w:after="0" w:line="54" w:lineRule="exact"/>
              <w:rPr>
                <w:sz w:val="20"/>
                <w:szCs w:val="20"/>
                <w:color w:val="auto"/>
              </w:rPr>
            </w:pPr>
            <w:r>
              <w:rPr>
                <w:rFonts w:ascii="Arial" w:cs="Arial" w:eastAsia="Arial" w:hAnsi="Arial"/>
                <w:sz w:val="6"/>
                <w:szCs w:val="6"/>
                <w:b w:val="1"/>
                <w:bCs w:val="1"/>
                <w:color w:val="1F2668"/>
              </w:rPr>
              <w:t>​</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4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640" w:type="dxa"/>
            <w:vAlign w:val="bottom"/>
            <w:gridSpan w:val="2"/>
            <w:shd w:val="clear" w:color="auto" w:fill="4B50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4B5088"/>
          </w:tcPr>
          <w:p>
            <w:pPr>
              <w:spacing w:after="0" w:line="20" w:lineRule="exact"/>
              <w:rPr>
                <w:sz w:val="1"/>
                <w:szCs w:val="1"/>
                <w:color w:val="auto"/>
              </w:rPr>
            </w:pPr>
          </w:p>
        </w:tc>
        <w:tc>
          <w:tcPr>
            <w:tcW w:w="600" w:type="dxa"/>
            <w:vAlign w:val="bottom"/>
            <w:shd w:val="clear" w:color="auto" w:fill="4B508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7400" w:type="dxa"/>
            <w:vAlign w:val="bottom"/>
          </w:tcPr>
          <w:p>
            <w:pPr>
              <w:spacing w:after="0" w:line="169" w:lineRule="exact"/>
              <w:rPr>
                <w:sz w:val="20"/>
                <w:szCs w:val="20"/>
                <w:color w:val="auto"/>
              </w:rPr>
            </w:pPr>
            <w:r>
              <w:rPr>
                <w:rFonts w:ascii="Arial" w:cs="Arial" w:eastAsia="Arial" w:hAnsi="Arial"/>
                <w:sz w:val="16"/>
                <w:szCs w:val="16"/>
                <w:color w:val="auto"/>
              </w:rPr>
              <w:t>Depreciable real estate reserves and impairments</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3"/>
          </w:tcPr>
          <w:p>
            <w:pPr>
              <w:jc w:val="right"/>
              <w:spacing w:after="0" w:line="169" w:lineRule="exact"/>
              <w:rPr>
                <w:sz w:val="20"/>
                <w:szCs w:val="20"/>
                <w:color w:val="auto"/>
              </w:rPr>
            </w:pPr>
            <w:r>
              <w:rPr>
                <w:rFonts w:ascii="Arial" w:cs="Arial" w:eastAsia="Arial" w:hAnsi="Arial"/>
                <w:sz w:val="16"/>
                <w:szCs w:val="16"/>
                <w:color w:val="auto"/>
              </w:rPr>
              <w:t>​104,071</w:t>
            </w:r>
          </w:p>
        </w:tc>
        <w:tc>
          <w:tcPr>
            <w:tcW w:w="100" w:type="dxa"/>
            <w:vAlign w:val="bottom"/>
          </w:tcPr>
          <w:p>
            <w:pPr>
              <w:spacing w:after="0"/>
              <w:rPr>
                <w:sz w:val="14"/>
                <w:szCs w:val="14"/>
                <w:color w:val="auto"/>
              </w:rPr>
            </w:pPr>
          </w:p>
        </w:tc>
        <w:tc>
          <w:tcPr>
            <w:tcW w:w="80" w:type="dxa"/>
            <w:vAlign w:val="bottom"/>
            <w:gridSpan w:val="2"/>
          </w:tcPr>
          <w:p>
            <w:pPr>
              <w:spacing w:after="0" w:line="169"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69" w:lineRule="exact"/>
              <w:rPr>
                <w:sz w:val="20"/>
                <w:szCs w:val="20"/>
                <w:color w:val="auto"/>
              </w:rPr>
            </w:pPr>
            <w:r>
              <w:rPr>
                <w:rFonts w:ascii="Arial" w:cs="Arial" w:eastAsia="Arial" w:hAnsi="Arial"/>
                <w:sz w:val="16"/>
                <w:szCs w:val="16"/>
                <w:color w:val="auto"/>
              </w:rPr>
              <w:t>382,374</w:t>
            </w:r>
          </w:p>
        </w:tc>
        <w:tc>
          <w:tcPr>
            <w:tcW w:w="840" w:type="dxa"/>
            <w:vAlign w:val="bottom"/>
            <w:vMerge w:val="restart"/>
          </w:tcPr>
          <w:p>
            <w:pPr>
              <w:jc w:val="right"/>
              <w:ind w:right="71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740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gridSpan w:val="3"/>
          </w:tcPr>
          <w:p>
            <w:pPr>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4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640" w:type="dxa"/>
            <w:vAlign w:val="bottom"/>
            <w:gridSpan w:val="2"/>
            <w:shd w:val="clear" w:color="auto" w:fill="4B50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4B5088"/>
          </w:tcPr>
          <w:p>
            <w:pPr>
              <w:spacing w:after="0" w:line="20" w:lineRule="exact"/>
              <w:rPr>
                <w:sz w:val="1"/>
                <w:szCs w:val="1"/>
                <w:color w:val="auto"/>
              </w:rPr>
            </w:pPr>
          </w:p>
        </w:tc>
        <w:tc>
          <w:tcPr>
            <w:tcW w:w="600" w:type="dxa"/>
            <w:vAlign w:val="bottom"/>
            <w:shd w:val="clear" w:color="auto" w:fill="4B508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7400" w:type="dxa"/>
            <w:vAlign w:val="bottom"/>
          </w:tcPr>
          <w:p>
            <w:pPr>
              <w:spacing w:after="0" w:line="169" w:lineRule="exact"/>
              <w:rPr>
                <w:sz w:val="20"/>
                <w:szCs w:val="20"/>
                <w:color w:val="auto"/>
              </w:rPr>
            </w:pPr>
            <w:r>
              <w:rPr>
                <w:rFonts w:ascii="Arial" w:cs="Arial" w:eastAsia="Arial" w:hAnsi="Arial"/>
                <w:sz w:val="16"/>
                <w:szCs w:val="16"/>
                <w:color w:val="auto"/>
              </w:rPr>
              <w:t>Depreciable real estate reserves in unconsolidated joint venture</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3"/>
          </w:tcPr>
          <w:p>
            <w:pPr>
              <w:jc w:val="right"/>
              <w:spacing w:after="0" w:line="169" w:lineRule="exact"/>
              <w:rPr>
                <w:sz w:val="20"/>
                <w:szCs w:val="20"/>
                <w:color w:val="auto"/>
              </w:rPr>
            </w:pPr>
            <w:r>
              <w:rPr>
                <w:rFonts w:ascii="Arial" w:cs="Arial" w:eastAsia="Arial" w:hAnsi="Arial"/>
                <w:sz w:val="16"/>
                <w:szCs w:val="16"/>
                <w:color w:val="auto"/>
              </w:rPr>
              <w:t>​263,190</w:t>
            </w:r>
          </w:p>
        </w:tc>
        <w:tc>
          <w:tcPr>
            <w:tcW w:w="100" w:type="dxa"/>
            <w:vAlign w:val="bottom"/>
          </w:tcPr>
          <w:p>
            <w:pPr>
              <w:spacing w:after="0"/>
              <w:rPr>
                <w:sz w:val="14"/>
                <w:szCs w:val="14"/>
                <w:color w:val="auto"/>
              </w:rPr>
            </w:pPr>
          </w:p>
        </w:tc>
        <w:tc>
          <w:tcPr>
            <w:tcW w:w="80" w:type="dxa"/>
            <w:vAlign w:val="bottom"/>
            <w:gridSpan w:val="2"/>
          </w:tcPr>
          <w:p>
            <w:pPr>
              <w:spacing w:after="0" w:line="169"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71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740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gridSpan w:val="3"/>
          </w:tcPr>
          <w:p>
            <w:pPr>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4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540" w:type="dxa"/>
            <w:vAlign w:val="bottom"/>
            <w:shd w:val="clear" w:color="auto" w:fill="4B508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shd w:val="clear" w:color="auto" w:fill="4B5088"/>
          </w:tcPr>
          <w:p>
            <w:pPr>
              <w:spacing w:after="0" w:line="20" w:lineRule="exact"/>
              <w:rPr>
                <w:sz w:val="1"/>
                <w:szCs w:val="1"/>
                <w:color w:val="auto"/>
              </w:rPr>
            </w:pPr>
          </w:p>
        </w:tc>
        <w:tc>
          <w:tcPr>
            <w:tcW w:w="600" w:type="dxa"/>
            <w:vAlign w:val="bottom"/>
            <w:shd w:val="clear" w:color="auto" w:fill="4B508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7400" w:type="dxa"/>
            <w:vAlign w:val="bottom"/>
          </w:tcPr>
          <w:p>
            <w:pPr>
              <w:spacing w:after="0" w:line="169" w:lineRule="exact"/>
              <w:rPr>
                <w:sz w:val="20"/>
                <w:szCs w:val="20"/>
                <w:color w:val="auto"/>
              </w:rPr>
            </w:pPr>
            <w:r>
              <w:rPr>
                <w:rFonts w:ascii="Arial" w:cs="Arial" w:eastAsia="Arial" w:hAnsi="Arial"/>
                <w:sz w:val="16"/>
                <w:szCs w:val="16"/>
                <w:color w:val="auto"/>
              </w:rPr>
              <w:t>Loss on sale of real estate, net</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660" w:type="dxa"/>
            <w:vAlign w:val="bottom"/>
            <w:gridSpan w:val="3"/>
          </w:tcPr>
          <w:p>
            <w:pPr>
              <w:jc w:val="right"/>
              <w:ind w:right="30"/>
              <w:spacing w:after="0" w:line="169" w:lineRule="exact"/>
              <w:rPr>
                <w:sz w:val="20"/>
                <w:szCs w:val="20"/>
                <w:color w:val="auto"/>
              </w:rPr>
            </w:pPr>
            <w:r>
              <w:rPr>
                <w:rFonts w:ascii="Arial" w:cs="Arial" w:eastAsia="Arial" w:hAnsi="Arial"/>
                <w:sz w:val="16"/>
                <w:szCs w:val="16"/>
                <w:color w:val="auto"/>
              </w:rPr>
              <w:t>(3,025)</w:t>
            </w:r>
          </w:p>
        </w:tc>
        <w:tc>
          <w:tcPr>
            <w:tcW w:w="80" w:type="dxa"/>
            <w:vAlign w:val="bottom"/>
            <w:gridSpan w:val="2"/>
          </w:tcPr>
          <w:p>
            <w:pPr>
              <w:spacing w:after="0" w:line="169"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69" w:lineRule="exact"/>
              <w:rPr>
                <w:sz w:val="20"/>
                <w:szCs w:val="20"/>
                <w:color w:val="auto"/>
              </w:rPr>
            </w:pPr>
            <w:r>
              <w:rPr>
                <w:rFonts w:ascii="Arial" w:cs="Arial" w:eastAsia="Arial" w:hAnsi="Arial"/>
                <w:sz w:val="16"/>
                <w:szCs w:val="16"/>
                <w:color w:val="auto"/>
              </w:rPr>
              <w:t>32,370</w:t>
            </w:r>
          </w:p>
        </w:tc>
        <w:tc>
          <w:tcPr>
            <w:tcW w:w="840" w:type="dxa"/>
            <w:vAlign w:val="bottom"/>
            <w:vMerge w:val="restart"/>
          </w:tcPr>
          <w:p>
            <w:pPr>
              <w:jc w:val="right"/>
              <w:ind w:right="71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740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gridSpan w:val="3"/>
          </w:tcPr>
          <w:p>
            <w:pPr>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4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640" w:type="dxa"/>
            <w:vAlign w:val="bottom"/>
            <w:gridSpan w:val="2"/>
            <w:shd w:val="clear" w:color="auto" w:fill="4B508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shd w:val="clear" w:color="auto" w:fill="4B5088"/>
          </w:tcPr>
          <w:p>
            <w:pPr>
              <w:spacing w:after="0" w:line="20" w:lineRule="exact"/>
              <w:rPr>
                <w:sz w:val="1"/>
                <w:szCs w:val="1"/>
                <w:color w:val="auto"/>
              </w:rPr>
            </w:pPr>
          </w:p>
        </w:tc>
        <w:tc>
          <w:tcPr>
            <w:tcW w:w="600" w:type="dxa"/>
            <w:vAlign w:val="bottom"/>
            <w:shd w:val="clear" w:color="auto" w:fill="4B508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7400" w:type="dxa"/>
            <w:vAlign w:val="bottom"/>
          </w:tcPr>
          <w:p>
            <w:pPr>
              <w:spacing w:after="0" w:line="169" w:lineRule="exact"/>
              <w:rPr>
                <w:sz w:val="20"/>
                <w:szCs w:val="20"/>
                <w:color w:val="auto"/>
              </w:rPr>
            </w:pPr>
            <w:r>
              <w:rPr>
                <w:rFonts w:ascii="Arial" w:cs="Arial" w:eastAsia="Arial" w:hAnsi="Arial"/>
                <w:sz w:val="16"/>
                <w:szCs w:val="16"/>
                <w:color w:val="auto"/>
              </w:rPr>
              <w:t>Purchase price and other fair value adjustments</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4"/>
          </w:tcPr>
          <w:p>
            <w:pPr>
              <w:jc w:val="right"/>
              <w:ind w:right="30"/>
              <w:spacing w:after="0" w:line="169" w:lineRule="exact"/>
              <w:rPr>
                <w:sz w:val="20"/>
                <w:szCs w:val="20"/>
                <w:color w:val="auto"/>
              </w:rPr>
            </w:pPr>
            <w:r>
              <w:rPr>
                <w:rFonts w:ascii="Arial" w:cs="Arial" w:eastAsia="Arial" w:hAnsi="Arial"/>
                <w:sz w:val="16"/>
                <w:szCs w:val="16"/>
                <w:color w:val="auto"/>
              </w:rPr>
              <w:t>​ (88,966)</w:t>
            </w:r>
          </w:p>
        </w:tc>
        <w:tc>
          <w:tcPr>
            <w:tcW w:w="80" w:type="dxa"/>
            <w:vAlign w:val="bottom"/>
            <w:gridSpan w:val="2"/>
          </w:tcPr>
          <w:p>
            <w:pPr>
              <w:spacing w:after="0" w:line="169"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69" w:lineRule="exact"/>
              <w:rPr>
                <w:sz w:val="20"/>
                <w:szCs w:val="20"/>
                <w:color w:val="auto"/>
              </w:rPr>
            </w:pPr>
            <w:r>
              <w:rPr>
                <w:rFonts w:ascii="Arial" w:cs="Arial" w:eastAsia="Arial" w:hAnsi="Arial"/>
                <w:sz w:val="16"/>
                <w:szCs w:val="16"/>
                <w:color w:val="auto"/>
              </w:rPr>
              <w:t>17,260</w:t>
            </w:r>
          </w:p>
        </w:tc>
        <w:tc>
          <w:tcPr>
            <w:tcW w:w="840" w:type="dxa"/>
            <w:vAlign w:val="bottom"/>
            <w:vMerge w:val="restart"/>
          </w:tcPr>
          <w:p>
            <w:pPr>
              <w:jc w:val="right"/>
              <w:ind w:right="71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740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gridSpan w:val="3"/>
          </w:tcPr>
          <w:p>
            <w:pPr>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4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640" w:type="dxa"/>
            <w:vAlign w:val="bottom"/>
            <w:gridSpan w:val="2"/>
            <w:shd w:val="clear" w:color="auto" w:fill="4B508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shd w:val="clear" w:color="auto" w:fill="4B5088"/>
          </w:tcPr>
          <w:p>
            <w:pPr>
              <w:spacing w:after="0" w:line="20" w:lineRule="exact"/>
              <w:rPr>
                <w:sz w:val="1"/>
                <w:szCs w:val="1"/>
                <w:color w:val="auto"/>
              </w:rPr>
            </w:pPr>
          </w:p>
        </w:tc>
        <w:tc>
          <w:tcPr>
            <w:tcW w:w="600" w:type="dxa"/>
            <w:vAlign w:val="bottom"/>
            <w:shd w:val="clear" w:color="auto" w:fill="4B508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7400" w:type="dxa"/>
            <w:vAlign w:val="bottom"/>
          </w:tcPr>
          <w:p>
            <w:pPr>
              <w:spacing w:after="0" w:line="169" w:lineRule="exact"/>
              <w:rPr>
                <w:sz w:val="20"/>
                <w:szCs w:val="20"/>
                <w:color w:val="auto"/>
              </w:rPr>
            </w:pPr>
            <w:r>
              <w:rPr>
                <w:rFonts w:ascii="Arial" w:cs="Arial" w:eastAsia="Arial" w:hAnsi="Arial"/>
                <w:sz w:val="16"/>
                <w:szCs w:val="16"/>
                <w:color w:val="auto"/>
              </w:rPr>
              <w:t>Equity in net loss on sale of interest in unconsolidated joint venture/real estate</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4"/>
          </w:tcPr>
          <w:p>
            <w:pPr>
              <w:jc w:val="right"/>
              <w:ind w:right="30"/>
              <w:spacing w:after="0" w:line="169" w:lineRule="exact"/>
              <w:rPr>
                <w:sz w:val="20"/>
                <w:szCs w:val="20"/>
                <w:color w:val="auto"/>
              </w:rPr>
            </w:pPr>
            <w:r>
              <w:rPr>
                <w:rFonts w:ascii="Arial" w:cs="Arial" w:eastAsia="Arial" w:hAnsi="Arial"/>
                <w:sz w:val="16"/>
                <w:szCs w:val="16"/>
                <w:color w:val="auto"/>
                <w:w w:val="99"/>
              </w:rPr>
              <w:t>​(208,144)</w:t>
            </w:r>
          </w:p>
        </w:tc>
        <w:tc>
          <w:tcPr>
            <w:tcW w:w="80" w:type="dxa"/>
            <w:vAlign w:val="bottom"/>
            <w:gridSpan w:val="2"/>
          </w:tcPr>
          <w:p>
            <w:pPr>
              <w:spacing w:after="0" w:line="169"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69" w:lineRule="exact"/>
              <w:rPr>
                <w:sz w:val="20"/>
                <w:szCs w:val="20"/>
                <w:color w:val="auto"/>
              </w:rPr>
            </w:pPr>
            <w:r>
              <w:rPr>
                <w:rFonts w:ascii="Arial" w:cs="Arial" w:eastAsia="Arial" w:hAnsi="Arial"/>
                <w:sz w:val="16"/>
                <w:szCs w:val="16"/>
                <w:color w:val="auto"/>
              </w:rPr>
              <w:t>13,368</w:t>
            </w:r>
          </w:p>
        </w:tc>
        <w:tc>
          <w:tcPr>
            <w:tcW w:w="840" w:type="dxa"/>
            <w:vAlign w:val="bottom"/>
            <w:vMerge w:val="restart"/>
          </w:tcPr>
          <w:p>
            <w:pPr>
              <w:jc w:val="right"/>
              <w:ind w:right="71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740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gridSpan w:val="3"/>
          </w:tcPr>
          <w:p>
            <w:pPr>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4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640" w:type="dxa"/>
            <w:vAlign w:val="bottom"/>
            <w:gridSpan w:val="2"/>
            <w:shd w:val="clear" w:color="auto" w:fill="4B50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4B5088"/>
          </w:tcPr>
          <w:p>
            <w:pPr>
              <w:spacing w:after="0" w:line="20" w:lineRule="exact"/>
              <w:rPr>
                <w:sz w:val="1"/>
                <w:szCs w:val="1"/>
                <w:color w:val="auto"/>
              </w:rPr>
            </w:pPr>
          </w:p>
        </w:tc>
        <w:tc>
          <w:tcPr>
            <w:tcW w:w="600" w:type="dxa"/>
            <w:vAlign w:val="bottom"/>
            <w:shd w:val="clear" w:color="auto" w:fill="4B508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7400" w:type="dxa"/>
            <w:vAlign w:val="bottom"/>
          </w:tcPr>
          <w:p>
            <w:pPr>
              <w:spacing w:after="0" w:line="169" w:lineRule="exact"/>
              <w:rPr>
                <w:sz w:val="20"/>
                <w:szCs w:val="20"/>
                <w:color w:val="auto"/>
              </w:rPr>
            </w:pPr>
            <w:r>
              <w:rPr>
                <w:rFonts w:ascii="Arial" w:cs="Arial" w:eastAsia="Arial" w:hAnsi="Arial"/>
                <w:sz w:val="16"/>
                <w:szCs w:val="16"/>
                <w:color w:val="auto"/>
              </w:rPr>
              <w:t>Depreciation and amortization</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3"/>
          </w:tcPr>
          <w:p>
            <w:pPr>
              <w:jc w:val="right"/>
              <w:spacing w:after="0" w:line="169" w:lineRule="exact"/>
              <w:rPr>
                <w:sz w:val="20"/>
                <w:szCs w:val="20"/>
                <w:color w:val="auto"/>
              </w:rPr>
            </w:pPr>
            <w:r>
              <w:rPr>
                <w:rFonts w:ascii="Arial" w:cs="Arial" w:eastAsia="Arial" w:hAnsi="Arial"/>
                <w:sz w:val="16"/>
                <w:szCs w:val="16"/>
                <w:color w:val="auto"/>
              </w:rPr>
              <w:t>​207,443</w:t>
            </w:r>
          </w:p>
        </w:tc>
        <w:tc>
          <w:tcPr>
            <w:tcW w:w="100" w:type="dxa"/>
            <w:vAlign w:val="bottom"/>
          </w:tcPr>
          <w:p>
            <w:pPr>
              <w:spacing w:after="0"/>
              <w:rPr>
                <w:sz w:val="14"/>
                <w:szCs w:val="14"/>
                <w:color w:val="auto"/>
              </w:rPr>
            </w:pPr>
          </w:p>
        </w:tc>
        <w:tc>
          <w:tcPr>
            <w:tcW w:w="80" w:type="dxa"/>
            <w:vAlign w:val="bottom"/>
            <w:gridSpan w:val="2"/>
          </w:tcPr>
          <w:p>
            <w:pPr>
              <w:spacing w:after="0" w:line="169"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69" w:lineRule="exact"/>
              <w:rPr>
                <w:sz w:val="20"/>
                <w:szCs w:val="20"/>
                <w:color w:val="auto"/>
              </w:rPr>
            </w:pPr>
            <w:r>
              <w:rPr>
                <w:rFonts w:ascii="Arial" w:cs="Arial" w:eastAsia="Arial" w:hAnsi="Arial"/>
                <w:sz w:val="16"/>
                <w:szCs w:val="16"/>
                <w:color w:val="auto"/>
              </w:rPr>
              <w:t>247,810</w:t>
            </w:r>
          </w:p>
        </w:tc>
        <w:tc>
          <w:tcPr>
            <w:tcW w:w="840" w:type="dxa"/>
            <w:vAlign w:val="bottom"/>
            <w:vMerge w:val="restart"/>
          </w:tcPr>
          <w:p>
            <w:pPr>
              <w:jc w:val="right"/>
              <w:ind w:right="71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740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gridSpan w:val="3"/>
          </w:tcPr>
          <w:p>
            <w:pPr>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4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540" w:type="dxa"/>
            <w:vAlign w:val="bottom"/>
            <w:shd w:val="clear" w:color="auto" w:fill="4B50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4B5088"/>
          </w:tcPr>
          <w:p>
            <w:pPr>
              <w:spacing w:after="0" w:line="20" w:lineRule="exact"/>
              <w:rPr>
                <w:sz w:val="1"/>
                <w:szCs w:val="1"/>
                <w:color w:val="auto"/>
              </w:rPr>
            </w:pPr>
          </w:p>
        </w:tc>
        <w:tc>
          <w:tcPr>
            <w:tcW w:w="600" w:type="dxa"/>
            <w:vAlign w:val="bottom"/>
            <w:shd w:val="clear" w:color="auto" w:fill="4B508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7400" w:type="dxa"/>
            <w:vAlign w:val="bottom"/>
          </w:tcPr>
          <w:p>
            <w:pPr>
              <w:spacing w:after="0" w:line="169" w:lineRule="exact"/>
              <w:rPr>
                <w:sz w:val="20"/>
                <w:szCs w:val="20"/>
                <w:color w:val="auto"/>
              </w:rPr>
            </w:pPr>
            <w:r>
              <w:rPr>
                <w:rFonts w:ascii="Arial" w:cs="Arial" w:eastAsia="Arial" w:hAnsi="Arial"/>
                <w:sz w:val="16"/>
                <w:szCs w:val="16"/>
                <w:color w:val="auto"/>
              </w:rPr>
              <w:t>SUMMIT Operator Tax Expense</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56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730</w:t>
            </w:r>
          </w:p>
        </w:tc>
        <w:tc>
          <w:tcPr>
            <w:tcW w:w="100" w:type="dxa"/>
            <w:vAlign w:val="bottom"/>
          </w:tcPr>
          <w:p>
            <w:pPr>
              <w:spacing w:after="0"/>
              <w:rPr>
                <w:sz w:val="14"/>
                <w:szCs w:val="14"/>
                <w:color w:val="auto"/>
              </w:rPr>
            </w:pPr>
          </w:p>
        </w:tc>
        <w:tc>
          <w:tcPr>
            <w:tcW w:w="80" w:type="dxa"/>
            <w:vAlign w:val="bottom"/>
            <w:gridSpan w:val="2"/>
          </w:tcPr>
          <w:p>
            <w:pPr>
              <w:spacing w:after="0" w:line="169"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69" w:lineRule="exact"/>
              <w:rPr>
                <w:sz w:val="20"/>
                <w:szCs w:val="20"/>
                <w:color w:val="auto"/>
              </w:rPr>
            </w:pPr>
            <w:r>
              <w:rPr>
                <w:rFonts w:ascii="Arial" w:cs="Arial" w:eastAsia="Arial" w:hAnsi="Arial"/>
                <w:sz w:val="16"/>
                <w:szCs w:val="16"/>
                <w:color w:val="auto"/>
              </w:rPr>
              <w:t>9,201</w:t>
            </w:r>
          </w:p>
        </w:tc>
        <w:tc>
          <w:tcPr>
            <w:tcW w:w="840" w:type="dxa"/>
            <w:vAlign w:val="bottom"/>
            <w:vMerge w:val="restart"/>
          </w:tcPr>
          <w:p>
            <w:pPr>
              <w:jc w:val="right"/>
              <w:ind w:right="71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740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gridSpan w:val="3"/>
          </w:tcPr>
          <w:p>
            <w:pPr>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4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540" w:type="dxa"/>
            <w:vAlign w:val="bottom"/>
            <w:shd w:val="clear" w:color="auto" w:fill="4B50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4B5088"/>
          </w:tcPr>
          <w:p>
            <w:pPr>
              <w:spacing w:after="0" w:line="20" w:lineRule="exact"/>
              <w:rPr>
                <w:sz w:val="1"/>
                <w:szCs w:val="1"/>
                <w:color w:val="auto"/>
              </w:rPr>
            </w:pPr>
          </w:p>
        </w:tc>
        <w:tc>
          <w:tcPr>
            <w:tcW w:w="600" w:type="dxa"/>
            <w:vAlign w:val="bottom"/>
            <w:shd w:val="clear" w:color="auto" w:fill="4B508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7400" w:type="dxa"/>
            <w:vAlign w:val="bottom"/>
          </w:tcPr>
          <w:p>
            <w:pPr>
              <w:spacing w:after="0" w:line="169" w:lineRule="exact"/>
              <w:rPr>
                <w:sz w:val="20"/>
                <w:szCs w:val="20"/>
                <w:color w:val="auto"/>
              </w:rPr>
            </w:pPr>
            <w:r>
              <w:rPr>
                <w:rFonts w:ascii="Arial" w:cs="Arial" w:eastAsia="Arial" w:hAnsi="Arial"/>
                <w:sz w:val="16"/>
                <w:szCs w:val="16"/>
                <w:color w:val="auto"/>
              </w:rPr>
              <w:t>Amortization of deferred financing costs</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56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6,619</w:t>
            </w:r>
          </w:p>
        </w:tc>
        <w:tc>
          <w:tcPr>
            <w:tcW w:w="100" w:type="dxa"/>
            <w:vAlign w:val="bottom"/>
          </w:tcPr>
          <w:p>
            <w:pPr>
              <w:spacing w:after="0"/>
              <w:rPr>
                <w:sz w:val="14"/>
                <w:szCs w:val="14"/>
                <w:color w:val="auto"/>
              </w:rPr>
            </w:pPr>
          </w:p>
        </w:tc>
        <w:tc>
          <w:tcPr>
            <w:tcW w:w="80" w:type="dxa"/>
            <w:vAlign w:val="bottom"/>
            <w:gridSpan w:val="2"/>
          </w:tcPr>
          <w:p>
            <w:pPr>
              <w:spacing w:after="0" w:line="169"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69" w:lineRule="exact"/>
              <w:rPr>
                <w:sz w:val="20"/>
                <w:szCs w:val="20"/>
                <w:color w:val="auto"/>
              </w:rPr>
            </w:pPr>
            <w:r>
              <w:rPr>
                <w:rFonts w:ascii="Arial" w:cs="Arial" w:eastAsia="Arial" w:hAnsi="Arial"/>
                <w:sz w:val="16"/>
                <w:szCs w:val="16"/>
                <w:color w:val="auto"/>
              </w:rPr>
              <w:t>7,837</w:t>
            </w:r>
          </w:p>
        </w:tc>
        <w:tc>
          <w:tcPr>
            <w:tcW w:w="840" w:type="dxa"/>
            <w:vAlign w:val="bottom"/>
            <w:vMerge w:val="restart"/>
          </w:tcPr>
          <w:p>
            <w:pPr>
              <w:jc w:val="right"/>
              <w:ind w:right="71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740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gridSpan w:val="3"/>
          </w:tcPr>
          <w:p>
            <w:pPr>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4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640" w:type="dxa"/>
            <w:vAlign w:val="bottom"/>
            <w:gridSpan w:val="2"/>
            <w:shd w:val="clear" w:color="auto" w:fill="4B50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4B5088"/>
          </w:tcPr>
          <w:p>
            <w:pPr>
              <w:spacing w:after="0" w:line="20" w:lineRule="exact"/>
              <w:rPr>
                <w:sz w:val="1"/>
                <w:szCs w:val="1"/>
                <w:color w:val="auto"/>
              </w:rPr>
            </w:pPr>
          </w:p>
        </w:tc>
        <w:tc>
          <w:tcPr>
            <w:tcW w:w="600" w:type="dxa"/>
            <w:vAlign w:val="bottom"/>
            <w:shd w:val="clear" w:color="auto" w:fill="4B508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7400" w:type="dxa"/>
            <w:vAlign w:val="bottom"/>
          </w:tcPr>
          <w:p>
            <w:pPr>
              <w:spacing w:after="0" w:line="169" w:lineRule="exact"/>
              <w:rPr>
                <w:sz w:val="20"/>
                <w:szCs w:val="20"/>
                <w:color w:val="auto"/>
              </w:rPr>
            </w:pPr>
            <w:r>
              <w:rPr>
                <w:rFonts w:ascii="Arial" w:cs="Arial" w:eastAsia="Arial" w:hAnsi="Arial"/>
                <w:sz w:val="16"/>
                <w:szCs w:val="16"/>
                <w:color w:val="auto"/>
              </w:rPr>
              <w:t>Interest expense, net of interest income</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3"/>
          </w:tcPr>
          <w:p>
            <w:pPr>
              <w:jc w:val="right"/>
              <w:spacing w:after="0" w:line="169" w:lineRule="exact"/>
              <w:rPr>
                <w:sz w:val="20"/>
                <w:szCs w:val="20"/>
                <w:color w:val="auto"/>
              </w:rPr>
            </w:pPr>
            <w:r>
              <w:rPr>
                <w:rFonts w:ascii="Arial" w:cs="Arial" w:eastAsia="Arial" w:hAnsi="Arial"/>
                <w:sz w:val="16"/>
                <w:szCs w:val="16"/>
                <w:color w:val="auto"/>
              </w:rPr>
              <w:t>​147,220</w:t>
            </w:r>
          </w:p>
        </w:tc>
        <w:tc>
          <w:tcPr>
            <w:tcW w:w="100" w:type="dxa"/>
            <w:vAlign w:val="bottom"/>
          </w:tcPr>
          <w:p>
            <w:pPr>
              <w:spacing w:after="0"/>
              <w:rPr>
                <w:sz w:val="14"/>
                <w:szCs w:val="14"/>
                <w:color w:val="auto"/>
              </w:rPr>
            </w:pPr>
          </w:p>
        </w:tc>
        <w:tc>
          <w:tcPr>
            <w:tcW w:w="80" w:type="dxa"/>
            <w:vAlign w:val="bottom"/>
            <w:gridSpan w:val="2"/>
          </w:tcPr>
          <w:p>
            <w:pPr>
              <w:spacing w:after="0" w:line="169"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69" w:lineRule="exact"/>
              <w:rPr>
                <w:sz w:val="20"/>
                <w:szCs w:val="20"/>
                <w:color w:val="auto"/>
              </w:rPr>
            </w:pPr>
            <w:r>
              <w:rPr>
                <w:rFonts w:ascii="Arial" w:cs="Arial" w:eastAsia="Arial" w:hAnsi="Arial"/>
                <w:sz w:val="16"/>
                <w:szCs w:val="16"/>
                <w:color w:val="auto"/>
              </w:rPr>
              <w:t>137,114</w:t>
            </w:r>
          </w:p>
        </w:tc>
        <w:tc>
          <w:tcPr>
            <w:tcW w:w="840" w:type="dxa"/>
            <w:vAlign w:val="bottom"/>
            <w:vMerge w:val="restart"/>
          </w:tcPr>
          <w:p>
            <w:pPr>
              <w:jc w:val="right"/>
              <w:ind w:right="71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740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gridSpan w:val="3"/>
          </w:tcPr>
          <w:p>
            <w:pPr>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4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540" w:type="dxa"/>
            <w:vAlign w:val="bottom"/>
            <w:shd w:val="clear" w:color="auto" w:fill="4B50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4B5088"/>
          </w:tcPr>
          <w:p>
            <w:pPr>
              <w:spacing w:after="0" w:line="20" w:lineRule="exact"/>
              <w:rPr>
                <w:sz w:val="1"/>
                <w:szCs w:val="1"/>
                <w:color w:val="auto"/>
              </w:rPr>
            </w:pPr>
          </w:p>
        </w:tc>
        <w:tc>
          <w:tcPr>
            <w:tcW w:w="600" w:type="dxa"/>
            <w:vAlign w:val="bottom"/>
            <w:shd w:val="clear" w:color="auto" w:fill="4B508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7400" w:type="dxa"/>
            <w:vAlign w:val="bottom"/>
          </w:tcPr>
          <w:p>
            <w:pPr>
              <w:spacing w:after="0" w:line="169" w:lineRule="exact"/>
              <w:rPr>
                <w:sz w:val="20"/>
                <w:szCs w:val="20"/>
                <w:color w:val="auto"/>
              </w:rPr>
            </w:pPr>
            <w:r>
              <w:rPr>
                <w:rFonts w:ascii="Arial" w:cs="Arial" w:eastAsia="Arial" w:hAnsi="Arial"/>
                <w:sz w:val="16"/>
                <w:szCs w:val="16"/>
                <w:color w:val="auto"/>
              </w:rPr>
              <w:t>Interest expense on senior obligations of consolidated securitization vehicles</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56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14,634</w:t>
            </w:r>
          </w:p>
        </w:tc>
        <w:tc>
          <w:tcPr>
            <w:tcW w:w="100" w:type="dxa"/>
            <w:vAlign w:val="bottom"/>
          </w:tcPr>
          <w:p>
            <w:pPr>
              <w:spacing w:after="0"/>
              <w:rPr>
                <w:sz w:val="14"/>
                <w:szCs w:val="14"/>
                <w:color w:val="auto"/>
              </w:rPr>
            </w:pPr>
          </w:p>
        </w:tc>
        <w:tc>
          <w:tcPr>
            <w:tcW w:w="80" w:type="dxa"/>
            <w:vAlign w:val="bottom"/>
            <w:gridSpan w:val="2"/>
          </w:tcPr>
          <w:p>
            <w:pPr>
              <w:spacing w:after="0" w:line="169"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71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740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gridSpan w:val="3"/>
          </w:tcPr>
          <w:p>
            <w:pPr>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4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3"/>
            <w:shd w:val="clear" w:color="auto" w:fill="4B50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4B5088"/>
          </w:tcPr>
          <w:p>
            <w:pPr>
              <w:spacing w:after="0" w:line="20" w:lineRule="exact"/>
              <w:rPr>
                <w:sz w:val="1"/>
                <w:szCs w:val="1"/>
                <w:color w:val="auto"/>
              </w:rPr>
            </w:pPr>
          </w:p>
        </w:tc>
        <w:tc>
          <w:tcPr>
            <w:tcW w:w="600" w:type="dxa"/>
            <w:vAlign w:val="bottom"/>
            <w:shd w:val="clear" w:color="auto" w:fill="4B508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7400" w:type="dxa"/>
            <w:vAlign w:val="bottom"/>
          </w:tcPr>
          <w:p>
            <w:pPr>
              <w:spacing w:after="0" w:line="169" w:lineRule="exact"/>
              <w:rPr>
                <w:sz w:val="20"/>
                <w:szCs w:val="20"/>
                <w:color w:val="auto"/>
              </w:rPr>
            </w:pPr>
            <w:r>
              <w:rPr>
                <w:rFonts w:ascii="Arial" w:cs="Arial" w:eastAsia="Arial" w:hAnsi="Arial"/>
                <w:sz w:val="16"/>
                <w:szCs w:val="16"/>
                <w:b w:val="1"/>
                <w:bCs w:val="1"/>
                <w:color w:val="1F2668"/>
              </w:rPr>
              <w:t>Operating income</w:t>
            </w:r>
          </w:p>
        </w:tc>
        <w:tc>
          <w:tcPr>
            <w:tcW w:w="120" w:type="dxa"/>
            <w:vAlign w:val="bottom"/>
          </w:tcPr>
          <w:p>
            <w:pPr>
              <w:spacing w:after="0"/>
              <w:rPr>
                <w:sz w:val="14"/>
                <w:szCs w:val="14"/>
                <w:color w:val="auto"/>
              </w:rPr>
            </w:pPr>
          </w:p>
        </w:tc>
        <w:tc>
          <w:tcPr>
            <w:tcW w:w="760" w:type="dxa"/>
            <w:vAlign w:val="bottom"/>
            <w:gridSpan w:val="4"/>
          </w:tcPr>
          <w:p>
            <w:pPr>
              <w:jc w:val="right"/>
              <w:spacing w:after="0" w:line="169" w:lineRule="exact"/>
              <w:rPr>
                <w:sz w:val="20"/>
                <w:szCs w:val="20"/>
                <w:color w:val="auto"/>
              </w:rPr>
            </w:pPr>
            <w:r>
              <w:rPr>
                <w:rFonts w:ascii="Arial" w:cs="Arial" w:eastAsia="Arial" w:hAnsi="Arial"/>
                <w:sz w:val="16"/>
                <w:szCs w:val="16"/>
                <w:b w:val="1"/>
                <w:bCs w:val="1"/>
                <w:color w:val="1F2668"/>
              </w:rPr>
              <w:t>$ 473,994</w:t>
            </w:r>
          </w:p>
        </w:tc>
        <w:tc>
          <w:tcPr>
            <w:tcW w:w="100" w:type="dxa"/>
            <w:vAlign w:val="bottom"/>
          </w:tcPr>
          <w:p>
            <w:pPr>
              <w:spacing w:after="0"/>
              <w:rPr>
                <w:sz w:val="14"/>
                <w:szCs w:val="14"/>
                <w:color w:val="auto"/>
              </w:rPr>
            </w:pPr>
          </w:p>
        </w:tc>
        <w:tc>
          <w:tcPr>
            <w:tcW w:w="80" w:type="dxa"/>
            <w:vAlign w:val="bottom"/>
            <w:gridSpan w:val="2"/>
          </w:tcPr>
          <w:p>
            <w:pPr>
              <w:spacing w:after="0" w:line="169" w:lineRule="exact"/>
              <w:rPr>
                <w:sz w:val="20"/>
                <w:szCs w:val="20"/>
                <w:color w:val="auto"/>
              </w:rPr>
            </w:pPr>
            <w:r>
              <w:rPr>
                <w:rFonts w:ascii="Arial" w:cs="Arial" w:eastAsia="Arial" w:hAnsi="Arial"/>
                <w:sz w:val="16"/>
                <w:szCs w:val="16"/>
                <w:b w:val="1"/>
                <w:bCs w:val="1"/>
                <w:color w:val="1F2668"/>
              </w:rPr>
              <w:t>​</w:t>
            </w:r>
          </w:p>
        </w:tc>
        <w:tc>
          <w:tcPr>
            <w:tcW w:w="600" w:type="dxa"/>
            <w:vAlign w:val="bottom"/>
          </w:tcPr>
          <w:p>
            <w:pPr>
              <w:jc w:val="right"/>
              <w:spacing w:after="0" w:line="169" w:lineRule="exact"/>
              <w:rPr>
                <w:sz w:val="20"/>
                <w:szCs w:val="20"/>
                <w:color w:val="auto"/>
              </w:rPr>
            </w:pPr>
            <w:r>
              <w:rPr>
                <w:rFonts w:ascii="Arial" w:cs="Arial" w:eastAsia="Arial" w:hAnsi="Arial"/>
                <w:sz w:val="16"/>
                <w:szCs w:val="16"/>
                <w:b w:val="1"/>
                <w:bCs w:val="1"/>
                <w:color w:val="1F2668"/>
              </w:rPr>
              <w:t>247,997</w:t>
            </w:r>
          </w:p>
        </w:tc>
        <w:tc>
          <w:tcPr>
            <w:tcW w:w="840" w:type="dxa"/>
            <w:vAlign w:val="bottom"/>
            <w:vMerge w:val="restart"/>
          </w:tcPr>
          <w:p>
            <w:pPr>
              <w:jc w:val="right"/>
              <w:ind w:right="714"/>
              <w:spacing w:after="0"/>
              <w:rPr>
                <w:sz w:val="20"/>
                <w:szCs w:val="20"/>
                <w:color w:val="auto"/>
              </w:rPr>
            </w:pPr>
            <w:r>
              <w:rPr>
                <w:rFonts w:ascii="Arial" w:cs="Arial" w:eastAsia="Arial" w:hAnsi="Arial"/>
                <w:sz w:val="16"/>
                <w:szCs w:val="16"/>
                <w:b w:val="1"/>
                <w:bCs w:val="1"/>
                <w:color w:val="1F2668"/>
              </w:rPr>
              <w:t>​</w:t>
            </w: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740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Arial" w:cs="Arial" w:eastAsia="Arial" w:hAnsi="Arial"/>
                <w:sz w:val="6"/>
                <w:szCs w:val="6"/>
                <w:b w:val="1"/>
                <w:bCs w:val="1"/>
                <w:color w:val="1F2668"/>
              </w:rPr>
              <w:t>​​​</w:t>
            </w: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gridSpan w:val="3"/>
          </w:tcPr>
          <w:p>
            <w:pPr>
              <w:spacing w:after="0" w:line="54" w:lineRule="exact"/>
              <w:rPr>
                <w:sz w:val="20"/>
                <w:szCs w:val="20"/>
                <w:color w:val="auto"/>
              </w:rPr>
            </w:pPr>
            <w:r>
              <w:rPr>
                <w:rFonts w:ascii="Arial" w:cs="Arial" w:eastAsia="Arial" w:hAnsi="Arial"/>
                <w:sz w:val="6"/>
                <w:szCs w:val="6"/>
                <w:b w:val="1"/>
                <w:bCs w:val="1"/>
                <w:color w:val="1F2668"/>
              </w:rPr>
              <w:t>​​​</w:t>
            </w:r>
          </w:p>
        </w:tc>
        <w:tc>
          <w:tcPr>
            <w:tcW w:w="6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4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640" w:type="dxa"/>
            <w:vAlign w:val="bottom"/>
            <w:gridSpan w:val="2"/>
            <w:shd w:val="clear" w:color="auto" w:fill="4B508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shd w:val="clear" w:color="auto" w:fill="4B5088"/>
          </w:tcPr>
          <w:p>
            <w:pPr>
              <w:spacing w:after="0" w:line="20" w:lineRule="exact"/>
              <w:rPr>
                <w:sz w:val="1"/>
                <w:szCs w:val="1"/>
                <w:color w:val="auto"/>
              </w:rPr>
            </w:pPr>
          </w:p>
        </w:tc>
        <w:tc>
          <w:tcPr>
            <w:tcW w:w="600" w:type="dxa"/>
            <w:vAlign w:val="bottom"/>
            <w:shd w:val="clear" w:color="auto" w:fill="4B508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7400" w:type="dxa"/>
            <w:vAlign w:val="bottom"/>
          </w:tcPr>
          <w:p>
            <w:pPr>
              <w:spacing w:after="0" w:line="169" w:lineRule="exact"/>
              <w:rPr>
                <w:sz w:val="20"/>
                <w:szCs w:val="20"/>
                <w:color w:val="auto"/>
              </w:rPr>
            </w:pPr>
            <w:r>
              <w:rPr>
                <w:rFonts w:ascii="Arial" w:cs="Arial" w:eastAsia="Arial" w:hAnsi="Arial"/>
                <w:sz w:val="16"/>
                <w:szCs w:val="16"/>
                <w:color w:val="auto"/>
              </w:rPr>
              <w:t>Equity in net loss from unconsolidated joint ventures</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4"/>
          </w:tcPr>
          <w:p>
            <w:pPr>
              <w:jc w:val="right"/>
              <w:ind w:right="30"/>
              <w:spacing w:after="0" w:line="169" w:lineRule="exact"/>
              <w:rPr>
                <w:sz w:val="20"/>
                <w:szCs w:val="20"/>
                <w:color w:val="auto"/>
              </w:rPr>
            </w:pPr>
            <w:r>
              <w:rPr>
                <w:rFonts w:ascii="Arial" w:cs="Arial" w:eastAsia="Arial" w:hAnsi="Arial"/>
                <w:sz w:val="16"/>
                <w:szCs w:val="16"/>
                <w:color w:val="auto"/>
              </w:rPr>
              <w:t>​ (83,495)</w:t>
            </w:r>
          </w:p>
        </w:tc>
        <w:tc>
          <w:tcPr>
            <w:tcW w:w="80" w:type="dxa"/>
            <w:vAlign w:val="bottom"/>
            <w:gridSpan w:val="2"/>
          </w:tcPr>
          <w:p>
            <w:pPr>
              <w:spacing w:after="0" w:line="169"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69" w:lineRule="exact"/>
              <w:rPr>
                <w:sz w:val="20"/>
                <w:szCs w:val="20"/>
                <w:color w:val="auto"/>
              </w:rPr>
            </w:pPr>
            <w:r>
              <w:rPr>
                <w:rFonts w:ascii="Arial" w:cs="Arial" w:eastAsia="Arial" w:hAnsi="Arial"/>
                <w:sz w:val="16"/>
                <w:szCs w:val="16"/>
                <w:color w:val="auto"/>
              </w:rPr>
              <w:t>76,509</w:t>
            </w:r>
          </w:p>
        </w:tc>
        <w:tc>
          <w:tcPr>
            <w:tcW w:w="840" w:type="dxa"/>
            <w:vAlign w:val="bottom"/>
            <w:vMerge w:val="restart"/>
          </w:tcPr>
          <w:p>
            <w:pPr>
              <w:jc w:val="right"/>
              <w:ind w:right="71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740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gridSpan w:val="3"/>
          </w:tcPr>
          <w:p>
            <w:pPr>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4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540" w:type="dxa"/>
            <w:vAlign w:val="bottom"/>
            <w:shd w:val="clear" w:color="auto" w:fill="4B50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4B5088"/>
          </w:tcPr>
          <w:p>
            <w:pPr>
              <w:spacing w:after="0" w:line="20" w:lineRule="exact"/>
              <w:rPr>
                <w:sz w:val="1"/>
                <w:szCs w:val="1"/>
                <w:color w:val="auto"/>
              </w:rPr>
            </w:pPr>
          </w:p>
        </w:tc>
        <w:tc>
          <w:tcPr>
            <w:tcW w:w="600" w:type="dxa"/>
            <w:vAlign w:val="bottom"/>
            <w:shd w:val="clear" w:color="auto" w:fill="4B508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7400" w:type="dxa"/>
            <w:vAlign w:val="bottom"/>
          </w:tcPr>
          <w:p>
            <w:pPr>
              <w:spacing w:after="0" w:line="169" w:lineRule="exact"/>
              <w:rPr>
                <w:sz w:val="20"/>
                <w:szCs w:val="20"/>
                <w:color w:val="auto"/>
              </w:rPr>
            </w:pPr>
            <w:r>
              <w:rPr>
                <w:rFonts w:ascii="Arial" w:cs="Arial" w:eastAsia="Arial" w:hAnsi="Arial"/>
                <w:sz w:val="16"/>
                <w:szCs w:val="16"/>
                <w:color w:val="auto"/>
              </w:rPr>
              <w:t>Marketing, general and administrative expense</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56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85,187</w:t>
            </w:r>
          </w:p>
        </w:tc>
        <w:tc>
          <w:tcPr>
            <w:tcW w:w="100" w:type="dxa"/>
            <w:vAlign w:val="bottom"/>
          </w:tcPr>
          <w:p>
            <w:pPr>
              <w:spacing w:after="0"/>
              <w:rPr>
                <w:sz w:val="14"/>
                <w:szCs w:val="14"/>
                <w:color w:val="auto"/>
              </w:rPr>
            </w:pPr>
          </w:p>
        </w:tc>
        <w:tc>
          <w:tcPr>
            <w:tcW w:w="80" w:type="dxa"/>
            <w:vAlign w:val="bottom"/>
            <w:gridSpan w:val="2"/>
          </w:tcPr>
          <w:p>
            <w:pPr>
              <w:spacing w:after="0" w:line="169"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69" w:lineRule="exact"/>
              <w:rPr>
                <w:sz w:val="20"/>
                <w:szCs w:val="20"/>
                <w:color w:val="auto"/>
              </w:rPr>
            </w:pPr>
            <w:r>
              <w:rPr>
                <w:rFonts w:ascii="Arial" w:cs="Arial" w:eastAsia="Arial" w:hAnsi="Arial"/>
                <w:sz w:val="16"/>
                <w:szCs w:val="16"/>
                <w:color w:val="auto"/>
              </w:rPr>
              <w:t>111,389</w:t>
            </w:r>
          </w:p>
        </w:tc>
        <w:tc>
          <w:tcPr>
            <w:tcW w:w="840" w:type="dxa"/>
            <w:vAlign w:val="bottom"/>
            <w:vMerge w:val="restart"/>
          </w:tcPr>
          <w:p>
            <w:pPr>
              <w:jc w:val="right"/>
              <w:ind w:right="71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740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gridSpan w:val="3"/>
          </w:tcPr>
          <w:p>
            <w:pPr>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4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540" w:type="dxa"/>
            <w:vAlign w:val="bottom"/>
            <w:shd w:val="clear" w:color="auto" w:fill="4B50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4B5088"/>
          </w:tcPr>
          <w:p>
            <w:pPr>
              <w:spacing w:after="0" w:line="20" w:lineRule="exact"/>
              <w:rPr>
                <w:sz w:val="1"/>
                <w:szCs w:val="1"/>
                <w:color w:val="auto"/>
              </w:rPr>
            </w:pPr>
          </w:p>
        </w:tc>
        <w:tc>
          <w:tcPr>
            <w:tcW w:w="600" w:type="dxa"/>
            <w:vAlign w:val="bottom"/>
            <w:shd w:val="clear" w:color="auto" w:fill="4B508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7400" w:type="dxa"/>
            <w:vAlign w:val="bottom"/>
          </w:tcPr>
          <w:p>
            <w:pPr>
              <w:spacing w:after="0" w:line="169" w:lineRule="exact"/>
              <w:rPr>
                <w:sz w:val="20"/>
                <w:szCs w:val="20"/>
                <w:color w:val="auto"/>
              </w:rPr>
            </w:pPr>
            <w:r>
              <w:rPr>
                <w:rFonts w:ascii="Arial" w:cs="Arial" w:eastAsia="Arial" w:hAnsi="Arial"/>
                <w:sz w:val="16"/>
                <w:szCs w:val="16"/>
                <w:color w:val="auto"/>
              </w:rPr>
              <w:t>Transaction related costs</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56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401</w:t>
            </w:r>
          </w:p>
        </w:tc>
        <w:tc>
          <w:tcPr>
            <w:tcW w:w="100" w:type="dxa"/>
            <w:vAlign w:val="bottom"/>
          </w:tcPr>
          <w:p>
            <w:pPr>
              <w:spacing w:after="0"/>
              <w:rPr>
                <w:sz w:val="14"/>
                <w:szCs w:val="14"/>
                <w:color w:val="auto"/>
              </w:rPr>
            </w:pPr>
          </w:p>
        </w:tc>
        <w:tc>
          <w:tcPr>
            <w:tcW w:w="80" w:type="dxa"/>
            <w:vAlign w:val="bottom"/>
            <w:gridSpan w:val="2"/>
          </w:tcPr>
          <w:p>
            <w:pPr>
              <w:spacing w:after="0" w:line="169"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69" w:lineRule="exact"/>
              <w:rPr>
                <w:sz w:val="20"/>
                <w:szCs w:val="20"/>
                <w:color w:val="auto"/>
              </w:rPr>
            </w:pPr>
            <w:r>
              <w:rPr>
                <w:rFonts w:ascii="Arial" w:cs="Arial" w:eastAsia="Arial" w:hAnsi="Arial"/>
                <w:sz w:val="16"/>
                <w:szCs w:val="16"/>
                <w:color w:val="auto"/>
              </w:rPr>
              <w:t>1,099</w:t>
            </w:r>
          </w:p>
        </w:tc>
        <w:tc>
          <w:tcPr>
            <w:tcW w:w="840" w:type="dxa"/>
            <w:vAlign w:val="bottom"/>
            <w:vMerge w:val="restart"/>
          </w:tcPr>
          <w:p>
            <w:pPr>
              <w:jc w:val="right"/>
              <w:ind w:right="71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740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gridSpan w:val="3"/>
          </w:tcPr>
          <w:p>
            <w:pPr>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4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540" w:type="dxa"/>
            <w:vAlign w:val="bottom"/>
            <w:shd w:val="clear" w:color="auto" w:fill="4B50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4B5088"/>
          </w:tcPr>
          <w:p>
            <w:pPr>
              <w:spacing w:after="0" w:line="20" w:lineRule="exact"/>
              <w:rPr>
                <w:sz w:val="1"/>
                <w:szCs w:val="1"/>
                <w:color w:val="auto"/>
              </w:rPr>
            </w:pPr>
          </w:p>
        </w:tc>
        <w:tc>
          <w:tcPr>
            <w:tcW w:w="600" w:type="dxa"/>
            <w:vAlign w:val="bottom"/>
            <w:shd w:val="clear" w:color="auto" w:fill="4B508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7400" w:type="dxa"/>
            <w:vAlign w:val="bottom"/>
          </w:tcPr>
          <w:p>
            <w:pPr>
              <w:spacing w:after="0" w:line="169" w:lineRule="exact"/>
              <w:rPr>
                <w:sz w:val="20"/>
                <w:szCs w:val="20"/>
                <w:color w:val="auto"/>
              </w:rPr>
            </w:pPr>
            <w:r>
              <w:rPr>
                <w:rFonts w:ascii="Arial" w:cs="Arial" w:eastAsia="Arial" w:hAnsi="Arial"/>
                <w:sz w:val="16"/>
                <w:szCs w:val="16"/>
                <w:color w:val="auto"/>
              </w:rPr>
              <w:t>Loan loss and other investment reserves, net of recoveries</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56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0" w:type="dxa"/>
            <w:vAlign w:val="bottom"/>
            <w:gridSpan w:val="2"/>
          </w:tcPr>
          <w:p>
            <w:pPr>
              <w:spacing w:after="0" w:line="169"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69" w:lineRule="exact"/>
              <w:rPr>
                <w:sz w:val="20"/>
                <w:szCs w:val="20"/>
                <w:color w:val="auto"/>
              </w:rPr>
            </w:pPr>
            <w:r>
              <w:rPr>
                <w:rFonts w:ascii="Arial" w:cs="Arial" w:eastAsia="Arial" w:hAnsi="Arial"/>
                <w:sz w:val="16"/>
                <w:szCs w:val="16"/>
                <w:color w:val="auto"/>
              </w:rPr>
              <w:t>6,890</w:t>
            </w:r>
          </w:p>
        </w:tc>
        <w:tc>
          <w:tcPr>
            <w:tcW w:w="840" w:type="dxa"/>
            <w:vAlign w:val="bottom"/>
            <w:vMerge w:val="restart"/>
          </w:tcPr>
          <w:p>
            <w:pPr>
              <w:jc w:val="right"/>
              <w:ind w:right="71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740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gridSpan w:val="3"/>
          </w:tcPr>
          <w:p>
            <w:pPr>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4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640" w:type="dxa"/>
            <w:vAlign w:val="bottom"/>
            <w:gridSpan w:val="2"/>
            <w:shd w:val="clear" w:color="auto" w:fill="4B50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4B5088"/>
          </w:tcPr>
          <w:p>
            <w:pPr>
              <w:spacing w:after="0" w:line="20" w:lineRule="exact"/>
              <w:rPr>
                <w:sz w:val="1"/>
                <w:szCs w:val="1"/>
                <w:color w:val="auto"/>
              </w:rPr>
            </w:pPr>
          </w:p>
        </w:tc>
        <w:tc>
          <w:tcPr>
            <w:tcW w:w="600" w:type="dxa"/>
            <w:vAlign w:val="bottom"/>
            <w:shd w:val="clear" w:color="auto" w:fill="4B508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7400" w:type="dxa"/>
            <w:vAlign w:val="bottom"/>
          </w:tcPr>
          <w:p>
            <w:pPr>
              <w:spacing w:after="0" w:line="169" w:lineRule="exact"/>
              <w:rPr>
                <w:sz w:val="20"/>
                <w:szCs w:val="20"/>
                <w:color w:val="auto"/>
              </w:rPr>
            </w:pPr>
            <w:r>
              <w:rPr>
                <w:rFonts w:ascii="Arial" w:cs="Arial" w:eastAsia="Arial" w:hAnsi="Arial"/>
                <w:sz w:val="16"/>
                <w:szCs w:val="16"/>
                <w:color w:val="auto"/>
              </w:rPr>
              <w:t>SUMMIT operator expenses</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3"/>
          </w:tcPr>
          <w:p>
            <w:pPr>
              <w:jc w:val="right"/>
              <w:spacing w:after="0" w:line="169" w:lineRule="exact"/>
              <w:rPr>
                <w:sz w:val="20"/>
                <w:szCs w:val="20"/>
                <w:color w:val="auto"/>
              </w:rPr>
            </w:pPr>
            <w:r>
              <w:rPr>
                <w:rFonts w:ascii="Arial" w:cs="Arial" w:eastAsia="Arial" w:hAnsi="Arial"/>
                <w:sz w:val="16"/>
                <w:szCs w:val="16"/>
                <w:color w:val="auto"/>
              </w:rPr>
              <w:t>​ 111,379</w:t>
            </w:r>
          </w:p>
        </w:tc>
        <w:tc>
          <w:tcPr>
            <w:tcW w:w="100" w:type="dxa"/>
            <w:vAlign w:val="bottom"/>
          </w:tcPr>
          <w:p>
            <w:pPr>
              <w:spacing w:after="0"/>
              <w:rPr>
                <w:sz w:val="14"/>
                <w:szCs w:val="14"/>
                <w:color w:val="auto"/>
              </w:rPr>
            </w:pPr>
          </w:p>
        </w:tc>
        <w:tc>
          <w:tcPr>
            <w:tcW w:w="80" w:type="dxa"/>
            <w:vAlign w:val="bottom"/>
            <w:gridSpan w:val="2"/>
          </w:tcPr>
          <w:p>
            <w:pPr>
              <w:spacing w:after="0" w:line="169"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69" w:lineRule="exact"/>
              <w:rPr>
                <w:sz w:val="20"/>
                <w:szCs w:val="20"/>
                <w:color w:val="auto"/>
              </w:rPr>
            </w:pPr>
            <w:r>
              <w:rPr>
                <w:rFonts w:ascii="Arial" w:cs="Arial" w:eastAsia="Arial" w:hAnsi="Arial"/>
                <w:sz w:val="16"/>
                <w:szCs w:val="16"/>
                <w:color w:val="auto"/>
              </w:rPr>
              <w:t>101,211</w:t>
            </w:r>
          </w:p>
        </w:tc>
        <w:tc>
          <w:tcPr>
            <w:tcW w:w="840" w:type="dxa"/>
            <w:vAlign w:val="bottom"/>
            <w:vMerge w:val="restart"/>
          </w:tcPr>
          <w:p>
            <w:pPr>
              <w:jc w:val="right"/>
              <w:ind w:right="71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740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gridSpan w:val="3"/>
          </w:tcPr>
          <w:p>
            <w:pPr>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4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640" w:type="dxa"/>
            <w:vAlign w:val="bottom"/>
            <w:gridSpan w:val="2"/>
            <w:shd w:val="clear" w:color="auto" w:fill="4B508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shd w:val="clear" w:color="auto" w:fill="4B5088"/>
          </w:tcPr>
          <w:p>
            <w:pPr>
              <w:spacing w:after="0" w:line="20" w:lineRule="exact"/>
              <w:rPr>
                <w:sz w:val="1"/>
                <w:szCs w:val="1"/>
                <w:color w:val="auto"/>
              </w:rPr>
            </w:pPr>
          </w:p>
        </w:tc>
        <w:tc>
          <w:tcPr>
            <w:tcW w:w="600" w:type="dxa"/>
            <w:vAlign w:val="bottom"/>
            <w:shd w:val="clear" w:color="auto" w:fill="4B508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7400" w:type="dxa"/>
            <w:vAlign w:val="bottom"/>
          </w:tcPr>
          <w:p>
            <w:pPr>
              <w:spacing w:after="0" w:line="169" w:lineRule="exact"/>
              <w:rPr>
                <w:sz w:val="20"/>
                <w:szCs w:val="20"/>
                <w:color w:val="auto"/>
              </w:rPr>
            </w:pPr>
            <w:r>
              <w:rPr>
                <w:rFonts w:ascii="Arial" w:cs="Arial" w:eastAsia="Arial" w:hAnsi="Arial"/>
                <w:sz w:val="16"/>
                <w:szCs w:val="16"/>
                <w:color w:val="auto"/>
              </w:rPr>
              <w:t>(Gain) loss on early extinguishment of debt</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4"/>
          </w:tcPr>
          <w:p>
            <w:pPr>
              <w:jc w:val="right"/>
              <w:ind w:right="30"/>
              <w:spacing w:after="0" w:line="169" w:lineRule="exact"/>
              <w:rPr>
                <w:sz w:val="20"/>
                <w:szCs w:val="20"/>
                <w:color w:val="auto"/>
              </w:rPr>
            </w:pPr>
            <w:r>
              <w:rPr>
                <w:rFonts w:ascii="Arial" w:cs="Arial" w:eastAsia="Arial" w:hAnsi="Arial"/>
                <w:sz w:val="16"/>
                <w:szCs w:val="16"/>
                <w:color w:val="auto"/>
              </w:rPr>
              <w:t>​ (43,762)</w:t>
            </w:r>
          </w:p>
        </w:tc>
        <w:tc>
          <w:tcPr>
            <w:tcW w:w="80" w:type="dxa"/>
            <w:vAlign w:val="bottom"/>
            <w:gridSpan w:val="2"/>
          </w:tcPr>
          <w:p>
            <w:pPr>
              <w:spacing w:after="0" w:line="169"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69" w:lineRule="exact"/>
              <w:rPr>
                <w:sz w:val="20"/>
                <w:szCs w:val="20"/>
                <w:color w:val="auto"/>
              </w:rPr>
            </w:pPr>
            <w:r>
              <w:rPr>
                <w:rFonts w:ascii="Arial" w:cs="Arial" w:eastAsia="Arial" w:hAnsi="Arial"/>
                <w:sz w:val="16"/>
                <w:szCs w:val="16"/>
                <w:color w:val="auto"/>
              </w:rPr>
              <w:t>870</w:t>
            </w:r>
          </w:p>
        </w:tc>
        <w:tc>
          <w:tcPr>
            <w:tcW w:w="840" w:type="dxa"/>
            <w:vAlign w:val="bottom"/>
            <w:vMerge w:val="restart"/>
          </w:tcPr>
          <w:p>
            <w:pPr>
              <w:jc w:val="right"/>
              <w:ind w:right="71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740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gridSpan w:val="3"/>
          </w:tcPr>
          <w:p>
            <w:pPr>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4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640" w:type="dxa"/>
            <w:vAlign w:val="bottom"/>
            <w:gridSpan w:val="2"/>
            <w:shd w:val="clear" w:color="auto" w:fill="4B508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shd w:val="clear" w:color="auto" w:fill="4B5088"/>
          </w:tcPr>
          <w:p>
            <w:pPr>
              <w:spacing w:after="0" w:line="20" w:lineRule="exact"/>
              <w:rPr>
                <w:sz w:val="1"/>
                <w:szCs w:val="1"/>
                <w:color w:val="auto"/>
              </w:rPr>
            </w:pPr>
          </w:p>
        </w:tc>
        <w:tc>
          <w:tcPr>
            <w:tcW w:w="600" w:type="dxa"/>
            <w:vAlign w:val="bottom"/>
            <w:shd w:val="clear" w:color="auto" w:fill="4B508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7400" w:type="dxa"/>
            <w:vAlign w:val="bottom"/>
          </w:tcPr>
          <w:p>
            <w:pPr>
              <w:spacing w:after="0" w:line="169" w:lineRule="exact"/>
              <w:rPr>
                <w:sz w:val="20"/>
                <w:szCs w:val="20"/>
                <w:color w:val="auto"/>
              </w:rPr>
            </w:pPr>
            <w:r>
              <w:rPr>
                <w:rFonts w:ascii="Arial" w:cs="Arial" w:eastAsia="Arial" w:hAnsi="Arial"/>
                <w:sz w:val="16"/>
                <w:szCs w:val="16"/>
                <w:color w:val="auto"/>
              </w:rPr>
              <w:t>Investment income</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4"/>
          </w:tcPr>
          <w:p>
            <w:pPr>
              <w:jc w:val="right"/>
              <w:ind w:right="30"/>
              <w:spacing w:after="0" w:line="169" w:lineRule="exact"/>
              <w:rPr>
                <w:sz w:val="20"/>
                <w:szCs w:val="20"/>
                <w:color w:val="auto"/>
              </w:rPr>
            </w:pPr>
            <w:r>
              <w:rPr>
                <w:rFonts w:ascii="Arial" w:cs="Arial" w:eastAsia="Arial" w:hAnsi="Arial"/>
                <w:sz w:val="16"/>
                <w:szCs w:val="16"/>
                <w:color w:val="auto"/>
              </w:rPr>
              <w:t>​ (24,353)</w:t>
            </w:r>
          </w:p>
        </w:tc>
        <w:tc>
          <w:tcPr>
            <w:tcW w:w="80" w:type="dxa"/>
            <w:vAlign w:val="bottom"/>
            <w:gridSpan w:val="2"/>
          </w:tcPr>
          <w:p>
            <w:pPr>
              <w:spacing w:after="0" w:line="169" w:lineRule="exact"/>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714"/>
              <w:spacing w:after="0" w:line="169" w:lineRule="exact"/>
              <w:rPr>
                <w:sz w:val="20"/>
                <w:szCs w:val="20"/>
                <w:color w:val="auto"/>
              </w:rPr>
            </w:pPr>
            <w:r>
              <w:rPr>
                <w:rFonts w:ascii="Arial" w:cs="Arial" w:eastAsia="Arial" w:hAnsi="Arial"/>
                <w:sz w:val="16"/>
                <w:szCs w:val="16"/>
                <w:color w:val="auto"/>
              </w:rPr>
              <w:t>(34,705)</w:t>
            </w: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740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gridSpan w:val="3"/>
          </w:tcPr>
          <w:p>
            <w:pPr>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840" w:type="dxa"/>
            <w:vAlign w:val="bottom"/>
          </w:tcPr>
          <w:p>
            <w:pPr>
              <w:jc w:val="right"/>
              <w:ind w:right="714"/>
              <w:spacing w:after="0" w:line="54" w:lineRule="exact"/>
              <w:rPr>
                <w:sz w:val="20"/>
                <w:szCs w:val="20"/>
                <w:color w:val="auto"/>
              </w:rPr>
            </w:pPr>
            <w:r>
              <w:rPr>
                <w:rFonts w:ascii="Arial" w:cs="Arial" w:eastAsia="Arial" w:hAnsi="Arial"/>
                <w:sz w:val="6"/>
                <w:szCs w:val="6"/>
                <w:color w:val="auto"/>
              </w:rPr>
              <w:t>​</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4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640" w:type="dxa"/>
            <w:vAlign w:val="bottom"/>
            <w:gridSpan w:val="2"/>
            <w:shd w:val="clear" w:color="auto" w:fill="4B508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shd w:val="clear" w:color="auto" w:fill="4B5088"/>
          </w:tcPr>
          <w:p>
            <w:pPr>
              <w:spacing w:after="0" w:line="20" w:lineRule="exact"/>
              <w:rPr>
                <w:sz w:val="1"/>
                <w:szCs w:val="1"/>
                <w:color w:val="auto"/>
              </w:rPr>
            </w:pPr>
          </w:p>
        </w:tc>
        <w:tc>
          <w:tcPr>
            <w:tcW w:w="600" w:type="dxa"/>
            <w:vAlign w:val="bottom"/>
            <w:shd w:val="clear" w:color="auto" w:fill="4B508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7400" w:type="dxa"/>
            <w:vAlign w:val="bottom"/>
          </w:tcPr>
          <w:p>
            <w:pPr>
              <w:spacing w:after="0" w:line="169" w:lineRule="exact"/>
              <w:rPr>
                <w:sz w:val="20"/>
                <w:szCs w:val="20"/>
                <w:color w:val="auto"/>
              </w:rPr>
            </w:pPr>
            <w:r>
              <w:rPr>
                <w:rFonts w:ascii="Arial" w:cs="Arial" w:eastAsia="Arial" w:hAnsi="Arial"/>
                <w:sz w:val="16"/>
                <w:szCs w:val="16"/>
                <w:color w:val="auto"/>
              </w:rPr>
              <w:t>Interest income from real estate loans held by consolidated securitization vehicles</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4"/>
          </w:tcPr>
          <w:p>
            <w:pPr>
              <w:jc w:val="right"/>
              <w:ind w:right="30"/>
              <w:spacing w:after="0" w:line="169" w:lineRule="exact"/>
              <w:rPr>
                <w:sz w:val="20"/>
                <w:szCs w:val="20"/>
                <w:color w:val="auto"/>
              </w:rPr>
            </w:pPr>
            <w:r>
              <w:rPr>
                <w:rFonts w:ascii="Arial" w:cs="Arial" w:eastAsia="Arial" w:hAnsi="Arial"/>
                <w:sz w:val="16"/>
                <w:szCs w:val="16"/>
                <w:color w:val="auto"/>
              </w:rPr>
              <w:t>​ (18,980)</w:t>
            </w:r>
          </w:p>
        </w:tc>
        <w:tc>
          <w:tcPr>
            <w:tcW w:w="80" w:type="dxa"/>
            <w:vAlign w:val="bottom"/>
            <w:gridSpan w:val="2"/>
          </w:tcPr>
          <w:p>
            <w:pPr>
              <w:spacing w:after="0" w:line="169"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71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740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gridSpan w:val="3"/>
          </w:tcPr>
          <w:p>
            <w:pPr>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4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640" w:type="dxa"/>
            <w:vAlign w:val="bottom"/>
            <w:gridSpan w:val="2"/>
            <w:shd w:val="clear" w:color="auto" w:fill="4B508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gridSpan w:val="3"/>
            <w:shd w:val="clear" w:color="auto" w:fill="4B508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7400" w:type="dxa"/>
            <w:vAlign w:val="bottom"/>
          </w:tcPr>
          <w:p>
            <w:pPr>
              <w:spacing w:after="0" w:line="169" w:lineRule="exact"/>
              <w:rPr>
                <w:sz w:val="20"/>
                <w:szCs w:val="20"/>
                <w:color w:val="auto"/>
              </w:rPr>
            </w:pPr>
            <w:r>
              <w:rPr>
                <w:rFonts w:ascii="Arial" w:cs="Arial" w:eastAsia="Arial" w:hAnsi="Arial"/>
                <w:sz w:val="16"/>
                <w:szCs w:val="16"/>
                <w:color w:val="auto"/>
              </w:rPr>
              <w:t>SUMMIT operator revenue</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4"/>
          </w:tcPr>
          <w:p>
            <w:pPr>
              <w:jc w:val="right"/>
              <w:ind w:right="30"/>
              <w:spacing w:after="0" w:line="169" w:lineRule="exact"/>
              <w:rPr>
                <w:sz w:val="20"/>
                <w:szCs w:val="20"/>
                <w:color w:val="auto"/>
              </w:rPr>
            </w:pPr>
            <w:r>
              <w:rPr>
                <w:rFonts w:ascii="Arial" w:cs="Arial" w:eastAsia="Arial" w:hAnsi="Arial"/>
                <w:sz w:val="16"/>
                <w:szCs w:val="16"/>
                <w:color w:val="auto"/>
                <w:w w:val="99"/>
              </w:rPr>
              <w:t>​(133,214)</w:t>
            </w:r>
          </w:p>
        </w:tc>
        <w:tc>
          <w:tcPr>
            <w:tcW w:w="1520" w:type="dxa"/>
            <w:vAlign w:val="bottom"/>
            <w:gridSpan w:val="4"/>
          </w:tcPr>
          <w:p>
            <w:pPr>
              <w:spacing w:after="0" w:line="169" w:lineRule="exact"/>
              <w:rPr>
                <w:sz w:val="20"/>
                <w:szCs w:val="20"/>
                <w:color w:val="auto"/>
              </w:rPr>
            </w:pPr>
            <w:r>
              <w:rPr>
                <w:rFonts w:ascii="Arial" w:cs="Arial" w:eastAsia="Arial" w:hAnsi="Arial"/>
                <w:sz w:val="16"/>
                <w:szCs w:val="16"/>
                <w:color w:val="auto"/>
              </w:rPr>
              <w:t>​(118,260)</w:t>
            </w: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740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gridSpan w:val="3"/>
          </w:tcPr>
          <w:p>
            <w:pPr>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840" w:type="dxa"/>
            <w:vAlign w:val="bottom"/>
          </w:tcPr>
          <w:p>
            <w:pPr>
              <w:jc w:val="right"/>
              <w:ind w:right="714"/>
              <w:spacing w:after="0" w:line="54" w:lineRule="exact"/>
              <w:rPr>
                <w:sz w:val="20"/>
                <w:szCs w:val="20"/>
                <w:color w:val="auto"/>
              </w:rPr>
            </w:pPr>
            <w:r>
              <w:rPr>
                <w:rFonts w:ascii="Arial" w:cs="Arial" w:eastAsia="Arial" w:hAnsi="Arial"/>
                <w:sz w:val="6"/>
                <w:szCs w:val="6"/>
                <w:color w:val="auto"/>
              </w:rPr>
              <w:t>​</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4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640" w:type="dxa"/>
            <w:vAlign w:val="bottom"/>
            <w:gridSpan w:val="2"/>
            <w:shd w:val="clear" w:color="auto" w:fill="4B508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shd w:val="clear" w:color="auto" w:fill="4B5088"/>
          </w:tcPr>
          <w:p>
            <w:pPr>
              <w:spacing w:after="0" w:line="20" w:lineRule="exact"/>
              <w:rPr>
                <w:sz w:val="1"/>
                <w:szCs w:val="1"/>
                <w:color w:val="auto"/>
              </w:rPr>
            </w:pPr>
          </w:p>
        </w:tc>
        <w:tc>
          <w:tcPr>
            <w:tcW w:w="600" w:type="dxa"/>
            <w:vAlign w:val="bottom"/>
            <w:shd w:val="clear" w:color="auto" w:fill="4B508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7400" w:type="dxa"/>
            <w:vAlign w:val="bottom"/>
          </w:tcPr>
          <w:p>
            <w:pPr>
              <w:spacing w:after="0" w:line="169" w:lineRule="exact"/>
              <w:rPr>
                <w:sz w:val="20"/>
                <w:szCs w:val="20"/>
                <w:color w:val="auto"/>
              </w:rPr>
            </w:pPr>
            <w:r>
              <w:rPr>
                <w:rFonts w:ascii="Arial" w:cs="Arial" w:eastAsia="Arial" w:hAnsi="Arial"/>
                <w:sz w:val="16"/>
                <w:szCs w:val="16"/>
                <w:color w:val="auto"/>
              </w:rPr>
              <w:t>Non-building revenue</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4"/>
          </w:tcPr>
          <w:p>
            <w:pPr>
              <w:jc w:val="right"/>
              <w:ind w:right="30"/>
              <w:spacing w:after="0" w:line="169" w:lineRule="exact"/>
              <w:rPr>
                <w:sz w:val="20"/>
                <w:szCs w:val="20"/>
                <w:color w:val="auto"/>
              </w:rPr>
            </w:pPr>
            <w:r>
              <w:rPr>
                <w:rFonts w:ascii="Arial" w:cs="Arial" w:eastAsia="Arial" w:hAnsi="Arial"/>
                <w:sz w:val="16"/>
                <w:szCs w:val="16"/>
                <w:color w:val="auto"/>
              </w:rPr>
              <w:t>​ (68,881)</w:t>
            </w:r>
          </w:p>
        </w:tc>
        <w:tc>
          <w:tcPr>
            <w:tcW w:w="80" w:type="dxa"/>
            <w:vAlign w:val="bottom"/>
            <w:gridSpan w:val="2"/>
          </w:tcPr>
          <w:p>
            <w:pPr>
              <w:spacing w:after="0" w:line="169" w:lineRule="exact"/>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714"/>
              <w:spacing w:after="0" w:line="169" w:lineRule="exact"/>
              <w:rPr>
                <w:sz w:val="20"/>
                <w:szCs w:val="20"/>
                <w:color w:val="auto"/>
              </w:rPr>
            </w:pPr>
            <w:r>
              <w:rPr>
                <w:rFonts w:ascii="Arial" w:cs="Arial" w:eastAsia="Arial" w:hAnsi="Arial"/>
                <w:sz w:val="16"/>
                <w:szCs w:val="16"/>
                <w:color w:val="auto"/>
              </w:rPr>
              <w:t>(44,568)</w:t>
            </w: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740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gridSpan w:val="3"/>
          </w:tcPr>
          <w:p>
            <w:pPr>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840" w:type="dxa"/>
            <w:vAlign w:val="bottom"/>
          </w:tcPr>
          <w:p>
            <w:pPr>
              <w:jc w:val="right"/>
              <w:ind w:right="714"/>
              <w:spacing w:after="0" w:line="54" w:lineRule="exact"/>
              <w:rPr>
                <w:sz w:val="20"/>
                <w:szCs w:val="20"/>
                <w:color w:val="auto"/>
              </w:rPr>
            </w:pPr>
            <w:r>
              <w:rPr>
                <w:rFonts w:ascii="Arial" w:cs="Arial" w:eastAsia="Arial" w:hAnsi="Arial"/>
                <w:sz w:val="6"/>
                <w:szCs w:val="6"/>
                <w:color w:val="auto"/>
              </w:rPr>
              <w:t>​</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400" w:type="dxa"/>
            <w:vAlign w:val="bottom"/>
            <w:shd w:val="clear" w:color="auto" w:fill="1F266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3"/>
            <w:shd w:val="clear" w:color="auto" w:fill="1F266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1F2668"/>
          </w:tcPr>
          <w:p>
            <w:pPr>
              <w:spacing w:after="0" w:line="20" w:lineRule="exact"/>
              <w:rPr>
                <w:sz w:val="1"/>
                <w:szCs w:val="1"/>
                <w:color w:val="auto"/>
              </w:rPr>
            </w:pPr>
          </w:p>
        </w:tc>
        <w:tc>
          <w:tcPr>
            <w:tcW w:w="600" w:type="dxa"/>
            <w:vAlign w:val="bottom"/>
            <w:shd w:val="clear" w:color="auto" w:fill="1F266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7400" w:type="dxa"/>
            <w:vAlign w:val="bottom"/>
          </w:tcPr>
          <w:p>
            <w:pPr>
              <w:spacing w:after="0" w:line="169" w:lineRule="exact"/>
              <w:rPr>
                <w:sz w:val="20"/>
                <w:szCs w:val="20"/>
                <w:color w:val="auto"/>
              </w:rPr>
            </w:pPr>
            <w:r>
              <w:rPr>
                <w:rFonts w:ascii="Arial" w:cs="Arial" w:eastAsia="Arial" w:hAnsi="Arial"/>
                <w:sz w:val="16"/>
                <w:szCs w:val="16"/>
                <w:b w:val="1"/>
                <w:bCs w:val="1"/>
                <w:color w:val="1F2668"/>
              </w:rPr>
              <w:t>Net operating income (NOI)</w:t>
            </w:r>
          </w:p>
        </w:tc>
        <w:tc>
          <w:tcPr>
            <w:tcW w:w="120" w:type="dxa"/>
            <w:vAlign w:val="bottom"/>
          </w:tcPr>
          <w:p>
            <w:pPr>
              <w:spacing w:after="0"/>
              <w:rPr>
                <w:sz w:val="14"/>
                <w:szCs w:val="14"/>
                <w:color w:val="auto"/>
              </w:rPr>
            </w:pPr>
          </w:p>
        </w:tc>
        <w:tc>
          <w:tcPr>
            <w:tcW w:w="760" w:type="dxa"/>
            <w:vAlign w:val="bottom"/>
            <w:gridSpan w:val="4"/>
          </w:tcPr>
          <w:p>
            <w:pPr>
              <w:jc w:val="right"/>
              <w:spacing w:after="0" w:line="169" w:lineRule="exact"/>
              <w:rPr>
                <w:sz w:val="20"/>
                <w:szCs w:val="20"/>
                <w:color w:val="auto"/>
              </w:rPr>
            </w:pPr>
            <w:r>
              <w:rPr>
                <w:rFonts w:ascii="Arial" w:cs="Arial" w:eastAsia="Arial" w:hAnsi="Arial"/>
                <w:sz w:val="16"/>
                <w:szCs w:val="16"/>
                <w:b w:val="1"/>
                <w:bCs w:val="1"/>
                <w:color w:val="1F2668"/>
              </w:rPr>
              <w:t>$ 298,636</w:t>
            </w:r>
          </w:p>
        </w:tc>
        <w:tc>
          <w:tcPr>
            <w:tcW w:w="100" w:type="dxa"/>
            <w:vAlign w:val="bottom"/>
          </w:tcPr>
          <w:p>
            <w:pPr>
              <w:spacing w:after="0"/>
              <w:rPr>
                <w:sz w:val="14"/>
                <w:szCs w:val="14"/>
                <w:color w:val="auto"/>
              </w:rPr>
            </w:pPr>
          </w:p>
        </w:tc>
        <w:tc>
          <w:tcPr>
            <w:tcW w:w="80" w:type="dxa"/>
            <w:vAlign w:val="bottom"/>
            <w:gridSpan w:val="2"/>
          </w:tcPr>
          <w:p>
            <w:pPr>
              <w:spacing w:after="0" w:line="169" w:lineRule="exact"/>
              <w:rPr>
                <w:sz w:val="20"/>
                <w:szCs w:val="20"/>
                <w:color w:val="auto"/>
              </w:rPr>
            </w:pPr>
            <w:r>
              <w:rPr>
                <w:rFonts w:ascii="Arial" w:cs="Arial" w:eastAsia="Arial" w:hAnsi="Arial"/>
                <w:sz w:val="16"/>
                <w:szCs w:val="16"/>
                <w:b w:val="1"/>
                <w:bCs w:val="1"/>
                <w:color w:val="1F2668"/>
              </w:rPr>
              <w:t>​</w:t>
            </w:r>
          </w:p>
        </w:tc>
        <w:tc>
          <w:tcPr>
            <w:tcW w:w="600" w:type="dxa"/>
            <w:vAlign w:val="bottom"/>
          </w:tcPr>
          <w:p>
            <w:pPr>
              <w:jc w:val="right"/>
              <w:spacing w:after="0" w:line="169" w:lineRule="exact"/>
              <w:rPr>
                <w:sz w:val="20"/>
                <w:szCs w:val="20"/>
                <w:color w:val="auto"/>
              </w:rPr>
            </w:pPr>
            <w:r>
              <w:rPr>
                <w:rFonts w:ascii="Arial" w:cs="Arial" w:eastAsia="Arial" w:hAnsi="Arial"/>
                <w:sz w:val="16"/>
                <w:szCs w:val="16"/>
                <w:b w:val="1"/>
                <w:bCs w:val="1"/>
                <w:color w:val="1F2668"/>
              </w:rPr>
              <w:t>348,432</w:t>
            </w:r>
          </w:p>
        </w:tc>
        <w:tc>
          <w:tcPr>
            <w:tcW w:w="840" w:type="dxa"/>
            <w:vAlign w:val="bottom"/>
            <w:vMerge w:val="restart"/>
          </w:tcPr>
          <w:p>
            <w:pPr>
              <w:jc w:val="right"/>
              <w:ind w:right="714"/>
              <w:spacing w:after="0"/>
              <w:rPr>
                <w:sz w:val="20"/>
                <w:szCs w:val="20"/>
                <w:color w:val="auto"/>
              </w:rPr>
            </w:pPr>
            <w:r>
              <w:rPr>
                <w:rFonts w:ascii="Arial" w:cs="Arial" w:eastAsia="Arial" w:hAnsi="Arial"/>
                <w:sz w:val="16"/>
                <w:szCs w:val="16"/>
                <w:b w:val="1"/>
                <w:bCs w:val="1"/>
                <w:color w:val="1F2668"/>
              </w:rPr>
              <w:t>​</w:t>
            </w: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740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Arial" w:cs="Arial" w:eastAsia="Arial" w:hAnsi="Arial"/>
                <w:sz w:val="6"/>
                <w:szCs w:val="6"/>
                <w:b w:val="1"/>
                <w:bCs w:val="1"/>
                <w:color w:val="1F2668"/>
              </w:rPr>
              <w:t>​​​</w:t>
            </w: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gridSpan w:val="3"/>
          </w:tcPr>
          <w:p>
            <w:pPr>
              <w:spacing w:after="0" w:line="54" w:lineRule="exact"/>
              <w:rPr>
                <w:sz w:val="20"/>
                <w:szCs w:val="20"/>
                <w:color w:val="auto"/>
              </w:rPr>
            </w:pPr>
            <w:r>
              <w:rPr>
                <w:rFonts w:ascii="Arial" w:cs="Arial" w:eastAsia="Arial" w:hAnsi="Arial"/>
                <w:sz w:val="6"/>
                <w:szCs w:val="6"/>
                <w:b w:val="1"/>
                <w:bCs w:val="1"/>
                <w:color w:val="1F2668"/>
              </w:rPr>
              <w:t>​​​</w:t>
            </w:r>
          </w:p>
        </w:tc>
        <w:tc>
          <w:tcPr>
            <w:tcW w:w="6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4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540" w:type="dxa"/>
            <w:vAlign w:val="bottom"/>
            <w:shd w:val="clear" w:color="auto" w:fill="4B50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4B5088"/>
          </w:tcPr>
          <w:p>
            <w:pPr>
              <w:spacing w:after="0" w:line="20" w:lineRule="exact"/>
              <w:rPr>
                <w:sz w:val="1"/>
                <w:szCs w:val="1"/>
                <w:color w:val="auto"/>
              </w:rPr>
            </w:pPr>
          </w:p>
        </w:tc>
        <w:tc>
          <w:tcPr>
            <w:tcW w:w="600" w:type="dxa"/>
            <w:vAlign w:val="bottom"/>
            <w:shd w:val="clear" w:color="auto" w:fill="4B508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7400" w:type="dxa"/>
            <w:vAlign w:val="bottom"/>
          </w:tcPr>
          <w:p>
            <w:pPr>
              <w:spacing w:after="0" w:line="169" w:lineRule="exact"/>
              <w:rPr>
                <w:sz w:val="20"/>
                <w:szCs w:val="20"/>
                <w:color w:val="auto"/>
              </w:rPr>
            </w:pPr>
            <w:r>
              <w:rPr>
                <w:rFonts w:ascii="Arial" w:cs="Arial" w:eastAsia="Arial" w:hAnsi="Arial"/>
                <w:sz w:val="16"/>
                <w:szCs w:val="16"/>
                <w:color w:val="auto"/>
              </w:rPr>
              <w:t>Equity in net loss from unconsolidated joint venture</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56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83,495</w:t>
            </w:r>
          </w:p>
        </w:tc>
        <w:tc>
          <w:tcPr>
            <w:tcW w:w="100" w:type="dxa"/>
            <w:vAlign w:val="bottom"/>
          </w:tcPr>
          <w:p>
            <w:pPr>
              <w:spacing w:after="0"/>
              <w:rPr>
                <w:sz w:val="14"/>
                <w:szCs w:val="14"/>
                <w:color w:val="auto"/>
              </w:rPr>
            </w:pPr>
          </w:p>
        </w:tc>
        <w:tc>
          <w:tcPr>
            <w:tcW w:w="80" w:type="dxa"/>
            <w:vAlign w:val="bottom"/>
            <w:gridSpan w:val="2"/>
          </w:tcPr>
          <w:p>
            <w:pPr>
              <w:spacing w:after="0" w:line="169" w:lineRule="exact"/>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714"/>
              <w:spacing w:after="0" w:line="169" w:lineRule="exact"/>
              <w:rPr>
                <w:sz w:val="20"/>
                <w:szCs w:val="20"/>
                <w:color w:val="auto"/>
              </w:rPr>
            </w:pPr>
            <w:r>
              <w:rPr>
                <w:rFonts w:ascii="Arial" w:cs="Arial" w:eastAsia="Arial" w:hAnsi="Arial"/>
                <w:sz w:val="16"/>
                <w:szCs w:val="16"/>
                <w:color w:val="auto"/>
              </w:rPr>
              <w:t>(76,509)</w:t>
            </w: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740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gridSpan w:val="3"/>
          </w:tcPr>
          <w:p>
            <w:pPr>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840" w:type="dxa"/>
            <w:vAlign w:val="bottom"/>
          </w:tcPr>
          <w:p>
            <w:pPr>
              <w:jc w:val="right"/>
              <w:ind w:right="714"/>
              <w:spacing w:after="0" w:line="54" w:lineRule="exact"/>
              <w:rPr>
                <w:sz w:val="20"/>
                <w:szCs w:val="20"/>
                <w:color w:val="auto"/>
              </w:rPr>
            </w:pPr>
            <w:r>
              <w:rPr>
                <w:rFonts w:ascii="Arial" w:cs="Arial" w:eastAsia="Arial" w:hAnsi="Arial"/>
                <w:sz w:val="6"/>
                <w:szCs w:val="6"/>
                <w:color w:val="auto"/>
              </w:rPr>
              <w:t>​</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4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640" w:type="dxa"/>
            <w:vAlign w:val="bottom"/>
            <w:gridSpan w:val="2"/>
            <w:shd w:val="clear" w:color="auto" w:fill="4B50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4B5088"/>
          </w:tcPr>
          <w:p>
            <w:pPr>
              <w:spacing w:after="0" w:line="20" w:lineRule="exact"/>
              <w:rPr>
                <w:sz w:val="1"/>
                <w:szCs w:val="1"/>
                <w:color w:val="auto"/>
              </w:rPr>
            </w:pPr>
          </w:p>
        </w:tc>
        <w:tc>
          <w:tcPr>
            <w:tcW w:w="600" w:type="dxa"/>
            <w:vAlign w:val="bottom"/>
            <w:shd w:val="clear" w:color="auto" w:fill="4B508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7400" w:type="dxa"/>
            <w:vAlign w:val="bottom"/>
          </w:tcPr>
          <w:p>
            <w:pPr>
              <w:spacing w:after="0" w:line="169" w:lineRule="exact"/>
              <w:rPr>
                <w:sz w:val="20"/>
                <w:szCs w:val="20"/>
                <w:color w:val="auto"/>
              </w:rPr>
            </w:pPr>
            <w:r>
              <w:rPr>
                <w:rFonts w:ascii="Arial" w:cs="Arial" w:eastAsia="Arial" w:hAnsi="Arial"/>
                <w:sz w:val="16"/>
                <w:szCs w:val="16"/>
                <w:color w:val="auto"/>
              </w:rPr>
              <w:t>SLG share of unconsolidated JV depreciation and amortization</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3"/>
          </w:tcPr>
          <w:p>
            <w:pPr>
              <w:jc w:val="right"/>
              <w:spacing w:after="0" w:line="169" w:lineRule="exact"/>
              <w:rPr>
                <w:sz w:val="20"/>
                <w:szCs w:val="20"/>
                <w:color w:val="auto"/>
              </w:rPr>
            </w:pPr>
            <w:r>
              <w:rPr>
                <w:rFonts w:ascii="Arial" w:cs="Arial" w:eastAsia="Arial" w:hAnsi="Arial"/>
                <w:sz w:val="16"/>
                <w:szCs w:val="16"/>
                <w:color w:val="auto"/>
              </w:rPr>
              <w:t>​275,098</w:t>
            </w:r>
          </w:p>
        </w:tc>
        <w:tc>
          <w:tcPr>
            <w:tcW w:w="100" w:type="dxa"/>
            <w:vAlign w:val="bottom"/>
          </w:tcPr>
          <w:p>
            <w:pPr>
              <w:spacing w:after="0"/>
              <w:rPr>
                <w:sz w:val="14"/>
                <w:szCs w:val="14"/>
                <w:color w:val="auto"/>
              </w:rPr>
            </w:pPr>
          </w:p>
        </w:tc>
        <w:tc>
          <w:tcPr>
            <w:tcW w:w="80" w:type="dxa"/>
            <w:vAlign w:val="bottom"/>
            <w:gridSpan w:val="2"/>
          </w:tcPr>
          <w:p>
            <w:pPr>
              <w:spacing w:after="0" w:line="169"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69" w:lineRule="exact"/>
              <w:rPr>
                <w:sz w:val="20"/>
                <w:szCs w:val="20"/>
                <w:color w:val="auto"/>
              </w:rPr>
            </w:pPr>
            <w:r>
              <w:rPr>
                <w:rFonts w:ascii="Arial" w:cs="Arial" w:eastAsia="Arial" w:hAnsi="Arial"/>
                <w:sz w:val="16"/>
                <w:szCs w:val="16"/>
                <w:color w:val="auto"/>
              </w:rPr>
              <w:t>266,340</w:t>
            </w:r>
          </w:p>
        </w:tc>
        <w:tc>
          <w:tcPr>
            <w:tcW w:w="840" w:type="dxa"/>
            <w:vAlign w:val="bottom"/>
            <w:vMerge w:val="restart"/>
          </w:tcPr>
          <w:p>
            <w:pPr>
              <w:jc w:val="right"/>
              <w:ind w:right="71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740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gridSpan w:val="3"/>
          </w:tcPr>
          <w:p>
            <w:pPr>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4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540" w:type="dxa"/>
            <w:vAlign w:val="bottom"/>
            <w:shd w:val="clear" w:color="auto" w:fill="4B50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4B5088"/>
          </w:tcPr>
          <w:p>
            <w:pPr>
              <w:spacing w:after="0" w:line="20" w:lineRule="exact"/>
              <w:rPr>
                <w:sz w:val="1"/>
                <w:szCs w:val="1"/>
                <w:color w:val="auto"/>
              </w:rPr>
            </w:pPr>
          </w:p>
        </w:tc>
        <w:tc>
          <w:tcPr>
            <w:tcW w:w="600" w:type="dxa"/>
            <w:vAlign w:val="bottom"/>
            <w:shd w:val="clear" w:color="auto" w:fill="4B508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7400" w:type="dxa"/>
            <w:vAlign w:val="bottom"/>
          </w:tcPr>
          <w:p>
            <w:pPr>
              <w:spacing w:after="0" w:line="169" w:lineRule="exact"/>
              <w:rPr>
                <w:sz w:val="20"/>
                <w:szCs w:val="20"/>
                <w:color w:val="auto"/>
              </w:rPr>
            </w:pPr>
            <w:r>
              <w:rPr>
                <w:rFonts w:ascii="Arial" w:cs="Arial" w:eastAsia="Arial" w:hAnsi="Arial"/>
                <w:sz w:val="16"/>
                <w:szCs w:val="16"/>
                <w:color w:val="auto"/>
              </w:rPr>
              <w:t>SLG share of unconsolidated JV amortization of deferred financing costs</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56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11,334</w:t>
            </w:r>
          </w:p>
        </w:tc>
        <w:tc>
          <w:tcPr>
            <w:tcW w:w="100" w:type="dxa"/>
            <w:vAlign w:val="bottom"/>
          </w:tcPr>
          <w:p>
            <w:pPr>
              <w:spacing w:after="0"/>
              <w:rPr>
                <w:sz w:val="14"/>
                <w:szCs w:val="14"/>
                <w:color w:val="auto"/>
              </w:rPr>
            </w:pPr>
          </w:p>
        </w:tc>
        <w:tc>
          <w:tcPr>
            <w:tcW w:w="80" w:type="dxa"/>
            <w:vAlign w:val="bottom"/>
            <w:gridSpan w:val="2"/>
          </w:tcPr>
          <w:p>
            <w:pPr>
              <w:spacing w:after="0" w:line="169"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69" w:lineRule="exact"/>
              <w:rPr>
                <w:sz w:val="20"/>
                <w:szCs w:val="20"/>
                <w:color w:val="auto"/>
              </w:rPr>
            </w:pPr>
            <w:r>
              <w:rPr>
                <w:rFonts w:ascii="Arial" w:cs="Arial" w:eastAsia="Arial" w:hAnsi="Arial"/>
                <w:sz w:val="16"/>
                <w:szCs w:val="16"/>
                <w:color w:val="auto"/>
              </w:rPr>
              <w:t>12,005</w:t>
            </w:r>
          </w:p>
        </w:tc>
        <w:tc>
          <w:tcPr>
            <w:tcW w:w="840" w:type="dxa"/>
            <w:vAlign w:val="bottom"/>
            <w:vMerge w:val="restart"/>
          </w:tcPr>
          <w:p>
            <w:pPr>
              <w:jc w:val="right"/>
              <w:ind w:right="71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740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gridSpan w:val="3"/>
          </w:tcPr>
          <w:p>
            <w:pPr>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4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640" w:type="dxa"/>
            <w:vAlign w:val="bottom"/>
            <w:gridSpan w:val="2"/>
            <w:shd w:val="clear" w:color="auto" w:fill="4B50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4B5088"/>
          </w:tcPr>
          <w:p>
            <w:pPr>
              <w:spacing w:after="0" w:line="20" w:lineRule="exact"/>
              <w:rPr>
                <w:sz w:val="1"/>
                <w:szCs w:val="1"/>
                <w:color w:val="auto"/>
              </w:rPr>
            </w:pPr>
          </w:p>
        </w:tc>
        <w:tc>
          <w:tcPr>
            <w:tcW w:w="600" w:type="dxa"/>
            <w:vAlign w:val="bottom"/>
            <w:shd w:val="clear" w:color="auto" w:fill="4B508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7400" w:type="dxa"/>
            <w:vAlign w:val="bottom"/>
          </w:tcPr>
          <w:p>
            <w:pPr>
              <w:spacing w:after="0" w:line="169" w:lineRule="exact"/>
              <w:rPr>
                <w:sz w:val="20"/>
                <w:szCs w:val="20"/>
                <w:color w:val="auto"/>
              </w:rPr>
            </w:pPr>
            <w:r>
              <w:rPr>
                <w:rFonts w:ascii="Arial" w:cs="Arial" w:eastAsia="Arial" w:hAnsi="Arial"/>
                <w:sz w:val="16"/>
                <w:szCs w:val="16"/>
                <w:color w:val="auto"/>
              </w:rPr>
              <w:t>SLG share of unconsolidated JV interest expense, net of interest income</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3"/>
          </w:tcPr>
          <w:p>
            <w:pPr>
              <w:jc w:val="right"/>
              <w:spacing w:after="0" w:line="169" w:lineRule="exact"/>
              <w:rPr>
                <w:sz w:val="20"/>
                <w:szCs w:val="20"/>
                <w:color w:val="auto"/>
              </w:rPr>
            </w:pPr>
            <w:r>
              <w:rPr>
                <w:rFonts w:ascii="Arial" w:cs="Arial" w:eastAsia="Arial" w:hAnsi="Arial"/>
                <w:sz w:val="16"/>
                <w:szCs w:val="16"/>
                <w:color w:val="auto"/>
              </w:rPr>
              <w:t>​276,852</w:t>
            </w:r>
          </w:p>
        </w:tc>
        <w:tc>
          <w:tcPr>
            <w:tcW w:w="100" w:type="dxa"/>
            <w:vAlign w:val="bottom"/>
          </w:tcPr>
          <w:p>
            <w:pPr>
              <w:spacing w:after="0"/>
              <w:rPr>
                <w:sz w:val="14"/>
                <w:szCs w:val="14"/>
                <w:color w:val="auto"/>
              </w:rPr>
            </w:pPr>
          </w:p>
        </w:tc>
        <w:tc>
          <w:tcPr>
            <w:tcW w:w="80" w:type="dxa"/>
            <w:vAlign w:val="bottom"/>
            <w:gridSpan w:val="2"/>
          </w:tcPr>
          <w:p>
            <w:pPr>
              <w:spacing w:after="0" w:line="169"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69" w:lineRule="exact"/>
              <w:rPr>
                <w:sz w:val="20"/>
                <w:szCs w:val="20"/>
                <w:color w:val="auto"/>
              </w:rPr>
            </w:pPr>
            <w:r>
              <w:rPr>
                <w:rFonts w:ascii="Arial" w:cs="Arial" w:eastAsia="Arial" w:hAnsi="Arial"/>
                <w:sz w:val="16"/>
                <w:szCs w:val="16"/>
                <w:color w:val="auto"/>
              </w:rPr>
              <w:t>272,217</w:t>
            </w:r>
          </w:p>
        </w:tc>
        <w:tc>
          <w:tcPr>
            <w:tcW w:w="840" w:type="dxa"/>
            <w:vAlign w:val="bottom"/>
            <w:vMerge w:val="restart"/>
          </w:tcPr>
          <w:p>
            <w:pPr>
              <w:jc w:val="right"/>
              <w:ind w:right="71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740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gridSpan w:val="3"/>
          </w:tcPr>
          <w:p>
            <w:pPr>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4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640" w:type="dxa"/>
            <w:vAlign w:val="bottom"/>
            <w:gridSpan w:val="2"/>
            <w:shd w:val="clear" w:color="auto" w:fill="4B508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shd w:val="clear" w:color="auto" w:fill="4B5088"/>
          </w:tcPr>
          <w:p>
            <w:pPr>
              <w:spacing w:after="0" w:line="20" w:lineRule="exact"/>
              <w:rPr>
                <w:sz w:val="1"/>
                <w:szCs w:val="1"/>
                <w:color w:val="auto"/>
              </w:rPr>
            </w:pPr>
          </w:p>
        </w:tc>
        <w:tc>
          <w:tcPr>
            <w:tcW w:w="600" w:type="dxa"/>
            <w:vAlign w:val="bottom"/>
            <w:shd w:val="clear" w:color="auto" w:fill="4B508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7400" w:type="dxa"/>
            <w:vAlign w:val="bottom"/>
          </w:tcPr>
          <w:p>
            <w:pPr>
              <w:spacing w:after="0" w:line="169" w:lineRule="exact"/>
              <w:rPr>
                <w:sz w:val="20"/>
                <w:szCs w:val="20"/>
                <w:color w:val="auto"/>
              </w:rPr>
            </w:pPr>
            <w:r>
              <w:rPr>
                <w:rFonts w:ascii="Arial" w:cs="Arial" w:eastAsia="Arial" w:hAnsi="Arial"/>
                <w:sz w:val="16"/>
                <w:szCs w:val="16"/>
                <w:color w:val="auto"/>
              </w:rPr>
              <w:t>SLG share of unconsolidated JV loss on early extinguishment of debt</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4"/>
          </w:tcPr>
          <w:p>
            <w:pPr>
              <w:jc w:val="right"/>
              <w:ind w:right="30"/>
              <w:spacing w:after="0" w:line="169" w:lineRule="exact"/>
              <w:rPr>
                <w:sz w:val="20"/>
                <w:szCs w:val="20"/>
                <w:color w:val="auto"/>
              </w:rPr>
            </w:pPr>
            <w:r>
              <w:rPr>
                <w:rFonts w:ascii="Arial" w:cs="Arial" w:eastAsia="Arial" w:hAnsi="Arial"/>
                <w:sz w:val="16"/>
                <w:szCs w:val="16"/>
                <w:color w:val="auto"/>
                <w:w w:val="99"/>
              </w:rPr>
              <w:t>​(172,369)</w:t>
            </w:r>
          </w:p>
        </w:tc>
        <w:tc>
          <w:tcPr>
            <w:tcW w:w="80" w:type="dxa"/>
            <w:vAlign w:val="bottom"/>
            <w:gridSpan w:val="2"/>
          </w:tcPr>
          <w:p>
            <w:pPr>
              <w:spacing w:after="0" w:line="169"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71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740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gridSpan w:val="3"/>
          </w:tcPr>
          <w:p>
            <w:pPr>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4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640" w:type="dxa"/>
            <w:vAlign w:val="bottom"/>
            <w:gridSpan w:val="2"/>
            <w:shd w:val="clear" w:color="auto" w:fill="4B508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shd w:val="clear" w:color="auto" w:fill="4B5088"/>
          </w:tcPr>
          <w:p>
            <w:pPr>
              <w:spacing w:after="0" w:line="20" w:lineRule="exact"/>
              <w:rPr>
                <w:sz w:val="1"/>
                <w:szCs w:val="1"/>
                <w:color w:val="auto"/>
              </w:rPr>
            </w:pPr>
          </w:p>
        </w:tc>
        <w:tc>
          <w:tcPr>
            <w:tcW w:w="600" w:type="dxa"/>
            <w:vAlign w:val="bottom"/>
            <w:shd w:val="clear" w:color="auto" w:fill="4B508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7400" w:type="dxa"/>
            <w:vAlign w:val="bottom"/>
          </w:tcPr>
          <w:p>
            <w:pPr>
              <w:spacing w:after="0" w:line="169" w:lineRule="exact"/>
              <w:rPr>
                <w:sz w:val="20"/>
                <w:szCs w:val="20"/>
                <w:color w:val="auto"/>
              </w:rPr>
            </w:pPr>
            <w:r>
              <w:rPr>
                <w:rFonts w:ascii="Arial" w:cs="Arial" w:eastAsia="Arial" w:hAnsi="Arial"/>
                <w:sz w:val="16"/>
                <w:szCs w:val="16"/>
                <w:color w:val="auto"/>
              </w:rPr>
              <w:t>SLG share of unconsolidated JV investment income</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4"/>
          </w:tcPr>
          <w:p>
            <w:pPr>
              <w:jc w:val="right"/>
              <w:ind w:right="30"/>
              <w:spacing w:after="0" w:line="169" w:lineRule="exact"/>
              <w:rPr>
                <w:sz w:val="20"/>
                <w:szCs w:val="20"/>
                <w:color w:val="auto"/>
              </w:rPr>
            </w:pPr>
            <w:r>
              <w:rPr>
                <w:rFonts w:ascii="Arial" w:cs="Arial" w:eastAsia="Arial" w:hAnsi="Arial"/>
                <w:sz w:val="16"/>
                <w:szCs w:val="16"/>
                <w:color w:val="auto"/>
              </w:rPr>
              <w:t>​ (11,513)</w:t>
            </w:r>
          </w:p>
        </w:tc>
        <w:tc>
          <w:tcPr>
            <w:tcW w:w="80" w:type="dxa"/>
            <w:vAlign w:val="bottom"/>
            <w:gridSpan w:val="2"/>
          </w:tcPr>
          <w:p>
            <w:pPr>
              <w:spacing w:after="0" w:line="169" w:lineRule="exact"/>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714"/>
              <w:spacing w:after="0" w:line="169" w:lineRule="exact"/>
              <w:rPr>
                <w:sz w:val="20"/>
                <w:szCs w:val="20"/>
                <w:color w:val="auto"/>
              </w:rPr>
            </w:pPr>
            <w:r>
              <w:rPr>
                <w:rFonts w:ascii="Arial" w:cs="Arial" w:eastAsia="Arial" w:hAnsi="Arial"/>
                <w:sz w:val="16"/>
                <w:szCs w:val="16"/>
                <w:color w:val="auto"/>
              </w:rPr>
              <w:t>(1,271)</w:t>
            </w: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740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gridSpan w:val="3"/>
          </w:tcPr>
          <w:p>
            <w:pPr>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840" w:type="dxa"/>
            <w:vAlign w:val="bottom"/>
          </w:tcPr>
          <w:p>
            <w:pPr>
              <w:jc w:val="right"/>
              <w:ind w:right="714"/>
              <w:spacing w:after="0" w:line="54" w:lineRule="exact"/>
              <w:rPr>
                <w:sz w:val="20"/>
                <w:szCs w:val="20"/>
                <w:color w:val="auto"/>
              </w:rPr>
            </w:pPr>
            <w:r>
              <w:rPr>
                <w:rFonts w:ascii="Arial" w:cs="Arial" w:eastAsia="Arial" w:hAnsi="Arial"/>
                <w:sz w:val="6"/>
                <w:szCs w:val="6"/>
                <w:color w:val="auto"/>
              </w:rPr>
              <w:t>​</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4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540" w:type="dxa"/>
            <w:vAlign w:val="bottom"/>
            <w:shd w:val="clear" w:color="auto" w:fill="4B508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shd w:val="clear" w:color="auto" w:fill="4B5088"/>
          </w:tcPr>
          <w:p>
            <w:pPr>
              <w:spacing w:after="0" w:line="20" w:lineRule="exact"/>
              <w:rPr>
                <w:sz w:val="1"/>
                <w:szCs w:val="1"/>
                <w:color w:val="auto"/>
              </w:rPr>
            </w:pPr>
          </w:p>
        </w:tc>
        <w:tc>
          <w:tcPr>
            <w:tcW w:w="600" w:type="dxa"/>
            <w:vAlign w:val="bottom"/>
            <w:shd w:val="clear" w:color="auto" w:fill="4B508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7400" w:type="dxa"/>
            <w:vAlign w:val="bottom"/>
          </w:tcPr>
          <w:p>
            <w:pPr>
              <w:spacing w:after="0" w:line="169" w:lineRule="exact"/>
              <w:rPr>
                <w:sz w:val="20"/>
                <w:szCs w:val="20"/>
                <w:color w:val="auto"/>
              </w:rPr>
            </w:pPr>
            <w:r>
              <w:rPr>
                <w:rFonts w:ascii="Arial" w:cs="Arial" w:eastAsia="Arial" w:hAnsi="Arial"/>
                <w:sz w:val="16"/>
                <w:szCs w:val="16"/>
                <w:color w:val="auto"/>
              </w:rPr>
              <w:t>SLG share of unconsolidated JV non-building revenue</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660" w:type="dxa"/>
            <w:vAlign w:val="bottom"/>
            <w:gridSpan w:val="3"/>
          </w:tcPr>
          <w:p>
            <w:pPr>
              <w:jc w:val="right"/>
              <w:ind w:right="30"/>
              <w:spacing w:after="0" w:line="169" w:lineRule="exact"/>
              <w:rPr>
                <w:sz w:val="20"/>
                <w:szCs w:val="20"/>
                <w:color w:val="auto"/>
              </w:rPr>
            </w:pPr>
            <w:r>
              <w:rPr>
                <w:rFonts w:ascii="Arial" w:cs="Arial" w:eastAsia="Arial" w:hAnsi="Arial"/>
                <w:sz w:val="16"/>
                <w:szCs w:val="16"/>
                <w:color w:val="auto"/>
              </w:rPr>
              <w:t>(3,051)</w:t>
            </w:r>
          </w:p>
        </w:tc>
        <w:tc>
          <w:tcPr>
            <w:tcW w:w="80" w:type="dxa"/>
            <w:vAlign w:val="bottom"/>
            <w:gridSpan w:val="2"/>
          </w:tcPr>
          <w:p>
            <w:pPr>
              <w:spacing w:after="0" w:line="169" w:lineRule="exact"/>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714"/>
              <w:spacing w:after="0" w:line="169" w:lineRule="exact"/>
              <w:rPr>
                <w:sz w:val="20"/>
                <w:szCs w:val="20"/>
                <w:color w:val="auto"/>
              </w:rPr>
            </w:pPr>
            <w:r>
              <w:rPr>
                <w:rFonts w:ascii="Arial" w:cs="Arial" w:eastAsia="Arial" w:hAnsi="Arial"/>
                <w:sz w:val="16"/>
                <w:szCs w:val="16"/>
                <w:color w:val="auto"/>
              </w:rPr>
              <w:t>(14,336)</w:t>
            </w: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740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gridSpan w:val="3"/>
          </w:tcPr>
          <w:p>
            <w:pPr>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840" w:type="dxa"/>
            <w:vAlign w:val="bottom"/>
          </w:tcPr>
          <w:p>
            <w:pPr>
              <w:jc w:val="right"/>
              <w:ind w:right="714"/>
              <w:spacing w:after="0" w:line="54" w:lineRule="exact"/>
              <w:rPr>
                <w:sz w:val="20"/>
                <w:szCs w:val="20"/>
                <w:color w:val="auto"/>
              </w:rPr>
            </w:pPr>
            <w:r>
              <w:rPr>
                <w:rFonts w:ascii="Arial" w:cs="Arial" w:eastAsia="Arial" w:hAnsi="Arial"/>
                <w:sz w:val="6"/>
                <w:szCs w:val="6"/>
                <w:color w:val="auto"/>
              </w:rPr>
              <w:t>​</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4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3"/>
            <w:shd w:val="clear" w:color="auto" w:fill="4B50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4B5088"/>
          </w:tcPr>
          <w:p>
            <w:pPr>
              <w:spacing w:after="0" w:line="20" w:lineRule="exact"/>
              <w:rPr>
                <w:sz w:val="1"/>
                <w:szCs w:val="1"/>
                <w:color w:val="auto"/>
              </w:rPr>
            </w:pPr>
          </w:p>
        </w:tc>
        <w:tc>
          <w:tcPr>
            <w:tcW w:w="600" w:type="dxa"/>
            <w:vAlign w:val="bottom"/>
            <w:shd w:val="clear" w:color="auto" w:fill="4B508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7400" w:type="dxa"/>
            <w:vAlign w:val="bottom"/>
          </w:tcPr>
          <w:p>
            <w:pPr>
              <w:spacing w:after="0" w:line="169" w:lineRule="exact"/>
              <w:rPr>
                <w:sz w:val="20"/>
                <w:szCs w:val="20"/>
                <w:color w:val="auto"/>
              </w:rPr>
            </w:pPr>
            <w:r>
              <w:rPr>
                <w:rFonts w:ascii="Arial" w:cs="Arial" w:eastAsia="Arial" w:hAnsi="Arial"/>
                <w:sz w:val="16"/>
                <w:szCs w:val="16"/>
                <w:b w:val="1"/>
                <w:bCs w:val="1"/>
                <w:color w:val="1F2668"/>
              </w:rPr>
              <w:t>NOI including SLG share of unconsolidated JVs</w:t>
            </w:r>
          </w:p>
        </w:tc>
        <w:tc>
          <w:tcPr>
            <w:tcW w:w="120" w:type="dxa"/>
            <w:vAlign w:val="bottom"/>
          </w:tcPr>
          <w:p>
            <w:pPr>
              <w:spacing w:after="0"/>
              <w:rPr>
                <w:sz w:val="14"/>
                <w:szCs w:val="14"/>
                <w:color w:val="auto"/>
              </w:rPr>
            </w:pPr>
          </w:p>
        </w:tc>
        <w:tc>
          <w:tcPr>
            <w:tcW w:w="760" w:type="dxa"/>
            <w:vAlign w:val="bottom"/>
            <w:gridSpan w:val="4"/>
          </w:tcPr>
          <w:p>
            <w:pPr>
              <w:jc w:val="right"/>
              <w:spacing w:after="0" w:line="169" w:lineRule="exact"/>
              <w:rPr>
                <w:sz w:val="20"/>
                <w:szCs w:val="20"/>
                <w:color w:val="auto"/>
              </w:rPr>
            </w:pPr>
            <w:r>
              <w:rPr>
                <w:rFonts w:ascii="Arial" w:cs="Arial" w:eastAsia="Arial" w:hAnsi="Arial"/>
                <w:sz w:val="16"/>
                <w:szCs w:val="16"/>
                <w:b w:val="1"/>
                <w:bCs w:val="1"/>
                <w:color w:val="1F2668"/>
              </w:rPr>
              <w:t>$ 758,482</w:t>
            </w:r>
          </w:p>
        </w:tc>
        <w:tc>
          <w:tcPr>
            <w:tcW w:w="100" w:type="dxa"/>
            <w:vAlign w:val="bottom"/>
          </w:tcPr>
          <w:p>
            <w:pPr>
              <w:spacing w:after="0"/>
              <w:rPr>
                <w:sz w:val="14"/>
                <w:szCs w:val="14"/>
                <w:color w:val="auto"/>
              </w:rPr>
            </w:pPr>
          </w:p>
        </w:tc>
        <w:tc>
          <w:tcPr>
            <w:tcW w:w="80" w:type="dxa"/>
            <w:vAlign w:val="bottom"/>
            <w:gridSpan w:val="2"/>
          </w:tcPr>
          <w:p>
            <w:pPr>
              <w:spacing w:after="0" w:line="169" w:lineRule="exact"/>
              <w:rPr>
                <w:sz w:val="20"/>
                <w:szCs w:val="20"/>
                <w:color w:val="auto"/>
              </w:rPr>
            </w:pPr>
            <w:r>
              <w:rPr>
                <w:rFonts w:ascii="Arial" w:cs="Arial" w:eastAsia="Arial" w:hAnsi="Arial"/>
                <w:sz w:val="16"/>
                <w:szCs w:val="16"/>
                <w:b w:val="1"/>
                <w:bCs w:val="1"/>
                <w:color w:val="1F2668"/>
              </w:rPr>
              <w:t>​</w:t>
            </w:r>
          </w:p>
        </w:tc>
        <w:tc>
          <w:tcPr>
            <w:tcW w:w="600" w:type="dxa"/>
            <w:vAlign w:val="bottom"/>
          </w:tcPr>
          <w:p>
            <w:pPr>
              <w:jc w:val="right"/>
              <w:spacing w:after="0" w:line="169" w:lineRule="exact"/>
              <w:rPr>
                <w:sz w:val="20"/>
                <w:szCs w:val="20"/>
                <w:color w:val="auto"/>
              </w:rPr>
            </w:pPr>
            <w:r>
              <w:rPr>
                <w:rFonts w:ascii="Arial" w:cs="Arial" w:eastAsia="Arial" w:hAnsi="Arial"/>
                <w:sz w:val="16"/>
                <w:szCs w:val="16"/>
                <w:b w:val="1"/>
                <w:bCs w:val="1"/>
                <w:color w:val="1F2668"/>
              </w:rPr>
              <w:t>806,878</w:t>
            </w:r>
          </w:p>
        </w:tc>
        <w:tc>
          <w:tcPr>
            <w:tcW w:w="840" w:type="dxa"/>
            <w:vAlign w:val="bottom"/>
            <w:vMerge w:val="restart"/>
          </w:tcPr>
          <w:p>
            <w:pPr>
              <w:jc w:val="right"/>
              <w:ind w:right="714"/>
              <w:spacing w:after="0"/>
              <w:rPr>
                <w:sz w:val="20"/>
                <w:szCs w:val="20"/>
                <w:color w:val="auto"/>
              </w:rPr>
            </w:pPr>
            <w:r>
              <w:rPr>
                <w:rFonts w:ascii="Arial" w:cs="Arial" w:eastAsia="Arial" w:hAnsi="Arial"/>
                <w:sz w:val="16"/>
                <w:szCs w:val="16"/>
                <w:b w:val="1"/>
                <w:bCs w:val="1"/>
                <w:color w:val="1F2668"/>
              </w:rPr>
              <w:t>​</w:t>
            </w: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740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Arial" w:cs="Arial" w:eastAsia="Arial" w:hAnsi="Arial"/>
                <w:sz w:val="6"/>
                <w:szCs w:val="6"/>
                <w:b w:val="1"/>
                <w:bCs w:val="1"/>
                <w:color w:val="1F2668"/>
              </w:rPr>
              <w:t>​​​</w:t>
            </w: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gridSpan w:val="3"/>
          </w:tcPr>
          <w:p>
            <w:pPr>
              <w:spacing w:after="0" w:line="54" w:lineRule="exact"/>
              <w:rPr>
                <w:sz w:val="20"/>
                <w:szCs w:val="20"/>
                <w:color w:val="auto"/>
              </w:rPr>
            </w:pPr>
            <w:r>
              <w:rPr>
                <w:rFonts w:ascii="Arial" w:cs="Arial" w:eastAsia="Arial" w:hAnsi="Arial"/>
                <w:sz w:val="6"/>
                <w:szCs w:val="6"/>
                <w:b w:val="1"/>
                <w:bCs w:val="1"/>
                <w:color w:val="1F2668"/>
              </w:rPr>
              <w:t>​​​</w:t>
            </w:r>
          </w:p>
        </w:tc>
        <w:tc>
          <w:tcPr>
            <w:tcW w:w="6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4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640" w:type="dxa"/>
            <w:vAlign w:val="bottom"/>
            <w:gridSpan w:val="2"/>
            <w:shd w:val="clear" w:color="auto" w:fill="4B508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gridSpan w:val="3"/>
            <w:shd w:val="clear" w:color="auto" w:fill="4B508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7400" w:type="dxa"/>
            <w:vAlign w:val="bottom"/>
          </w:tcPr>
          <w:p>
            <w:pPr>
              <w:spacing w:after="0" w:line="169" w:lineRule="exact"/>
              <w:rPr>
                <w:sz w:val="20"/>
                <w:szCs w:val="20"/>
                <w:color w:val="auto"/>
              </w:rPr>
            </w:pPr>
            <w:r>
              <w:rPr>
                <w:rFonts w:ascii="Arial" w:cs="Arial" w:eastAsia="Arial" w:hAnsi="Arial"/>
                <w:sz w:val="16"/>
                <w:szCs w:val="16"/>
                <w:color w:val="auto"/>
              </w:rPr>
              <w:t>NOI from other properties/affiliates</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4"/>
          </w:tcPr>
          <w:p>
            <w:pPr>
              <w:jc w:val="right"/>
              <w:ind w:right="30"/>
              <w:spacing w:after="0" w:line="169" w:lineRule="exact"/>
              <w:rPr>
                <w:sz w:val="20"/>
                <w:szCs w:val="20"/>
                <w:color w:val="auto"/>
              </w:rPr>
            </w:pPr>
            <w:r>
              <w:rPr>
                <w:rFonts w:ascii="Arial" w:cs="Arial" w:eastAsia="Arial" w:hAnsi="Arial"/>
                <w:sz w:val="16"/>
                <w:szCs w:val="16"/>
                <w:color w:val="auto"/>
                <w:w w:val="99"/>
              </w:rPr>
              <w:t>​(140,923)</w:t>
            </w:r>
          </w:p>
        </w:tc>
        <w:tc>
          <w:tcPr>
            <w:tcW w:w="1520" w:type="dxa"/>
            <w:vAlign w:val="bottom"/>
            <w:gridSpan w:val="4"/>
          </w:tcPr>
          <w:p>
            <w:pPr>
              <w:spacing w:after="0" w:line="169" w:lineRule="exact"/>
              <w:rPr>
                <w:sz w:val="20"/>
                <w:szCs w:val="20"/>
                <w:color w:val="auto"/>
              </w:rPr>
            </w:pPr>
            <w:r>
              <w:rPr>
                <w:rFonts w:ascii="Arial" w:cs="Arial" w:eastAsia="Arial" w:hAnsi="Arial"/>
                <w:sz w:val="16"/>
                <w:szCs w:val="16"/>
                <w:color w:val="auto"/>
              </w:rPr>
              <w:t>​(163,399)</w:t>
            </w: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740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gridSpan w:val="3"/>
          </w:tcPr>
          <w:p>
            <w:pPr>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840" w:type="dxa"/>
            <w:vAlign w:val="bottom"/>
          </w:tcPr>
          <w:p>
            <w:pPr>
              <w:jc w:val="right"/>
              <w:ind w:right="714"/>
              <w:spacing w:after="0" w:line="54" w:lineRule="exact"/>
              <w:rPr>
                <w:sz w:val="20"/>
                <w:szCs w:val="20"/>
                <w:color w:val="auto"/>
              </w:rPr>
            </w:pPr>
            <w:r>
              <w:rPr>
                <w:rFonts w:ascii="Arial" w:cs="Arial" w:eastAsia="Arial" w:hAnsi="Arial"/>
                <w:sz w:val="6"/>
                <w:szCs w:val="6"/>
                <w:color w:val="auto"/>
              </w:rPr>
              <w:t>​</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4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3"/>
            <w:shd w:val="clear" w:color="auto" w:fill="4B50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4B5088"/>
          </w:tcPr>
          <w:p>
            <w:pPr>
              <w:spacing w:after="0" w:line="20" w:lineRule="exact"/>
              <w:rPr>
                <w:sz w:val="1"/>
                <w:szCs w:val="1"/>
                <w:color w:val="auto"/>
              </w:rPr>
            </w:pPr>
          </w:p>
        </w:tc>
        <w:tc>
          <w:tcPr>
            <w:tcW w:w="600" w:type="dxa"/>
            <w:vAlign w:val="bottom"/>
            <w:shd w:val="clear" w:color="auto" w:fill="4B508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7400" w:type="dxa"/>
            <w:vAlign w:val="bottom"/>
          </w:tcPr>
          <w:p>
            <w:pPr>
              <w:spacing w:after="0" w:line="169" w:lineRule="exact"/>
              <w:rPr>
                <w:sz w:val="20"/>
                <w:szCs w:val="20"/>
                <w:color w:val="auto"/>
              </w:rPr>
            </w:pPr>
            <w:r>
              <w:rPr>
                <w:rFonts w:ascii="Arial" w:cs="Arial" w:eastAsia="Arial" w:hAnsi="Arial"/>
                <w:sz w:val="16"/>
                <w:szCs w:val="16"/>
                <w:b w:val="1"/>
                <w:bCs w:val="1"/>
                <w:color w:val="1F2668"/>
              </w:rPr>
              <w:t>Same-Store NOI</w:t>
            </w:r>
          </w:p>
        </w:tc>
        <w:tc>
          <w:tcPr>
            <w:tcW w:w="120" w:type="dxa"/>
            <w:vAlign w:val="bottom"/>
          </w:tcPr>
          <w:p>
            <w:pPr>
              <w:spacing w:after="0"/>
              <w:rPr>
                <w:sz w:val="14"/>
                <w:szCs w:val="14"/>
                <w:color w:val="auto"/>
              </w:rPr>
            </w:pPr>
          </w:p>
        </w:tc>
        <w:tc>
          <w:tcPr>
            <w:tcW w:w="760" w:type="dxa"/>
            <w:vAlign w:val="bottom"/>
            <w:gridSpan w:val="4"/>
          </w:tcPr>
          <w:p>
            <w:pPr>
              <w:jc w:val="right"/>
              <w:spacing w:after="0" w:line="169" w:lineRule="exact"/>
              <w:rPr>
                <w:sz w:val="20"/>
                <w:szCs w:val="20"/>
                <w:color w:val="auto"/>
              </w:rPr>
            </w:pPr>
            <w:r>
              <w:rPr>
                <w:rFonts w:ascii="Arial" w:cs="Arial" w:eastAsia="Arial" w:hAnsi="Arial"/>
                <w:sz w:val="16"/>
                <w:szCs w:val="16"/>
                <w:b w:val="1"/>
                <w:bCs w:val="1"/>
                <w:color w:val="1F2668"/>
              </w:rPr>
              <w:t>$ 617,559</w:t>
            </w:r>
          </w:p>
        </w:tc>
        <w:tc>
          <w:tcPr>
            <w:tcW w:w="100" w:type="dxa"/>
            <w:vAlign w:val="bottom"/>
          </w:tcPr>
          <w:p>
            <w:pPr>
              <w:spacing w:after="0"/>
              <w:rPr>
                <w:sz w:val="14"/>
                <w:szCs w:val="14"/>
                <w:color w:val="auto"/>
              </w:rPr>
            </w:pPr>
          </w:p>
        </w:tc>
        <w:tc>
          <w:tcPr>
            <w:tcW w:w="80" w:type="dxa"/>
            <w:vAlign w:val="bottom"/>
            <w:gridSpan w:val="2"/>
          </w:tcPr>
          <w:p>
            <w:pPr>
              <w:spacing w:after="0" w:line="169" w:lineRule="exact"/>
              <w:rPr>
                <w:sz w:val="20"/>
                <w:szCs w:val="20"/>
                <w:color w:val="auto"/>
              </w:rPr>
            </w:pPr>
            <w:r>
              <w:rPr>
                <w:rFonts w:ascii="Arial" w:cs="Arial" w:eastAsia="Arial" w:hAnsi="Arial"/>
                <w:sz w:val="16"/>
                <w:szCs w:val="16"/>
                <w:b w:val="1"/>
                <w:bCs w:val="1"/>
                <w:color w:val="1F2668"/>
              </w:rPr>
              <w:t>​</w:t>
            </w:r>
          </w:p>
        </w:tc>
        <w:tc>
          <w:tcPr>
            <w:tcW w:w="600" w:type="dxa"/>
            <w:vAlign w:val="bottom"/>
          </w:tcPr>
          <w:p>
            <w:pPr>
              <w:jc w:val="right"/>
              <w:spacing w:after="0" w:line="169" w:lineRule="exact"/>
              <w:rPr>
                <w:sz w:val="20"/>
                <w:szCs w:val="20"/>
                <w:color w:val="auto"/>
              </w:rPr>
            </w:pPr>
            <w:r>
              <w:rPr>
                <w:rFonts w:ascii="Arial" w:cs="Arial" w:eastAsia="Arial" w:hAnsi="Arial"/>
                <w:sz w:val="16"/>
                <w:szCs w:val="16"/>
                <w:b w:val="1"/>
                <w:bCs w:val="1"/>
                <w:color w:val="1F2668"/>
              </w:rPr>
              <w:t>643,479</w:t>
            </w:r>
          </w:p>
        </w:tc>
        <w:tc>
          <w:tcPr>
            <w:tcW w:w="840" w:type="dxa"/>
            <w:vAlign w:val="bottom"/>
            <w:vMerge w:val="restart"/>
          </w:tcPr>
          <w:p>
            <w:pPr>
              <w:jc w:val="right"/>
              <w:ind w:right="714"/>
              <w:spacing w:after="0"/>
              <w:rPr>
                <w:sz w:val="20"/>
                <w:szCs w:val="20"/>
                <w:color w:val="auto"/>
              </w:rPr>
            </w:pPr>
            <w:r>
              <w:rPr>
                <w:rFonts w:ascii="Arial" w:cs="Arial" w:eastAsia="Arial" w:hAnsi="Arial"/>
                <w:sz w:val="16"/>
                <w:szCs w:val="16"/>
                <w:b w:val="1"/>
                <w:bCs w:val="1"/>
                <w:color w:val="1F2668"/>
              </w:rPr>
              <w:t>​</w:t>
            </w: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740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Arial" w:cs="Arial" w:eastAsia="Arial" w:hAnsi="Arial"/>
                <w:sz w:val="6"/>
                <w:szCs w:val="6"/>
                <w:b w:val="1"/>
                <w:bCs w:val="1"/>
                <w:color w:val="1F2668"/>
              </w:rPr>
              <w:t>​​​</w:t>
            </w: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gridSpan w:val="3"/>
          </w:tcPr>
          <w:p>
            <w:pPr>
              <w:spacing w:after="0" w:line="54" w:lineRule="exact"/>
              <w:rPr>
                <w:sz w:val="20"/>
                <w:szCs w:val="20"/>
                <w:color w:val="auto"/>
              </w:rPr>
            </w:pPr>
            <w:r>
              <w:rPr>
                <w:rFonts w:ascii="Arial" w:cs="Arial" w:eastAsia="Arial" w:hAnsi="Arial"/>
                <w:sz w:val="6"/>
                <w:szCs w:val="6"/>
                <w:b w:val="1"/>
                <w:bCs w:val="1"/>
                <w:color w:val="1F2668"/>
              </w:rPr>
              <w:t>​​​</w:t>
            </w:r>
          </w:p>
        </w:tc>
        <w:tc>
          <w:tcPr>
            <w:tcW w:w="6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4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540" w:type="dxa"/>
            <w:vAlign w:val="bottom"/>
            <w:shd w:val="clear" w:color="auto" w:fill="4B50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4B5088"/>
          </w:tcPr>
          <w:p>
            <w:pPr>
              <w:spacing w:after="0" w:line="20" w:lineRule="exact"/>
              <w:rPr>
                <w:sz w:val="1"/>
                <w:szCs w:val="1"/>
                <w:color w:val="auto"/>
              </w:rPr>
            </w:pPr>
          </w:p>
        </w:tc>
        <w:tc>
          <w:tcPr>
            <w:tcW w:w="600" w:type="dxa"/>
            <w:vAlign w:val="bottom"/>
            <w:shd w:val="clear" w:color="auto" w:fill="4B508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7400" w:type="dxa"/>
            <w:vAlign w:val="bottom"/>
          </w:tcPr>
          <w:p>
            <w:pPr>
              <w:spacing w:after="0" w:line="169" w:lineRule="exact"/>
              <w:rPr>
                <w:sz w:val="20"/>
                <w:szCs w:val="20"/>
                <w:color w:val="auto"/>
              </w:rPr>
            </w:pPr>
            <w:r>
              <w:rPr>
                <w:rFonts w:ascii="Arial" w:cs="Arial" w:eastAsia="Arial" w:hAnsi="Arial"/>
                <w:sz w:val="16"/>
                <w:szCs w:val="16"/>
                <w:color w:val="auto"/>
              </w:rPr>
              <w:t>Straight-line and free rent</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56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323</w:t>
            </w:r>
          </w:p>
        </w:tc>
        <w:tc>
          <w:tcPr>
            <w:tcW w:w="100" w:type="dxa"/>
            <w:vAlign w:val="bottom"/>
          </w:tcPr>
          <w:p>
            <w:pPr>
              <w:spacing w:after="0"/>
              <w:rPr>
                <w:sz w:val="14"/>
                <w:szCs w:val="14"/>
                <w:color w:val="auto"/>
              </w:rPr>
            </w:pPr>
          </w:p>
        </w:tc>
        <w:tc>
          <w:tcPr>
            <w:tcW w:w="80" w:type="dxa"/>
            <w:vAlign w:val="bottom"/>
            <w:gridSpan w:val="2"/>
          </w:tcPr>
          <w:p>
            <w:pPr>
              <w:spacing w:after="0" w:line="169" w:lineRule="exact"/>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714"/>
              <w:spacing w:after="0" w:line="169" w:lineRule="exact"/>
              <w:rPr>
                <w:sz w:val="20"/>
                <w:szCs w:val="20"/>
                <w:color w:val="auto"/>
              </w:rPr>
            </w:pPr>
            <w:r>
              <w:rPr>
                <w:rFonts w:ascii="Arial" w:cs="Arial" w:eastAsia="Arial" w:hAnsi="Arial"/>
                <w:sz w:val="16"/>
                <w:szCs w:val="16"/>
                <w:color w:val="auto"/>
              </w:rPr>
              <w:t>(11,989)</w:t>
            </w: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740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gridSpan w:val="3"/>
          </w:tcPr>
          <w:p>
            <w:pPr>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840" w:type="dxa"/>
            <w:vAlign w:val="bottom"/>
          </w:tcPr>
          <w:p>
            <w:pPr>
              <w:jc w:val="right"/>
              <w:ind w:right="714"/>
              <w:spacing w:after="0" w:line="54" w:lineRule="exact"/>
              <w:rPr>
                <w:sz w:val="20"/>
                <w:szCs w:val="20"/>
                <w:color w:val="auto"/>
              </w:rPr>
            </w:pPr>
            <w:r>
              <w:rPr>
                <w:rFonts w:ascii="Arial" w:cs="Arial" w:eastAsia="Arial" w:hAnsi="Arial"/>
                <w:sz w:val="6"/>
                <w:szCs w:val="6"/>
                <w:color w:val="auto"/>
              </w:rPr>
              <w:t>​</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4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540" w:type="dxa"/>
            <w:vAlign w:val="bottom"/>
            <w:shd w:val="clear" w:color="auto" w:fill="4B50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4B5088"/>
          </w:tcPr>
          <w:p>
            <w:pPr>
              <w:spacing w:after="0" w:line="20" w:lineRule="exact"/>
              <w:rPr>
                <w:sz w:val="1"/>
                <w:szCs w:val="1"/>
                <w:color w:val="auto"/>
              </w:rPr>
            </w:pPr>
          </w:p>
        </w:tc>
        <w:tc>
          <w:tcPr>
            <w:tcW w:w="600" w:type="dxa"/>
            <w:vAlign w:val="bottom"/>
            <w:shd w:val="clear" w:color="auto" w:fill="4B508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7400" w:type="dxa"/>
            <w:vAlign w:val="bottom"/>
          </w:tcPr>
          <w:p>
            <w:pPr>
              <w:spacing w:after="0" w:line="169" w:lineRule="exact"/>
              <w:rPr>
                <w:sz w:val="20"/>
                <w:szCs w:val="20"/>
                <w:color w:val="auto"/>
              </w:rPr>
            </w:pPr>
            <w:r>
              <w:rPr>
                <w:rFonts w:ascii="Arial" w:cs="Arial" w:eastAsia="Arial" w:hAnsi="Arial"/>
                <w:sz w:val="16"/>
                <w:szCs w:val="16"/>
                <w:color w:val="auto"/>
              </w:rPr>
              <w:t>Amortization of acquired above and below-market leases, net</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56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2,578</w:t>
            </w:r>
          </w:p>
        </w:tc>
        <w:tc>
          <w:tcPr>
            <w:tcW w:w="100" w:type="dxa"/>
            <w:vAlign w:val="bottom"/>
          </w:tcPr>
          <w:p>
            <w:pPr>
              <w:spacing w:after="0"/>
              <w:rPr>
                <w:sz w:val="14"/>
                <w:szCs w:val="14"/>
                <w:color w:val="auto"/>
              </w:rPr>
            </w:pPr>
          </w:p>
        </w:tc>
        <w:tc>
          <w:tcPr>
            <w:tcW w:w="80" w:type="dxa"/>
            <w:vAlign w:val="bottom"/>
            <w:gridSpan w:val="2"/>
          </w:tcPr>
          <w:p>
            <w:pPr>
              <w:spacing w:after="0" w:line="169"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69" w:lineRule="exact"/>
              <w:rPr>
                <w:sz w:val="20"/>
                <w:szCs w:val="20"/>
                <w:color w:val="auto"/>
              </w:rPr>
            </w:pPr>
            <w:r>
              <w:rPr>
                <w:rFonts w:ascii="Arial" w:cs="Arial" w:eastAsia="Arial" w:hAnsi="Arial"/>
                <w:sz w:val="16"/>
                <w:szCs w:val="16"/>
                <w:color w:val="auto"/>
              </w:rPr>
              <w:t>560</w:t>
            </w:r>
          </w:p>
        </w:tc>
        <w:tc>
          <w:tcPr>
            <w:tcW w:w="840" w:type="dxa"/>
            <w:vAlign w:val="bottom"/>
            <w:vMerge w:val="restart"/>
          </w:tcPr>
          <w:p>
            <w:pPr>
              <w:jc w:val="right"/>
              <w:ind w:right="71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740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gridSpan w:val="3"/>
          </w:tcPr>
          <w:p>
            <w:pPr>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4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540" w:type="dxa"/>
            <w:vAlign w:val="bottom"/>
            <w:shd w:val="clear" w:color="auto" w:fill="4B50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4B5088"/>
          </w:tcPr>
          <w:p>
            <w:pPr>
              <w:spacing w:after="0" w:line="20" w:lineRule="exact"/>
              <w:rPr>
                <w:sz w:val="1"/>
                <w:szCs w:val="1"/>
                <w:color w:val="auto"/>
              </w:rPr>
            </w:pPr>
          </w:p>
        </w:tc>
        <w:tc>
          <w:tcPr>
            <w:tcW w:w="600" w:type="dxa"/>
            <w:vAlign w:val="bottom"/>
            <w:shd w:val="clear" w:color="auto" w:fill="4B508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7400" w:type="dxa"/>
            <w:vAlign w:val="bottom"/>
          </w:tcPr>
          <w:p>
            <w:pPr>
              <w:spacing w:after="0" w:line="169" w:lineRule="exact"/>
              <w:rPr>
                <w:sz w:val="20"/>
                <w:szCs w:val="20"/>
                <w:color w:val="auto"/>
              </w:rPr>
            </w:pPr>
            <w:r>
              <w:rPr>
                <w:rFonts w:ascii="Arial" w:cs="Arial" w:eastAsia="Arial" w:hAnsi="Arial"/>
                <w:sz w:val="16"/>
                <w:szCs w:val="16"/>
                <w:color w:val="auto"/>
              </w:rPr>
              <w:t>Operating lease straight-line adjustment</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56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815</w:t>
            </w:r>
          </w:p>
        </w:tc>
        <w:tc>
          <w:tcPr>
            <w:tcW w:w="100" w:type="dxa"/>
            <w:vAlign w:val="bottom"/>
          </w:tcPr>
          <w:p>
            <w:pPr>
              <w:spacing w:after="0"/>
              <w:rPr>
                <w:sz w:val="14"/>
                <w:szCs w:val="14"/>
                <w:color w:val="auto"/>
              </w:rPr>
            </w:pPr>
          </w:p>
        </w:tc>
        <w:tc>
          <w:tcPr>
            <w:tcW w:w="80" w:type="dxa"/>
            <w:vAlign w:val="bottom"/>
            <w:gridSpan w:val="2"/>
          </w:tcPr>
          <w:p>
            <w:pPr>
              <w:spacing w:after="0" w:line="169"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69" w:lineRule="exact"/>
              <w:rPr>
                <w:sz w:val="20"/>
                <w:szCs w:val="20"/>
                <w:color w:val="auto"/>
              </w:rPr>
            </w:pPr>
            <w:r>
              <w:rPr>
                <w:rFonts w:ascii="Arial" w:cs="Arial" w:eastAsia="Arial" w:hAnsi="Arial"/>
                <w:sz w:val="16"/>
                <w:szCs w:val="16"/>
                <w:color w:val="auto"/>
              </w:rPr>
              <w:t>815</w:t>
            </w:r>
          </w:p>
        </w:tc>
        <w:tc>
          <w:tcPr>
            <w:tcW w:w="840" w:type="dxa"/>
            <w:vAlign w:val="bottom"/>
            <w:vMerge w:val="restart"/>
          </w:tcPr>
          <w:p>
            <w:pPr>
              <w:jc w:val="right"/>
              <w:ind w:right="71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740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gridSpan w:val="3"/>
          </w:tcPr>
          <w:p>
            <w:pPr>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4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540" w:type="dxa"/>
            <w:vAlign w:val="bottom"/>
            <w:shd w:val="clear" w:color="auto" w:fill="4B508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shd w:val="clear" w:color="auto" w:fill="4B5088"/>
          </w:tcPr>
          <w:p>
            <w:pPr>
              <w:spacing w:after="0" w:line="20" w:lineRule="exact"/>
              <w:rPr>
                <w:sz w:val="1"/>
                <w:szCs w:val="1"/>
                <w:color w:val="auto"/>
              </w:rPr>
            </w:pPr>
          </w:p>
        </w:tc>
        <w:tc>
          <w:tcPr>
            <w:tcW w:w="600" w:type="dxa"/>
            <w:vAlign w:val="bottom"/>
            <w:shd w:val="clear" w:color="auto" w:fill="4B508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7400" w:type="dxa"/>
            <w:vAlign w:val="bottom"/>
          </w:tcPr>
          <w:p>
            <w:pPr>
              <w:spacing w:after="0" w:line="169" w:lineRule="exact"/>
              <w:rPr>
                <w:sz w:val="20"/>
                <w:szCs w:val="20"/>
                <w:color w:val="auto"/>
              </w:rPr>
            </w:pPr>
            <w:r>
              <w:rPr>
                <w:rFonts w:ascii="Arial" w:cs="Arial" w:eastAsia="Arial" w:hAnsi="Arial"/>
                <w:sz w:val="16"/>
                <w:szCs w:val="16"/>
                <w:color w:val="auto"/>
              </w:rPr>
              <w:t>SLG share of unconsolidated JV straight-line and free rent</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660" w:type="dxa"/>
            <w:vAlign w:val="bottom"/>
            <w:gridSpan w:val="3"/>
          </w:tcPr>
          <w:p>
            <w:pPr>
              <w:jc w:val="right"/>
              <w:ind w:right="30"/>
              <w:spacing w:after="0" w:line="169" w:lineRule="exact"/>
              <w:rPr>
                <w:sz w:val="20"/>
                <w:szCs w:val="20"/>
                <w:color w:val="auto"/>
              </w:rPr>
            </w:pPr>
            <w:r>
              <w:rPr>
                <w:rFonts w:ascii="Arial" w:cs="Arial" w:eastAsia="Arial" w:hAnsi="Arial"/>
                <w:sz w:val="16"/>
                <w:szCs w:val="16"/>
                <w:color w:val="auto"/>
              </w:rPr>
              <w:t>(9,687)</w:t>
            </w:r>
          </w:p>
        </w:tc>
        <w:tc>
          <w:tcPr>
            <w:tcW w:w="80" w:type="dxa"/>
            <w:vAlign w:val="bottom"/>
            <w:gridSpan w:val="2"/>
          </w:tcPr>
          <w:p>
            <w:pPr>
              <w:spacing w:after="0" w:line="169" w:lineRule="exact"/>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714"/>
              <w:spacing w:after="0" w:line="169" w:lineRule="exact"/>
              <w:rPr>
                <w:sz w:val="20"/>
                <w:szCs w:val="20"/>
                <w:color w:val="auto"/>
              </w:rPr>
            </w:pPr>
            <w:r>
              <w:rPr>
                <w:rFonts w:ascii="Arial" w:cs="Arial" w:eastAsia="Arial" w:hAnsi="Arial"/>
                <w:sz w:val="16"/>
                <w:szCs w:val="16"/>
                <w:color w:val="auto"/>
              </w:rPr>
              <w:t>(17,481)</w:t>
            </w: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740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gridSpan w:val="3"/>
          </w:tcPr>
          <w:p>
            <w:pPr>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840" w:type="dxa"/>
            <w:vAlign w:val="bottom"/>
          </w:tcPr>
          <w:p>
            <w:pPr>
              <w:jc w:val="right"/>
              <w:ind w:right="714"/>
              <w:spacing w:after="0" w:line="54" w:lineRule="exact"/>
              <w:rPr>
                <w:sz w:val="20"/>
                <w:szCs w:val="20"/>
                <w:color w:val="auto"/>
              </w:rPr>
            </w:pPr>
            <w:r>
              <w:rPr>
                <w:rFonts w:ascii="Arial" w:cs="Arial" w:eastAsia="Arial" w:hAnsi="Arial"/>
                <w:sz w:val="6"/>
                <w:szCs w:val="6"/>
                <w:color w:val="auto"/>
              </w:rPr>
              <w:t>​</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4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640" w:type="dxa"/>
            <w:vAlign w:val="bottom"/>
            <w:gridSpan w:val="2"/>
            <w:shd w:val="clear" w:color="auto" w:fill="4B508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shd w:val="clear" w:color="auto" w:fill="4B5088"/>
          </w:tcPr>
          <w:p>
            <w:pPr>
              <w:spacing w:after="0" w:line="20" w:lineRule="exact"/>
              <w:rPr>
                <w:sz w:val="1"/>
                <w:szCs w:val="1"/>
                <w:color w:val="auto"/>
              </w:rPr>
            </w:pPr>
          </w:p>
        </w:tc>
        <w:tc>
          <w:tcPr>
            <w:tcW w:w="600" w:type="dxa"/>
            <w:vAlign w:val="bottom"/>
            <w:shd w:val="clear" w:color="auto" w:fill="4B508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7400" w:type="dxa"/>
            <w:vAlign w:val="bottom"/>
          </w:tcPr>
          <w:p>
            <w:pPr>
              <w:spacing w:after="0" w:line="169" w:lineRule="exact"/>
              <w:rPr>
                <w:sz w:val="20"/>
                <w:szCs w:val="20"/>
                <w:color w:val="auto"/>
              </w:rPr>
            </w:pPr>
            <w:r>
              <w:rPr>
                <w:rFonts w:ascii="Arial" w:cs="Arial" w:eastAsia="Arial" w:hAnsi="Arial"/>
                <w:sz w:val="16"/>
                <w:szCs w:val="16"/>
                <w:color w:val="auto"/>
              </w:rPr>
              <w:t>SLG share of unconsolidated JV amortization of acquired above and below-market leases, net</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4"/>
          </w:tcPr>
          <w:p>
            <w:pPr>
              <w:jc w:val="right"/>
              <w:ind w:right="30"/>
              <w:spacing w:after="0" w:line="169" w:lineRule="exact"/>
              <w:rPr>
                <w:sz w:val="20"/>
                <w:szCs w:val="20"/>
                <w:color w:val="auto"/>
              </w:rPr>
            </w:pPr>
            <w:r>
              <w:rPr>
                <w:rFonts w:ascii="Arial" w:cs="Arial" w:eastAsia="Arial" w:hAnsi="Arial"/>
                <w:sz w:val="16"/>
                <w:szCs w:val="16"/>
                <w:color w:val="auto"/>
              </w:rPr>
              <w:t>​ (17,635)</w:t>
            </w:r>
          </w:p>
        </w:tc>
        <w:tc>
          <w:tcPr>
            <w:tcW w:w="80" w:type="dxa"/>
            <w:vAlign w:val="bottom"/>
            <w:gridSpan w:val="2"/>
          </w:tcPr>
          <w:p>
            <w:pPr>
              <w:spacing w:after="0" w:line="169" w:lineRule="exact"/>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714"/>
              <w:spacing w:after="0" w:line="169" w:lineRule="exact"/>
              <w:rPr>
                <w:sz w:val="20"/>
                <w:szCs w:val="20"/>
                <w:color w:val="auto"/>
              </w:rPr>
            </w:pPr>
            <w:r>
              <w:rPr>
                <w:rFonts w:ascii="Arial" w:cs="Arial" w:eastAsia="Arial" w:hAnsi="Arial"/>
                <w:sz w:val="16"/>
                <w:szCs w:val="16"/>
                <w:color w:val="auto"/>
              </w:rPr>
              <w:t>(17,161)</w:t>
            </w: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740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gridSpan w:val="3"/>
          </w:tcPr>
          <w:p>
            <w:pPr>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840" w:type="dxa"/>
            <w:vAlign w:val="bottom"/>
          </w:tcPr>
          <w:p>
            <w:pPr>
              <w:jc w:val="right"/>
              <w:ind w:right="714"/>
              <w:spacing w:after="0" w:line="54" w:lineRule="exact"/>
              <w:rPr>
                <w:sz w:val="20"/>
                <w:szCs w:val="20"/>
                <w:color w:val="auto"/>
              </w:rPr>
            </w:pPr>
            <w:r>
              <w:rPr>
                <w:rFonts w:ascii="Arial" w:cs="Arial" w:eastAsia="Arial" w:hAnsi="Arial"/>
                <w:sz w:val="6"/>
                <w:szCs w:val="6"/>
                <w:color w:val="auto"/>
              </w:rPr>
              <w:t>​</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4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540" w:type="dxa"/>
            <w:vAlign w:val="bottom"/>
            <w:shd w:val="clear" w:color="auto" w:fill="4B50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4B5088"/>
          </w:tcPr>
          <w:p>
            <w:pPr>
              <w:spacing w:after="0" w:line="20" w:lineRule="exact"/>
              <w:rPr>
                <w:sz w:val="1"/>
                <w:szCs w:val="1"/>
                <w:color w:val="auto"/>
              </w:rPr>
            </w:pPr>
          </w:p>
        </w:tc>
        <w:tc>
          <w:tcPr>
            <w:tcW w:w="600" w:type="dxa"/>
            <w:vAlign w:val="bottom"/>
            <w:shd w:val="clear" w:color="auto" w:fill="4B508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7400" w:type="dxa"/>
            <w:vAlign w:val="bottom"/>
          </w:tcPr>
          <w:p>
            <w:pPr>
              <w:spacing w:after="0" w:line="169" w:lineRule="exact"/>
              <w:rPr>
                <w:sz w:val="20"/>
                <w:szCs w:val="20"/>
                <w:color w:val="auto"/>
              </w:rPr>
            </w:pPr>
            <w:r>
              <w:rPr>
                <w:rFonts w:ascii="Arial" w:cs="Arial" w:eastAsia="Arial" w:hAnsi="Arial"/>
                <w:sz w:val="16"/>
                <w:szCs w:val="16"/>
                <w:color w:val="auto"/>
              </w:rPr>
              <w:t>SLG share of unconsolidated JV ground lease straight-line adjustment</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56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0" w:type="dxa"/>
            <w:vAlign w:val="bottom"/>
            <w:gridSpan w:val="2"/>
          </w:tcPr>
          <w:p>
            <w:pPr>
              <w:spacing w:after="0" w:line="169"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71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740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gridSpan w:val="3"/>
          </w:tcPr>
          <w:p>
            <w:pPr>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4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3"/>
            <w:shd w:val="clear" w:color="auto" w:fill="4B50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4B5088"/>
          </w:tcPr>
          <w:p>
            <w:pPr>
              <w:spacing w:after="0" w:line="20" w:lineRule="exact"/>
              <w:rPr>
                <w:sz w:val="1"/>
                <w:szCs w:val="1"/>
                <w:color w:val="auto"/>
              </w:rPr>
            </w:pPr>
          </w:p>
        </w:tc>
        <w:tc>
          <w:tcPr>
            <w:tcW w:w="600" w:type="dxa"/>
            <w:vAlign w:val="bottom"/>
            <w:shd w:val="clear" w:color="auto" w:fill="4B508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7400" w:type="dxa"/>
            <w:vAlign w:val="bottom"/>
          </w:tcPr>
          <w:p>
            <w:pPr>
              <w:spacing w:after="0" w:line="169" w:lineRule="exact"/>
              <w:rPr>
                <w:sz w:val="20"/>
                <w:szCs w:val="20"/>
                <w:color w:val="auto"/>
              </w:rPr>
            </w:pPr>
            <w:r>
              <w:rPr>
                <w:rFonts w:ascii="Arial" w:cs="Arial" w:eastAsia="Arial" w:hAnsi="Arial"/>
                <w:sz w:val="16"/>
                <w:szCs w:val="16"/>
                <w:b w:val="1"/>
                <w:bCs w:val="1"/>
                <w:color w:val="1F2668"/>
              </w:rPr>
              <w:t>Same-store cash NOI</w:t>
            </w:r>
          </w:p>
        </w:tc>
        <w:tc>
          <w:tcPr>
            <w:tcW w:w="120" w:type="dxa"/>
            <w:vAlign w:val="bottom"/>
          </w:tcPr>
          <w:p>
            <w:pPr>
              <w:spacing w:after="0"/>
              <w:rPr>
                <w:sz w:val="14"/>
                <w:szCs w:val="14"/>
                <w:color w:val="auto"/>
              </w:rPr>
            </w:pPr>
          </w:p>
        </w:tc>
        <w:tc>
          <w:tcPr>
            <w:tcW w:w="760" w:type="dxa"/>
            <w:vAlign w:val="bottom"/>
            <w:gridSpan w:val="4"/>
          </w:tcPr>
          <w:p>
            <w:pPr>
              <w:jc w:val="right"/>
              <w:spacing w:after="0" w:line="169" w:lineRule="exact"/>
              <w:rPr>
                <w:sz w:val="20"/>
                <w:szCs w:val="20"/>
                <w:color w:val="auto"/>
              </w:rPr>
            </w:pPr>
            <w:r>
              <w:rPr>
                <w:rFonts w:ascii="Arial" w:cs="Arial" w:eastAsia="Arial" w:hAnsi="Arial"/>
                <w:sz w:val="16"/>
                <w:szCs w:val="16"/>
                <w:b w:val="1"/>
                <w:bCs w:val="1"/>
                <w:color w:val="1F2668"/>
              </w:rPr>
              <w:t>$ 593,953</w:t>
            </w:r>
          </w:p>
        </w:tc>
        <w:tc>
          <w:tcPr>
            <w:tcW w:w="100" w:type="dxa"/>
            <w:vAlign w:val="bottom"/>
          </w:tcPr>
          <w:p>
            <w:pPr>
              <w:spacing w:after="0"/>
              <w:rPr>
                <w:sz w:val="14"/>
                <w:szCs w:val="14"/>
                <w:color w:val="auto"/>
              </w:rPr>
            </w:pPr>
          </w:p>
        </w:tc>
        <w:tc>
          <w:tcPr>
            <w:tcW w:w="80" w:type="dxa"/>
            <w:vAlign w:val="bottom"/>
            <w:gridSpan w:val="2"/>
          </w:tcPr>
          <w:p>
            <w:pPr>
              <w:spacing w:after="0" w:line="169" w:lineRule="exact"/>
              <w:rPr>
                <w:sz w:val="20"/>
                <w:szCs w:val="20"/>
                <w:color w:val="auto"/>
              </w:rPr>
            </w:pPr>
            <w:r>
              <w:rPr>
                <w:rFonts w:ascii="Arial" w:cs="Arial" w:eastAsia="Arial" w:hAnsi="Arial"/>
                <w:sz w:val="16"/>
                <w:szCs w:val="16"/>
                <w:b w:val="1"/>
                <w:bCs w:val="1"/>
                <w:color w:val="1F2668"/>
              </w:rPr>
              <w:t>​</w:t>
            </w:r>
          </w:p>
        </w:tc>
        <w:tc>
          <w:tcPr>
            <w:tcW w:w="600" w:type="dxa"/>
            <w:vAlign w:val="bottom"/>
          </w:tcPr>
          <w:p>
            <w:pPr>
              <w:jc w:val="right"/>
              <w:spacing w:after="0" w:line="169" w:lineRule="exact"/>
              <w:rPr>
                <w:sz w:val="20"/>
                <w:szCs w:val="20"/>
                <w:color w:val="auto"/>
              </w:rPr>
            </w:pPr>
            <w:r>
              <w:rPr>
                <w:rFonts w:ascii="Arial" w:cs="Arial" w:eastAsia="Arial" w:hAnsi="Arial"/>
                <w:sz w:val="16"/>
                <w:szCs w:val="16"/>
                <w:b w:val="1"/>
                <w:bCs w:val="1"/>
                <w:color w:val="1F2668"/>
              </w:rPr>
              <w:t>598,223</w:t>
            </w:r>
          </w:p>
        </w:tc>
        <w:tc>
          <w:tcPr>
            <w:tcW w:w="840" w:type="dxa"/>
            <w:vAlign w:val="bottom"/>
            <w:vMerge w:val="restart"/>
          </w:tcPr>
          <w:p>
            <w:pPr>
              <w:jc w:val="right"/>
              <w:ind w:right="714"/>
              <w:spacing w:after="0"/>
              <w:rPr>
                <w:sz w:val="20"/>
                <w:szCs w:val="20"/>
                <w:color w:val="auto"/>
              </w:rPr>
            </w:pPr>
            <w:r>
              <w:rPr>
                <w:rFonts w:ascii="Arial" w:cs="Arial" w:eastAsia="Arial" w:hAnsi="Arial"/>
                <w:sz w:val="16"/>
                <w:szCs w:val="16"/>
                <w:b w:val="1"/>
                <w:bCs w:val="1"/>
                <w:color w:val="1F2668"/>
              </w:rPr>
              <w:t>​</w:t>
            </w: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740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Arial" w:cs="Arial" w:eastAsia="Arial" w:hAnsi="Arial"/>
                <w:sz w:val="6"/>
                <w:szCs w:val="6"/>
                <w:b w:val="1"/>
                <w:bCs w:val="1"/>
                <w:color w:val="1F2668"/>
              </w:rPr>
              <w:t>​​​</w:t>
            </w: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gridSpan w:val="3"/>
          </w:tcPr>
          <w:p>
            <w:pPr>
              <w:spacing w:after="0" w:line="54" w:lineRule="exact"/>
              <w:rPr>
                <w:sz w:val="20"/>
                <w:szCs w:val="20"/>
                <w:color w:val="auto"/>
              </w:rPr>
            </w:pPr>
            <w:r>
              <w:rPr>
                <w:rFonts w:ascii="Arial" w:cs="Arial" w:eastAsia="Arial" w:hAnsi="Arial"/>
                <w:sz w:val="6"/>
                <w:szCs w:val="6"/>
                <w:b w:val="1"/>
                <w:bCs w:val="1"/>
                <w:color w:val="1F2668"/>
              </w:rPr>
              <w:t>​​​</w:t>
            </w:r>
          </w:p>
        </w:tc>
        <w:tc>
          <w:tcPr>
            <w:tcW w:w="6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4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540" w:type="dxa"/>
            <w:vAlign w:val="bottom"/>
            <w:shd w:val="clear" w:color="auto" w:fill="4B508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shd w:val="clear" w:color="auto" w:fill="4B5088"/>
          </w:tcPr>
          <w:p>
            <w:pPr>
              <w:spacing w:after="0" w:line="20" w:lineRule="exact"/>
              <w:rPr>
                <w:sz w:val="1"/>
                <w:szCs w:val="1"/>
                <w:color w:val="auto"/>
              </w:rPr>
            </w:pPr>
          </w:p>
        </w:tc>
        <w:tc>
          <w:tcPr>
            <w:tcW w:w="600" w:type="dxa"/>
            <w:vAlign w:val="bottom"/>
            <w:shd w:val="clear" w:color="auto" w:fill="4B508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7400" w:type="dxa"/>
            <w:vAlign w:val="bottom"/>
          </w:tcPr>
          <w:p>
            <w:pPr>
              <w:spacing w:after="0" w:line="169" w:lineRule="exact"/>
              <w:rPr>
                <w:sz w:val="20"/>
                <w:szCs w:val="20"/>
                <w:color w:val="auto"/>
              </w:rPr>
            </w:pPr>
            <w:r>
              <w:rPr>
                <w:rFonts w:ascii="Arial" w:cs="Arial" w:eastAsia="Arial" w:hAnsi="Arial"/>
                <w:sz w:val="16"/>
                <w:szCs w:val="16"/>
                <w:color w:val="auto"/>
              </w:rPr>
              <w:t>Lease termination income</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660" w:type="dxa"/>
            <w:vAlign w:val="bottom"/>
            <w:gridSpan w:val="3"/>
          </w:tcPr>
          <w:p>
            <w:pPr>
              <w:jc w:val="right"/>
              <w:ind w:right="30"/>
              <w:spacing w:after="0" w:line="169" w:lineRule="exact"/>
              <w:rPr>
                <w:sz w:val="20"/>
                <w:szCs w:val="20"/>
                <w:color w:val="auto"/>
              </w:rPr>
            </w:pPr>
            <w:r>
              <w:rPr>
                <w:rFonts w:ascii="Arial" w:cs="Arial" w:eastAsia="Arial" w:hAnsi="Arial"/>
                <w:sz w:val="16"/>
                <w:szCs w:val="16"/>
                <w:color w:val="auto"/>
              </w:rPr>
              <w:t>(6,338)</w:t>
            </w:r>
          </w:p>
        </w:tc>
        <w:tc>
          <w:tcPr>
            <w:tcW w:w="80" w:type="dxa"/>
            <w:vAlign w:val="bottom"/>
            <w:gridSpan w:val="2"/>
          </w:tcPr>
          <w:p>
            <w:pPr>
              <w:spacing w:after="0" w:line="169" w:lineRule="exact"/>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714"/>
              <w:spacing w:after="0" w:line="169" w:lineRule="exact"/>
              <w:rPr>
                <w:sz w:val="20"/>
                <w:szCs w:val="20"/>
                <w:color w:val="auto"/>
              </w:rPr>
            </w:pPr>
            <w:r>
              <w:rPr>
                <w:rFonts w:ascii="Arial" w:cs="Arial" w:eastAsia="Arial" w:hAnsi="Arial"/>
                <w:sz w:val="16"/>
                <w:szCs w:val="16"/>
                <w:color w:val="auto"/>
              </w:rPr>
              <w:t>(4,054)</w:t>
            </w: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740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gridSpan w:val="3"/>
          </w:tcPr>
          <w:p>
            <w:pPr>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840" w:type="dxa"/>
            <w:vAlign w:val="bottom"/>
          </w:tcPr>
          <w:p>
            <w:pPr>
              <w:jc w:val="right"/>
              <w:ind w:right="714"/>
              <w:spacing w:after="0" w:line="54" w:lineRule="exact"/>
              <w:rPr>
                <w:sz w:val="20"/>
                <w:szCs w:val="20"/>
                <w:color w:val="auto"/>
              </w:rPr>
            </w:pPr>
            <w:r>
              <w:rPr>
                <w:rFonts w:ascii="Arial" w:cs="Arial" w:eastAsia="Arial" w:hAnsi="Arial"/>
                <w:sz w:val="6"/>
                <w:szCs w:val="6"/>
                <w:color w:val="auto"/>
              </w:rPr>
              <w:t>​</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4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100" w:type="dxa"/>
            <w:vAlign w:val="bottom"/>
            <w:shd w:val="clear" w:color="auto" w:fill="4B5088"/>
          </w:tcPr>
          <w:p>
            <w:pPr>
              <w:spacing w:after="0" w:line="20" w:lineRule="exact"/>
              <w:rPr>
                <w:sz w:val="1"/>
                <w:szCs w:val="1"/>
                <w:color w:val="auto"/>
              </w:rPr>
            </w:pPr>
          </w:p>
        </w:tc>
        <w:tc>
          <w:tcPr>
            <w:tcW w:w="540" w:type="dxa"/>
            <w:vAlign w:val="bottom"/>
            <w:shd w:val="clear" w:color="auto" w:fill="4B508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shd w:val="clear" w:color="auto" w:fill="4B5088"/>
          </w:tcPr>
          <w:p>
            <w:pPr>
              <w:spacing w:after="0" w:line="20" w:lineRule="exact"/>
              <w:rPr>
                <w:sz w:val="1"/>
                <w:szCs w:val="1"/>
                <w:color w:val="auto"/>
              </w:rPr>
            </w:pPr>
          </w:p>
        </w:tc>
        <w:tc>
          <w:tcPr>
            <w:tcW w:w="600" w:type="dxa"/>
            <w:vAlign w:val="bottom"/>
            <w:shd w:val="clear" w:color="auto" w:fill="4B508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7400" w:type="dxa"/>
            <w:vAlign w:val="bottom"/>
          </w:tcPr>
          <w:p>
            <w:pPr>
              <w:spacing w:after="0" w:line="169" w:lineRule="exact"/>
              <w:rPr>
                <w:sz w:val="20"/>
                <w:szCs w:val="20"/>
                <w:color w:val="auto"/>
              </w:rPr>
            </w:pPr>
            <w:r>
              <w:rPr>
                <w:rFonts w:ascii="Arial" w:cs="Arial" w:eastAsia="Arial" w:hAnsi="Arial"/>
                <w:sz w:val="16"/>
                <w:szCs w:val="16"/>
                <w:color w:val="auto"/>
              </w:rPr>
              <w:t>SLG share of unconsolidated JV lease termination income</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660" w:type="dxa"/>
            <w:vAlign w:val="bottom"/>
            <w:gridSpan w:val="3"/>
          </w:tcPr>
          <w:p>
            <w:pPr>
              <w:jc w:val="right"/>
              <w:ind w:right="30"/>
              <w:spacing w:after="0" w:line="169" w:lineRule="exact"/>
              <w:rPr>
                <w:sz w:val="20"/>
                <w:szCs w:val="20"/>
                <w:color w:val="auto"/>
              </w:rPr>
            </w:pPr>
            <w:r>
              <w:rPr>
                <w:rFonts w:ascii="Arial" w:cs="Arial" w:eastAsia="Arial" w:hAnsi="Arial"/>
                <w:sz w:val="16"/>
                <w:szCs w:val="16"/>
                <w:color w:val="auto"/>
              </w:rPr>
              <w:t>(3,055)</w:t>
            </w:r>
          </w:p>
        </w:tc>
        <w:tc>
          <w:tcPr>
            <w:tcW w:w="80" w:type="dxa"/>
            <w:vAlign w:val="bottom"/>
            <w:gridSpan w:val="2"/>
          </w:tcPr>
          <w:p>
            <w:pPr>
              <w:spacing w:after="0" w:line="169" w:lineRule="exact"/>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714"/>
              <w:spacing w:after="0" w:line="169" w:lineRule="exact"/>
              <w:rPr>
                <w:sz w:val="20"/>
                <w:szCs w:val="20"/>
                <w:color w:val="auto"/>
              </w:rPr>
            </w:pPr>
            <w:r>
              <w:rPr>
                <w:rFonts w:ascii="Arial" w:cs="Arial" w:eastAsia="Arial" w:hAnsi="Arial"/>
                <w:sz w:val="16"/>
                <w:szCs w:val="16"/>
                <w:color w:val="auto"/>
              </w:rPr>
              <w:t>(2,251)</w:t>
            </w: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740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gridSpan w:val="3"/>
          </w:tcPr>
          <w:p>
            <w:pPr>
              <w:spacing w:after="0" w:line="54" w:lineRule="exact"/>
              <w:rPr>
                <w:sz w:val="20"/>
                <w:szCs w:val="20"/>
                <w:color w:val="auto"/>
              </w:rPr>
            </w:pPr>
            <w:r>
              <w:rPr>
                <w:rFonts w:ascii="Arial" w:cs="Arial" w:eastAsia="Arial" w:hAnsi="Arial"/>
                <w:sz w:val="6"/>
                <w:szCs w:val="6"/>
                <w:color w:val="auto"/>
              </w:rPr>
              <w:t>​​​</w:t>
            </w:r>
          </w:p>
        </w:tc>
        <w:tc>
          <w:tcPr>
            <w:tcW w:w="600" w:type="dxa"/>
            <w:vAlign w:val="bottom"/>
          </w:tcPr>
          <w:p>
            <w:pPr>
              <w:spacing w:after="0"/>
              <w:rPr>
                <w:sz w:val="4"/>
                <w:szCs w:val="4"/>
                <w:color w:val="auto"/>
              </w:rPr>
            </w:pPr>
          </w:p>
        </w:tc>
        <w:tc>
          <w:tcPr>
            <w:tcW w:w="840" w:type="dxa"/>
            <w:vAlign w:val="bottom"/>
          </w:tcPr>
          <w:p>
            <w:pPr>
              <w:jc w:val="right"/>
              <w:ind w:right="714"/>
              <w:spacing w:after="0" w:line="54" w:lineRule="exact"/>
              <w:rPr>
                <w:sz w:val="20"/>
                <w:szCs w:val="20"/>
                <w:color w:val="auto"/>
              </w:rPr>
            </w:pPr>
            <w:r>
              <w:rPr>
                <w:rFonts w:ascii="Arial" w:cs="Arial" w:eastAsia="Arial" w:hAnsi="Arial"/>
                <w:sz w:val="6"/>
                <w:szCs w:val="6"/>
                <w:color w:val="auto"/>
              </w:rPr>
              <w:t>​</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400" w:type="dxa"/>
            <w:vAlign w:val="bottom"/>
            <w:shd w:val="clear" w:color="auto" w:fill="4B50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3"/>
            <w:shd w:val="clear" w:color="auto" w:fill="4B50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4B5088"/>
          </w:tcPr>
          <w:p>
            <w:pPr>
              <w:spacing w:after="0" w:line="20" w:lineRule="exact"/>
              <w:rPr>
                <w:sz w:val="1"/>
                <w:szCs w:val="1"/>
                <w:color w:val="auto"/>
              </w:rPr>
            </w:pPr>
          </w:p>
        </w:tc>
        <w:tc>
          <w:tcPr>
            <w:tcW w:w="600" w:type="dxa"/>
            <w:vAlign w:val="bottom"/>
            <w:shd w:val="clear" w:color="auto" w:fill="4B508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7400" w:type="dxa"/>
            <w:vAlign w:val="bottom"/>
          </w:tcPr>
          <w:p>
            <w:pPr>
              <w:spacing w:after="0" w:line="169" w:lineRule="exact"/>
              <w:rPr>
                <w:sz w:val="20"/>
                <w:szCs w:val="20"/>
                <w:color w:val="auto"/>
              </w:rPr>
            </w:pPr>
            <w:r>
              <w:rPr>
                <w:rFonts w:ascii="Arial" w:cs="Arial" w:eastAsia="Arial" w:hAnsi="Arial"/>
                <w:sz w:val="16"/>
                <w:szCs w:val="16"/>
                <w:b w:val="1"/>
                <w:bCs w:val="1"/>
                <w:color w:val="1F2668"/>
              </w:rPr>
              <w:t>Same-store cash NOI excluding lease termination income</w:t>
            </w:r>
          </w:p>
        </w:tc>
        <w:tc>
          <w:tcPr>
            <w:tcW w:w="120" w:type="dxa"/>
            <w:vAlign w:val="bottom"/>
          </w:tcPr>
          <w:p>
            <w:pPr>
              <w:spacing w:after="0"/>
              <w:rPr>
                <w:sz w:val="14"/>
                <w:szCs w:val="14"/>
                <w:color w:val="auto"/>
              </w:rPr>
            </w:pPr>
          </w:p>
        </w:tc>
        <w:tc>
          <w:tcPr>
            <w:tcW w:w="760" w:type="dxa"/>
            <w:vAlign w:val="bottom"/>
            <w:gridSpan w:val="4"/>
          </w:tcPr>
          <w:p>
            <w:pPr>
              <w:jc w:val="right"/>
              <w:spacing w:after="0" w:line="169" w:lineRule="exact"/>
              <w:rPr>
                <w:sz w:val="20"/>
                <w:szCs w:val="20"/>
                <w:color w:val="auto"/>
              </w:rPr>
            </w:pPr>
            <w:r>
              <w:rPr>
                <w:rFonts w:ascii="Arial" w:cs="Arial" w:eastAsia="Arial" w:hAnsi="Arial"/>
                <w:sz w:val="16"/>
                <w:szCs w:val="16"/>
                <w:b w:val="1"/>
                <w:bCs w:val="1"/>
                <w:color w:val="1F2668"/>
              </w:rPr>
              <w:t>$ 584,560</w:t>
            </w:r>
          </w:p>
        </w:tc>
        <w:tc>
          <w:tcPr>
            <w:tcW w:w="100" w:type="dxa"/>
            <w:vAlign w:val="bottom"/>
          </w:tcPr>
          <w:p>
            <w:pPr>
              <w:spacing w:after="0"/>
              <w:rPr>
                <w:sz w:val="14"/>
                <w:szCs w:val="14"/>
                <w:color w:val="auto"/>
              </w:rPr>
            </w:pPr>
          </w:p>
        </w:tc>
        <w:tc>
          <w:tcPr>
            <w:tcW w:w="80" w:type="dxa"/>
            <w:vAlign w:val="bottom"/>
            <w:gridSpan w:val="2"/>
          </w:tcPr>
          <w:p>
            <w:pPr>
              <w:spacing w:after="0" w:line="169" w:lineRule="exact"/>
              <w:rPr>
                <w:sz w:val="20"/>
                <w:szCs w:val="20"/>
                <w:color w:val="auto"/>
              </w:rPr>
            </w:pPr>
            <w:r>
              <w:rPr>
                <w:rFonts w:ascii="Arial" w:cs="Arial" w:eastAsia="Arial" w:hAnsi="Arial"/>
                <w:sz w:val="16"/>
                <w:szCs w:val="16"/>
                <w:b w:val="1"/>
                <w:bCs w:val="1"/>
                <w:color w:val="1F2668"/>
              </w:rPr>
              <w:t>​</w:t>
            </w:r>
          </w:p>
        </w:tc>
        <w:tc>
          <w:tcPr>
            <w:tcW w:w="600" w:type="dxa"/>
            <w:vAlign w:val="bottom"/>
          </w:tcPr>
          <w:p>
            <w:pPr>
              <w:jc w:val="right"/>
              <w:spacing w:after="0" w:line="169" w:lineRule="exact"/>
              <w:rPr>
                <w:sz w:val="20"/>
                <w:szCs w:val="20"/>
                <w:color w:val="auto"/>
              </w:rPr>
            </w:pPr>
            <w:r>
              <w:rPr>
                <w:rFonts w:ascii="Arial" w:cs="Arial" w:eastAsia="Arial" w:hAnsi="Arial"/>
                <w:sz w:val="16"/>
                <w:szCs w:val="16"/>
                <w:b w:val="1"/>
                <w:bCs w:val="1"/>
                <w:color w:val="1F2668"/>
              </w:rPr>
              <w:t>591,918</w:t>
            </w:r>
          </w:p>
        </w:tc>
        <w:tc>
          <w:tcPr>
            <w:tcW w:w="840" w:type="dxa"/>
            <w:vAlign w:val="bottom"/>
            <w:vMerge w:val="restart"/>
          </w:tcPr>
          <w:p>
            <w:pPr>
              <w:jc w:val="right"/>
              <w:ind w:right="714"/>
              <w:spacing w:after="0"/>
              <w:rPr>
                <w:sz w:val="20"/>
                <w:szCs w:val="20"/>
                <w:color w:val="auto"/>
              </w:rPr>
            </w:pPr>
            <w:r>
              <w:rPr>
                <w:rFonts w:ascii="Arial" w:cs="Arial" w:eastAsia="Arial" w:hAnsi="Arial"/>
                <w:sz w:val="16"/>
                <w:szCs w:val="16"/>
                <w:b w:val="1"/>
                <w:bCs w:val="1"/>
                <w:color w:val="1F2668"/>
              </w:rPr>
              <w:t>​</w:t>
            </w: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740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Arial" w:cs="Arial" w:eastAsia="Arial" w:hAnsi="Arial"/>
                <w:sz w:val="6"/>
                <w:szCs w:val="6"/>
                <w:b w:val="1"/>
                <w:bCs w:val="1"/>
                <w:color w:val="1F2668"/>
              </w:rPr>
              <w:t>​​​</w:t>
            </w: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gridSpan w:val="3"/>
          </w:tcPr>
          <w:p>
            <w:pPr>
              <w:spacing w:after="0" w:line="54" w:lineRule="exact"/>
              <w:rPr>
                <w:sz w:val="20"/>
                <w:szCs w:val="20"/>
                <w:color w:val="auto"/>
              </w:rPr>
            </w:pPr>
            <w:r>
              <w:rPr>
                <w:rFonts w:ascii="Arial" w:cs="Arial" w:eastAsia="Arial" w:hAnsi="Arial"/>
                <w:sz w:val="6"/>
                <w:szCs w:val="6"/>
                <w:b w:val="1"/>
                <w:bCs w:val="1"/>
                <w:color w:val="1F2668"/>
              </w:rPr>
              <w:t>​​​</w:t>
            </w:r>
          </w:p>
        </w:tc>
        <w:tc>
          <w:tcPr>
            <w:tcW w:w="6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5"/>
        </w:trPr>
        <w:tc>
          <w:tcPr>
            <w:tcW w:w="820" w:type="dxa"/>
            <w:vAlign w:val="bottom"/>
            <w:tcBorders>
              <w:bottom w:val="single" w:sz="8" w:color="9A9A9A"/>
            </w:tcBorders>
          </w:tcPr>
          <w:p>
            <w:pPr>
              <w:spacing w:after="0"/>
              <w:rPr>
                <w:sz w:val="24"/>
                <w:szCs w:val="24"/>
                <w:color w:val="auto"/>
              </w:rPr>
            </w:pPr>
          </w:p>
        </w:tc>
        <w:tc>
          <w:tcPr>
            <w:tcW w:w="7400" w:type="dxa"/>
            <w:vAlign w:val="bottom"/>
            <w:tcBorders>
              <w:top w:val="single" w:sz="8" w:color="1F2668"/>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top w:val="single" w:sz="8" w:color="1F2668"/>
              <w:bottom w:val="single" w:sz="8" w:color="9A9A9A"/>
            </w:tcBorders>
          </w:tcPr>
          <w:p>
            <w:pPr>
              <w:spacing w:after="0"/>
              <w:rPr>
                <w:sz w:val="24"/>
                <w:szCs w:val="24"/>
                <w:color w:val="auto"/>
              </w:rPr>
            </w:pPr>
          </w:p>
        </w:tc>
        <w:tc>
          <w:tcPr>
            <w:tcW w:w="100" w:type="dxa"/>
            <w:vAlign w:val="bottom"/>
            <w:tcBorders>
              <w:top w:val="single" w:sz="8" w:color="1F2668"/>
              <w:bottom w:val="single" w:sz="8" w:color="9A9A9A"/>
            </w:tcBorders>
          </w:tcPr>
          <w:p>
            <w:pPr>
              <w:spacing w:after="0"/>
              <w:rPr>
                <w:sz w:val="24"/>
                <w:szCs w:val="24"/>
                <w:color w:val="auto"/>
              </w:rPr>
            </w:pPr>
          </w:p>
        </w:tc>
        <w:tc>
          <w:tcPr>
            <w:tcW w:w="540" w:type="dxa"/>
            <w:vAlign w:val="bottom"/>
            <w:tcBorders>
              <w:top w:val="single" w:sz="8" w:color="1F2668"/>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top w:val="single" w:sz="8" w:color="1F2668"/>
              <w:bottom w:val="single" w:sz="8" w:color="9A9A9A"/>
            </w:tcBorders>
          </w:tcPr>
          <w:p>
            <w:pPr>
              <w:spacing w:after="0"/>
              <w:rPr>
                <w:sz w:val="24"/>
                <w:szCs w:val="24"/>
                <w:color w:val="auto"/>
              </w:rPr>
            </w:pPr>
          </w:p>
        </w:tc>
        <w:tc>
          <w:tcPr>
            <w:tcW w:w="600" w:type="dxa"/>
            <w:vAlign w:val="bottom"/>
            <w:tcBorders>
              <w:top w:val="single" w:sz="8" w:color="1F2668"/>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29" w:name="page130"/>
    <w:bookmarkEnd w:id="1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p>
      <w:pPr>
        <w:ind w:left="820"/>
        <w:spacing w:after="0"/>
        <w:tabs>
          <w:tab w:leader="none" w:pos="1440" w:val="left"/>
          <w:tab w:leader="none" w:pos="9860" w:val="left"/>
        </w:tabs>
        <w:rPr>
          <w:sz w:val="20"/>
          <w:szCs w:val="20"/>
          <w:color w:val="auto"/>
        </w:rPr>
      </w:pPr>
      <w:r>
        <w:rPr>
          <w:rFonts w:ascii="Arial" w:cs="Arial" w:eastAsia="Arial" w:hAnsi="Arial"/>
          <w:sz w:val="22"/>
          <w:szCs w:val="22"/>
          <w:b w:val="1"/>
          <w:bCs w:val="1"/>
          <w:color w:val="1F2668"/>
        </w:rPr>
        <w:t>​B-4</w:t>
        <w:tab/>
        <w:t xml:space="preserve">​ ​ </w:t>
      </w:r>
      <w:r>
        <w:rPr>
          <w:rFonts w:ascii="Arial" w:cs="Arial" w:eastAsia="Arial" w:hAnsi="Arial"/>
          <w:sz w:val="14"/>
          <w:szCs w:val="14"/>
          <w:b w:val="1"/>
          <w:bCs w:val="1"/>
          <w:color w:val="1F2668"/>
        </w:rPr>
        <w:t>SL GREEN REALTY CORP. 2025 PROXY STATEMENT</w:t>
      </w:r>
      <w:r>
        <w:rPr>
          <w:sz w:val="20"/>
          <w:szCs w:val="20"/>
          <w:color w:val="auto"/>
        </w:rPr>
        <w:tab/>
      </w:r>
      <w:r>
        <w:rPr>
          <w:rFonts w:ascii="Arial" w:cs="Arial" w:eastAsia="Arial" w:hAnsi="Arial"/>
          <w:sz w:val="22"/>
          <w:szCs w:val="22"/>
          <w:b w:val="1"/>
          <w:bCs w:val="1"/>
          <w:color w:val="1F2668"/>
        </w:rPr>
        <w:t>​</w:t>
      </w:r>
    </w:p>
    <w:p>
      <w:pPr>
        <w:spacing w:after="0" w:line="200" w:lineRule="exact"/>
        <w:rPr>
          <w:sz w:val="20"/>
          <w:szCs w:val="20"/>
          <w:color w:val="auto"/>
        </w:rPr>
      </w:pPr>
    </w:p>
    <w:p>
      <w:pPr>
        <w:spacing w:after="0" w:line="292" w:lineRule="exact"/>
        <w:rPr>
          <w:sz w:val="20"/>
          <w:szCs w:val="20"/>
          <w:color w:val="auto"/>
        </w:rPr>
      </w:pPr>
    </w:p>
    <w:p>
      <w:pPr>
        <w:ind w:left="820"/>
        <w:spacing w:after="0"/>
        <w:rPr>
          <w:sz w:val="20"/>
          <w:szCs w:val="20"/>
          <w:color w:val="auto"/>
        </w:rPr>
      </w:pPr>
      <w:r>
        <w:rPr>
          <w:rFonts w:ascii="Arial" w:cs="Arial" w:eastAsia="Arial" w:hAnsi="Arial"/>
          <w:sz w:val="16"/>
          <w:szCs w:val="16"/>
          <w:b w:val="1"/>
          <w:bCs w:val="1"/>
          <w:i w:val="1"/>
          <w:iCs w:val="1"/>
          <w:color w:val="1F2668"/>
        </w:rPr>
        <w:t>Notes:</w:t>
      </w:r>
    </w:p>
    <w:p>
      <w:pPr>
        <w:spacing w:after="0" w:line="233"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1F2668"/>
        </w:rPr>
        <w:t>Funds from Operations and Normalized Funds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-4445</wp:posOffset>
            </wp:positionV>
            <wp:extent cx="303784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3037840" cy="8255"/>
                    </a:xfrm>
                    <a:prstGeom prst="rect">
                      <a:avLst/>
                    </a:prstGeom>
                    <a:noFill/>
                  </pic:spPr>
                </pic:pic>
              </a:graphicData>
            </a:graphic>
          </wp:anchor>
        </w:drawing>
      </w:r>
    </w:p>
    <w:p>
      <w:pPr>
        <w:spacing w:after="0" w:line="134" w:lineRule="exact"/>
        <w:rPr>
          <w:sz w:val="20"/>
          <w:szCs w:val="20"/>
          <w:color w:val="auto"/>
        </w:rPr>
      </w:pPr>
    </w:p>
    <w:p>
      <w:pPr>
        <w:ind w:left="820" w:right="140"/>
        <w:spacing w:after="0" w:line="276" w:lineRule="auto"/>
        <w:rPr>
          <w:sz w:val="20"/>
          <w:szCs w:val="20"/>
          <w:color w:val="auto"/>
        </w:rPr>
      </w:pPr>
      <w:r>
        <w:rPr>
          <w:rFonts w:ascii="Arial" w:cs="Arial" w:eastAsia="Arial" w:hAnsi="Arial"/>
          <w:sz w:val="16"/>
          <w:szCs w:val="16"/>
          <w:color w:val="auto"/>
        </w:rPr>
        <w:t>Funds from Operations, or FFO, is a widely recognized non-GAAP financial measure of REIT performance. We compute FFO in accordance with standards established by NAREIT, which may not be comparable to FFO reported by other REITs that do not compute FFO in accordance with the NAREIT definition, or that interpret the NAREIT definition differently than we do. The revised White Paper on FFO approved by the Board of Governors of NAREIT in April 2002, and subsequently amended in December 2018, defines FFO as net income (loss) (computed in accordance with GAAP), excluding gains (or losses) from sales of properties, and real estate related impairment charges, plus real estate related depreciation and amortization and after adjustments for unconsolidated partnerships and joint ventures.</w:t>
      </w:r>
    </w:p>
    <w:p>
      <w:pPr>
        <w:spacing w:after="0" w:line="112" w:lineRule="exact"/>
        <w:rPr>
          <w:sz w:val="20"/>
          <w:szCs w:val="20"/>
          <w:color w:val="auto"/>
        </w:rPr>
      </w:pPr>
    </w:p>
    <w:p>
      <w:pPr>
        <w:ind w:left="820" w:right="80"/>
        <w:spacing w:after="0" w:line="273" w:lineRule="auto"/>
        <w:rPr>
          <w:sz w:val="20"/>
          <w:szCs w:val="20"/>
          <w:color w:val="auto"/>
        </w:rPr>
      </w:pPr>
      <w:r>
        <w:rPr>
          <w:rFonts w:ascii="Arial" w:cs="Arial" w:eastAsia="Arial" w:hAnsi="Arial"/>
          <w:sz w:val="16"/>
          <w:szCs w:val="16"/>
          <w:color w:val="auto"/>
        </w:rPr>
        <w:t>We present FFO because we consider it an important supplemental measure of our operating performance and believe that it is frequently used by securities analysts, investors and other interested parties in the evaluation of REITs, particularly those that own and operate commercial office properties. We also use FFO as one of several criteria to determine performance-based compensation for members of its senior management. FFO is intended to exclude GAAP historical cost depreciation and amortization of real estate and related assets, which assumes that the value of real estate assets diminishes ratably over time. Historically, however, real estate values have risen or fallen with market conditions. Because FFO excludes depreciation and amortization unique to real estate, gains and losses from property dispositions, and real estate related impairment charges, it provides a performance measure that, when compared year over year, reflects the impact to operations from trends in occupancy rates, rental rates, operating costs, and interest costs, providing perspective not immediately apparent from net income. FFO does not represent cash generated from operating activities in accordance with GAAP and should not be considered as an alternative to net income (determined in accordance with GAAP), as an indication of our financial performance or to cash flow from operating activities (determined in accordance with GAAP) as a measure of our liquidity, nor is it indicative of funds available to fund our cash needs, including our ability to make cash distributions.</w:t>
      </w:r>
    </w:p>
    <w:p>
      <w:pPr>
        <w:spacing w:after="0" w:line="114" w:lineRule="exact"/>
        <w:rPr>
          <w:sz w:val="20"/>
          <w:szCs w:val="20"/>
          <w:color w:val="auto"/>
        </w:rPr>
      </w:pPr>
    </w:p>
    <w:p>
      <w:pPr>
        <w:ind w:left="820" w:right="120"/>
        <w:spacing w:after="0" w:line="304" w:lineRule="auto"/>
        <w:rPr>
          <w:sz w:val="20"/>
          <w:szCs w:val="20"/>
          <w:color w:val="auto"/>
        </w:rPr>
      </w:pPr>
      <w:r>
        <w:rPr>
          <w:rFonts w:ascii="Arial" w:cs="Arial" w:eastAsia="Arial" w:hAnsi="Arial"/>
          <w:sz w:val="16"/>
          <w:szCs w:val="16"/>
          <w:color w:val="auto"/>
        </w:rPr>
        <w:t>We also present Normalized FFO, defined as FFO excluding the impact of discrete transactions (set forth in the table above) that impacted FFO in 2024, which we present to enhance the comparability of our FFO across periods.</w:t>
      </w:r>
    </w:p>
    <w:p>
      <w:pPr>
        <w:spacing w:after="0" w:line="16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1F2668"/>
        </w:rPr>
        <w:t>Funds Available for Distribution and Normalized Funds Available for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-4445</wp:posOffset>
            </wp:positionV>
            <wp:extent cx="3853815"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3853815" cy="8255"/>
                    </a:xfrm>
                    <a:prstGeom prst="rect">
                      <a:avLst/>
                    </a:prstGeom>
                    <a:noFill/>
                  </pic:spPr>
                </pic:pic>
              </a:graphicData>
            </a:graphic>
          </wp:anchor>
        </w:drawing>
      </w:r>
    </w:p>
    <w:p>
      <w:pPr>
        <w:spacing w:after="0" w:line="134" w:lineRule="exact"/>
        <w:rPr>
          <w:sz w:val="20"/>
          <w:szCs w:val="20"/>
          <w:color w:val="auto"/>
        </w:rPr>
      </w:pPr>
    </w:p>
    <w:p>
      <w:pPr>
        <w:ind w:left="820" w:right="60"/>
        <w:spacing w:after="0" w:line="283" w:lineRule="auto"/>
        <w:rPr>
          <w:sz w:val="20"/>
          <w:szCs w:val="20"/>
          <w:color w:val="auto"/>
        </w:rPr>
      </w:pPr>
      <w:r>
        <w:rPr>
          <w:rFonts w:ascii="Arial" w:cs="Arial" w:eastAsia="Arial" w:hAnsi="Arial"/>
          <w:sz w:val="16"/>
          <w:szCs w:val="16"/>
          <w:color w:val="auto"/>
        </w:rPr>
        <w:t>Funds Available for Distribution, or FAD, is a non-GAAP financial measure that is calculated as FFO plus non-real estate depreciation, allowance for straight line credit loss, adjustment for straight line operating lease rent, non-cash deferred compensation, and pro-rata adjustments for these items from the Company’s unconsolidated JVs, less straight line rental income, free rent net of amortization, second cycle tenant improvement and leasing costs, and recurring capital expenditures.</w:t>
      </w:r>
    </w:p>
    <w:p>
      <w:pPr>
        <w:spacing w:after="0" w:line="104" w:lineRule="exact"/>
        <w:rPr>
          <w:sz w:val="20"/>
          <w:szCs w:val="20"/>
          <w:color w:val="auto"/>
        </w:rPr>
      </w:pPr>
    </w:p>
    <w:p>
      <w:pPr>
        <w:ind w:left="820" w:right="140"/>
        <w:spacing w:after="0" w:line="276" w:lineRule="auto"/>
        <w:rPr>
          <w:sz w:val="20"/>
          <w:szCs w:val="20"/>
          <w:color w:val="auto"/>
        </w:rPr>
      </w:pPr>
      <w:r>
        <w:rPr>
          <w:rFonts w:ascii="Arial" w:cs="Arial" w:eastAsia="Arial" w:hAnsi="Arial"/>
          <w:sz w:val="16"/>
          <w:szCs w:val="16"/>
          <w:color w:val="auto"/>
        </w:rPr>
        <w:t>FAD is not intended to represent cash flow for the period and is not indicative of cash flow provided by operating activities as determined in accordance with GAAP. FAD is presented solely as a supplemental disclosure with respect to liquidity. Because all companies do not calculate FAD the same way, the presentation of FAD may not be comparable to similarly titled measures of other companies. FAD does not represent cash flow from operating, investing and finance activities in accordance with GAAP and should not be considered as an alternative to net income (determined in accordance with GAAP), as an indication of the Company’s financial performance, as an alternative to net cash flows from operating activities (determined in accordance with GAAP), or as a measure of the Company’s liquidity.</w:t>
      </w:r>
    </w:p>
    <w:p>
      <w:pPr>
        <w:spacing w:after="0" w:line="112" w:lineRule="exact"/>
        <w:rPr>
          <w:sz w:val="20"/>
          <w:szCs w:val="20"/>
          <w:color w:val="auto"/>
        </w:rPr>
      </w:pPr>
    </w:p>
    <w:p>
      <w:pPr>
        <w:ind w:left="820" w:right="120"/>
        <w:spacing w:after="0" w:line="304" w:lineRule="auto"/>
        <w:rPr>
          <w:sz w:val="20"/>
          <w:szCs w:val="20"/>
          <w:color w:val="auto"/>
        </w:rPr>
      </w:pPr>
      <w:r>
        <w:rPr>
          <w:rFonts w:ascii="Arial" w:cs="Arial" w:eastAsia="Arial" w:hAnsi="Arial"/>
          <w:sz w:val="16"/>
          <w:szCs w:val="16"/>
          <w:color w:val="auto"/>
        </w:rPr>
        <w:t>We also present Normalized FAD, defined as FAD excluding the impact of discrete transactions (set forth in the table above) that impacted FAD in 2024, which we present to enhance the comparability of our FAD across periods.</w:t>
      </w:r>
    </w:p>
    <w:p>
      <w:pPr>
        <w:spacing w:after="0" w:line="16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1F2668"/>
        </w:rPr>
        <w:t>Same-Store Cash Net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-4445</wp:posOffset>
            </wp:positionV>
            <wp:extent cx="1911985"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911985" cy="8255"/>
                    </a:xfrm>
                    <a:prstGeom prst="rect">
                      <a:avLst/>
                    </a:prstGeom>
                    <a:noFill/>
                  </pic:spPr>
                </pic:pic>
              </a:graphicData>
            </a:graphic>
          </wp:anchor>
        </w:drawing>
      </w:r>
    </w:p>
    <w:p>
      <w:pPr>
        <w:spacing w:after="0" w:line="134" w:lineRule="exact"/>
        <w:rPr>
          <w:sz w:val="20"/>
          <w:szCs w:val="20"/>
          <w:color w:val="auto"/>
        </w:rPr>
      </w:pPr>
    </w:p>
    <w:p>
      <w:pPr>
        <w:jc w:val="both"/>
        <w:ind w:left="820" w:right="60"/>
        <w:spacing w:after="0" w:line="278" w:lineRule="auto"/>
        <w:rPr>
          <w:sz w:val="20"/>
          <w:szCs w:val="20"/>
          <w:color w:val="auto"/>
        </w:rPr>
      </w:pPr>
      <w:r>
        <w:rPr>
          <w:rFonts w:ascii="Arial" w:cs="Arial" w:eastAsia="Arial" w:hAnsi="Arial"/>
          <w:sz w:val="16"/>
          <w:szCs w:val="16"/>
          <w:color w:val="auto"/>
        </w:rPr>
        <w:t>Net Operating Income, or NOI, is a non-GAAP financial measure that is calculated as operating income before transaction related costs, gains/losses on early extinguishment of debt, marketing general and administrative expenses and non-real estate revenue. Cash NOI is also a non-GAAP financial measure that is calculated by subtracting free rent (net of amortization), straight-line rent, and the amortization of acquired above and below-market leases from NOI, while adding operating lease straight-line adjustment and the allowance for straight-line tenant credit loss.</w:t>
      </w:r>
    </w:p>
    <w:p>
      <w:pPr>
        <w:spacing w:after="0" w:line="109" w:lineRule="exact"/>
        <w:rPr>
          <w:sz w:val="20"/>
          <w:szCs w:val="20"/>
          <w:color w:val="auto"/>
        </w:rPr>
      </w:pPr>
    </w:p>
    <w:p>
      <w:pPr>
        <w:ind w:left="820" w:right="120"/>
        <w:spacing w:after="0" w:line="282" w:lineRule="auto"/>
        <w:rPr>
          <w:sz w:val="20"/>
          <w:szCs w:val="20"/>
          <w:color w:val="auto"/>
        </w:rPr>
      </w:pPr>
      <w:r>
        <w:rPr>
          <w:rFonts w:ascii="Arial" w:cs="Arial" w:eastAsia="Arial" w:hAnsi="Arial"/>
          <w:sz w:val="16"/>
          <w:szCs w:val="16"/>
          <w:color w:val="auto"/>
        </w:rPr>
        <w:t>We present NOI and Cash NOI because we believe that these measures, when taken together with the corresponding GAAP financial measures and reconciliations, provide investors with meaningful information regarding the operating performance of our properties. When operating performance is compared across multiple periods, the investor is provided with information not immediately apparent from net income that is determined in accordance with GAAP. NOI and Cash NOI provide information on trends in the revenue generated and expenses incurred in operating our properties, unaffected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55880</wp:posOffset>
            </wp:positionV>
            <wp:extent cx="6831965" cy="425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130" w:name="page131"/>
    <w:bookmarkEnd w:id="1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4540" w:type="dxa"/>
            <w:vAlign w:val="bottom"/>
          </w:tcPr>
          <w:p>
            <w:pPr>
              <w:spacing w:after="0"/>
              <w:rPr>
                <w:sz w:val="20"/>
                <w:szCs w:val="20"/>
                <w:color w:val="auto"/>
              </w:rPr>
            </w:pPr>
            <w:r>
              <w:rPr>
                <w:rFonts w:ascii="Arial" w:cs="Arial" w:eastAsia="Arial" w:hAnsi="Arial"/>
                <w:sz w:val="14"/>
                <w:szCs w:val="14"/>
                <w:b w:val="1"/>
                <w:bCs w:val="1"/>
                <w:color w:val="auto"/>
              </w:rPr>
              <w:t>​</w:t>
            </w:r>
          </w:p>
        </w:tc>
        <w:tc>
          <w:tcPr>
            <w:tcW w:w="4000" w:type="dxa"/>
            <w:vAlign w:val="bottom"/>
          </w:tcPr>
          <w:p>
            <w:pPr>
              <w:ind w:left="3660"/>
              <w:spacing w:after="0"/>
              <w:rPr>
                <w:sz w:val="20"/>
                <w:szCs w:val="20"/>
                <w:color w:val="auto"/>
              </w:rPr>
            </w:pPr>
            <w:r>
              <w:rPr>
                <w:rFonts w:ascii="Arial" w:cs="Arial" w:eastAsia="Arial" w:hAnsi="Arial"/>
                <w:sz w:val="14"/>
                <w:szCs w:val="14"/>
                <w:b w:val="1"/>
                <w:bCs w:val="1"/>
                <w:color w:val="auto"/>
              </w:rPr>
              <w:t>​ ​</w:t>
            </w:r>
          </w:p>
        </w:tc>
        <w:tc>
          <w:tcPr>
            <w:tcW w:w="520" w:type="dxa"/>
            <w:vAlign w:val="bottom"/>
            <w:vMerge w:val="restart"/>
          </w:tcPr>
          <w:p>
            <w:pPr>
              <w:ind w:left="180"/>
              <w:spacing w:after="0"/>
              <w:rPr>
                <w:sz w:val="20"/>
                <w:szCs w:val="20"/>
                <w:color w:val="auto"/>
              </w:rPr>
            </w:pPr>
            <w:r>
              <w:rPr>
                <w:rFonts w:ascii="Arial" w:cs="Arial" w:eastAsia="Arial" w:hAnsi="Arial"/>
                <w:sz w:val="22"/>
                <w:szCs w:val="22"/>
                <w:b w:val="1"/>
                <w:bCs w:val="1"/>
                <w:color w:val="1F2668"/>
                <w:w w:val="90"/>
              </w:rPr>
              <w:t>B-5</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4540" w:type="dxa"/>
            <w:vAlign w:val="bottom"/>
          </w:tcPr>
          <w:p>
            <w:pPr>
              <w:spacing w:after="0"/>
              <w:rPr>
                <w:sz w:val="20"/>
                <w:szCs w:val="20"/>
                <w:color w:val="auto"/>
              </w:rPr>
            </w:pPr>
            <w:r>
              <w:rPr>
                <w:rFonts w:ascii="Arial" w:cs="Arial" w:eastAsia="Arial" w:hAnsi="Arial"/>
                <w:sz w:val="14"/>
                <w:szCs w:val="14"/>
                <w:b w:val="1"/>
                <w:bCs w:val="1"/>
                <w:color w:val="auto"/>
              </w:rPr>
              <w:t>APPENDIX B</w:t>
            </w:r>
          </w:p>
        </w:tc>
        <w:tc>
          <w:tcPr>
            <w:tcW w:w="400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57" w:lineRule="exact"/>
        <w:rPr>
          <w:sz w:val="20"/>
          <w:szCs w:val="20"/>
          <w:color w:val="auto"/>
        </w:rPr>
      </w:pPr>
    </w:p>
    <w:p>
      <w:pPr>
        <w:ind w:left="820" w:right="140"/>
        <w:spacing w:after="0" w:line="329" w:lineRule="auto"/>
        <w:rPr>
          <w:sz w:val="20"/>
          <w:szCs w:val="20"/>
          <w:color w:val="auto"/>
        </w:rPr>
      </w:pPr>
      <w:r>
        <w:rPr>
          <w:rFonts w:ascii="Arial" w:cs="Arial" w:eastAsia="Arial" w:hAnsi="Arial"/>
          <w:sz w:val="15"/>
          <w:szCs w:val="15"/>
          <w:color w:val="auto"/>
        </w:rPr>
        <w:t>by the cost of leverage, straight-line adjustments, depreciation, amortization, and other net income components. We use these metrics internally as performance measures. None of these measures is an alternative to net income (determined in accordance with GAAP) and same-store performance should not be considered an alternative to GAAP net income performance.</w:t>
      </w:r>
    </w:p>
    <w:p>
      <w:pPr>
        <w:spacing w:after="0" w:line="87" w:lineRule="exact"/>
        <w:rPr>
          <w:sz w:val="20"/>
          <w:szCs w:val="20"/>
          <w:color w:val="auto"/>
        </w:rPr>
      </w:pPr>
    </w:p>
    <w:p>
      <w:pPr>
        <w:ind w:left="820" w:right="260"/>
        <w:spacing w:after="0" w:line="321" w:lineRule="auto"/>
        <w:rPr>
          <w:sz w:val="20"/>
          <w:szCs w:val="20"/>
          <w:color w:val="auto"/>
        </w:rPr>
      </w:pPr>
      <w:r>
        <w:rPr>
          <w:rFonts w:ascii="Arial" w:cs="Arial" w:eastAsia="Arial" w:hAnsi="Arial"/>
          <w:sz w:val="16"/>
          <w:szCs w:val="16"/>
          <w:color w:val="auto"/>
        </w:rPr>
        <w:t>Same-Store refers to properties owned in the same manner during both the current and prior year, excluding development and redevelopment properties that are not stabilized for both the current and prior year.</w:t>
      </w:r>
    </w:p>
    <w:p>
      <w:pPr>
        <w:spacing w:after="0" w:line="88" w:lineRule="exact"/>
        <w:rPr>
          <w:sz w:val="20"/>
          <w:szCs w:val="20"/>
          <w:color w:val="auto"/>
        </w:rPr>
      </w:pPr>
    </w:p>
    <w:p>
      <w:pPr>
        <w:jc w:val="both"/>
        <w:ind w:left="820" w:right="80"/>
        <w:spacing w:after="0" w:line="301" w:lineRule="auto"/>
        <w:rPr>
          <w:sz w:val="20"/>
          <w:szCs w:val="20"/>
          <w:color w:val="auto"/>
        </w:rPr>
      </w:pPr>
      <w:r>
        <w:rPr>
          <w:rFonts w:ascii="Arial" w:cs="Arial" w:eastAsia="Arial" w:hAnsi="Arial"/>
          <w:sz w:val="16"/>
          <w:szCs w:val="16"/>
          <w:color w:val="auto"/>
        </w:rPr>
        <w:t>SLG Share of Unconsolidated JV is computed by multiplying the referenced line item by the Company’s percentage ownership or economic interest in the respective joint ventures and may not accurately depict the legal and economic implications of holding a non-controlling interest in the respective joint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6586220</wp:posOffset>
            </wp:positionV>
            <wp:extent cx="6831965" cy="425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bookmarkStart w:id="131" w:name="page132"/>
    <w:bookmarkEnd w:id="13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2771775</wp:posOffset>
            </wp:positionH>
            <wp:positionV relativeFrom="paragraph">
              <wp:posOffset>6939280</wp:posOffset>
            </wp:positionV>
            <wp:extent cx="1268730" cy="36830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6873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500"/>
        <w:spacing w:after="0"/>
        <w:rPr>
          <w:sz w:val="20"/>
          <w:szCs w:val="20"/>
          <w:color w:val="auto"/>
        </w:rPr>
      </w:pPr>
      <w:r>
        <w:rPr>
          <w:rFonts w:ascii="Arial" w:cs="Arial" w:eastAsia="Arial" w:hAnsi="Arial"/>
          <w:sz w:val="16"/>
          <w:szCs w:val="16"/>
          <w:b w:val="1"/>
          <w:bCs w:val="1"/>
          <w:color w:val="1F2668"/>
        </w:rPr>
        <w:t>SL Green Realty Corp.</w:t>
      </w:r>
    </w:p>
    <w:p>
      <w:pPr>
        <w:spacing w:after="0" w:line="127"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1F2668"/>
        </w:rPr>
        <w:t>One Vanderbilt Avenue,</w:t>
      </w:r>
    </w:p>
    <w:p>
      <w:pPr>
        <w:spacing w:after="0" w:line="127" w:lineRule="exact"/>
        <w:rPr>
          <w:sz w:val="20"/>
          <w:szCs w:val="20"/>
          <w:color w:val="auto"/>
        </w:rPr>
      </w:pPr>
    </w:p>
    <w:p>
      <w:pPr>
        <w:ind w:left="4580"/>
        <w:spacing w:after="0"/>
        <w:rPr>
          <w:sz w:val="20"/>
          <w:szCs w:val="20"/>
          <w:color w:val="auto"/>
        </w:rPr>
      </w:pPr>
      <w:r>
        <w:rPr>
          <w:rFonts w:ascii="Arial" w:cs="Arial" w:eastAsia="Arial" w:hAnsi="Arial"/>
          <w:sz w:val="16"/>
          <w:szCs w:val="16"/>
          <w:b w:val="1"/>
          <w:bCs w:val="1"/>
          <w:color w:val="1F2668"/>
        </w:rPr>
        <w:t>New York, NY 10017</w:t>
      </w:r>
    </w:p>
    <w:p>
      <w:pPr>
        <w:spacing w:after="0" w:line="113" w:lineRule="exact"/>
        <w:rPr>
          <w:sz w:val="20"/>
          <w:szCs w:val="20"/>
          <w:color w:val="auto"/>
        </w:rPr>
      </w:pPr>
    </w:p>
    <w:p>
      <w:pPr>
        <w:jc w:val="right"/>
        <w:ind w:right="3499"/>
        <w:spacing w:after="0"/>
        <w:rPr>
          <w:sz w:val="20"/>
          <w:szCs w:val="20"/>
          <w:color w:val="auto"/>
        </w:rPr>
      </w:pPr>
      <w:r>
        <w:rPr>
          <w:rFonts w:ascii="Arial" w:cs="Arial" w:eastAsia="Arial" w:hAnsi="Arial"/>
          <w:sz w:val="16"/>
          <w:szCs w:val="16"/>
          <w:b w:val="1"/>
          <w:bCs w:val="1"/>
          <w:color w:val="1F2668"/>
        </w:rPr>
        <w:t>212 594 2700 | slgreen.com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290830</wp:posOffset>
            </wp:positionV>
            <wp:extent cx="6831965" cy="4254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2" w:name="page133"/>
    <w:bookmarkEnd w:id="13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-80645</wp:posOffset>
            </wp:positionV>
            <wp:extent cx="6831965" cy="892810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3" w:name="page134"/>
    <w:bookmarkEnd w:id="13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2810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DE67713"/>
    <w:multiLevelType w:val="hybridMultilevel"/>
    <w:lvl w:ilvl="0">
      <w:lvlJc w:val="left"/>
      <w:lvlText w:val="☑"/>
      <w:numFmt w:val="bullet"/>
      <w:start w:val="1"/>
    </w:lvl>
  </w:abstractNum>
  <w:abstractNum w:abstractNumId="1">
    <w:nsid w:val="555C55B5"/>
    <w:multiLevelType w:val="hybridMultilevel"/>
    <w:lvl w:ilvl="0">
      <w:lvlJc w:val="left"/>
      <w:lvlText w:val="☐"/>
      <w:numFmt w:val="bullet"/>
      <w:start w:val="1"/>
    </w:lvl>
  </w:abstractNum>
  <w:abstractNum w:abstractNumId="2">
    <w:nsid w:val="3FA62ACA"/>
    <w:multiLevelType w:val="hybridMultilevel"/>
    <w:lvl w:ilvl="0">
      <w:lvlJc w:val="left"/>
      <w:lvlText w:val="☑"/>
      <w:numFmt w:val="bullet"/>
      <w:start w:val="1"/>
    </w:lvl>
  </w:abstractNum>
  <w:abstractNum w:abstractNumId="3">
    <w:nsid w:val="14FCE74E"/>
    <w:multiLevelType w:val="hybridMultilevel"/>
    <w:lvl w:ilvl="0">
      <w:lvlJc w:val="left"/>
      <w:lvlText w:val="☐"/>
      <w:numFmt w:val="bullet"/>
      <w:start w:val="1"/>
    </w:lvl>
  </w:abstractNum>
  <w:abstractNum w:abstractNumId="4">
    <w:nsid w:val="6A3DD3E8"/>
    <w:multiLevelType w:val="hybridMultilevel"/>
    <w:lvl w:ilvl="0">
      <w:lvlJc w:val="left"/>
      <w:lvlText w:val="*"/>
      <w:numFmt w:val="bullet"/>
      <w:start w:val="1"/>
    </w:lvl>
  </w:abstractNum>
  <w:abstractNum w:abstractNumId="5">
    <w:nsid w:val="71C91298"/>
    <w:multiLevelType w:val="hybridMultilevel"/>
    <w:lvl w:ilvl="0">
      <w:lvlJc w:val="left"/>
      <w:lvlText w:val="✓"/>
      <w:numFmt w:val="bullet"/>
      <w:start w:val="1"/>
    </w:lvl>
  </w:abstractNum>
  <w:abstractNum w:abstractNumId="6">
    <w:nsid w:val="9DAF632"/>
    <w:multiLevelType w:val="hybridMultilevel"/>
    <w:lvl w:ilvl="0">
      <w:lvlJc w:val="left"/>
      <w:lvlText w:val="1"/>
      <w:numFmt w:val="bullet"/>
      <w:start w:val="1"/>
    </w:lvl>
  </w:abstractNum>
  <w:abstractNum w:abstractNumId="7">
    <w:nsid w:val="53299938"/>
    <w:multiLevelType w:val="hybridMultilevel"/>
    <w:lvl w:ilvl="0">
      <w:lvlJc w:val="left"/>
      <w:lvlText w:val="➢"/>
      <w:numFmt w:val="bullet"/>
      <w:start w:val="1"/>
    </w:lvl>
  </w:abstractNum>
  <w:abstractNum w:abstractNumId="8">
    <w:nsid w:val="1FBFE8E0"/>
    <w:multiLevelType w:val="hybridMultilevel"/>
    <w:lvl w:ilvl="0">
      <w:lvlJc w:val="left"/>
      <w:lvlText w:val="•"/>
      <w:numFmt w:val="bullet"/>
      <w:start w:val="1"/>
    </w:lvl>
  </w:abstractNum>
  <w:abstractNum w:abstractNumId="9">
    <w:nsid w:val="5092CA79"/>
    <w:multiLevelType w:val="hybridMultilevel"/>
    <w:lvl w:ilvl="0">
      <w:lvlJc w:val="left"/>
      <w:lvlText w:val="✓"/>
      <w:numFmt w:val="bullet"/>
      <w:start w:val="1"/>
    </w:lvl>
  </w:abstractNum>
  <w:abstractNum w:abstractNumId="10">
    <w:nsid w:val="1D545C4D"/>
    <w:multiLevelType w:val="hybridMultilevel"/>
    <w:lvl w:ilvl="0">
      <w:lvlJc w:val="left"/>
      <w:lvlText w:val="✓"/>
      <w:numFmt w:val="bullet"/>
      <w:start w:val="1"/>
    </w:lvl>
  </w:abstractNum>
  <w:abstractNum w:abstractNumId="11">
    <w:nsid w:val="59ADEA3D"/>
    <w:multiLevelType w:val="hybridMultilevel"/>
    <w:lvl w:ilvl="0">
      <w:lvlJc w:val="left"/>
      <w:lvlText w:val="✓"/>
      <w:numFmt w:val="bullet"/>
      <w:start w:val="1"/>
    </w:lvl>
  </w:abstractNum>
  <w:abstractNum w:abstractNumId="12">
    <w:nsid w:val="288F1A34"/>
    <w:multiLevelType w:val="hybridMultilevel"/>
    <w:lvl w:ilvl="0">
      <w:lvlJc w:val="left"/>
      <w:lvlText w:val="​"/>
      <w:numFmt w:val="bullet"/>
      <w:start w:val="1"/>
    </w:lvl>
  </w:abstractNum>
  <w:abstractNum w:abstractNumId="13">
    <w:nsid w:val="2A155DBC"/>
    <w:multiLevelType w:val="hybridMultilevel"/>
    <w:lvl w:ilvl="0">
      <w:lvlJc w:val="left"/>
      <w:lvlText w:val="​"/>
      <w:numFmt w:val="bullet"/>
      <w:start w:val="1"/>
    </w:lvl>
  </w:abstractNum>
  <w:abstractNum w:abstractNumId="14">
    <w:nsid w:val="1D9F6E5F"/>
    <w:multiLevelType w:val="hybridMultilevel"/>
    <w:lvl w:ilvl="0">
      <w:lvlJc w:val="left"/>
      <w:lvlText w:val="•"/>
      <w:numFmt w:val="bullet"/>
      <w:start w:val="1"/>
    </w:lvl>
  </w:abstractNum>
  <w:abstractNum w:abstractNumId="15">
    <w:nsid w:val="97E1B4E"/>
    <w:multiLevelType w:val="hybridMultilevel"/>
    <w:lvl w:ilvl="0">
      <w:lvlJc w:val="left"/>
      <w:lvlText w:val="​"/>
      <w:numFmt w:val="bullet"/>
      <w:start w:val="1"/>
    </w:lvl>
  </w:abstractNum>
  <w:abstractNum w:abstractNumId="16">
    <w:nsid w:val="51088277"/>
    <w:multiLevelType w:val="hybridMultilevel"/>
    <w:lvl w:ilvl="0">
      <w:lvlJc w:val="left"/>
      <w:lvlText w:val="•"/>
      <w:numFmt w:val="bullet"/>
      <w:start w:val="1"/>
    </w:lvl>
  </w:abstractNum>
  <w:abstractNum w:abstractNumId="17">
    <w:nsid w:val="1CA0C5FA"/>
    <w:multiLevelType w:val="hybridMultilevel"/>
    <w:lvl w:ilvl="0">
      <w:lvlJc w:val="left"/>
      <w:lvlText w:val="•"/>
      <w:numFmt w:val="bullet"/>
      <w:start w:val="1"/>
    </w:lvl>
  </w:abstractNum>
  <w:abstractNum w:abstractNumId="18">
    <w:nsid w:val="53584BCB"/>
    <w:multiLevelType w:val="hybridMultilevel"/>
    <w:lvl w:ilvl="0">
      <w:lvlJc w:val="left"/>
      <w:lvlText w:val="•"/>
      <w:numFmt w:val="bullet"/>
      <w:start w:val="1"/>
    </w:lvl>
  </w:abstractNum>
  <w:abstractNum w:abstractNumId="19">
    <w:nsid w:val="415E286C"/>
    <w:multiLevelType w:val="hybridMultilevel"/>
    <w:lvl w:ilvl="0">
      <w:lvlJc w:val="left"/>
      <w:lvlText w:val="•"/>
      <w:numFmt w:val="bullet"/>
      <w:start w:val="1"/>
    </w:lvl>
  </w:abstractNum>
  <w:abstractNum w:abstractNumId="20">
    <w:nsid w:val="7C58FD05"/>
    <w:multiLevelType w:val="hybridMultilevel"/>
    <w:lvl w:ilvl="0">
      <w:lvlJc w:val="left"/>
      <w:lvlText w:val="​"/>
      <w:numFmt w:val="bullet"/>
      <w:start w:val="1"/>
    </w:lvl>
  </w:abstractNum>
  <w:abstractNum w:abstractNumId="21">
    <w:nsid w:val="23D86AAC"/>
    <w:multiLevelType w:val="hybridMultilevel"/>
    <w:lvl w:ilvl="0">
      <w:lvlJc w:val="left"/>
      <w:lvlText w:val="​"/>
      <w:numFmt w:val="bullet"/>
      <w:start w:val="1"/>
    </w:lvl>
  </w:abstractNum>
  <w:abstractNum w:abstractNumId="22">
    <w:nsid w:val="45E6D486"/>
    <w:multiLevelType w:val="hybridMultilevel"/>
    <w:lvl w:ilvl="0">
      <w:lvlJc w:val="left"/>
      <w:lvlText w:val="​"/>
      <w:numFmt w:val="bullet"/>
      <w:start w:val="1"/>
    </w:lvl>
    <w:lvl w:ilvl="1">
      <w:lvlJc w:val="left"/>
      <w:lvlText w:val="​"/>
      <w:numFmt w:val="bullet"/>
      <w:start w:val="1"/>
    </w:lvl>
  </w:abstractNum>
  <w:abstractNum w:abstractNumId="23">
    <w:nsid w:val="5C10FE21"/>
    <w:multiLevelType w:val="hybridMultilevel"/>
    <w:lvl w:ilvl="0">
      <w:lvlJc w:val="left"/>
      <w:lvlText w:val="(%1)"/>
      <w:numFmt w:val="decimal"/>
      <w:start w:val="1"/>
    </w:lvl>
  </w:abstractNum>
  <w:abstractNum w:abstractNumId="24">
    <w:nsid w:val="E7FFA2B"/>
    <w:multiLevelType w:val="hybridMultilevel"/>
    <w:lvl w:ilvl="0">
      <w:lvlJc w:val="left"/>
      <w:lvlText w:val="•"/>
      <w:numFmt w:val="bullet"/>
      <w:start w:val="1"/>
    </w:lvl>
  </w:abstractNum>
  <w:abstractNum w:abstractNumId="25">
    <w:nsid w:val="3C5991AA"/>
    <w:multiLevelType w:val="hybridMultilevel"/>
    <w:lvl w:ilvl="0">
      <w:lvlJc w:val="left"/>
      <w:lvlText w:val="•"/>
      <w:numFmt w:val="bullet"/>
      <w:start w:val="1"/>
    </w:lvl>
  </w:abstractNum>
  <w:abstractNum w:abstractNumId="26">
    <w:nsid w:val="4BD8591A"/>
    <w:multiLevelType w:val="hybridMultilevel"/>
    <w:lvl w:ilvl="0">
      <w:lvlJc w:val="left"/>
      <w:lvlText w:val="•"/>
      <w:numFmt w:val="bullet"/>
      <w:start w:val="1"/>
    </w:lvl>
  </w:abstractNum>
  <w:abstractNum w:abstractNumId="27">
    <w:nsid w:val="78DF6A55"/>
    <w:multiLevelType w:val="hybridMultilevel"/>
    <w:lvl w:ilvl="0">
      <w:lvlJc w:val="left"/>
      <w:lvlText w:val="•"/>
      <w:numFmt w:val="bullet"/>
      <w:start w:val="1"/>
    </w:lvl>
  </w:abstractNum>
  <w:abstractNum w:abstractNumId="28">
    <w:nsid w:val="39B7AAA2"/>
    <w:multiLevelType w:val="hybridMultilevel"/>
    <w:lvl w:ilvl="0">
      <w:lvlJc w:val="left"/>
      <w:lvlText w:val="•"/>
      <w:numFmt w:val="bullet"/>
      <w:start w:val="1"/>
    </w:lvl>
  </w:abstractNum>
  <w:abstractNum w:abstractNumId="29">
    <w:nsid w:val="2B0D8DBE"/>
    <w:multiLevelType w:val="hybridMultilevel"/>
    <w:lvl w:ilvl="0">
      <w:lvlJc w:val="left"/>
      <w:lvlText w:val="•"/>
      <w:numFmt w:val="bullet"/>
      <w:start w:val="1"/>
    </w:lvl>
  </w:abstractNum>
  <w:abstractNum w:abstractNumId="30">
    <w:nsid w:val="6C80EC70"/>
    <w:multiLevelType w:val="hybridMultilevel"/>
    <w:lvl w:ilvl="0">
      <w:lvlJc w:val="left"/>
      <w:lvlText w:val="•"/>
      <w:numFmt w:val="bullet"/>
      <w:start w:val="1"/>
    </w:lvl>
  </w:abstractNum>
  <w:abstractNum w:abstractNumId="31">
    <w:nsid w:val="379E21B5"/>
    <w:multiLevelType w:val="hybridMultilevel"/>
    <w:lvl w:ilvl="0">
      <w:lvlJc w:val="left"/>
      <w:lvlText w:val="​"/>
      <w:numFmt w:val="bullet"/>
      <w:start w:val="1"/>
    </w:lvl>
  </w:abstractNum>
  <w:abstractNum w:abstractNumId="32">
    <w:nsid w:val="69E373"/>
    <w:multiLevelType w:val="hybridMultilevel"/>
    <w:lvl w:ilvl="0">
      <w:lvlJc w:val="left"/>
      <w:lvlText w:val="•"/>
      <w:numFmt w:val="bullet"/>
      <w:start w:val="1"/>
    </w:lvl>
    <w:lvl w:ilvl="1">
      <w:lvlJc w:val="left"/>
      <w:lvlText w:val="\endash "/>
      <w:numFmt w:val="bullet"/>
      <w:start w:val="1"/>
    </w:lvl>
  </w:abstractNum>
  <w:abstractNum w:abstractNumId="33">
    <w:nsid w:val="2C27173B"/>
    <w:multiLevelType w:val="hybridMultilevel"/>
    <w:lvl w:ilvl="0">
      <w:lvlJc w:val="left"/>
      <w:lvlText w:val="​"/>
      <w:numFmt w:val="bullet"/>
      <w:start w:val="1"/>
    </w:lvl>
  </w:abstractNum>
  <w:abstractNum w:abstractNumId="34">
    <w:nsid w:val="4C9B0904"/>
    <w:multiLevelType w:val="hybridMultilevel"/>
    <w:lvl w:ilvl="0">
      <w:lvlJc w:val="left"/>
      <w:lvlText w:val="%1."/>
      <w:numFmt w:val="decimal"/>
      <w:start w:val="1"/>
    </w:lvl>
  </w:abstractNum>
  <w:abstractNum w:abstractNumId="35">
    <w:nsid w:val="6AA7B75C"/>
    <w:multiLevelType w:val="hybridMultilevel"/>
    <w:lvl w:ilvl="0">
      <w:lvlJc w:val="left"/>
      <w:lvlText w:val="•"/>
      <w:numFmt w:val="bullet"/>
      <w:start w:val="1"/>
    </w:lvl>
  </w:abstractNum>
  <w:abstractNum w:abstractNumId="36">
    <w:nsid w:val="1DF029D3"/>
    <w:multiLevelType w:val="hybridMultilevel"/>
    <w:lvl w:ilvl="0">
      <w:lvlJc w:val="left"/>
      <w:lvlText w:val="•"/>
      <w:numFmt w:val="bullet"/>
      <w:start w:val="1"/>
    </w:lvl>
  </w:abstractNum>
  <w:abstractNum w:abstractNumId="37">
    <w:nsid w:val="5675FF36"/>
    <w:multiLevelType w:val="hybridMultilevel"/>
    <w:lvl w:ilvl="0">
      <w:lvlJc w:val="left"/>
      <w:lvlText w:val="•"/>
      <w:numFmt w:val="bullet"/>
      <w:start w:val="1"/>
    </w:lvl>
  </w:abstractNum>
  <w:abstractNum w:abstractNumId="38">
    <w:nsid w:val="3DD15094"/>
    <w:multiLevelType w:val="hybridMultilevel"/>
    <w:lvl w:ilvl="0">
      <w:lvlJc w:val="left"/>
      <w:lvlText w:val="%1."/>
      <w:numFmt w:val="decimal"/>
      <w:start w:val="1"/>
    </w:lvl>
  </w:abstractNum>
  <w:abstractNum w:abstractNumId="39">
    <w:nsid w:val="3DB012B3"/>
    <w:multiLevelType w:val="hybridMultilevel"/>
    <w:lvl w:ilvl="0">
      <w:lvlJc w:val="left"/>
      <w:lvlText w:val="​"/>
      <w:numFmt w:val="bullet"/>
      <w:start w:val="1"/>
    </w:lvl>
  </w:abstractNum>
  <w:abstractNum w:abstractNumId="40">
    <w:nsid w:val="2708C9AF"/>
    <w:multiLevelType w:val="hybridMultilevel"/>
    <w:lvl w:ilvl="0">
      <w:lvlJc w:val="left"/>
      <w:lvlText w:val="•"/>
      <w:numFmt w:val="bullet"/>
      <w:start w:val="1"/>
    </w:lvl>
  </w:abstractNum>
  <w:abstractNum w:abstractNumId="41">
    <w:nsid w:val="5B25ACE2"/>
    <w:multiLevelType w:val="hybridMultilevel"/>
    <w:lvl w:ilvl="0">
      <w:lvlJc w:val="left"/>
      <w:lvlText w:val="•"/>
      <w:numFmt w:val="bullet"/>
      <w:start w:val="1"/>
    </w:lvl>
  </w:abstractNum>
  <w:abstractNum w:abstractNumId="42">
    <w:nsid w:val="175DFCF0"/>
    <w:multiLevelType w:val="hybridMultilevel"/>
    <w:lvl w:ilvl="0">
      <w:lvlJc w:val="left"/>
      <w:lvlText w:val="•"/>
      <w:numFmt w:val="bullet"/>
      <w:start w:val="1"/>
    </w:lvl>
  </w:abstractNum>
  <w:abstractNum w:abstractNumId="43">
    <w:nsid w:val="4F97E3E4"/>
    <w:multiLevelType w:val="hybridMultilevel"/>
    <w:lvl w:ilvl="0">
      <w:lvlJc w:val="left"/>
      <w:lvlText w:val="​​"/>
      <w:numFmt w:val="bullet"/>
      <w:start w:val="1"/>
    </w:lvl>
  </w:abstractNum>
  <w:abstractNum w:abstractNumId="44">
    <w:nsid w:val="53B0A9E"/>
    <w:multiLevelType w:val="hybridMultilevel"/>
    <w:lvl w:ilvl="0">
      <w:lvlJc w:val="left"/>
      <w:lvlText w:val="​​"/>
      <w:numFmt w:val="bullet"/>
      <w:start w:val="1"/>
    </w:lvl>
  </w:abstractNum>
  <w:abstractNum w:abstractNumId="45">
    <w:nsid w:val="34FD6B4F"/>
    <w:multiLevelType w:val="hybridMultilevel"/>
    <w:lvl w:ilvl="0">
      <w:lvlJc w:val="left"/>
      <w:lvlText w:val="(%1)"/>
      <w:numFmt w:val="decimal"/>
      <w:start w:val="1"/>
    </w:lvl>
  </w:abstractNum>
  <w:abstractNum w:abstractNumId="46">
    <w:nsid w:val="5915FF32"/>
    <w:multiLevelType w:val="hybridMultilevel"/>
    <w:lvl w:ilvl="0">
      <w:lvlJc w:val="left"/>
      <w:lvlText w:val="​"/>
      <w:numFmt w:val="bullet"/>
      <w:start w:val="1"/>
    </w:lvl>
    <w:lvl w:ilvl="1">
      <w:lvlJc w:val="left"/>
      <w:lvlText w:val="•"/>
      <w:numFmt w:val="bullet"/>
      <w:start w:val="1"/>
    </w:lvl>
  </w:abstractNum>
  <w:abstractNum w:abstractNumId="47">
    <w:nsid w:val="56438D15"/>
    <w:multiLevelType w:val="hybridMultilevel"/>
    <w:lvl w:ilvl="0">
      <w:lvlJc w:val="left"/>
      <w:lvlText w:val="•"/>
      <w:numFmt w:val="bullet"/>
      <w:start w:val="1"/>
    </w:lvl>
  </w:abstractNum>
  <w:abstractNum w:abstractNumId="48">
    <w:nsid w:val="519E3149"/>
    <w:multiLevelType w:val="hybridMultilevel"/>
    <w:lvl w:ilvl="0">
      <w:lvlJc w:val="left"/>
      <w:lvlText w:val="(%1)"/>
      <w:numFmt w:val="decimal"/>
      <w:start w:val="2"/>
    </w:lvl>
  </w:abstractNum>
  <w:abstractNum w:abstractNumId="49">
    <w:nsid w:val="2C6E4AFD"/>
    <w:multiLevelType w:val="hybridMultilevel"/>
    <w:lvl w:ilvl="0">
      <w:lvlJc w:val="left"/>
      <w:lvlText w:val="​"/>
      <w:numFmt w:val="bullet"/>
      <w:start w:val="1"/>
    </w:lvl>
  </w:abstractNum>
  <w:abstractNum w:abstractNumId="50">
    <w:nsid w:val="17A1B582"/>
    <w:multiLevelType w:val="hybridMultilevel"/>
    <w:lvl w:ilvl="0">
      <w:lvlJc w:val="left"/>
      <w:lvlText w:val="•"/>
      <w:numFmt w:val="bullet"/>
      <w:start w:val="1"/>
    </w:lvl>
  </w:abstractNum>
  <w:abstractNum w:abstractNumId="51">
    <w:nsid w:val="4DF72E4E"/>
    <w:multiLevelType w:val="hybridMultilevel"/>
    <w:lvl w:ilvl="0">
      <w:lvlJc w:val="left"/>
      <w:lvlText w:val="•"/>
      <w:numFmt w:val="bullet"/>
      <w:start w:val="1"/>
    </w:lvl>
  </w:abstractNum>
  <w:abstractNum w:abstractNumId="52">
    <w:nsid w:val="5046B5A9"/>
    <w:multiLevelType w:val="hybridMultilevel"/>
    <w:lvl w:ilvl="0">
      <w:lvlJc w:val="left"/>
      <w:lvlText w:val="•"/>
      <w:numFmt w:val="bullet"/>
      <w:start w:val="1"/>
    </w:lvl>
  </w:abstractNum>
  <w:abstractNum w:abstractNumId="53">
    <w:nsid w:val="5D888A08"/>
    <w:multiLevelType w:val="hybridMultilevel"/>
    <w:lvl w:ilvl="0">
      <w:lvlJc w:val="left"/>
      <w:lvlText w:val="*"/>
      <w:numFmt w:val="bullet"/>
      <w:start w:val="1"/>
    </w:lvl>
  </w:abstractNum>
  <w:abstractNum w:abstractNumId="54">
    <w:nsid w:val="2A082C70"/>
    <w:multiLevelType w:val="hybridMultilevel"/>
    <w:lvl w:ilvl="0">
      <w:lvlJc w:val="left"/>
      <w:lvlText w:val="​"/>
      <w:numFmt w:val="bullet"/>
      <w:start w:val="1"/>
    </w:lvl>
  </w:abstractNum>
  <w:abstractNum w:abstractNumId="55">
    <w:nsid w:val="5EC6AFD4"/>
    <w:multiLevelType w:val="hybridMultilevel"/>
    <w:lvl w:ilvl="0">
      <w:lvlJc w:val="left"/>
      <w:lvlText w:val="✓"/>
      <w:numFmt w:val="bullet"/>
      <w:start w:val="1"/>
    </w:lvl>
  </w:abstractNum>
  <w:abstractNum w:abstractNumId="56">
    <w:nsid w:val="19E21BB2"/>
    <w:multiLevelType w:val="hybridMultilevel"/>
    <w:lvl w:ilvl="0">
      <w:lvlJc w:val="left"/>
      <w:lvlText w:val="✓"/>
      <w:numFmt w:val="bullet"/>
      <w:start w:val="1"/>
    </w:lvl>
  </w:abstractNum>
  <w:abstractNum w:abstractNumId="57">
    <w:nsid w:val="75E0858A"/>
    <w:multiLevelType w:val="hybridMultilevel"/>
    <w:lvl w:ilvl="0">
      <w:lvlJc w:val="left"/>
      <w:lvlText w:val="✓"/>
      <w:numFmt w:val="bullet"/>
      <w:start w:val="1"/>
    </w:lvl>
  </w:abstractNum>
  <w:abstractNum w:abstractNumId="58">
    <w:nsid w:val="57A61A29"/>
    <w:multiLevelType w:val="hybridMultilevel"/>
    <w:lvl w:ilvl="0">
      <w:lvlJc w:val="left"/>
      <w:lvlText w:val="(%1)"/>
      <w:numFmt w:val="decimal"/>
      <w:start w:val="1"/>
    </w:lvl>
  </w:abstractNum>
  <w:abstractNum w:abstractNumId="59">
    <w:nsid w:val="5399C654"/>
    <w:multiLevelType w:val="hybridMultilevel"/>
    <w:lvl w:ilvl="0">
      <w:lvlJc w:val="left"/>
      <w:lvlText w:val="(%1)"/>
      <w:numFmt w:val="decimal"/>
      <w:start w:val="1"/>
    </w:lvl>
  </w:abstractNum>
  <w:abstractNum w:abstractNumId="60">
    <w:nsid w:val="20EE1348"/>
    <w:multiLevelType w:val="hybridMultilevel"/>
    <w:lvl w:ilvl="0">
      <w:lvlJc w:val="left"/>
      <w:lvlText w:val="(%1)"/>
      <w:numFmt w:val="decimal"/>
      <w:start w:val="1"/>
    </w:lvl>
  </w:abstractNum>
  <w:abstractNum w:abstractNumId="61">
    <w:nsid w:val="4427069A"/>
    <w:multiLevelType w:val="hybridMultilevel"/>
    <w:lvl w:ilvl="0">
      <w:lvlJc w:val="left"/>
      <w:lvlText w:val="​"/>
      <w:numFmt w:val="bullet"/>
      <w:start w:val="1"/>
    </w:lvl>
  </w:abstractNum>
  <w:abstractNum w:abstractNumId="62">
    <w:nsid w:val="B37E80A"/>
    <w:multiLevelType w:val="hybridMultilevel"/>
    <w:lvl w:ilvl="0">
      <w:lvlJc w:val="left"/>
      <w:lvlText w:val="(%1)"/>
      <w:numFmt w:val="decimal"/>
      <w:start w:val="1"/>
    </w:lvl>
  </w:abstractNum>
  <w:abstractNum w:abstractNumId="63">
    <w:nsid w:val="2157F6BC"/>
    <w:multiLevelType w:val="hybridMultilevel"/>
    <w:lvl w:ilvl="0">
      <w:lvlJc w:val="left"/>
      <w:lvlText w:val="(%1)"/>
      <w:numFmt w:val="decimal"/>
      <w:start w:val="2"/>
    </w:lvl>
  </w:abstractNum>
  <w:abstractNum w:abstractNumId="64">
    <w:nsid w:val="704E1DD5"/>
    <w:multiLevelType w:val="hybridMultilevel"/>
    <w:lvl w:ilvl="0">
      <w:lvlJc w:val="left"/>
      <w:lvlText w:val="(%1)"/>
      <w:numFmt w:val="decimal"/>
      <w:start w:val="1"/>
    </w:lvl>
  </w:abstractNum>
  <w:abstractNum w:abstractNumId="65">
    <w:nsid w:val="57D2F10E"/>
    <w:multiLevelType w:val="hybridMultilevel"/>
    <w:lvl w:ilvl="0">
      <w:lvlJc w:val="left"/>
      <w:lvlText w:val="•"/>
      <w:numFmt w:val="bullet"/>
      <w:start w:val="1"/>
    </w:lvl>
  </w:abstractNum>
  <w:abstractNum w:abstractNumId="66">
    <w:nsid w:val="BFFAE18"/>
    <w:multiLevelType w:val="hybridMultilevel"/>
    <w:lvl w:ilvl="0">
      <w:lvlJc w:val="left"/>
      <w:lvlText w:val="•"/>
      <w:numFmt w:val="bullet"/>
      <w:start w:val="1"/>
    </w:lvl>
  </w:abstractNum>
  <w:abstractNum w:abstractNumId="67">
    <w:nsid w:val="E3E47A8"/>
    <w:multiLevelType w:val="hybridMultilevel"/>
    <w:lvl w:ilvl="0">
      <w:lvlJc w:val="left"/>
      <w:lvlText w:val="(%1)"/>
      <w:numFmt w:val="decimal"/>
      <w:start w:val="1"/>
    </w:lvl>
  </w:abstractNum>
  <w:abstractNum w:abstractNumId="68">
    <w:nsid w:val="2E48F044"/>
    <w:multiLevelType w:val="hybridMultilevel"/>
    <w:lvl w:ilvl="0">
      <w:lvlJc w:val="left"/>
      <w:lvlText w:val="(%1)"/>
      <w:numFmt w:val="decimal"/>
      <w:start w:val="1"/>
    </w:lvl>
  </w:abstractNum>
  <w:abstractNum w:abstractNumId="69">
    <w:nsid w:val="49D0FEAC"/>
    <w:multiLevelType w:val="hybridMultilevel"/>
    <w:lvl w:ilvl="0">
      <w:lvlJc w:val="left"/>
      <w:lvlText w:val="(%1)"/>
      <w:numFmt w:val="decimal"/>
      <w:start w:val="1"/>
    </w:lvl>
  </w:abstractNum>
  <w:abstractNum w:abstractNumId="70">
    <w:nsid w:val="4BEE5A5B"/>
    <w:multiLevelType w:val="hybridMultilevel"/>
    <w:lvl w:ilvl="0">
      <w:lvlJc w:val="left"/>
      <w:lvlText w:val="(%1)"/>
      <w:numFmt w:val="decimal"/>
      <w:start w:val="1"/>
    </w:lvl>
  </w:abstractNum>
  <w:abstractNum w:abstractNumId="71">
    <w:nsid w:val="5551B9F3"/>
    <w:multiLevelType w:val="hybridMultilevel"/>
    <w:lvl w:ilvl="0">
      <w:lvlJc w:val="left"/>
      <w:lvlText w:val="\endash "/>
      <w:numFmt w:val="bullet"/>
      <w:start w:val="1"/>
    </w:lvl>
  </w:abstractNum>
  <w:abstractNum w:abstractNumId="72">
    <w:nsid w:val="24F6AB8E"/>
    <w:multiLevelType w:val="hybridMultilevel"/>
    <w:lvl w:ilvl="0">
      <w:lvlJc w:val="left"/>
      <w:lvlText w:val="\endash "/>
      <w:numFmt w:val="bullet"/>
      <w:start w:val="1"/>
    </w:lvl>
  </w:abstractNum>
  <w:abstractNum w:abstractNumId="73">
    <w:nsid w:val="634C574C"/>
    <w:multiLevelType w:val="hybridMultilevel"/>
    <w:lvl w:ilvl="0">
      <w:lvlJc w:val="left"/>
      <w:lvlText w:val="\endash "/>
      <w:numFmt w:val="bullet"/>
      <w:start w:val="1"/>
    </w:lvl>
  </w:abstractNum>
  <w:abstractNum w:abstractNumId="74">
    <w:nsid w:val="24E99DD7"/>
    <w:multiLevelType w:val="hybridMultilevel"/>
    <w:lvl w:ilvl="0">
      <w:lvlJc w:val="left"/>
      <w:lvlText w:val="​"/>
      <w:numFmt w:val="bullet"/>
      <w:start w:val="1"/>
    </w:lvl>
  </w:abstractNum>
  <w:abstractNum w:abstractNumId="75">
    <w:nsid w:val="2A31B62D"/>
    <w:multiLevelType w:val="hybridMultilevel"/>
    <w:lvl w:ilvl="0">
      <w:lvlJc w:val="left"/>
      <w:lvlText w:val="•"/>
      <w:numFmt w:val="bullet"/>
      <w:start w:val="1"/>
    </w:lvl>
  </w:abstractNum>
  <w:abstractNum w:abstractNumId="76">
    <w:nsid w:val="1849C29B"/>
    <w:multiLevelType w:val="hybridMultilevel"/>
    <w:lvl w:ilvl="0">
      <w:lvlJc w:val="left"/>
      <w:lvlText w:val="​​"/>
      <w:numFmt w:val="bullet"/>
      <w:start w:val="1"/>
    </w:lvl>
  </w:abstractNum>
  <w:abstractNum w:abstractNumId="77">
    <w:nsid w:val="7DFF9D09"/>
    <w:multiLevelType w:val="hybridMultilevel"/>
    <w:lvl w:ilvl="0">
      <w:lvlJc w:val="left"/>
      <w:lvlText w:val="​​"/>
      <w:numFmt w:val="bullet"/>
      <w:start w:val="1"/>
    </w:lvl>
  </w:abstractNum>
  <w:abstractNum w:abstractNumId="78">
    <w:nsid w:val="754342"/>
    <w:multiLevelType w:val="hybridMultilevel"/>
    <w:lvl w:ilvl="0">
      <w:lvlJc w:val="left"/>
      <w:lvlText w:val="(%1)"/>
      <w:numFmt w:val="decimal"/>
      <w:start w:val="1"/>
    </w:lvl>
  </w:abstractNum>
  <w:abstractNum w:abstractNumId="79">
    <w:nsid w:val="69E7F3E5"/>
    <w:multiLevelType w:val="hybridMultilevel"/>
    <w:lvl w:ilvl="0">
      <w:lvlJc w:val="left"/>
      <w:lvlText w:val="(%1)"/>
      <w:numFmt w:val="lowerRoman"/>
      <w:start w:val="1"/>
    </w:lvl>
  </w:abstractNum>
  <w:abstractNum w:abstractNumId="80">
    <w:nsid w:val="2A6DE806"/>
    <w:multiLevelType w:val="hybridMultilevel"/>
    <w:lvl w:ilvl="0">
      <w:lvlJc w:val="left"/>
      <w:lvlText w:val="(%1)"/>
      <w:numFmt w:val="decimal"/>
      <w:start w:val="1"/>
    </w:lvl>
  </w:abstractNum>
  <w:abstractNum w:abstractNumId="81">
    <w:nsid w:val="1816F8C4"/>
    <w:multiLevelType w:val="hybridMultilevel"/>
    <w:lvl w:ilvl="0">
      <w:lvlJc w:val="left"/>
      <w:lvlText w:val="​​"/>
      <w:numFmt w:val="bullet"/>
      <w:start w:val="1"/>
    </w:lvl>
  </w:abstractNum>
  <w:abstractNum w:abstractNumId="82">
    <w:nsid w:val="37DF2233"/>
    <w:multiLevelType w:val="hybridMultilevel"/>
    <w:lvl w:ilvl="0">
      <w:lvlJc w:val="left"/>
      <w:lvlText w:val="(%1)"/>
      <w:numFmt w:val="lowerLetter"/>
      <w:start w:val="1"/>
    </w:lvl>
  </w:abstractNum>
  <w:abstractNum w:abstractNumId="83">
    <w:nsid w:val="7AB49DAF"/>
    <w:multiLevelType w:val="hybridMultilevel"/>
    <w:lvl w:ilvl="0">
      <w:lvlJc w:val="left"/>
      <w:lvlText w:val="(%1)"/>
      <w:numFmt w:val="decimal"/>
      <w:start w:val="1"/>
    </w:lvl>
  </w:abstractNum>
  <w:abstractNum w:abstractNumId="84">
    <w:nsid w:val="759F82CD"/>
    <w:multiLevelType w:val="hybridMultilevel"/>
    <w:lvl w:ilvl="0">
      <w:lvlJc w:val="left"/>
      <w:lvlText w:val="(%1)"/>
      <w:numFmt w:val="decimal"/>
      <w:start w:val="1"/>
    </w:lvl>
  </w:abstractNum>
  <w:abstractNum w:abstractNumId="85">
    <w:nsid w:val="61E74EA3"/>
    <w:multiLevelType w:val="hybridMultilevel"/>
    <w:lvl w:ilvl="0">
      <w:lvlJc w:val="left"/>
      <w:lvlText w:val="%1"/>
      <w:numFmt w:val="decimal"/>
      <w:start w:val="1"/>
    </w:lvl>
    <w:lvl w:ilvl="1">
      <w:lvlJc w:val="left"/>
      <w:lvlText w:val="(%2)"/>
      <w:numFmt w:val="lowerLetter"/>
      <w:start w:val="1"/>
    </w:lvl>
  </w:abstractNum>
  <w:abstractNum w:abstractNumId="86">
    <w:nsid w:val="597B4D84"/>
    <w:multiLevelType w:val="hybridMultilevel"/>
    <w:lvl w:ilvl="0">
      <w:lvlJc w:val="left"/>
      <w:lvlText w:val="(%1)"/>
      <w:numFmt w:val="decimal"/>
      <w:start w:val="2"/>
    </w:lvl>
    <w:lvl w:ilvl="1">
      <w:lvlJc w:val="left"/>
      <w:lvlText w:val="%2"/>
      <w:numFmt w:val="lowerLetter"/>
      <w:start w:val="1"/>
    </w:lvl>
  </w:abstractNum>
  <w:abstractNum w:abstractNumId="87">
    <w:nsid w:val="F819E7F"/>
    <w:multiLevelType w:val="hybridMultilevel"/>
    <w:lvl w:ilvl="0">
      <w:lvlJc w:val="left"/>
      <w:lvlText w:val="(%1)"/>
      <w:numFmt w:val="decimal"/>
      <w:start w:val="3"/>
    </w:lvl>
  </w:abstractNum>
  <w:abstractNum w:abstractNumId="88">
    <w:nsid w:val="57C7D42D"/>
    <w:multiLevelType w:val="hybridMultilevel"/>
    <w:lvl w:ilvl="0">
      <w:lvlJc w:val="left"/>
      <w:lvlText w:val="%1"/>
      <w:numFmt w:val="decimal"/>
      <w:start w:val="1"/>
    </w:lvl>
    <w:lvl w:ilvl="1">
      <w:lvlJc w:val="left"/>
      <w:lvlText w:val="(%2)"/>
      <w:numFmt w:val="lowerLetter"/>
      <w:start w:val="1"/>
    </w:lvl>
  </w:abstractNum>
  <w:abstractNum w:abstractNumId="89">
    <w:nsid w:val="312167AD"/>
    <w:multiLevelType w:val="hybridMultilevel"/>
    <w:lvl w:ilvl="0">
      <w:lvlJc w:val="left"/>
      <w:lvlText w:val="(%1)"/>
      <w:numFmt w:val="decimal"/>
      <w:start w:val="4"/>
    </w:lvl>
    <w:lvl w:ilvl="1">
      <w:lvlJc w:val="left"/>
      <w:lvlText w:val="%2"/>
      <w:numFmt w:val="lowerLetter"/>
      <w:start w:val="1"/>
    </w:lvl>
  </w:abstractNum>
  <w:abstractNum w:abstractNumId="90">
    <w:nsid w:val="631B64D4"/>
    <w:multiLevelType w:val="hybridMultilevel"/>
    <w:lvl w:ilvl="0">
      <w:lvlJc w:val="left"/>
      <w:lvlText w:val="(%1)"/>
      <w:numFmt w:val="decimal"/>
      <w:start w:val="1"/>
    </w:lvl>
  </w:abstractNum>
  <w:abstractNum w:abstractNumId="91">
    <w:nsid w:val="78B5E776"/>
    <w:multiLevelType w:val="hybridMultilevel"/>
    <w:lvl w:ilvl="0">
      <w:lvlJc w:val="left"/>
      <w:lvlText w:val="(%1)"/>
      <w:numFmt w:val="decimal"/>
      <w:start w:val="1"/>
    </w:lvl>
  </w:abstractNum>
  <w:abstractNum w:abstractNumId="92">
    <w:nsid w:val="75486E47"/>
    <w:multiLevelType w:val="hybridMultilevel"/>
    <w:lvl w:ilvl="0">
      <w:lvlJc w:val="left"/>
      <w:lvlText w:val="​​"/>
      <w:numFmt w:val="bullet"/>
      <w:start w:val="1"/>
    </w:lvl>
  </w:abstractNum>
  <w:abstractNum w:abstractNumId="93">
    <w:nsid w:val="6E534CDE"/>
    <w:multiLevelType w:val="hybridMultilevel"/>
    <w:lvl w:ilvl="0">
      <w:lvlJc w:val="left"/>
      <w:lvlText w:val="​​"/>
      <w:numFmt w:val="bullet"/>
      <w:start w:val="1"/>
    </w:lvl>
  </w:abstractNum>
  <w:abstractNum w:abstractNumId="94">
    <w:nsid w:val="1A0DDE32"/>
    <w:multiLevelType w:val="hybridMultilevel"/>
    <w:lvl w:ilvl="0">
      <w:lvlJc w:val="left"/>
      <w:lvlText w:val="(%1)"/>
      <w:numFmt w:val="decimal"/>
      <w:start w:val="1"/>
    </w:lvl>
  </w:abstractNum>
  <w:abstractNum w:abstractNumId="95">
    <w:nsid w:val="65968C1C"/>
    <w:multiLevelType w:val="hybridMultilevel"/>
    <w:lvl w:ilvl="0">
      <w:lvlJc w:val="left"/>
      <w:lvlText w:val="​"/>
      <w:numFmt w:val="bullet"/>
      <w:start w:val="1"/>
    </w:lvl>
  </w:abstractNum>
  <w:abstractNum w:abstractNumId="96">
    <w:nsid w:val="46263DEC"/>
    <w:multiLevelType w:val="hybridMultilevel"/>
    <w:lvl w:ilvl="0">
      <w:lvlJc w:val="left"/>
      <w:lvlText w:val="(%1)"/>
      <w:numFmt w:val="decimal"/>
      <w:start w:val="1"/>
    </w:lvl>
  </w:abstractNum>
  <w:abstractNum w:abstractNumId="97">
    <w:nsid w:val="260D8C4A"/>
    <w:multiLevelType w:val="hybridMultilevel"/>
    <w:lvl w:ilvl="0">
      <w:lvlJc w:val="left"/>
      <w:lvlText w:val="​​"/>
      <w:numFmt w:val="bullet"/>
      <w:start w:val="1"/>
    </w:lvl>
  </w:abstractNum>
  <w:abstractNum w:abstractNumId="98">
    <w:nsid w:val="73D4D3C4"/>
    <w:multiLevelType w:val="hybridMultilevel"/>
    <w:lvl w:ilvl="0">
      <w:lvlJc w:val="left"/>
      <w:lvlText w:val="​​"/>
      <w:numFmt w:val="bullet"/>
      <w:start w:val="1"/>
    </w:lvl>
  </w:abstractNum>
  <w:abstractNum w:abstractNumId="99">
    <w:nsid w:val="746F2E30"/>
    <w:multiLevelType w:val="hybridMultilevel"/>
    <w:lvl w:ilvl="0">
      <w:lvlJc w:val="left"/>
      <w:lvlText w:val="​​"/>
      <w:numFmt w:val="bullet"/>
      <w:start w:val="1"/>
    </w:lvl>
  </w:abstractNum>
  <w:abstractNum w:abstractNumId="100">
    <w:nsid w:val="6FDE8AF6"/>
    <w:multiLevelType w:val="hybridMultilevel"/>
    <w:lvl w:ilvl="0">
      <w:lvlJc w:val="left"/>
      <w:lvlText w:val="​​"/>
      <w:numFmt w:val="bullet"/>
      <w:start w:val="1"/>
    </w:lvl>
  </w:abstractNum>
  <w:abstractNum w:abstractNumId="101">
    <w:nsid w:val="3FC32E20"/>
    <w:multiLevelType w:val="hybridMultilevel"/>
    <w:lvl w:ilvl="0">
      <w:lvlJc w:val="left"/>
      <w:lvlText w:val="​​"/>
      <w:numFmt w:val="bullet"/>
      <w:start w:val="1"/>
    </w:lvl>
  </w:abstractNum>
  <w:abstractNum w:abstractNumId="102">
    <w:nsid w:val="49C0E823"/>
    <w:multiLevelType w:val="hybridMultilevel"/>
    <w:lvl w:ilvl="0">
      <w:lvlJc w:val="left"/>
      <w:lvlText w:val="(%1)"/>
      <w:numFmt w:val="decimal"/>
      <w:start w:val="1"/>
    </w:lvl>
  </w:abstractNum>
  <w:abstractNum w:abstractNumId="103">
    <w:nsid w:val="14D53685"/>
    <w:multiLevelType w:val="hybridMultilevel"/>
    <w:lvl w:ilvl="0">
      <w:lvlJc w:val="left"/>
      <w:lvlText w:val="(%1)"/>
      <w:numFmt w:val="decimal"/>
      <w:start w:val="4"/>
    </w:lvl>
  </w:abstractNum>
  <w:abstractNum w:abstractNumId="104">
    <w:nsid w:val="230F856C"/>
    <w:multiLevelType w:val="hybridMultilevel"/>
    <w:lvl w:ilvl="0">
      <w:lvlJc w:val="left"/>
      <w:lvlText w:val="(%1)"/>
      <w:numFmt w:val="decimal"/>
      <w:start w:val="1"/>
    </w:lvl>
  </w:abstractNum>
  <w:abstractNum w:abstractNumId="105">
    <w:nsid w:val="6EAA85FB"/>
    <w:multiLevelType w:val="hybridMultilevel"/>
    <w:lvl w:ilvl="0">
      <w:lvlJc w:val="left"/>
      <w:lvlText w:val="(%1)"/>
      <w:numFmt w:val="lowerLetter"/>
      <w:start w:val="1"/>
    </w:lvl>
  </w:abstractNum>
  <w:abstractNum w:abstractNumId="106">
    <w:nsid w:val="3F06ECB2"/>
    <w:multiLevelType w:val="hybridMultilevel"/>
    <w:lvl w:ilvl="0">
      <w:lvlJc w:val="left"/>
      <w:lvlText w:val="%1"/>
      <w:numFmt w:val="decimal"/>
      <w:start w:val="1"/>
    </w:lvl>
    <w:lvl w:ilvl="1">
      <w:lvlJc w:val="left"/>
      <w:lvlText w:val="(%2)"/>
      <w:numFmt w:val="lowerRoman"/>
      <w:start w:val="1"/>
    </w:lvl>
  </w:abstractNum>
  <w:abstractNum w:abstractNumId="107">
    <w:nsid w:val="3B594807"/>
    <w:multiLevelType w:val="hybridMultilevel"/>
    <w:lvl w:ilvl="0">
      <w:lvlJc w:val="left"/>
      <w:lvlText w:val="(%1)"/>
      <w:numFmt w:val="decimal"/>
      <w:start w:val="2"/>
    </w:lvl>
    <w:lvl w:ilvl="1">
      <w:lvlJc w:val="left"/>
      <w:lvlText w:val="%2"/>
      <w:numFmt w:val="lowerRoman"/>
      <w:start w:val="1"/>
    </w:lvl>
  </w:abstractNum>
  <w:abstractNum w:abstractNumId="108">
    <w:nsid w:val="6CAA2304"/>
    <w:multiLevelType w:val="hybridMultilevel"/>
    <w:lvl w:ilvl="0">
      <w:lvlJc w:val="left"/>
      <w:lvlText w:val="(%1)"/>
      <w:numFmt w:val="lowerLetter"/>
      <w:start w:val="1"/>
    </w:lvl>
  </w:abstractNum>
  <w:abstractNum w:abstractNumId="109">
    <w:nsid w:val="3F7C2FF4"/>
    <w:multiLevelType w:val="hybridMultilevel"/>
    <w:lvl w:ilvl="0">
      <w:lvlJc w:val="left"/>
      <w:lvlText w:val="%1"/>
      <w:numFmt w:val="decimal"/>
      <w:start w:val="1"/>
    </w:lvl>
    <w:lvl w:ilvl="1">
      <w:lvlJc w:val="left"/>
      <w:lvlText w:val="(%2)"/>
      <w:numFmt w:val="lowerRoman"/>
      <w:start w:val="1"/>
    </w:lvl>
  </w:abstractNum>
  <w:abstractNum w:abstractNumId="110">
    <w:nsid w:val="25413BEC"/>
    <w:multiLevelType w:val="hybridMultilevel"/>
    <w:lvl w:ilvl="0">
      <w:lvlJc w:val="left"/>
      <w:lvlText w:val="(%1)"/>
      <w:numFmt w:val="decimal"/>
      <w:start w:val="3"/>
    </w:lvl>
    <w:lvl w:ilvl="1">
      <w:lvlJc w:val="left"/>
      <w:lvlText w:val="%2"/>
      <w:numFmt w:val="lowerRoman"/>
      <w:start w:val="1"/>
    </w:lvl>
  </w:abstractNum>
  <w:abstractNum w:abstractNumId="111">
    <w:nsid w:val="17180B0B"/>
    <w:multiLevelType w:val="hybridMultilevel"/>
    <w:lvl w:ilvl="0">
      <w:lvlJc w:val="left"/>
      <w:lvlText w:val="(%1)"/>
      <w:numFmt w:val="decimal"/>
      <w:start w:val="4"/>
    </w:lvl>
  </w:abstractNum>
  <w:abstractNum w:abstractNumId="112">
    <w:nsid w:val="579328B9"/>
    <w:multiLevelType w:val="hybridMultilevel"/>
    <w:lvl w:ilvl="0">
      <w:lvlJc w:val="left"/>
      <w:lvlText w:val="•"/>
      <w:numFmt w:val="bullet"/>
      <w:start w:val="1"/>
    </w:lvl>
  </w:abstractNum>
  <w:abstractNum w:abstractNumId="113">
    <w:nsid w:val="5D205E20"/>
    <w:multiLevelType w:val="hybridMultilevel"/>
    <w:lvl w:ilvl="0">
      <w:lvlJc w:val="left"/>
      <w:lvlText w:val="(%1)"/>
      <w:numFmt w:val="decimal"/>
      <w:start w:val="1"/>
    </w:lvl>
  </w:abstractNum>
  <w:abstractNum w:abstractNumId="114">
    <w:nsid w:val="11CCA8BA"/>
    <w:multiLevelType w:val="hybridMultilevel"/>
    <w:lvl w:ilvl="0">
      <w:lvlJc w:val="left"/>
      <w:lvlText w:val="​"/>
      <w:numFmt w:val="bullet"/>
      <w:start w:val="1"/>
    </w:lvl>
  </w:abstractNum>
  <w:abstractNum w:abstractNumId="115">
    <w:nsid w:val="4D32AB86"/>
    <w:multiLevelType w:val="hybridMultilevel"/>
    <w:lvl w:ilvl="0">
      <w:lvlJc w:val="left"/>
      <w:lvlText w:val="(%1)"/>
      <w:numFmt w:val="decimal"/>
      <w:start w:val="1"/>
    </w:lvl>
  </w:abstractNum>
  <w:abstractNum w:abstractNumId="116">
    <w:nsid w:val="3F07ACC3"/>
    <w:multiLevelType w:val="hybridMultilevel"/>
    <w:lvl w:ilvl="0">
      <w:lvlJc w:val="left"/>
      <w:lvlText w:val="​​"/>
      <w:numFmt w:val="bullet"/>
      <w:start w:val="1"/>
    </w:lvl>
  </w:abstractNum>
  <w:abstractNum w:abstractNumId="117">
    <w:nsid w:val="6B47F63E"/>
    <w:multiLevelType w:val="hybridMultilevel"/>
    <w:lvl w:ilvl="0">
      <w:lvlJc w:val="left"/>
      <w:lvlText w:val="​"/>
      <w:numFmt w:val="bullet"/>
      <w:start w:val="1"/>
    </w:lvl>
  </w:abstractNum>
  <w:abstractNum w:abstractNumId="118">
    <w:nsid w:val="5CB44A05"/>
    <w:multiLevelType w:val="hybridMultilevel"/>
    <w:lvl w:ilvl="0">
      <w:lvlJc w:val="left"/>
      <w:lvlText w:val="(%1)"/>
      <w:numFmt w:val="lowerRoman"/>
      <w:start w:val="1"/>
    </w:lvl>
  </w:abstractNum>
  <w:abstractNum w:abstractNumId="119">
    <w:nsid w:val="16CF80F1"/>
    <w:multiLevelType w:val="hybridMultilevel"/>
    <w:lvl w:ilvl="0">
      <w:lvlJc w:val="left"/>
      <w:lvlText w:val="(%1)"/>
      <w:numFmt w:val="decimal"/>
      <w:start w:val="1"/>
    </w:lvl>
  </w:abstractNum>
  <w:abstractNum w:abstractNumId="120">
    <w:nsid w:val="1C695DEC"/>
    <w:multiLevelType w:val="hybridMultilevel"/>
    <w:lvl w:ilvl="0">
      <w:lvlJc w:val="left"/>
      <w:lvlText w:val="(%1)"/>
      <w:numFmt w:val="decimal"/>
      <w:start w:val="5"/>
    </w:lvl>
  </w:abstractNum>
  <w:abstractNum w:abstractNumId="121">
    <w:nsid w:val="3FCFAED9"/>
    <w:multiLevelType w:val="hybridMultilevel"/>
    <w:lvl w:ilvl="0">
      <w:lvlJc w:val="left"/>
      <w:lvlText w:val="•"/>
      <w:numFmt w:val="bullet"/>
      <w:start w:val="1"/>
    </w:lvl>
  </w:abstractNum>
  <w:abstractNum w:abstractNumId="122">
    <w:nsid w:val="F856867"/>
    <w:multiLevelType w:val="hybridMultilevel"/>
    <w:lvl w:ilvl="0">
      <w:lvlJc w:val="left"/>
      <w:lvlText w:val="(%1)"/>
      <w:numFmt w:val="decimal"/>
      <w:start w:val="1"/>
    </w:lvl>
  </w:abstractNum>
  <w:abstractNum w:abstractNumId="123">
    <w:nsid w:val="11B1CC33"/>
    <w:multiLevelType w:val="hybridMultilevel"/>
    <w:lvl w:ilvl="0">
      <w:lvlJc w:val="left"/>
      <w:lvlText w:val="*"/>
      <w:numFmt w:val="bullet"/>
      <w:start w:val="1"/>
    </w:lvl>
  </w:abstractNum>
  <w:abstractNum w:abstractNumId="124">
    <w:nsid w:val="2E22FBB7"/>
    <w:multiLevelType w:val="hybridMultilevel"/>
    <w:lvl w:ilvl="0">
      <w:lvlJc w:val="left"/>
      <w:lvlText w:val="**"/>
      <w:numFmt w:val="bullet"/>
      <w:start w:val="1"/>
    </w:lvl>
  </w:abstractNum>
  <w:abstractNum w:abstractNumId="125">
    <w:nsid w:val="29934699"/>
    <w:multiLevelType w:val="hybridMultilevel"/>
    <w:lvl w:ilvl="0">
      <w:lvlJc w:val="left"/>
      <w:lvlText w:val="(%1)"/>
      <w:numFmt w:val="decimal"/>
      <w:start w:val="1"/>
    </w:lvl>
  </w:abstractNum>
  <w:abstractNum w:abstractNumId="126">
    <w:nsid w:val="77485850"/>
    <w:multiLevelType w:val="hybridMultilevel"/>
    <w:lvl w:ilvl="0">
      <w:lvlJc w:val="left"/>
      <w:lvlText w:val="(%1)"/>
      <w:numFmt w:val="decimal"/>
      <w:start w:val="2"/>
    </w:lvl>
  </w:abstractNum>
  <w:abstractNum w:abstractNumId="127">
    <w:nsid w:val="744939A3"/>
    <w:multiLevelType w:val="hybridMultilevel"/>
    <w:lvl w:ilvl="0">
      <w:lvlJc w:val="left"/>
      <w:lvlText w:val="*"/>
      <w:numFmt w:val="bullet"/>
      <w:start w:val="1"/>
    </w:lvl>
  </w:abstractNum>
  <w:abstractNum w:abstractNumId="128">
    <w:nsid w:val="4FA0D2E3"/>
    <w:multiLevelType w:val="hybridMultilevel"/>
    <w:lvl w:ilvl="0">
      <w:lvlJc w:val="left"/>
      <w:lvlText w:val="•"/>
      <w:numFmt w:val="bullet"/>
      <w:start w:val="1"/>
    </w:lvl>
  </w:abstractNum>
  <w:abstractNum w:abstractNumId="129">
    <w:nsid w:val="6B1D2C14"/>
    <w:multiLevelType w:val="hybridMultilevel"/>
    <w:lvl w:ilvl="0">
      <w:lvlJc w:val="left"/>
      <w:lvlText w:val="•"/>
      <w:numFmt w:val="bullet"/>
      <w:start w:val="1"/>
    </w:lvl>
  </w:abstractNum>
  <w:abstractNum w:abstractNumId="130">
    <w:nsid w:val="68B867D3"/>
    <w:multiLevelType w:val="hybridMultilevel"/>
    <w:lvl w:ilvl="0">
      <w:lvlJc w:val="left"/>
      <w:lvlText w:val="•"/>
      <w:numFmt w:val="bullet"/>
      <w:start w:val="1"/>
    </w:lvl>
  </w:abstractNum>
  <w:abstractNum w:abstractNumId="131">
    <w:nsid w:val="3F7F5DD9"/>
    <w:multiLevelType w:val="hybridMultilevel"/>
    <w:lvl w:ilvl="0">
      <w:lvlJc w:val="left"/>
      <w:lvlText w:val="%1."/>
      <w:numFmt w:val="decimal"/>
      <w:start w:val="1"/>
    </w:lvl>
  </w:abstractNum>
  <w:abstractNum w:abstractNumId="132">
    <w:nsid w:val="2AE05A34"/>
    <w:multiLevelType w:val="hybridMultilevel"/>
    <w:lvl w:ilvl="0">
      <w:lvlJc w:val="left"/>
      <w:lvlText w:val="(%1)"/>
      <w:numFmt w:val="upperLetter"/>
      <w:start w:val="2"/>
    </w:lvl>
  </w:abstractNum>
  <w:abstractNum w:abstractNumId="133">
    <w:nsid w:val="32794FF7"/>
    <w:multiLevelType w:val="hybridMultilevel"/>
    <w:lvl w:ilvl="0">
      <w:lvlJc w:val="left"/>
      <w:lvlText w:val="(%1)"/>
      <w:numFmt w:val="lowerRoman"/>
      <w:start w:val="1"/>
    </w:lvl>
  </w:abstractNum>
  <w:abstractNum w:abstractNumId="134">
    <w:nsid w:val="5454945E"/>
    <w:multiLevelType w:val="hybridMultilevel"/>
    <w:lvl w:ilvl="0">
      <w:lvlJc w:val="left"/>
      <w:lvlText w:val="(%1)"/>
      <w:numFmt w:val="decimal"/>
      <w:start w:val="2"/>
    </w:lvl>
  </w:abstractNum>
  <w:abstractNum w:abstractNumId="135">
    <w:nsid w:val="4DEFDFA0"/>
    <w:multiLevelType w:val="hybridMultilevel"/>
    <w:lvl w:ilvl="0">
      <w:lvlJc w:val="left"/>
      <w:lvlText w:val="%1."/>
      <w:numFmt w:val="decimal"/>
      <w:start w:val="2"/>
    </w:lvl>
  </w:abstractNum>
  <w:abstractNum w:abstractNumId="136">
    <w:nsid w:val="2123D5F2"/>
    <w:multiLevelType w:val="hybridMultilevel"/>
    <w:lvl w:ilvl="0">
      <w:lvlJc w:val="left"/>
      <w:lvlText w:val="(%1)"/>
      <w:numFmt w:val="lowerLetter"/>
      <w:start w:val="2"/>
    </w:lvl>
  </w:abstractNum>
  <w:abstractNum w:abstractNumId="137">
    <w:nsid w:val="135B8110"/>
    <w:multiLevelType w:val="hybridMultilevel"/>
    <w:lvl w:ilvl="0">
      <w:lvlJc w:val="left"/>
      <w:lvlText w:val="(%1)"/>
      <w:numFmt w:val="lowerLetter"/>
      <w:start w:val="4"/>
    </w:lvl>
  </w:abstractNum>
  <w:abstractNum w:abstractNumId="138">
    <w:nsid w:val="94927A8"/>
    <w:multiLevelType w:val="hybridMultilevel"/>
    <w:lvl w:ilvl="0">
      <w:lvlJc w:val="left"/>
      <w:lvlText w:val="%1."/>
      <w:numFmt w:val="decimal"/>
      <w:start w:val="4"/>
    </w:lvl>
  </w:abstractNum>
  <w:abstractNum w:abstractNumId="139">
    <w:nsid w:val="DCDF8F6"/>
    <w:multiLevelType w:val="hybridMultilevel"/>
    <w:lvl w:ilvl="0">
      <w:lvlJc w:val="left"/>
      <w:lvlText w:val="(%1)"/>
      <w:numFmt w:val="lowerLetter"/>
      <w:start w:val="2"/>
    </w:lvl>
  </w:abstractNum>
  <w:abstractNum w:abstractNumId="140">
    <w:nsid w:val="52D7B105"/>
    <w:multiLevelType w:val="hybridMultilevel"/>
    <w:lvl w:ilvl="0">
      <w:lvlJc w:val="left"/>
      <w:lvlText w:val="(%1)"/>
      <w:numFmt w:val="lowerLetter"/>
      <w:start w:val="4"/>
    </w:lvl>
  </w:abstractNum>
  <w:abstractNum w:abstractNumId="141">
    <w:nsid w:val="2E8A6394"/>
    <w:multiLevelType w:val="hybridMultilevel"/>
    <w:lvl w:ilvl="0">
      <w:lvlJc w:val="left"/>
      <w:lvlText w:val="%1."/>
      <w:numFmt w:val="decimal"/>
      <w:start w:val="5"/>
    </w:lvl>
  </w:abstractNum>
  <w:abstractNum w:abstractNumId="142">
    <w:nsid w:val="24E60401"/>
    <w:multiLevelType w:val="hybridMultilevel"/>
    <w:lvl w:ilvl="0">
      <w:lvlJc w:val="left"/>
      <w:lvlText w:val="(%1)"/>
      <w:numFmt w:val="lowerRoman"/>
      <w:start w:val="2"/>
    </w:lvl>
  </w:abstractNum>
  <w:abstractNum w:abstractNumId="143">
    <w:nsid w:val="2A6AD9BE"/>
    <w:multiLevelType w:val="hybridMultilevel"/>
    <w:lvl w:ilvl="0">
      <w:lvlJc w:val="left"/>
      <w:lvlText w:val="(%1)"/>
      <w:numFmt w:val="lowerLetter"/>
      <w:start w:val="1"/>
    </w:lvl>
  </w:abstractNum>
  <w:abstractNum w:abstractNumId="144">
    <w:nsid w:val="BAAC1B4"/>
    <w:multiLevelType w:val="hybridMultilevel"/>
    <w:lvl w:ilvl="0">
      <w:lvlJc w:val="left"/>
      <w:lvlText w:val="(%1)"/>
      <w:numFmt w:val="lowerLetter"/>
      <w:start w:val="1"/>
    </w:lvl>
  </w:abstractNum>
  <w:abstractNum w:abstractNumId="145">
    <w:nsid w:val="36B2ACBC"/>
    <w:multiLevelType w:val="hybridMultilevel"/>
    <w:lvl w:ilvl="0">
      <w:lvlJc w:val="left"/>
      <w:lvlText w:val="(%1)"/>
      <w:numFmt w:val="lowerLetter"/>
      <w:start w:val="2"/>
    </w:lvl>
  </w:abstractNum>
  <w:abstractNum w:abstractNumId="146">
    <w:nsid w:val="779D8544"/>
    <w:multiLevelType w:val="hybridMultilevel"/>
    <w:lvl w:ilvl="0">
      <w:lvlJc w:val="left"/>
      <w:lvlText w:val="(%1)"/>
      <w:numFmt w:val="lowerLetter"/>
      <w:start w:val="1"/>
    </w:lvl>
  </w:abstractNum>
  <w:abstractNum w:abstractNumId="147">
    <w:nsid w:val="4AB26E78"/>
    <w:multiLevelType w:val="hybridMultilevel"/>
    <w:lvl w:ilvl="0">
      <w:lvlJc w:val="left"/>
      <w:lvlText w:val="(%1)"/>
      <w:numFmt w:val="lowerLetter"/>
      <w:start w:val="1"/>
    </w:lvl>
  </w:abstractNum>
  <w:abstractNum w:abstractNumId="148">
    <w:nsid w:val="21FAA2FA"/>
    <w:multiLevelType w:val="hybridMultilevel"/>
    <w:lvl w:ilvl="0">
      <w:lvlJc w:val="left"/>
      <w:lvlText w:val="(%1)"/>
      <w:numFmt w:val="lowerRoman"/>
      <w:start w:val="1"/>
    </w:lvl>
  </w:abstractNum>
  <w:abstractNum w:abstractNumId="149">
    <w:nsid w:val="5451CF49"/>
    <w:multiLevelType w:val="hybridMultilevel"/>
    <w:lvl w:ilvl="0">
      <w:lvlJc w:val="left"/>
      <w:lvlText w:val="(%1)"/>
      <w:numFmt w:val="lowerLetter"/>
      <w:start w:val="2"/>
    </w:lvl>
  </w:abstractNum>
  <w:abstractNum w:abstractNumId="150">
    <w:nsid w:val="6181EF69"/>
    <w:multiLevelType w:val="hybridMultilevel"/>
    <w:lvl w:ilvl="0">
      <w:lvlJc w:val="left"/>
      <w:lvlText w:val="(%1)"/>
      <w:numFmt w:val="lowerLetter"/>
      <w:start w:val="1"/>
    </w:lvl>
  </w:abstractNum>
  <w:abstractNum w:abstractNumId="151">
    <w:nsid w:val="3E6400E6"/>
    <w:multiLevelType w:val="hybridMultilevel"/>
    <w:lvl w:ilvl="0">
      <w:lvlJc w:val="left"/>
      <w:lvlText w:val="%1."/>
      <w:numFmt w:val="decimal"/>
      <w:start w:val="6"/>
    </w:lvl>
  </w:abstractNum>
  <w:abstractNum w:abstractNumId="152">
    <w:nsid w:val="14217E23"/>
    <w:multiLevelType w:val="hybridMultilevel"/>
    <w:lvl w:ilvl="0">
      <w:lvlJc w:val="left"/>
      <w:lvlText w:val="(%1)"/>
      <w:numFmt w:val="lowerLetter"/>
      <w:start w:val="1"/>
    </w:lvl>
  </w:abstractNum>
  <w:abstractNum w:abstractNumId="153">
    <w:nsid w:val="710757D0"/>
    <w:multiLevelType w:val="hybridMultilevel"/>
    <w:lvl w:ilvl="0">
      <w:lvlJc w:val="left"/>
      <w:lvlText w:val="(%1)"/>
      <w:numFmt w:val="lowerLetter"/>
      <w:start w:val="61"/>
    </w:lvl>
  </w:abstractNum>
  <w:abstractNum w:abstractNumId="154">
    <w:nsid w:val="5015CD1A"/>
    <w:multiLevelType w:val="hybridMultilevel"/>
    <w:lvl w:ilvl="0">
      <w:lvlJc w:val="left"/>
      <w:lvlText w:val="(%1)"/>
      <w:numFmt w:val="lowerLetter"/>
      <w:start w:val="1"/>
    </w:lvl>
  </w:abstractNum>
  <w:abstractNum w:abstractNumId="155">
    <w:nsid w:val="424479DA"/>
    <w:multiLevelType w:val="hybridMultilevel"/>
    <w:lvl w:ilvl="0">
      <w:lvlJc w:val="left"/>
      <w:lvlText w:val="(%1)"/>
      <w:numFmt w:val="lowerLetter"/>
      <w:start w:val="2"/>
    </w:lvl>
  </w:abstractNum>
  <w:abstractNum w:abstractNumId="156">
    <w:nsid w:val="1A9A9E69"/>
    <w:multiLevelType w:val="hybridMultilevel"/>
    <w:lvl w:ilvl="0">
      <w:lvlJc w:val="left"/>
      <w:lvlText w:val="(%1)"/>
      <w:numFmt w:val="lowerRoman"/>
      <w:start w:val="1"/>
    </w:lvl>
    <w:lvl w:ilvl="1">
      <w:lvlJc w:val="left"/>
      <w:lvlText w:val="(%2)"/>
      <w:numFmt w:val="upperLetter"/>
      <w:start w:val="1"/>
    </w:lvl>
  </w:abstractNum>
  <w:abstractNum w:abstractNumId="157">
    <w:nsid w:val="475E256A"/>
    <w:multiLevelType w:val="hybridMultilevel"/>
    <w:lvl w:ilvl="0">
      <w:lvlJc w:val="left"/>
      <w:lvlText w:val="%1."/>
      <w:numFmt w:val="decimal"/>
      <w:start w:val="7"/>
    </w:lvl>
  </w:abstractNum>
  <w:abstractNum w:abstractNumId="158">
    <w:nsid w:val="368DB37E"/>
    <w:multiLevelType w:val="hybridMultilevel"/>
    <w:lvl w:ilvl="0">
      <w:lvlJc w:val="left"/>
      <w:lvlText w:val="(%1)"/>
      <w:numFmt w:val="lowerLetter"/>
      <w:start w:val="1"/>
    </w:lvl>
  </w:abstractNum>
  <w:abstractNum w:abstractNumId="159">
    <w:nsid w:val="6A3B714C"/>
    <w:multiLevelType w:val="hybridMultilevel"/>
    <w:lvl w:ilvl="0">
      <w:lvlJc w:val="left"/>
      <w:lvlText w:val="(%1)"/>
      <w:numFmt w:val="lowerRoman"/>
      <w:start w:val="1"/>
    </w:lvl>
  </w:abstractNum>
  <w:abstractNum w:abstractNumId="160">
    <w:nsid w:val="327B517E"/>
    <w:multiLevelType w:val="hybridMultilevel"/>
    <w:lvl w:ilvl="0">
      <w:lvlJc w:val="left"/>
      <w:lvlText w:val="(%1)"/>
      <w:numFmt w:val="lowerLetter"/>
      <w:start w:val="4"/>
    </w:lvl>
  </w:abstractNum>
  <w:abstractNum w:abstractNumId="161">
    <w:nsid w:val="1F461B51"/>
    <w:multiLevelType w:val="hybridMultilevel"/>
    <w:lvl w:ilvl="0">
      <w:lvlJc w:val="left"/>
      <w:lvlText w:val="(%1)"/>
      <w:numFmt w:val="lowerRoman"/>
      <w:start w:val="1"/>
    </w:lvl>
  </w:abstractNum>
  <w:abstractNum w:abstractNumId="162">
    <w:nsid w:val="29BACF25"/>
    <w:multiLevelType w:val="hybridMultilevel"/>
    <w:lvl w:ilvl="0">
      <w:lvlJc w:val="left"/>
      <w:lvlText w:val="(%1)"/>
      <w:numFmt w:val="lowerLetter"/>
      <w:start w:val="1"/>
    </w:lvl>
  </w:abstractNum>
  <w:abstractNum w:abstractNumId="163">
    <w:nsid w:val="5D5BABB3"/>
    <w:multiLevelType w:val="hybridMultilevel"/>
    <w:lvl w:ilvl="0">
      <w:lvlJc w:val="left"/>
      <w:lvlText w:val="(%1)"/>
      <w:numFmt w:val="lowerLetter"/>
      <w:start w:val="2"/>
    </w:lvl>
  </w:abstractNum>
  <w:abstractNum w:abstractNumId="164">
    <w:nsid w:val="51BF6B48"/>
    <w:multiLevelType w:val="hybridMultilevel"/>
    <w:lvl w:ilvl="0">
      <w:lvlJc w:val="left"/>
      <w:lvlText w:val="(%1)"/>
      <w:numFmt w:val="lowerLetter"/>
      <w:start w:val="1"/>
    </w:lvl>
  </w:abstractNum>
  <w:abstractNum w:abstractNumId="165">
    <w:nsid w:val="7E0F6384"/>
    <w:multiLevelType w:val="hybridMultilevel"/>
    <w:lvl w:ilvl="0">
      <w:lvlJc w:val="left"/>
      <w:lvlText w:val="(%1)"/>
      <w:numFmt w:val="lowerRoman"/>
      <w:start w:val="1"/>
    </w:lvl>
  </w:abstractNum>
  <w:abstractNum w:abstractNumId="166">
    <w:nsid w:val="2B4B8B53"/>
    <w:multiLevelType w:val="hybridMultilevel"/>
    <w:lvl w:ilvl="0">
      <w:lvlJc w:val="left"/>
      <w:lvlText w:val="(%1)"/>
      <w:numFmt w:val="lowerLetter"/>
      <w:start w:val="2"/>
    </w:lvl>
  </w:abstractNum>
  <w:abstractNum w:abstractNumId="167">
    <w:nsid w:val="72E3413A"/>
    <w:multiLevelType w:val="hybridMultilevel"/>
    <w:lvl w:ilvl="0">
      <w:lvlJc w:val="left"/>
      <w:lvlText w:val="%1."/>
      <w:numFmt w:val="decimal"/>
      <w:start w:val="8"/>
    </w:lvl>
  </w:abstractNum>
  <w:abstractNum w:abstractNumId="168">
    <w:nsid w:val="116AE494"/>
    <w:multiLevelType w:val="hybridMultilevel"/>
    <w:lvl w:ilvl="0">
      <w:lvlJc w:val="left"/>
      <w:lvlText w:val="(%1)"/>
      <w:numFmt w:val="lowerLetter"/>
      <w:start w:val="1"/>
    </w:lvl>
  </w:abstractNum>
  <w:abstractNum w:abstractNumId="169">
    <w:nsid w:val="3494B2FB"/>
    <w:multiLevelType w:val="hybridMultilevel"/>
    <w:lvl w:ilvl="0">
      <w:lvlJc w:val="left"/>
      <w:lvlText w:val="%1."/>
      <w:numFmt w:val="decimal"/>
      <w:start w:val="9"/>
    </w:lvl>
  </w:abstractNum>
  <w:abstractNum w:abstractNumId="170">
    <w:nsid w:val="B13A31"/>
    <w:multiLevelType w:val="hybridMultilevel"/>
    <w:lvl w:ilvl="0">
      <w:lvlJc w:val="left"/>
      <w:lvlText w:val="%1."/>
      <w:numFmt w:val="decimal"/>
      <w:start w:val="11"/>
    </w:lvl>
  </w:abstractNum>
  <w:abstractNum w:abstractNumId="171">
    <w:nsid w:val="64429599"/>
    <w:multiLevelType w:val="hybridMultilevel"/>
    <w:lvl w:ilvl="0">
      <w:lvlJc w:val="left"/>
      <w:lvlText w:val="%1."/>
      <w:numFmt w:val="decimal"/>
      <w:start w:val="12"/>
    </w:lvl>
  </w:abstractNum>
  <w:abstractNum w:abstractNumId="172">
    <w:nsid w:val="631F1690"/>
    <w:multiLevelType w:val="hybridMultilevel"/>
    <w:lvl w:ilvl="0">
      <w:lvlJc w:val="left"/>
      <w:lvlText w:val="(%1)"/>
      <w:numFmt w:val="lowerLetter"/>
      <w:start w:val="1"/>
    </w:lvl>
  </w:abstractNum>
  <w:abstractNum w:abstractNumId="173">
    <w:nsid w:val="25973E32"/>
    <w:multiLevelType w:val="hybridMultilevel"/>
    <w:lvl w:ilvl="0">
      <w:lvlJc w:val="left"/>
      <w:lvlText w:val="(%1)"/>
      <w:numFmt w:val="lowerLetter"/>
      <w:start w:val="4"/>
    </w:lvl>
  </w:abstractNum>
  <w:abstractNum w:abstractNumId="174">
    <w:nsid w:val="EAD6F57"/>
    <w:multiLevelType w:val="hybridMultilevel"/>
    <w:lvl w:ilvl="0">
      <w:lvlJc w:val="left"/>
      <w:lvlText w:val="%1."/>
      <w:numFmt w:val="decimal"/>
      <w:start w:val="13"/>
    </w:lvl>
  </w:abstractNum>
  <w:abstractNum w:abstractNumId="175">
    <w:nsid w:val="6EC9D844"/>
    <w:multiLevelType w:val="hybridMultilevel"/>
    <w:lvl w:ilvl="0">
      <w:lvlJc w:val="left"/>
      <w:lvlText w:val="(%1)"/>
      <w:numFmt w:val="lowerLetter"/>
      <w:start w:val="2"/>
    </w:lvl>
  </w:abstractNum>
  <w:abstractNum w:abstractNumId="176">
    <w:nsid w:val="5C49EAEE"/>
    <w:multiLevelType w:val="hybridMultilevel"/>
    <w:lvl w:ilvl="0">
      <w:lvlJc w:val="left"/>
      <w:lvlText w:val="(%1)"/>
      <w:numFmt w:val="lowerLetter"/>
      <w:start w:val="5"/>
    </w:lvl>
  </w:abstractNum>
  <w:abstractNum w:abstractNumId="177">
    <w:nsid w:val="64AF49B"/>
    <w:multiLevelType w:val="hybridMultilevel"/>
    <w:lvl w:ilvl="0">
      <w:lvlJc w:val="left"/>
      <w:lvlText w:val="%1."/>
      <w:numFmt w:val="decimal"/>
      <w:start w:val="14"/>
    </w:lvl>
  </w:abstractNum>
  <w:abstractNum w:abstractNumId="178">
    <w:nsid w:val="397C46BC"/>
    <w:multiLevelType w:val="hybridMultilevel"/>
    <w:lvl w:ilvl="0">
      <w:lvlJc w:val="left"/>
      <w:lvlText w:val="(%1)"/>
      <w:numFmt w:val="lowerLetter"/>
      <w:start w:val="24"/>
    </w:lvl>
  </w:abstractNum>
  <w:abstractNum w:abstractNumId="179">
    <w:nsid w:val="7E448DE9"/>
    <w:multiLevelType w:val="hybridMultilevel"/>
    <w:lvl w:ilvl="0">
      <w:lvlJc w:val="left"/>
      <w:lvlText w:val="(%1)"/>
      <w:numFmt w:val="lowerLetter"/>
      <w:start w:val="2"/>
    </w:lvl>
  </w:abstractNum>
  <w:abstractNum w:abstractNumId="180">
    <w:nsid w:val="5A9CC3E5"/>
    <w:multiLevelType w:val="hybridMultilevel"/>
    <w:lvl w:ilvl="0">
      <w:lvlJc w:val="left"/>
      <w:lvlText w:val="(%1)"/>
      <w:numFmt w:val="lowerLetter"/>
      <w:start w:val="35"/>
    </w:lvl>
  </w:abstractNum>
  <w:abstractNum w:abstractNumId="181">
    <w:nsid w:val="1AFE3625"/>
    <w:multiLevelType w:val="hybridMultilevel"/>
    <w:lvl w:ilvl="0">
      <w:lvlJc w:val="left"/>
      <w:lvlText w:val="%1."/>
      <w:numFmt w:val="decimal"/>
      <w:start w:val="16"/>
    </w:lvl>
  </w:abstractNum>
  <w:abstractNum w:abstractNumId="182">
    <w:nsid w:val="3CA88ECF"/>
    <w:multiLevelType w:val="hybridMultilevel"/>
    <w:lvl w:ilvl="0">
      <w:lvlJc w:val="left"/>
      <w:lvlText w:val="​​"/>
      <w:numFmt w:val="bullet"/>
      <w:start w:val="1"/>
    </w:lvl>
  </w:abstractNum>
  <w:abstractNum w:abstractNumId="183">
    <w:nsid w:val="6EBE4208"/>
    <w:multiLevelType w:val="hybridMultilevel"/>
    <w:lvl w:ilvl="0">
      <w:lvlJc w:val="left"/>
      <w:lvlText w:val="​​"/>
      <w:numFmt w:val="bullet"/>
      <w:start w:val="1"/>
    </w:lvl>
  </w:abstractNum>
  <w:abstractNum w:abstractNumId="184">
    <w:nsid w:val="C058DF5"/>
    <w:multiLevelType w:val="hybridMultilevel"/>
    <w:lvl w:ilvl="0">
      <w:lvlJc w:val="left"/>
      <w:lvlText w:val="​​"/>
      <w:numFmt w:val="bullet"/>
      <w:start w:val="1"/>
    </w:lvl>
  </w:abstractNum>
  <w:abstractNum w:abstractNumId="185">
    <w:nsid w:val="CBE5BE9"/>
    <w:multiLevelType w:val="hybridMultilevel"/>
    <w:lvl w:ilvl="0">
      <w:lvlJc w:val="left"/>
      <w:lvlText w:val="​​"/>
      <w:numFmt w:val="bullet"/>
      <w:start w:val="1"/>
    </w:lvl>
  </w:abstractNum>
  <w:abstractNum w:abstractNumId="186">
    <w:nsid w:val="3102BBE2"/>
    <w:multiLevelType w:val="hybridMultilevel"/>
    <w:lvl w:ilvl="0">
      <w:lvlJc w:val="left"/>
      <w:lvlText w:val="​​"/>
      <w:numFmt w:val="bullet"/>
      <w:start w:val="1"/>
    </w:lvl>
  </w:abstractNum>
  <w:abstractNum w:abstractNumId="187">
    <w:nsid w:val="26A02C5E"/>
    <w:multiLevelType w:val="hybridMultilevel"/>
    <w:lvl w:ilvl="0">
      <w:lvlJc w:val="left"/>
      <w:lvlText w:val="​​"/>
      <w:numFmt w:val="bullet"/>
      <w:start w:val="1"/>
    </w:lvl>
  </w:abstractNum>
  <w:abstractNum w:abstractNumId="188">
    <w:nsid w:val="541C8153"/>
    <w:multiLevelType w:val="hybridMultilevel"/>
    <w:lvl w:ilvl="0">
      <w:lvlJc w:val="left"/>
      <w:lvlText w:val="​​"/>
      <w:numFmt w:val="bullet"/>
      <w:start w:val="1"/>
    </w:lvl>
  </w:abstractNum>
  <w:abstractNum w:abstractNumId="189">
    <w:nsid w:val="67906F60"/>
    <w:multiLevelType w:val="hybridMultilevel"/>
    <w:lvl w:ilvl="0">
      <w:lvlJc w:val="left"/>
      <w:lvlText w:val="​​"/>
      <w:numFmt w:val="bullet"/>
      <w:start w:val="1"/>
    </w:lvl>
  </w:abstractNum>
  <w:abstractNum w:abstractNumId="190">
    <w:nsid w:val="10DB9DAA"/>
    <w:multiLevelType w:val="hybridMultilevel"/>
    <w:lvl w:ilvl="0">
      <w:lvlJc w:val="left"/>
      <w:lvlText w:val="​​"/>
      <w:numFmt w:val="bullet"/>
      <w:start w:val="1"/>
    </w:lvl>
  </w:abstractNum>
  <w:abstractNum w:abstractNumId="191">
    <w:nsid w:val="697D2D2"/>
    <w:multiLevelType w:val="hybridMultilevel"/>
    <w:lvl w:ilvl="0">
      <w:lvlJc w:val="left"/>
      <w:lvlText w:val="​​"/>
      <w:numFmt w:val="bullet"/>
      <w:start w:val="1"/>
    </w:lvl>
  </w:abstractNum>
  <w:abstractNum w:abstractNumId="192">
    <w:nsid w:val="6D68AB2"/>
    <w:multiLevelType w:val="hybridMultilevel"/>
    <w:lvl w:ilvl="0">
      <w:lvlJc w:val="left"/>
      <w:lvlText w:val="(%1)"/>
      <w:numFmt w:val="decimal"/>
      <w:start w:val="1"/>
    </w:lvl>
  </w:abstractNum>
  <w:abstractNum w:abstractNumId="193">
    <w:nsid w:val="3A966CD0"/>
    <w:multiLevelType w:val="hybridMultilevel"/>
    <w:lvl w:ilvl="0">
      <w:lvlJc w:val="left"/>
      <w:lvlText w:val="​​"/>
      <w:numFmt w:val="bullet"/>
      <w:start w:val="1"/>
    </w:lvl>
  </w:abstractNum>
  <w:abstractNum w:abstractNumId="194">
    <w:nsid w:val="63F37E85"/>
    <w:multiLevelType w:val="hybridMultilevel"/>
    <w:lvl w:ilvl="0">
      <w:lvlJc w:val="left"/>
      <w:lvlText w:val="​​"/>
      <w:numFmt w:val="bullet"/>
      <w:start w:val="1"/>
    </w:lvl>
  </w:abstractNum>
  <w:abstractNum w:abstractNumId="195">
    <w:nsid w:val="5895F5FA"/>
    <w:multiLevelType w:val="hybridMultilevel"/>
    <w:lvl w:ilvl="0">
      <w:lvlJc w:val="left"/>
      <w:lvlText w:val="​​"/>
      <w:numFmt w:val="bullet"/>
      <w:start w:val="1"/>
    </w:lvl>
  </w:abstractNum>
  <w:abstractNum w:abstractNumId="196">
    <w:nsid w:val="38A5D054"/>
    <w:multiLevelType w:val="hybridMultilevel"/>
    <w:lvl w:ilvl="0">
      <w:lvlJc w:val="left"/>
      <w:lvlText w:val="​​"/>
      <w:numFmt w:val="bullet"/>
      <w:start w:val="1"/>
    </w:lvl>
  </w:abstractNum>
  <w:abstractNum w:abstractNumId="197">
    <w:nsid w:val="F3F09D8"/>
    <w:multiLevelType w:val="hybridMultilevel"/>
    <w:lvl w:ilvl="0">
      <w:lvlJc w:val="left"/>
      <w:lvlText w:val="​​"/>
      <w:numFmt w:val="bullet"/>
      <w:start w:val="1"/>
    </w:lvl>
  </w:abstractNum>
  <w:abstractNum w:abstractNumId="198">
    <w:nsid w:val="4B793735"/>
    <w:multiLevelType w:val="hybridMultilevel"/>
    <w:lvl w:ilvl="0">
      <w:lvlJc w:val="left"/>
      <w:lvlText w:val="​​"/>
      <w:numFmt w:val="bullet"/>
      <w:start w:val="1"/>
    </w:lvl>
  </w:abstractNum>
  <w:abstractNum w:abstractNumId="199">
    <w:nsid w:val="4A10B4E8"/>
    <w:multiLevelType w:val="hybridMultilevel"/>
    <w:lvl w:ilvl="0">
      <w:lvlJc w:val="left"/>
      <w:lvlText w:val="​​"/>
      <w:numFmt w:val="bullet"/>
      <w:start w:val="1"/>
    </w:lvl>
  </w:abstractNum>
  <w:abstractNum w:abstractNumId="200">
    <w:nsid w:val="43D3BCD4"/>
    <w:multiLevelType w:val="hybridMultilevel"/>
    <w:lvl w:ilvl="0">
      <w:lvlJc w:val="left"/>
      <w:lvlText w:val="​​"/>
      <w:numFmt w:val="bullet"/>
      <w:start w:val="1"/>
    </w:lvl>
  </w:abstractNum>
  <w:abstractNum w:abstractNumId="201">
    <w:nsid w:val="4C2A7166"/>
    <w:multiLevelType w:val="hybridMultilevel"/>
    <w:lvl w:ilvl="0">
      <w:lvlJc w:val="left"/>
      <w:lvlText w:val="​​"/>
      <w:numFmt w:val="bullet"/>
      <w:start w:val="1"/>
    </w:lvl>
  </w:abstractNum>
  <w:abstractNum w:abstractNumId="202">
    <w:nsid w:val="2E534A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jpeg"/><Relationship Id="rId350" Type="http://schemas.openxmlformats.org/officeDocument/2006/relationships/image" Target="media/image343.jpeg"/><Relationship Id="rId351" Type="http://schemas.openxmlformats.org/officeDocument/2006/relationships/image" Target="media/image344.jpe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jpeg"/><Relationship Id="rId363" Type="http://schemas.openxmlformats.org/officeDocument/2006/relationships/image" Target="media/image356.jpeg"/><Relationship Id="rId364" Type="http://schemas.openxmlformats.org/officeDocument/2006/relationships/image" Target="media/image357.jpeg"/><Relationship Id="rId365" Type="http://schemas.openxmlformats.org/officeDocument/2006/relationships/image" Target="media/image358.jpeg"/><Relationship Id="rId366" Type="http://schemas.openxmlformats.org/officeDocument/2006/relationships/image" Target="media/image359.jpeg"/><Relationship Id="rId367" Type="http://schemas.openxmlformats.org/officeDocument/2006/relationships/image" Target="media/image360.jpeg"/><Relationship Id="rId368" Type="http://schemas.openxmlformats.org/officeDocument/2006/relationships/image" Target="media/image361.jpeg"/><Relationship Id="rId369" Type="http://schemas.openxmlformats.org/officeDocument/2006/relationships/image" Target="media/image362.jpeg"/><Relationship Id="rId370" Type="http://schemas.openxmlformats.org/officeDocument/2006/relationships/image" Target="media/image363.jpeg"/><Relationship Id="rId371" Type="http://schemas.openxmlformats.org/officeDocument/2006/relationships/image" Target="media/image364.jpeg"/><Relationship Id="rId372" Type="http://schemas.openxmlformats.org/officeDocument/2006/relationships/image" Target="media/image365.jpe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jpeg"/><Relationship Id="rId401" Type="http://schemas.openxmlformats.org/officeDocument/2006/relationships/image" Target="media/image394.jpeg"/><Relationship Id="rId402" Type="http://schemas.openxmlformats.org/officeDocument/2006/relationships/image" Target="media/image395.jpeg"/><Relationship Id="rId403" Type="http://schemas.openxmlformats.org/officeDocument/2006/relationships/image" Target="media/image396.jpe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jpeg"/><Relationship Id="rId426" Type="http://schemas.openxmlformats.org/officeDocument/2006/relationships/image" Target="media/image419.jpeg"/><Relationship Id="rId427" Type="http://schemas.openxmlformats.org/officeDocument/2006/relationships/image" Target="media/image420.jpe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jpeg"/><Relationship Id="rId431" Type="http://schemas.openxmlformats.org/officeDocument/2006/relationships/image" Target="media/image424.jpeg"/><Relationship Id="rId432" Type="http://schemas.openxmlformats.org/officeDocument/2006/relationships/image" Target="media/image425.jpeg"/><Relationship Id="rId433" Type="http://schemas.openxmlformats.org/officeDocument/2006/relationships/image" Target="media/image426.jpeg"/><Relationship Id="rId434" Type="http://schemas.openxmlformats.org/officeDocument/2006/relationships/image" Target="media/image427.png"/><Relationship Id="rId435" Type="http://schemas.openxmlformats.org/officeDocument/2006/relationships/image" Target="media/image428.jpeg"/><Relationship Id="rId436" Type="http://schemas.openxmlformats.org/officeDocument/2006/relationships/image" Target="media/image429.png"/><Relationship Id="rId437" Type="http://schemas.openxmlformats.org/officeDocument/2006/relationships/image" Target="media/image430.jpeg"/><Relationship Id="rId438" Type="http://schemas.openxmlformats.org/officeDocument/2006/relationships/image" Target="media/image431.png"/><Relationship Id="rId439" Type="http://schemas.openxmlformats.org/officeDocument/2006/relationships/image" Target="media/image432.jpeg"/><Relationship Id="rId440" Type="http://schemas.openxmlformats.org/officeDocument/2006/relationships/image" Target="media/image433.png"/><Relationship Id="rId441" Type="http://schemas.openxmlformats.org/officeDocument/2006/relationships/image" Target="media/image434.jpe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jpeg"/><Relationship Id="rId451" Type="http://schemas.openxmlformats.org/officeDocument/2006/relationships/image" Target="media/image444.jpe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jpeg"/><Relationship Id="rId457" Type="http://schemas.openxmlformats.org/officeDocument/2006/relationships/image" Target="media/image450.png"/><Relationship Id="rId458" Type="http://schemas.openxmlformats.org/officeDocument/2006/relationships/image" Target="media/image451.jpe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jpeg"/><Relationship Id="rId462" Type="http://schemas.openxmlformats.org/officeDocument/2006/relationships/image" Target="media/image455.png"/><Relationship Id="rId463" Type="http://schemas.openxmlformats.org/officeDocument/2006/relationships/image" Target="media/image456.jpe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jpeg"/><Relationship Id="rId468" Type="http://schemas.openxmlformats.org/officeDocument/2006/relationships/image" Target="media/image461.png"/><Relationship Id="rId469" Type="http://schemas.openxmlformats.org/officeDocument/2006/relationships/image" Target="media/image462.jpe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jpe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jpeg"/><Relationship Id="rId646" Type="http://schemas.openxmlformats.org/officeDocument/2006/relationships/image" Target="media/image639.png"/><Relationship Id="rId647" Type="http://schemas.openxmlformats.org/officeDocument/2006/relationships/image" Target="media/image640.jpe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jpe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jpeg"/><Relationship Id="rId705" Type="http://schemas.openxmlformats.org/officeDocument/2006/relationships/image" Target="media/image698.jpeg"/><Relationship Id="rId706" Type="http://schemas.openxmlformats.org/officeDocument/2006/relationships/image" Target="media/image699.jpeg"/><Relationship Id="rId707" Type="http://schemas.openxmlformats.org/officeDocument/2006/relationships/image" Target="media/image700.jpe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jpe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2025-04-22T16:28:58Z</dcterms:created>
  <dcterms:modified xsi:type="dcterms:W3CDTF">2025-04-22T16:28:58Z</dcterms:modified>
</cp:coreProperties>
</file>